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163195</wp:posOffset>
            </wp:positionV>
            <wp:extent cx="3077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323215</wp:posOffset>
            </wp:positionV>
            <wp:extent cx="3077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period ended June 30, 2020</w:t>
      </w:r>
    </w:p>
    <w:p>
      <w:pPr>
        <w:spacing w:after="0" w:line="132"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320" w:top="233" w:right="319" w:bottom="1440" w:gutter="0" w:footer="0" w:header="0"/>
        </w:sectPr>
      </w:pPr>
    </w:p>
    <w:p>
      <w:pPr>
        <w:spacing w:after="0" w:line="66"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6060" w:space="560"/>
            <w:col w:w="4640"/>
          </w:cols>
          <w:pgMar w:left="320" w:top="233" w:right="319" w:bottom="1440" w:gutter="0" w:footer="0" w:header="0"/>
          <w:type w:val="continuous"/>
        </w:sectPr>
      </w:pP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189230</wp:posOffset>
            </wp:positionV>
            <wp:extent cx="3077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0" w:type="dxa"/>
        <w:tblCellMar>
          <w:top w:w="0" w:type="dxa"/>
          <w:left w:w="0" w:type="dxa"/>
          <w:bottom w:w="0" w:type="dxa"/>
          <w:right w:w="0" w:type="dxa"/>
        </w:tblCellMar>
      </w:tblPr>
      <w:tr>
        <w:trPr>
          <w:trHeight w:val="373"/>
        </w:trPr>
        <w:tc>
          <w:tcPr>
            <w:tcW w:w="3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00" w:type="dxa"/>
            <w:vAlign w:val="bottom"/>
            <w:gridSpan w:val="3"/>
          </w:tcPr>
          <w:p>
            <w:pPr>
              <w:jc w:val="center"/>
              <w:ind w:right="60"/>
              <w:spacing w:after="0"/>
              <w:rPr>
                <w:sz w:val="20"/>
                <w:szCs w:val="20"/>
                <w:color w:val="auto"/>
              </w:rPr>
            </w:pPr>
            <w:r>
              <w:rPr>
                <w:rFonts w:ascii="Arial" w:cs="Arial" w:eastAsia="Arial" w:hAnsi="Arial"/>
                <w:sz w:val="29"/>
                <w:szCs w:val="29"/>
                <w:b w:val="1"/>
                <w:bCs w:val="1"/>
                <w:color w:val="auto"/>
                <w:w w:val="96"/>
              </w:rPr>
              <w:t>ESSENT GROUP LTD.</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6"/>
        </w:trPr>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00" w:type="dxa"/>
            <w:vAlign w:val="bottom"/>
            <w:gridSpan w:val="3"/>
          </w:tcPr>
          <w:p>
            <w:pPr>
              <w:jc w:val="center"/>
              <w:ind w:right="40"/>
              <w:spacing w:after="0"/>
              <w:rPr>
                <w:sz w:val="20"/>
                <w:szCs w:val="20"/>
                <w:color w:val="auto"/>
              </w:rPr>
            </w:pPr>
            <w:r>
              <w:rPr>
                <w:rFonts w:ascii="Arial" w:cs="Arial" w:eastAsia="Arial" w:hAnsi="Arial"/>
                <w:sz w:val="16"/>
                <w:szCs w:val="16"/>
                <w:color w:val="auto"/>
                <w:w w:val="91"/>
              </w:rPr>
              <w:t>(Exact name of registrant as specified in its charter)</w:t>
            </w:r>
          </w:p>
        </w:tc>
        <w:tc>
          <w:tcPr>
            <w:tcW w:w="5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49"/>
        </w:trPr>
        <w:tc>
          <w:tcPr>
            <w:tcW w:w="32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0" w:type="dxa"/>
            <w:vAlign w:val="bottom"/>
          </w:tcPr>
          <w:p>
            <w:pPr>
              <w:spacing w:after="0"/>
              <w:rPr>
                <w:sz w:val="21"/>
                <w:szCs w:val="21"/>
                <w:color w:val="auto"/>
              </w:rPr>
            </w:pPr>
          </w:p>
        </w:tc>
      </w:tr>
      <w:tr>
        <w:trPr>
          <w:trHeight w:val="568"/>
        </w:trPr>
        <w:tc>
          <w:tcPr>
            <w:tcW w:w="3800" w:type="dxa"/>
            <w:vAlign w:val="bottom"/>
            <w:gridSpan w:val="2"/>
          </w:tcPr>
          <w:p>
            <w:pPr>
              <w:jc w:val="center"/>
              <w:ind w:left="1536"/>
              <w:spacing w:after="0"/>
              <w:rPr>
                <w:sz w:val="20"/>
                <w:szCs w:val="20"/>
                <w:color w:val="auto"/>
              </w:rPr>
            </w:pPr>
            <w:r>
              <w:rPr>
                <w:rFonts w:ascii="Arial" w:cs="Arial" w:eastAsia="Arial" w:hAnsi="Arial"/>
                <w:sz w:val="16"/>
                <w:szCs w:val="16"/>
                <w:b w:val="1"/>
                <w:bCs w:val="1"/>
                <w:color w:val="auto"/>
                <w:w w:val="95"/>
              </w:rPr>
              <w:t>Bermuda</w:t>
            </w: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2"/>
          </w:tcPr>
          <w:p>
            <w:pPr>
              <w:jc w:val="center"/>
              <w:ind w:right="1590"/>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3800" w:type="dxa"/>
            <w:vAlign w:val="bottom"/>
            <w:gridSpan w:val="2"/>
          </w:tcPr>
          <w:p>
            <w:pPr>
              <w:jc w:val="center"/>
              <w:ind w:left="1516"/>
              <w:spacing w:after="0"/>
              <w:rPr>
                <w:sz w:val="20"/>
                <w:szCs w:val="20"/>
                <w:color w:val="auto"/>
              </w:rPr>
            </w:pPr>
            <w:r>
              <w:rPr>
                <w:rFonts w:ascii="Arial" w:cs="Arial" w:eastAsia="Arial" w:hAnsi="Arial"/>
                <w:sz w:val="16"/>
                <w:szCs w:val="16"/>
                <w:color w:val="auto"/>
                <w:w w:val="93"/>
              </w:rPr>
              <w:t>(State or other jurisdiction of</w:t>
            </w:r>
          </w:p>
        </w:tc>
        <w:tc>
          <w:tcPr>
            <w:tcW w:w="3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60" w:type="dxa"/>
            <w:vAlign w:val="bottom"/>
            <w:gridSpan w:val="2"/>
          </w:tcPr>
          <w:p>
            <w:pPr>
              <w:jc w:val="center"/>
              <w:ind w:right="1570"/>
              <w:spacing w:after="0"/>
              <w:rPr>
                <w:sz w:val="20"/>
                <w:szCs w:val="20"/>
                <w:color w:val="auto"/>
              </w:rPr>
            </w:pPr>
            <w:r>
              <w:rPr>
                <w:rFonts w:ascii="Arial" w:cs="Arial" w:eastAsia="Arial" w:hAnsi="Arial"/>
                <w:sz w:val="16"/>
                <w:szCs w:val="16"/>
                <w:color w:val="auto"/>
                <w:w w:val="93"/>
              </w:rPr>
              <w:t>(I.R.S. Employer</w:t>
            </w:r>
          </w:p>
        </w:tc>
      </w:tr>
      <w:tr>
        <w:trPr>
          <w:trHeight w:val="206"/>
        </w:trPr>
        <w:tc>
          <w:tcPr>
            <w:tcW w:w="3800" w:type="dxa"/>
            <w:vAlign w:val="bottom"/>
            <w:gridSpan w:val="2"/>
          </w:tcPr>
          <w:p>
            <w:pPr>
              <w:jc w:val="center"/>
              <w:ind w:left="1536"/>
              <w:spacing w:after="0"/>
              <w:rPr>
                <w:sz w:val="20"/>
                <w:szCs w:val="20"/>
                <w:color w:val="auto"/>
              </w:rPr>
            </w:pPr>
            <w:r>
              <w:rPr>
                <w:rFonts w:ascii="Arial" w:cs="Arial" w:eastAsia="Arial" w:hAnsi="Arial"/>
                <w:sz w:val="16"/>
                <w:szCs w:val="16"/>
                <w:color w:val="auto"/>
                <w:w w:val="93"/>
              </w:rPr>
              <w:t>incorporation or organization)</w:t>
            </w:r>
          </w:p>
        </w:tc>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60" w:type="dxa"/>
            <w:vAlign w:val="bottom"/>
            <w:gridSpan w:val="2"/>
          </w:tcPr>
          <w:p>
            <w:pPr>
              <w:jc w:val="center"/>
              <w:ind w:right="1570"/>
              <w:spacing w:after="0"/>
              <w:rPr>
                <w:sz w:val="20"/>
                <w:szCs w:val="20"/>
                <w:color w:val="auto"/>
              </w:rPr>
            </w:pPr>
            <w:r>
              <w:rPr>
                <w:rFonts w:ascii="Arial" w:cs="Arial" w:eastAsia="Arial" w:hAnsi="Arial"/>
                <w:sz w:val="16"/>
                <w:szCs w:val="16"/>
                <w:color w:val="auto"/>
                <w:w w:val="95"/>
              </w:rPr>
              <w:t>Identification Number)</w:t>
            </w:r>
          </w:p>
        </w:tc>
      </w:tr>
      <w:tr>
        <w:trPr>
          <w:trHeight w:val="208"/>
        </w:trPr>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Clarendon House</w:t>
            </w:r>
          </w:p>
        </w:tc>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189"/>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2 Church Street</w:t>
            </w: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Hamilton HM11, Bermuda</w:t>
            </w: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85"/>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00" w:type="dxa"/>
            <w:vAlign w:val="bottom"/>
            <w:gridSpan w:val="3"/>
          </w:tcPr>
          <w:p>
            <w:pPr>
              <w:jc w:val="center"/>
              <w:ind w:right="60"/>
              <w:spacing w:after="0"/>
              <w:rPr>
                <w:sz w:val="20"/>
                <w:szCs w:val="20"/>
                <w:color w:val="auto"/>
              </w:rPr>
            </w:pPr>
            <w:r>
              <w:rPr>
                <w:rFonts w:ascii="Arial" w:cs="Arial" w:eastAsia="Arial" w:hAnsi="Arial"/>
                <w:sz w:val="16"/>
                <w:szCs w:val="16"/>
                <w:color w:val="auto"/>
                <w:w w:val="93"/>
              </w:rPr>
              <w:t>(Address of principal executive offices and zip code)</w:t>
            </w: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20" w:type="dxa"/>
            <w:vAlign w:val="bottom"/>
            <w:gridSpan w:val="2"/>
          </w:tcPr>
          <w:p>
            <w:pPr>
              <w:jc w:val="center"/>
              <w:ind w:left="246"/>
              <w:spacing w:after="0"/>
              <w:rPr>
                <w:sz w:val="20"/>
                <w:szCs w:val="20"/>
                <w:color w:val="auto"/>
              </w:rPr>
            </w:pPr>
            <w:r>
              <w:rPr>
                <w:rFonts w:ascii="Arial" w:cs="Arial" w:eastAsia="Arial" w:hAnsi="Arial"/>
                <w:sz w:val="16"/>
                <w:szCs w:val="16"/>
                <w:b w:val="1"/>
                <w:bCs w:val="1"/>
                <w:color w:val="auto"/>
                <w:w w:val="93"/>
              </w:rPr>
              <w:t>(441) 297-9901</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206"/>
        </w:trPr>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00" w:type="dxa"/>
            <w:vAlign w:val="bottom"/>
            <w:gridSpan w:val="3"/>
          </w:tcPr>
          <w:p>
            <w:pPr>
              <w:jc w:val="center"/>
              <w:ind w:right="60"/>
              <w:spacing w:after="0"/>
              <w:rPr>
                <w:sz w:val="20"/>
                <w:szCs w:val="20"/>
                <w:color w:val="auto"/>
              </w:rPr>
            </w:pPr>
            <w:r>
              <w:rPr>
                <w:rFonts w:ascii="Arial" w:cs="Arial" w:eastAsia="Arial" w:hAnsi="Arial"/>
                <w:sz w:val="16"/>
                <w:szCs w:val="16"/>
                <w:color w:val="auto"/>
                <w:w w:val="91"/>
              </w:rPr>
              <w:t>(Registrant’s telephone number, including area code)</w:t>
            </w:r>
          </w:p>
        </w:tc>
        <w:tc>
          <w:tcPr>
            <w:tcW w:w="5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398"/>
        </w:trPr>
        <w:tc>
          <w:tcPr>
            <w:tcW w:w="7500" w:type="dxa"/>
            <w:vAlign w:val="bottom"/>
            <w:gridSpan w:val="5"/>
          </w:tcPr>
          <w:p>
            <w:pPr>
              <w:ind w:left="500"/>
              <w:spacing w:after="0"/>
              <w:rPr>
                <w:sz w:val="20"/>
                <w:szCs w:val="20"/>
                <w:color w:val="auto"/>
              </w:rPr>
            </w:pPr>
            <w:r>
              <w:rPr>
                <w:rFonts w:ascii="Arial" w:cs="Arial" w:eastAsia="Arial" w:hAnsi="Arial"/>
                <w:sz w:val="18"/>
                <w:szCs w:val="18"/>
                <w:color w:val="auto"/>
              </w:rPr>
              <w:t>Securities registered pursuant to Section 12(b) of the Act:</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35"/>
        </w:trPr>
        <w:tc>
          <w:tcPr>
            <w:tcW w:w="38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gridSpan w:val="2"/>
          </w:tcPr>
          <w:p>
            <w:pPr>
              <w:spacing w:after="0"/>
              <w:rPr>
                <w:sz w:val="11"/>
                <w:szCs w:val="11"/>
                <w:color w:val="auto"/>
              </w:rPr>
            </w:pPr>
          </w:p>
        </w:tc>
      </w:tr>
      <w:tr>
        <w:trPr>
          <w:trHeight w:val="217"/>
        </w:trPr>
        <w:tc>
          <w:tcPr>
            <w:tcW w:w="3800" w:type="dxa"/>
            <w:vAlign w:val="bottom"/>
            <w:tcBorders>
              <w:left w:val="single" w:sz="8" w:color="auto"/>
            </w:tcBorders>
            <w:gridSpan w:val="2"/>
          </w:tcPr>
          <w:p>
            <w:pPr>
              <w:jc w:val="center"/>
              <w:ind w:left="296"/>
              <w:spacing w:after="0"/>
              <w:rPr>
                <w:sz w:val="20"/>
                <w:szCs w:val="20"/>
                <w:color w:val="auto"/>
              </w:rPr>
            </w:pPr>
            <w:r>
              <w:rPr>
                <w:rFonts w:ascii="Arial" w:cs="Arial" w:eastAsia="Arial" w:hAnsi="Arial"/>
                <w:sz w:val="16"/>
                <w:szCs w:val="16"/>
                <w:b w:val="1"/>
                <w:bCs w:val="1"/>
                <w:color w:val="auto"/>
                <w:w w:val="88"/>
              </w:rPr>
              <w:t>Title of each class</w:t>
            </w:r>
          </w:p>
        </w:tc>
        <w:tc>
          <w:tcPr>
            <w:tcW w:w="38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80" w:type="dxa"/>
            <w:vAlign w:val="bottom"/>
          </w:tcPr>
          <w:p>
            <w:pPr>
              <w:spacing w:after="0"/>
              <w:rPr>
                <w:sz w:val="18"/>
                <w:szCs w:val="18"/>
                <w:color w:val="auto"/>
              </w:rPr>
            </w:pPr>
          </w:p>
        </w:tc>
        <w:tc>
          <w:tcPr>
            <w:tcW w:w="37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800" w:type="dxa"/>
            <w:vAlign w:val="bottom"/>
            <w:tcBorders>
              <w:left w:val="single" w:sz="8" w:color="auto"/>
              <w:bottom w:val="single" w:sz="8" w:color="auto"/>
            </w:tcBorders>
            <w:gridSpan w:val="2"/>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tcBorders>
            <w:gridSpan w:val="2"/>
          </w:tcPr>
          <w:p>
            <w:pPr>
              <w:jc w:val="center"/>
              <w:ind w:left="296"/>
              <w:spacing w:after="0"/>
              <w:rPr>
                <w:sz w:val="20"/>
                <w:szCs w:val="20"/>
                <w:color w:val="auto"/>
              </w:rPr>
            </w:pPr>
            <w:r>
              <w:rPr>
                <w:rFonts w:ascii="Arial" w:cs="Arial" w:eastAsia="Arial" w:hAnsi="Arial"/>
                <w:sz w:val="18"/>
                <w:szCs w:val="18"/>
                <w:color w:val="auto"/>
                <w:w w:val="89"/>
              </w:rPr>
              <w:t>Common Shares, $0.015 par value</w:t>
            </w:r>
          </w:p>
        </w:tc>
        <w:tc>
          <w:tcPr>
            <w:tcW w:w="38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ESNT</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0" w:type="dxa"/>
            <w:vAlign w:val="bottom"/>
            <w:tcBorders>
              <w:right w:val="single" w:sz="8" w:color="auto"/>
            </w:tcBorders>
          </w:tcPr>
          <w:p>
            <w:pPr>
              <w:jc w:val="center"/>
              <w:ind w:right="890"/>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20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107" w:lineRule="exact"/>
        <w:rPr>
          <w:sz w:val="24"/>
          <w:szCs w:val="24"/>
          <w:color w:val="auto"/>
        </w:rPr>
      </w:pPr>
    </w:p>
    <w:p>
      <w:pPr>
        <w:jc w:val="both"/>
        <w:ind w:right="80" w:firstLine="55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55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180" w:firstLine="55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46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80" w:firstLine="553"/>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60" w:right="144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August 3, 2020 was 112,423,304.</w:t>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60" w:type="dxa"/>
            <w:vAlign w:val="bottom"/>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Item 1.</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Statements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Condensed Consolidated Balance Sheets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Condensed Consolidated Statements of Comprehensive Income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Condensed Consolidated Statements of Changes in Stockholders’ Equity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Condensed Consolidated Statements of Cash Flows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4</w:t>
              </w:r>
            </w:hyperlink>
          </w:p>
        </w:tc>
      </w:tr>
      <w:tr>
        <w:trPr>
          <w:trHeight w:val="540"/>
        </w:trPr>
        <w:tc>
          <w:tcPr>
            <w:tcW w:w="1360" w:type="dxa"/>
            <w:vAlign w:val="bottom"/>
          </w:tcPr>
          <w:p>
            <w:pPr>
              <w:spacing w:after="0"/>
              <w:rPr>
                <w:sz w:val="24"/>
                <w:szCs w:val="24"/>
                <w:color w:val="auto"/>
              </w:rPr>
            </w:pPr>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Notes to Condensed Consolidated Financial Statements (Unaudited)</w:t>
              </w:r>
            </w:hyperlink>
          </w:p>
        </w:tc>
        <w:tc>
          <w:tcPr>
            <w:tcW w:w="148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5</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2.</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27</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Item 3.</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Quantitative and Qualitative Disclosures About Market Risk</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48</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Item 4.</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Controls and Procedures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48</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PART II.</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OTHER INFORMATION</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49</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Item 1.</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Legal Proceedings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49</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Item 1A.</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Risk Factors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49</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Item 2.</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Unregistered Sales of Equity Securities and Use of Proceeds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50</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Item 5.</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Other Information</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51</w:t>
              </w:r>
            </w:hyperlink>
          </w:p>
        </w:tc>
      </w:tr>
      <w:tr>
        <w:trPr>
          <w:trHeight w:val="567"/>
        </w:trPr>
        <w:tc>
          <w:tcPr>
            <w:tcW w:w="1360" w:type="dxa"/>
            <w:vAlign w:val="bottom"/>
          </w:tcPr>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Item 6.</w:t>
              </w:r>
            </w:hyperlink>
          </w:p>
        </w:tc>
        <w:tc>
          <w:tcPr>
            <w:tcW w:w="8340" w:type="dxa"/>
            <w:vAlign w:val="bottom"/>
          </w:tcPr>
          <w:p>
            <w:pPr>
              <w:ind w:left="22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Exhibits</w:t>
              </w:r>
            </w:hyperlink>
          </w:p>
        </w:tc>
        <w:tc>
          <w:tcPr>
            <w:tcW w:w="148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51</w:t>
              </w:r>
            </w:hyperlink>
          </w:p>
        </w:tc>
      </w:tr>
      <w:tr>
        <w:trPr>
          <w:trHeight w:val="540"/>
        </w:trPr>
        <w:tc>
          <w:tcPr>
            <w:tcW w:w="1360" w:type="dxa"/>
            <w:vAlign w:val="bottom"/>
          </w:tcPr>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SIGNATURES</w:t>
              </w:r>
            </w:hyperlink>
          </w:p>
        </w:tc>
        <w:tc>
          <w:tcPr>
            <w:tcW w:w="834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Guaranty, Inc. and Essent Reinsurance Ltd., as a combined entity, except where otherwise stated or where it is clear that the terms mean only Essent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Ltd. exclusive of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2019 filed with the Securities and Exchange Commission. These factors include, without limitation, the following:</w:t>
      </w:r>
    </w:p>
    <w:p>
      <w:pPr>
        <w:spacing w:after="0" w:line="178" w:lineRule="exact"/>
        <w:rPr>
          <w:sz w:val="20"/>
          <w:szCs w:val="20"/>
          <w:color w:val="auto"/>
        </w:rPr>
      </w:pPr>
    </w:p>
    <w:p>
      <w:pPr>
        <w:ind w:left="660" w:right="6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178"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 or reinsurance;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 as a result of COVID-19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available for sale, at fair value (amortized cost: 2020 — $3,078,843; 2019 —</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7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$2,967,225)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3,221,149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3,035,385</w:t>
            </w:r>
          </w:p>
        </w:tc>
      </w:tr>
      <w:tr>
        <w:trPr>
          <w:trHeight w:val="229"/>
        </w:trPr>
        <w:tc>
          <w:tcPr>
            <w:tcW w:w="8000" w:type="dxa"/>
            <w:vAlign w:val="bottom"/>
            <w:gridSpan w:val="2"/>
          </w:tcPr>
          <w:p>
            <w:pPr>
              <w:ind w:left="280"/>
              <w:spacing w:after="0"/>
              <w:rPr>
                <w:sz w:val="20"/>
                <w:szCs w:val="20"/>
                <w:color w:val="auto"/>
              </w:rPr>
            </w:pPr>
            <w:r>
              <w:rPr>
                <w:rFonts w:ascii="Arial" w:cs="Arial" w:eastAsia="Arial" w:hAnsi="Arial"/>
                <w:sz w:val="18"/>
                <w:szCs w:val="18"/>
                <w:color w:val="auto"/>
                <w:w w:val="96"/>
              </w:rPr>
              <w:t>Short-term investments available for sale, at fair value (amortized cost: 2020 — $1,130,963; 2019 —</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880" w:type="dxa"/>
            <w:vAlign w:val="bottom"/>
          </w:tcPr>
          <w:p>
            <w:pPr>
              <w:ind w:left="520"/>
              <w:spacing w:after="0"/>
              <w:rPr>
                <w:sz w:val="20"/>
                <w:szCs w:val="20"/>
                <w:color w:val="auto"/>
              </w:rPr>
            </w:pPr>
            <w:r>
              <w:rPr>
                <w:rFonts w:ascii="Arial" w:cs="Arial" w:eastAsia="Arial" w:hAnsi="Arial"/>
                <w:sz w:val="18"/>
                <w:szCs w:val="18"/>
                <w:color w:val="auto"/>
              </w:rPr>
              <w:t>$315,360)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1,130,954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315,362</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4,352,103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3,350,747</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78,536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78,873</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4,430,639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3,429,620</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72,787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71,350</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40,655</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w w:val="94"/>
              </w:rPr>
              <w:t>Property and equipment (at cost, less accumulated depreciation of $59,374 in 2020 and $57,639 in 2019)</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17,308</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261,885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27,611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18,367</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4,899,948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3,873,425</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0"/>
        </w:trPr>
        <w:tc>
          <w:tcPr>
            <w:tcW w:w="7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69,362</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258,567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278,887</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249,620</w:t>
            </w:r>
          </w:p>
        </w:tc>
      </w:tr>
      <w:tr>
        <w:trPr>
          <w:trHeight w:val="229"/>
        </w:trPr>
        <w:tc>
          <w:tcPr>
            <w:tcW w:w="8000" w:type="dxa"/>
            <w:vAlign w:val="bottom"/>
            <w:gridSpan w:val="2"/>
          </w:tcPr>
          <w:p>
            <w:pPr>
              <w:ind w:left="280"/>
              <w:spacing w:after="0"/>
              <w:rPr>
                <w:sz w:val="20"/>
                <w:szCs w:val="20"/>
                <w:color w:val="auto"/>
              </w:rPr>
            </w:pPr>
            <w:r>
              <w:rPr>
                <w:rFonts w:ascii="Arial" w:cs="Arial" w:eastAsia="Arial" w:hAnsi="Arial"/>
                <w:sz w:val="18"/>
                <w:szCs w:val="18"/>
                <w:color w:val="auto"/>
                <w:w w:val="94"/>
              </w:rPr>
              <w:t>Credit facility borrowings (at carrying value, less unamortized deferred costs of $477 in 2020 and $763</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00" w:type="dxa"/>
            <w:vAlign w:val="bottom"/>
            <w:gridSpan w:val="2"/>
          </w:tcPr>
          <w:p>
            <w:pPr>
              <w:ind w:left="520"/>
              <w:spacing w:after="0"/>
              <w:rPr>
                <w:sz w:val="20"/>
                <w:szCs w:val="20"/>
                <w:color w:val="auto"/>
              </w:rPr>
            </w:pPr>
            <w:r>
              <w:rPr>
                <w:rFonts w:ascii="Arial" w:cs="Arial" w:eastAsia="Arial" w:hAnsi="Arial"/>
                <w:sz w:val="18"/>
                <w:szCs w:val="18"/>
                <w:color w:val="auto"/>
              </w:rPr>
              <w:t>in 2019)</w:t>
            </w:r>
          </w:p>
        </w:tc>
        <w:tc>
          <w:tcPr>
            <w:tcW w:w="3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424,523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224,237</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66,474</w:t>
            </w:r>
          </w:p>
        </w:tc>
      </w:tr>
      <w:tr>
        <w:trPr>
          <w:trHeight w:val="237"/>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1,276,619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888,580</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shares, $0.015 par value: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500"/>
              <w:spacing w:after="0"/>
              <w:rPr>
                <w:sz w:val="20"/>
                <w:szCs w:val="20"/>
                <w:color w:val="auto"/>
              </w:rPr>
            </w:pPr>
            <w:r>
              <w:rPr>
                <w:rFonts w:ascii="Arial" w:cs="Arial" w:eastAsia="Arial" w:hAnsi="Arial"/>
                <w:sz w:val="18"/>
                <w:szCs w:val="18"/>
                <w:color w:val="auto"/>
                <w:w w:val="95"/>
              </w:rPr>
              <w:t>Authorized - 233,333; issued and outstanding - 112,423 shares in 2020 and 98,394 shares in 2019</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1,476</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1,118,655</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56,187</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1,939,508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1,808,527</w:t>
            </w:r>
          </w:p>
        </w:tc>
      </w:tr>
      <w:tr>
        <w:trPr>
          <w:trHeight w:val="236"/>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3,623,329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2,984,845</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4,899,948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3,873,425</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205,904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188,404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397,647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366,048</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 unearned premiums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211,471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188,490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417,967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366,281</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40,461</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(losses),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1,243</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4,433</w:t>
            </w:r>
          </w:p>
        </w:tc>
      </w:tr>
      <w:tr>
        <w:trPr>
          <w:trHeight w:val="237"/>
        </w:trPr>
        <w:tc>
          <w:tcPr>
            <w:tcW w:w="50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236,077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211,892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464,917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412,418</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12,067</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82,550</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w:t>
            </w:r>
          </w:p>
        </w:tc>
      </w:tr>
      <w:tr>
        <w:trPr>
          <w:trHeight w:val="237"/>
        </w:trPr>
        <w:tc>
          <w:tcPr>
            <w:tcW w:w="50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269,404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99,966</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0"/>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162,733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195,513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312,452</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48,327</w:t>
            </w:r>
          </w:p>
        </w:tc>
      </w:tr>
      <w:tr>
        <w:trPr>
          <w:trHeight w:val="297"/>
        </w:trPr>
        <w:tc>
          <w:tcPr>
            <w:tcW w:w="5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136,405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164,903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264,125</w:t>
            </w:r>
          </w:p>
        </w:tc>
      </w:tr>
      <w:tr>
        <w:trPr>
          <w:trHeight w:val="270"/>
        </w:trPr>
        <w:tc>
          <w:tcPr>
            <w:tcW w:w="4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r>
      <w:tr>
        <w:trPr>
          <w:trHeight w:val="243"/>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2.69</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97,697</w:t>
            </w:r>
          </w:p>
        </w:tc>
      </w:tr>
      <w:tr>
        <w:trPr>
          <w:trHeight w:val="243"/>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98,170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98,137</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136,405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164,903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264,125</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Change in unrealized appreciation of investments, net of tax</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5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expense of $17,592 and $7,094 in the three months ended</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June 30, 2020 and 2019 and $10,613 and $15,045 in the six</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7"/>
        </w:trPr>
        <w:tc>
          <w:tcPr>
            <w:tcW w:w="50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months ended June 30, 2020 and 2019</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74,353</w:t>
            </w:r>
          </w:p>
        </w:tc>
      </w:tr>
      <w:tr>
        <w:trPr>
          <w:trHeight w:val="237"/>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income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74,285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64,211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74,353</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89,665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172,392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229,114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338,478</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1,472</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Issuance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Issuance of management incentive shares</w:t>
            </w:r>
          </w:p>
        </w:tc>
        <w:tc>
          <w:tcPr>
            <w:tcW w:w="3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Cancellation of treasury stock</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15"/>
        </w:trPr>
        <w:tc>
          <w:tcPr>
            <w:tcW w:w="4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1,110,800</w:t>
            </w: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w w:val="96"/>
              </w:rPr>
              <w:t>Issuance of common shares, net of issuance costs of $18,875</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439,768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439,768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and dividend equivalents declared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Issuance of management incentive shares</w:t>
            </w:r>
          </w:p>
        </w:tc>
        <w:tc>
          <w:tcPr>
            <w:tcW w:w="3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8,322</w:t>
            </w: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Cancellation of treasury stock</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(8,222)</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1,561,737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1,561,737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1,110,893</w:t>
            </w:r>
          </w:p>
        </w:tc>
      </w:tr>
      <w:tr>
        <w:trPr>
          <w:trHeight w:val="115"/>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(28,993)</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74,353</w:t>
            </w: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120,398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120,398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45,360</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15"/>
        </w:trPr>
        <w:tc>
          <w:tcPr>
            <w:tcW w:w="4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1,410,158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1,808,527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1,282,438</w:t>
            </w: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136,405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164,903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264,125</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and dividend equivalents declared</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1,939,508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1,546,563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1,939,508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1,546,563</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15"/>
        </w:trPr>
        <w:tc>
          <w:tcPr>
            <w:tcW w:w="4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Treasury stock acquired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(8,225)</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Cancellation of treasury stock</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8,225</w:t>
            </w: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15"/>
        </w:trPr>
        <w:tc>
          <w:tcPr>
            <w:tcW w:w="4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64"/>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3,623,329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2,704,292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3,623,329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2,704,292</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36"/>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164,903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264,125</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loss (income) of other invested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Distribution of income from other invested assets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9,348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8,322</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7,455</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Deferred income tax provision</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12,513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28,973</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(28,000)</w:t>
            </w: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(7,832)</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181,528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5,674</w:t>
            </w:r>
          </w:p>
        </w:tc>
      </w:tr>
      <w:tr>
        <w:trPr>
          <w:trHeight w:val="237"/>
        </w:trPr>
        <w:tc>
          <w:tcPr>
            <w:tcW w:w="822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(11,825)</w:t>
            </w:r>
          </w:p>
        </w:tc>
      </w:tr>
      <w:tr>
        <w:trPr>
          <w:trHeight w:val="21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345,785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265,484</w:t>
            </w:r>
          </w:p>
        </w:tc>
      </w:tr>
      <w:tr>
        <w:trPr>
          <w:trHeight w:val="3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6"/>
        </w:trPr>
        <w:tc>
          <w:tcPr>
            <w:tcW w:w="8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(97,068)</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(541,193)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(498,210)</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39,527</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299,149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299,443</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other invested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(39,408)</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Return of investment from other invested assets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r>
      <w:tr>
        <w:trPr>
          <w:trHeight w:val="21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(944,893)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(296,935)</w:t>
            </w:r>
          </w:p>
        </w:tc>
      </w:tr>
      <w:tr>
        <w:trPr>
          <w:trHeight w:val="3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5"/>
        </w:trPr>
        <w:tc>
          <w:tcPr>
            <w:tcW w:w="8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shares, net of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440,498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(8,225)</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6"/>
                <w:szCs w:val="16"/>
                <w:color w:val="auto"/>
              </w:rPr>
              <w:t>Payment of issuance costs for credit facility</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600,545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(8,240)</w:t>
            </w:r>
          </w:p>
        </w:tc>
      </w:tr>
      <w:tr>
        <w:trPr>
          <w:trHeight w:val="33"/>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5"/>
        </w:trPr>
        <w:tc>
          <w:tcPr>
            <w:tcW w:w="8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(39,691)</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64,946</w:t>
            </w:r>
          </w:p>
        </w:tc>
      </w:tr>
      <w:tr>
        <w:trPr>
          <w:trHeight w:val="284"/>
        </w:trPr>
        <w:tc>
          <w:tcPr>
            <w:tcW w:w="82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at end of period</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72,787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25,255</w:t>
            </w:r>
          </w:p>
        </w:tc>
      </w:tr>
      <w:tr>
        <w:trPr>
          <w:trHeight w:val="149"/>
        </w:trPr>
        <w:tc>
          <w:tcPr>
            <w:tcW w:w="8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payments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Interest payments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(5,179)</w:t>
            </w: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8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 liabilities arising from obtaining right-of-use assets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59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595"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17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2019,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June 30, 2020 prior to the issuance of these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During 2020</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accounting for insurance losses and loss adjustment expenses ("LAE") are not within the scope of this ASU. The provisions of this update were effective for annual and interim periods beginning after December 15, 2019 and we adopted this standard on January 1, 2020 using the modified retrospective approach. The adoption of this ASU did not have a material effect on the Company's consolidated operating results or financial position.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were effective for interim and annual periods beginning after December 15, 2019, with early adoption permitted for the removed disclosures. We adopted this standard on January 1, 2020. The adoption of this ASU did not have a material impact on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The amendments in this update provide temporary optional guidance to ease the potential burden in accounting for (or recognizing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reference rate reform. It provides optional expedients and exceptions for applying generally accepted accounting principles to contract, hedging relationships and other transactions affected by reference rate reform if certain criteria are met. The amendments in this update are effective as of March 12, 2020 through December 31, 2022. The Company is evaluating the impact the adoption of this ASU will have on our consolidated operating results and financial position.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2020 (In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259,259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14,435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830,124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 (1)</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436,386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29,068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465,063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 (2)</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862,027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912,137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312,511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388,732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385,486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1,118,213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1,118,204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4,209,806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152,072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4,352,103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3"/>
                <w:szCs w:val="23"/>
                <w:color w:val="auto"/>
              </w:rPr>
            </w:pPr>
          </w:p>
        </w:tc>
        <w:tc>
          <w:tcPr>
            <w:tcW w:w="1120" w:type="dxa"/>
            <w:vAlign w:val="bottom"/>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 (1)</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339,511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 (2)</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856,638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326,589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315,360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3"/>
          </w:tcPr>
          <w:p>
            <w:pPr>
              <w:ind w:left="2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3,282,585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74,231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General obligation bonds</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21.3</w:t>
            </w:r>
          </w:p>
        </w:tc>
      </w:tr>
      <w:tr>
        <w:trPr>
          <w:trHeight w:val="27"/>
        </w:trPr>
        <w:tc>
          <w:tcPr>
            <w:tcW w:w="8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Tax allocation bonds</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0.8</w:t>
            </w:r>
          </w:p>
        </w:tc>
      </w:tr>
      <w:tr>
        <w:trPr>
          <w:trHeight w:val="27"/>
        </w:trPr>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96"/>
        </w:trPr>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20.1</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Energy</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8.3</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7.6</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Utilities</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6.2</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4.2</w:t>
            </w:r>
          </w:p>
        </w:tc>
      </w:tr>
      <w:tr>
        <w:trPr>
          <w:trHeight w:val="27"/>
        </w:trPr>
        <w:tc>
          <w:tcPr>
            <w:tcW w:w="81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w:t>
            </w:r>
          </w:p>
        </w:tc>
      </w:tr>
      <w:tr>
        <w:trPr>
          <w:trHeight w:val="257"/>
        </w:trPr>
        <w:tc>
          <w:tcPr>
            <w:tcW w:w="81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73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20" w:top="125" w:right="359" w:bottom="73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June 30, 2020,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4"/>
                <w:szCs w:val="14"/>
                <w:color w:val="auto"/>
              </w:rPr>
            </w:pPr>
          </w:p>
        </w:tc>
        <w:tc>
          <w:tcPr>
            <w:tcW w:w="1440" w:type="dxa"/>
            <w:vAlign w:val="bottom"/>
          </w:tcPr>
          <w:p>
            <w:pPr>
              <w:jc w:val="right"/>
              <w:ind w:right="73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9"/>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83,842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84,360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106,198</w:t>
            </w: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61,636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67,516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7"/>
        </w:trPr>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248,140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259,259</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12,768</w:t>
            </w:r>
          </w:p>
        </w:tc>
        <w:tc>
          <w:tcPr>
            <w:tcW w:w="0" w:type="dxa"/>
            <w:vAlign w:val="bottom"/>
          </w:tcPr>
          <w:p>
            <w:pPr>
              <w:spacing w:after="0"/>
              <w:rPr>
                <w:sz w:val="1"/>
                <w:szCs w:val="1"/>
                <w:color w:val="auto"/>
              </w:rPr>
            </w:pPr>
          </w:p>
        </w:tc>
      </w:tr>
      <w:tr>
        <w:trPr>
          <w:trHeight w:val="237"/>
        </w:trPr>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14,435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41,489</w:t>
            </w: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228,199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244,273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168,436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179,088</w:t>
            </w:r>
          </w:p>
        </w:tc>
        <w:tc>
          <w:tcPr>
            <w:tcW w:w="0" w:type="dxa"/>
            <w:vAlign w:val="bottom"/>
          </w:tcPr>
          <w:p>
            <w:pPr>
              <w:spacing w:after="0"/>
              <w:rPr>
                <w:sz w:val="1"/>
                <w:szCs w:val="1"/>
                <w:color w:val="auto"/>
              </w:rPr>
            </w:pPr>
          </w:p>
        </w:tc>
      </w:tr>
      <w:tr>
        <w:trPr>
          <w:trHeight w:val="237"/>
        </w:trPr>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436,386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465,063</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24,235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26,769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37"/>
        </w:trPr>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54,637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119,423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120,451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456,301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479,892</w:t>
            </w:r>
          </w:p>
        </w:tc>
        <w:tc>
          <w:tcPr>
            <w:tcW w:w="0" w:type="dxa"/>
            <w:vAlign w:val="bottom"/>
          </w:tcPr>
          <w:p>
            <w:pPr>
              <w:spacing w:after="0"/>
              <w:rPr>
                <w:sz w:val="1"/>
                <w:szCs w:val="1"/>
                <w:color w:val="auto"/>
              </w:rPr>
            </w:pPr>
          </w:p>
        </w:tc>
      </w:tr>
      <w:tr>
        <w:trPr>
          <w:trHeight w:val="243"/>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260,406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284,702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27,092</w:t>
            </w:r>
          </w:p>
        </w:tc>
        <w:tc>
          <w:tcPr>
            <w:tcW w:w="0" w:type="dxa"/>
            <w:vAlign w:val="bottom"/>
          </w:tcPr>
          <w:p>
            <w:pPr>
              <w:spacing w:after="0"/>
              <w:rPr>
                <w:sz w:val="1"/>
                <w:szCs w:val="1"/>
                <w:color w:val="auto"/>
              </w:rPr>
            </w:pPr>
          </w:p>
        </w:tc>
      </w:tr>
      <w:tr>
        <w:trPr>
          <w:trHeight w:val="237"/>
        </w:trPr>
        <w:tc>
          <w:tcPr>
            <w:tcW w:w="730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862,027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912,137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791,142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830,124</w:t>
            </w:r>
          </w:p>
        </w:tc>
        <w:tc>
          <w:tcPr>
            <w:tcW w:w="0" w:type="dxa"/>
            <w:vAlign w:val="bottom"/>
          </w:tcPr>
          <w:p>
            <w:pPr>
              <w:spacing w:after="0"/>
              <w:rPr>
                <w:sz w:val="1"/>
                <w:szCs w:val="1"/>
                <w:color w:val="auto"/>
              </w:rPr>
            </w:pPr>
          </w:p>
        </w:tc>
      </w:tr>
      <w:tr>
        <w:trPr>
          <w:trHeight w:val="237"/>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300,021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312,511</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388,732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385,486</w:t>
            </w:r>
          </w:p>
        </w:tc>
        <w:tc>
          <w:tcPr>
            <w:tcW w:w="0" w:type="dxa"/>
            <w:vAlign w:val="bottom"/>
          </w:tcPr>
          <w:p>
            <w:pPr>
              <w:spacing w:after="0"/>
              <w:rPr>
                <w:sz w:val="1"/>
                <w:szCs w:val="1"/>
                <w:color w:val="auto"/>
              </w:rPr>
            </w:pPr>
          </w:p>
        </w:tc>
      </w:tr>
      <w:tr>
        <w:trPr>
          <w:trHeight w:val="236"/>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1,118,213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1,118,204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4,209,806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4,352,103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3"/>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4,525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2,594</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2,103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1,225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2,230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1,236</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for which no allowance for credit loss has been recorded were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7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2020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50,165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65,010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342,581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429,098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7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25,605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83,013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78,813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109,536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188,349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682,764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At June 30, 2020 and December 31, 2019, we held 274 and 365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June 30, 2020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June 30, 2020 had investment-grade ratings. We concluded that gross unrealized losses noted above are principally associated with the changes in credit spreads subsequent to purchase rather than due to credit impairment. We recorded impairments of $0.4 million in the three and six months ended June 30, 2020 and other-than-temporary impairments of $0.1 million in the three and six months ended June 30, 2019 on securities in an unrealized loss position. The impairments resulted from our intent to sell the securities subsequent to the reporting date.</w:t>
      </w:r>
    </w:p>
    <w:p>
      <w:pPr>
        <w:spacing w:after="0" w:line="16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Company's other invested assets at June 30, 2020 and December 31, 2019 totaled $78.5 million and $78.9 million, respectively. Other invested assets are comprised of limited partnership interests which are generally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$9.9 million at June 30, 2020 and $9.4 million at December 31, 2019. In connection with its insurance and reinsurance activities,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Essent Re is required to maintain assets in trusts for the benefit of its contractual counterparties. The fair value of the investments on deposit in these trusts was $979.8 million at June 30, 2020 and $805.5 million at December 31, 2019. Essent Guaranty is required to maintain assets on deposit in connection with its fully collateralized reinsurance agreements (see Note 4). The fair value of the assets on deposit was $8.5 million at June 30, 2020 and $6.4 million at December 31, 2019. Essent Guaranty is also required to maintain assets on deposit for the benefit of the sponsor of a fixed income investment commitment. The fair value of the assets on deposit was $12.0 million at June 30, 2020 and $6.4 million at December 31, 2019.</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39,923</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2,368</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42,291</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40,461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228,044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196,832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434,024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380,514</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(14,466)</w:t>
            </w:r>
          </w:p>
        </w:tc>
      </w:tr>
      <w:tr>
        <w:trPr>
          <w:trHeight w:val="297"/>
        </w:trPr>
        <w:tc>
          <w:tcPr>
            <w:tcW w:w="5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205,904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188,404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397,647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366,048</w:t>
            </w:r>
          </w:p>
        </w:tc>
      </w:tr>
      <w:tr>
        <w:trPr>
          <w:trHeight w:val="311"/>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233,611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196,918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454,344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380,747</w:t>
            </w: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Ceded (1)</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(14,466)</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211,471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188,490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417,967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366,281</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profit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88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 termination fee, to terminate the QSR Agreement on December 31, 2022, or annually thereafter. Should Essent Guaranty not exercise its option to terminate the QSR Agreement on December 31, 2021, the maximum profit commission that Essent Guaranty could earn would increase to 63% in 2022 and thereafter. RIF ceded under the QSR Agreement was $3.3 billion as of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72"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agreements as of June 30, 2020: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Vintage Year</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Reinsurer</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10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Optional Termination Date</w:t>
            </w:r>
          </w:p>
        </w:tc>
        <w:tc>
          <w:tcPr>
            <w:tcW w:w="600" w:type="dxa"/>
            <w:vAlign w:val="bottom"/>
            <w:tcBorders>
              <w:bottom w:val="single" w:sz="8" w:color="auto"/>
            </w:tcBorders>
          </w:tcPr>
          <w:p>
            <w:pPr>
              <w:spacing w:after="0"/>
              <w:rPr>
                <w:sz w:val="16"/>
                <w:szCs w:val="16"/>
                <w:color w:val="auto"/>
              </w:rPr>
            </w:pPr>
          </w:p>
        </w:tc>
      </w:tr>
      <w:tr>
        <w:trPr>
          <w:trHeight w:val="249"/>
        </w:trPr>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 2019</w:t>
            </w:r>
          </w:p>
        </w:tc>
        <w:tc>
          <w:tcPr>
            <w:tcW w:w="266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June 25, 2024</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22, 2018</w:t>
            </w:r>
          </w:p>
        </w:tc>
        <w:tc>
          <w:tcPr>
            <w:tcW w:w="2660" w:type="dxa"/>
            <w:vAlign w:val="bottom"/>
          </w:tcPr>
          <w:p>
            <w:pPr>
              <w:jc w:val="center"/>
              <w:ind w:left="72"/>
              <w:spacing w:after="0"/>
              <w:rPr>
                <w:sz w:val="20"/>
                <w:szCs w:val="20"/>
                <w:color w:val="auto"/>
              </w:rPr>
            </w:pPr>
            <w:r>
              <w:rPr>
                <w:rFonts w:ascii="Arial" w:cs="Arial" w:eastAsia="Arial" w:hAnsi="Arial"/>
                <w:sz w:val="18"/>
                <w:szCs w:val="18"/>
                <w:color w:val="auto"/>
                <w:w w:val="91"/>
              </w:rPr>
              <w:t>March 25, 2023</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1, 2018</w:t>
            </w:r>
          </w:p>
        </w:tc>
        <w:tc>
          <w:tcPr>
            <w:tcW w:w="266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October 1, 2023</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r>
      <w:tr>
        <w:trPr>
          <w:trHeight w:val="243"/>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60" w:type="dxa"/>
            <w:vAlign w:val="bottom"/>
          </w:tcPr>
          <w:p>
            <w:pPr>
              <w:jc w:val="center"/>
              <w:ind w:left="72"/>
              <w:spacing w:after="0"/>
              <w:rPr>
                <w:sz w:val="20"/>
                <w:szCs w:val="20"/>
                <w:color w:val="auto"/>
              </w:rPr>
            </w:pPr>
            <w:r>
              <w:rPr>
                <w:rFonts w:ascii="Arial" w:cs="Arial" w:eastAsia="Arial" w:hAnsi="Arial"/>
                <w:sz w:val="18"/>
                <w:szCs w:val="18"/>
                <w:color w:val="auto"/>
                <w:w w:val="91"/>
              </w:rPr>
              <w:t>February 25, 2026</w:t>
            </w:r>
          </w:p>
        </w:tc>
        <w:tc>
          <w:tcPr>
            <w:tcW w:w="600" w:type="dxa"/>
            <w:vAlign w:val="bottom"/>
          </w:tcPr>
          <w:p>
            <w:pPr>
              <w:spacing w:after="0"/>
              <w:rPr>
                <w:sz w:val="21"/>
                <w:szCs w:val="2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6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February 25, 2026</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20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60" w:type="dxa"/>
            <w:vAlign w:val="bottom"/>
          </w:tcPr>
          <w:p>
            <w:pPr>
              <w:jc w:val="center"/>
              <w:ind w:left="72"/>
              <w:spacing w:after="0"/>
              <w:rPr>
                <w:sz w:val="20"/>
                <w:szCs w:val="20"/>
                <w:color w:val="auto"/>
              </w:rPr>
            </w:pPr>
            <w:r>
              <w:rPr>
                <w:rFonts w:ascii="Arial" w:cs="Arial" w:eastAsia="Arial" w:hAnsi="Arial"/>
                <w:sz w:val="18"/>
                <w:szCs w:val="18"/>
                <w:color w:val="auto"/>
                <w:w w:val="87"/>
              </w:rPr>
              <w:t>January 25, 2027</w:t>
            </w:r>
          </w:p>
        </w:tc>
        <w:tc>
          <w:tcPr>
            <w:tcW w:w="600" w:type="dxa"/>
            <w:vAlign w:val="bottom"/>
          </w:tcPr>
          <w:p>
            <w:pPr>
              <w:spacing w:after="0"/>
              <w:rPr>
                <w:sz w:val="21"/>
                <w:szCs w:val="2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6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January 25, 2027</w:t>
            </w:r>
          </w:p>
        </w:tc>
        <w:tc>
          <w:tcPr>
            <w:tcW w:w="600" w:type="dxa"/>
            <w:vAlign w:val="bottom"/>
            <w:shd w:val="clear" w:color="auto" w:fill="CCEEFF"/>
          </w:tcPr>
          <w:p>
            <w:pPr>
              <w:spacing w:after="0"/>
              <w:rPr>
                <w:sz w:val="21"/>
                <w:szCs w:val="21"/>
                <w:color w:val="auto"/>
              </w:rPr>
            </w:pP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38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coverages and retentions as of June 30, 2020:</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37"/>
              <w:spacing w:after="0"/>
              <w:rPr>
                <w:sz w:val="20"/>
                <w:szCs w:val="20"/>
                <w:color w:val="auto"/>
              </w:rPr>
            </w:pPr>
            <w:r>
              <w:rPr>
                <w:rFonts w:ascii="Arial" w:cs="Arial" w:eastAsia="Arial" w:hAnsi="Arial"/>
                <w:sz w:val="14"/>
                <w:szCs w:val="14"/>
                <w:b w:val="1"/>
                <w:bCs w:val="1"/>
                <w:color w:val="auto"/>
              </w:rPr>
              <w:t>Remaining</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Reinsurance in Force</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Vintage Year</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Insurance</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Risk</w:t>
            </w:r>
          </w:p>
        </w:tc>
        <w:tc>
          <w:tcPr>
            <w:tcW w:w="36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ILN</w:t>
            </w:r>
          </w:p>
        </w:tc>
        <w:tc>
          <w:tcPr>
            <w:tcW w:w="220" w:type="dxa"/>
            <w:vAlign w:val="bottom"/>
          </w:tcPr>
          <w:p>
            <w:pPr>
              <w:spacing w:after="0"/>
              <w:rPr>
                <w:sz w:val="12"/>
                <w:szCs w:val="12"/>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4"/>
              </w:rPr>
              <w:t>Other Reinsurance</w:t>
            </w:r>
          </w:p>
        </w:tc>
        <w:tc>
          <w:tcPr>
            <w:tcW w:w="94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92"/>
        </w:trPr>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Force</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50"/>
        </w:trPr>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22,315,283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6,025,734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216,480</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207,849</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22,597,869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5,742,641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242,123</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165,167</w:t>
            </w:r>
          </w:p>
        </w:tc>
        <w:tc>
          <w:tcPr>
            <w:tcW w:w="940" w:type="dxa"/>
            <w:vAlign w:val="bottom"/>
          </w:tcPr>
          <w:p>
            <w:pPr>
              <w:jc w:val="right"/>
              <w:ind w:right="570"/>
              <w:spacing w:after="0"/>
              <w:rPr>
                <w:sz w:val="20"/>
                <w:szCs w:val="20"/>
                <w:color w:val="auto"/>
              </w:rPr>
            </w:pPr>
            <w:r>
              <w:rPr>
                <w:rFonts w:ascii="Arial" w:cs="Arial" w:eastAsia="Arial" w:hAnsi="Arial"/>
                <w:sz w:val="18"/>
                <w:szCs w:val="18"/>
                <w:b w:val="1"/>
                <w:bCs w:val="1"/>
                <w:color w:val="auto"/>
              </w:rPr>
              <w:t>(4)</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407,290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220,308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26,393,162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6,676,437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325,537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9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(5)</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252,392</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rPr>
                <w:sz w:val="20"/>
                <w:szCs w:val="20"/>
                <w:color w:val="auto"/>
              </w:rPr>
            </w:pPr>
            <w:r>
              <w:rPr>
                <w:rFonts w:ascii="Arial" w:cs="Arial" w:eastAsia="Arial" w:hAnsi="Arial"/>
                <w:sz w:val="18"/>
                <w:szCs w:val="18"/>
                <w:color w:val="auto"/>
                <w:w w:val="92"/>
              </w:rPr>
              <w:t xml:space="preserve">2019 </w:t>
            </w:r>
            <w:r>
              <w:rPr>
                <w:rFonts w:ascii="Arial" w:cs="Arial" w:eastAsia="Arial" w:hAnsi="Arial"/>
                <w:sz w:val="18"/>
                <w:szCs w:val="18"/>
                <w:b w:val="1"/>
                <w:bCs w:val="1"/>
                <w:color w:val="auto"/>
                <w:w w:val="92"/>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30,475,038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7,724,225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495,889</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55,102</w:t>
            </w:r>
          </w:p>
        </w:tc>
        <w:tc>
          <w:tcPr>
            <w:tcW w:w="940" w:type="dxa"/>
            <w:vAlign w:val="bottom"/>
          </w:tcPr>
          <w:p>
            <w:pPr>
              <w:jc w:val="right"/>
              <w:ind w:right="570"/>
              <w:spacing w:after="0"/>
              <w:rPr>
                <w:sz w:val="20"/>
                <w:szCs w:val="20"/>
                <w:color w:val="auto"/>
              </w:rPr>
            </w:pPr>
            <w:r>
              <w:rPr>
                <w:rFonts w:ascii="Arial" w:cs="Arial" w:eastAsia="Arial" w:hAnsi="Arial"/>
                <w:sz w:val="18"/>
                <w:szCs w:val="18"/>
                <w:b w:val="1"/>
                <w:bCs w:val="1"/>
                <w:color w:val="auto"/>
              </w:rPr>
              <w:t>(6)</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550,991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215,605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101,781,352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26,169,037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1,280,029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296,413</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1,576,442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896,154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9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Based on the level of delinquencies reported to us, the ILN transactions listed above became subject to a "trigger event" as of June 25, 2020. The amortization of principal of the notes issued by the unaffiliated special purpose insurers in connection with the ILNs is suspended and the aggregate excess of loss reinsurance coverage will not amortize during the continuation of a trigger event.</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amount of monthly reinsurance premium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following table presents total assets of each Radnor Re special purpose insurer as well as our maximum exposure to loss associated with each Radnor Re entity, representing the fair value of the embedded derivative included in other assets (other accrued liabilities) on our condensed consolidated balance sheet and the estimated net present value of investment earnings on the assets in the reinsurance trust, each as of June 30, 2020:</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Maximum Exposure to Loss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Off - Balance Sheet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325,537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(1,551)</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495,889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1,280,029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six months ended June 30:</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49,464</w:t>
            </w:r>
          </w:p>
        </w:tc>
      </w:tr>
      <w:tr>
        <w:trPr>
          <w:trHeight w:val="22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197,195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23,182</w:t>
            </w:r>
          </w:p>
        </w:tc>
      </w:tr>
      <w:tr>
        <w:trPr>
          <w:trHeight w:val="243"/>
        </w:trPr>
        <w:tc>
          <w:tcPr>
            <w:tcW w:w="798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(11,115)</w:t>
            </w:r>
          </w:p>
        </w:tc>
      </w:tr>
      <w:tr>
        <w:trPr>
          <w:trHeight w:val="27"/>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12,067</w:t>
            </w:r>
          </w:p>
        </w:tc>
      </w:tr>
      <w:tr>
        <w:trPr>
          <w:trHeight w:val="22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r>
      <w:tr>
        <w:trPr>
          <w:trHeight w:val="243"/>
        </w:trPr>
        <w:tc>
          <w:tcPr>
            <w:tcW w:w="798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6,148</w:t>
            </w:r>
          </w:p>
        </w:tc>
      </w:tr>
      <w:tr>
        <w:trPr>
          <w:trHeight w:val="27"/>
        </w:trPr>
        <w:tc>
          <w:tcPr>
            <w:tcW w:w="7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6,393</w:t>
            </w:r>
          </w:p>
        </w:tc>
      </w:tr>
      <w:tr>
        <w:trPr>
          <w:trHeight w:val="237"/>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243,129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55,138</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6"/>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250,890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55,138</w:t>
            </w:r>
          </w:p>
        </w:tc>
      </w:tr>
      <w:tr>
        <w:trPr>
          <w:trHeight w:val="67"/>
        </w:trPr>
        <w:tc>
          <w:tcPr>
            <w:tcW w:w="78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7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38,068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4,405</w:t>
            </w:r>
          </w:p>
        </w:tc>
      </w:tr>
    </w:tbl>
    <w:p>
      <w:pPr>
        <w:spacing w:after="0" w:line="200" w:lineRule="exact"/>
        <w:rPr>
          <w:sz w:val="20"/>
          <w:szCs w:val="20"/>
          <w:color w:val="auto"/>
        </w:rPr>
      </w:pPr>
    </w:p>
    <w:p>
      <w:pPr>
        <w:spacing w:after="0" w:line="24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six months ended June 30, 2020, $9.8 million was paid for incurred claims and claim adjustment expenses attributable to insured events of prior years. There has been a $13.3 million favorable prior year development during the six months ended June 30, 2020. Reserves remaining as of June 30, 2020 for prior years are $46.2 million as a result of re-estimation of unpaid losses and loss adjustment expenses. For the six months ended June 30, 2019, $6.1 million was paid for incurred claims and claim adjustment expenses attributable to insured events of prior years. There was a $11.1 million favorable prior year development during the six months ended June 30, 2019. Reserves remaining as of June 30, 2019 for prior years were $32.2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Due to business restrictions, stay-at-home orders and travel restrictions initially implemented in March 2020 as a result of COVID-19, unemployment in the United States has increased significantly. As unemployment is one of the most common reasons for borrowers to default on their mortgage, the increase in unemployment has increased the number of delinquencies on</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mortgages that we insure and has the potential to increase claim frequencies on defaults. As of June 30, 2020, insured loans in default totaled 38,068 and included 34,352 defaults classified as COVID-19 defaults.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 defaulted loans, we expect the ultimate number of COVID-19-related defaults that result in claims will be less than our historical default-to-claim experience. Accordingly, we recorded a reserve equal to approximately 7% of the risk in force for the COVID-19 default notices received in the three months ended June 30, 2020, compared to approximately a 9% reserve estimate for defaults that had missed three payments or less as of December 31, 2019. The reserve for losses and LAE on COVID-19 defaults was $189.0 million at June 30, 2020.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 100 basis point increase or decrease in the reserve rate applied to COVID-19 new default notices would result in a corresponding increase or decrease in our reserve for loss and LAE of approximately $26 million as of June 30,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Essent Group and its subsidiaries, Essent Irish Intermediate Holdings Limited and Essent US Holdings, Inc. (collectively, the "Borrowers"), are parties to a secured credit facility (the “Credit Facility”) with committed capacity of $500 million. The Credit Facility provides for a $275 million revolving credit facility, $225 million of term loans and a $100 million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June 30, 2020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15). The borrowings under the Credit Facility contractually mature on May 17, 2021. As of June 30, 2020, the Company was in compliance with the covenants and $425 million had been borrowed under the Credit Facility with a weighted average interest rate of 1.93%. As of December 31, 2019, $225 million had been borrowed with a weighted average interest rate of 3.51%.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six months ended June 30, 2020 and 2019, respectively. As of June 30, 2020, management believes any potential claims for indemnification related to contract underwriting services through June 30, 2020 are not material to our consolidated financial position or results of operations.</w:t>
      </w:r>
    </w:p>
    <w:p>
      <w:pPr>
        <w:spacing w:after="0" w:line="19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2020,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$9.0 million and $10.0 million as of June 30, 2020 and December 31, 2019, respectively, are reported on our condensed consolidated balance sheet as property and equipment. Operating lease liabilities of $11.3 million and $12.6 million as of June 30, 2020 and December 31, 2019, respectively, are reported on our condensed consolidated balance sheet as other accrued liabilities. Total rent expense was $0.6 million for each of the three months ended June 30, 2020 and 2019 and $1.2 million for each of the six months ended June 30, 2020 and 2019.</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presents lease cost for the three and six months ended June 30, 2020 and 2019 and other lease information at June 30, 2020 and 2019:</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60"/>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1,197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w:t>
            </w:r>
          </w:p>
        </w:tc>
      </w:tr>
      <w:tr>
        <w:trPr>
          <w:trHeight w:val="243"/>
        </w:trPr>
        <w:tc>
          <w:tcPr>
            <w:tcW w:w="5380" w:type="dxa"/>
            <w:vAlign w:val="bottom"/>
            <w:gridSpan w:val="2"/>
          </w:tcPr>
          <w:p>
            <w:pPr>
              <w:ind w:left="160"/>
              <w:spacing w:after="0"/>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(64)</w:t>
            </w: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1,214</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08"/>
        </w:trPr>
        <w:tc>
          <w:tcPr>
            <w:tcW w:w="5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60"/>
              <w:spacing w:after="0"/>
              <w:rPr>
                <w:sz w:val="20"/>
                <w:szCs w:val="20"/>
                <w:color w:val="auto"/>
              </w:rPr>
            </w:pPr>
            <w:r>
              <w:rPr>
                <w:rFonts w:ascii="Arial" w:cs="Arial" w:eastAsia="Arial" w:hAnsi="Arial"/>
                <w:sz w:val="18"/>
                <w:szCs w:val="18"/>
                <w:color w:val="auto"/>
              </w:rPr>
              <w:t>Weighted average remaining lease term - operating leases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4.3 years</w:t>
            </w:r>
          </w:p>
        </w:tc>
        <w:tc>
          <w:tcPr>
            <w:tcW w:w="54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w w:val="91"/>
              </w:rPr>
              <w:t>5.3 years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discount rate - 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86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937"/>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5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Essent Group Ltd. and Subsidiaries</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50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Notes to Condensed Consolidated Financial Statements (Unaudited)</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48"/>
        </w:trPr>
        <w:tc>
          <w:tcPr>
            <w:tcW w:w="40" w:type="dxa"/>
            <w:vAlign w:val="bottom"/>
          </w:tcPr>
          <w:p>
            <w:pPr>
              <w:spacing w:after="0"/>
              <w:rPr>
                <w:sz w:val="24"/>
                <w:szCs w:val="24"/>
                <w:color w:val="auto"/>
              </w:rPr>
            </w:pPr>
          </w:p>
        </w:tc>
        <w:tc>
          <w:tcPr>
            <w:tcW w:w="9380" w:type="dxa"/>
            <w:vAlign w:val="bottom"/>
            <w:gridSpan w:val="2"/>
          </w:tcPr>
          <w:p>
            <w:pPr>
              <w:ind w:left="620"/>
              <w:spacing w:after="0"/>
              <w:rPr>
                <w:sz w:val="20"/>
                <w:szCs w:val="20"/>
                <w:color w:val="auto"/>
              </w:rPr>
            </w:pPr>
            <w:r>
              <w:rPr>
                <w:rFonts w:ascii="Arial" w:cs="Arial" w:eastAsia="Arial" w:hAnsi="Arial"/>
                <w:sz w:val="18"/>
                <w:szCs w:val="18"/>
                <w:color w:val="auto"/>
              </w:rPr>
              <w:t>The following table presents a maturity analysis of our lease liabilities as follows at June 30, 2020:</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80"/>
        </w:trPr>
        <w:tc>
          <w:tcPr>
            <w:tcW w:w="4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(July 1 through December 31)</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2,999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3,003</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8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2,752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r>
      <w:tr>
        <w:trPr>
          <w:trHeight w:val="243"/>
        </w:trPr>
        <w:tc>
          <w:tcPr>
            <w:tcW w:w="4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 to be paid</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12,371</w:t>
            </w:r>
          </w:p>
        </w:tc>
      </w:tr>
      <w:tr>
        <w:trPr>
          <w:trHeight w:val="243"/>
        </w:trPr>
        <w:tc>
          <w:tcPr>
            <w:tcW w:w="4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Less: Future interest expense</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11,316</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9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In June 2020, Essent Group completed the sale of 13.8 million common shares in a public offering at a price of $33.25 per share. The total net proceeds from this offering were approximately $440.0 million after deducting underwriting discounts, commissions and other offering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2020, the Board of Directors declared a quarterly cash dividend of $0.16 per common share which was paid on March 20, 2020. In May 2020, the Board of Directors declared a quarterly cash dividend of $0.16 per common share which was paid on June 12, 2020. In August 2020, the Board of Directors declared a quarterly cash dividend of $0.16 per common share payable on September 10, 2020, to shareholders of record on August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connection with the IPO in 2013, Essent Group's Board of Directors adopted, and Essent Group's shareholders </w:t>
      </w:r>
      <w:r>
        <w:rPr>
          <w:rFonts w:ascii="Arial" w:cs="Arial" w:eastAsia="Arial" w:hAnsi="Arial"/>
          <w:sz w:val="17"/>
          <w:szCs w:val="17"/>
          <w:color w:val="242021"/>
        </w:rPr>
        <w:t>approved, the Essent Group Ltd.</w:t>
      </w:r>
      <w:r>
        <w:rPr>
          <w:rFonts w:ascii="Arial" w:cs="Arial" w:eastAsia="Arial" w:hAnsi="Arial"/>
          <w:sz w:val="17"/>
          <w:szCs w:val="17"/>
          <w:color w:val="auto"/>
        </w:rPr>
        <w:t xml:space="preserve"> </w:t>
      </w:r>
      <w:r>
        <w:rPr>
          <w:rFonts w:ascii="Arial" w:cs="Arial" w:eastAsia="Arial" w:hAnsi="Arial"/>
          <w:sz w:val="17"/>
          <w:szCs w:val="17"/>
          <w:color w:val="242021"/>
        </w:rPr>
        <w:t>2013 Long-Term Incentive Plan (the "2013 Plan"), which was effective upon completion of the initial public offering. The types of awards available under the 2013 Plan include nonvested shares, nonvested share units, non-</w:t>
      </w:r>
      <w:r>
        <w:rPr>
          <w:rFonts w:ascii="Arial" w:cs="Arial" w:eastAsia="Arial" w:hAnsi="Arial"/>
          <w:sz w:val="17"/>
          <w:szCs w:val="17"/>
          <w:color w:val="000000"/>
        </w:rPr>
        <w:t>qualified share options, incentive stock options, share appreciation rights, and other</w:t>
      </w:r>
      <w:r>
        <w:rPr>
          <w:rFonts w:ascii="Arial" w:cs="Arial" w:eastAsia="Arial" w:hAnsi="Arial"/>
          <w:sz w:val="17"/>
          <w:szCs w:val="17"/>
          <w:color w:val="242021"/>
        </w:rPr>
        <w:t xml:space="preserve"> </w:t>
      </w:r>
      <w:r>
        <w:rPr>
          <w:rFonts w:ascii="Arial" w:cs="Arial" w:eastAsia="Arial" w:hAnsi="Arial"/>
          <w:sz w:val="17"/>
          <w:szCs w:val="17"/>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nonvested common share unit and DEU activity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Time and Performance-</w:t>
            </w: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Time-Based</w:t>
            </w:r>
          </w:p>
        </w:tc>
        <w:tc>
          <w:tcPr>
            <w:tcW w:w="2000" w:type="dxa"/>
            <w:vAlign w:val="bottom"/>
            <w:gridSpan w:val="4"/>
            <w:vMerge w:val="restart"/>
          </w:tcPr>
          <w:p>
            <w:pPr>
              <w:jc w:val="right"/>
              <w:ind w:right="5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vMerge w:val="restart"/>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Based Share Awards</w:t>
            </w:r>
          </w:p>
        </w:tc>
        <w:tc>
          <w:tcPr>
            <w:tcW w:w="120" w:type="dxa"/>
            <w:vAlign w:val="bottom"/>
          </w:tcPr>
          <w:p>
            <w:pPr>
              <w:spacing w:after="0"/>
              <w:rPr>
                <w:sz w:val="16"/>
                <w:szCs w:val="16"/>
                <w:color w:val="auto"/>
              </w:rPr>
            </w:pPr>
          </w:p>
        </w:tc>
        <w:tc>
          <w:tcPr>
            <w:tcW w:w="200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Share Awards</w:t>
            </w:r>
          </w:p>
        </w:tc>
        <w:tc>
          <w:tcPr>
            <w:tcW w:w="120" w:type="dxa"/>
            <w:vAlign w:val="bottom"/>
          </w:tcPr>
          <w:p>
            <w:pPr>
              <w:spacing w:after="0"/>
              <w:rPr>
                <w:sz w:val="16"/>
                <w:szCs w:val="16"/>
                <w:color w:val="auto"/>
              </w:rPr>
            </w:pPr>
          </w:p>
        </w:tc>
        <w:tc>
          <w:tcPr>
            <w:tcW w:w="20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Equivalent</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9"/>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2020</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47.09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2020, certain members of senior management were granted nonvested common shares under the Essent Group Ltd. 2013 Long-Term Incentive Plan ("2013 Plan") that were subject to time-based and performance-based vesting. The time-based share awards granted in February 2020 vest in three equal installments on March 1, 2021, 2022 and 2023. The performance-based share awards granted in February 2020 vest based upon our compounded annual book value per share growth percentage during a three-year performance period that commenced on January 1, 2020 and vest on March 1, 2023. The portion of these nonvested performance-based share awards that will be earned based upon the achievement of compounded annual book value per share growth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60" w:type="dxa"/>
            <w:vAlign w:val="bottom"/>
          </w:tcPr>
          <w:p>
            <w:pPr>
              <w:jc w:val="right"/>
              <w:ind w:right="175"/>
              <w:spacing w:after="0"/>
              <w:rPr>
                <w:sz w:val="20"/>
                <w:szCs w:val="20"/>
                <w:color w:val="auto"/>
              </w:rPr>
            </w:pPr>
            <w:r>
              <w:rPr>
                <w:rFonts w:ascii="Arial" w:cs="Arial" w:eastAsia="Arial" w:hAnsi="Arial"/>
                <w:sz w:val="14"/>
                <w:szCs w:val="14"/>
                <w:b w:val="1"/>
                <w:bCs w:val="1"/>
                <w:color w:val="auto"/>
                <w:w w:val="93"/>
              </w:rPr>
              <w:t>Compounded Annual Book Value</w:t>
            </w:r>
          </w:p>
        </w:tc>
        <w:tc>
          <w:tcPr>
            <w:tcW w:w="1860" w:type="dxa"/>
            <w:vAlign w:val="bottom"/>
          </w:tcPr>
          <w:p>
            <w:pPr>
              <w:jc w:val="right"/>
              <w:ind w:right="27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020" w:type="dxa"/>
            <w:vAlign w:val="bottom"/>
            <w:gridSpan w:val="2"/>
            <w:vMerge w:val="continue"/>
          </w:tcPr>
          <w:p>
            <w:pPr>
              <w:spacing w:after="0"/>
              <w:rPr>
                <w:sz w:val="16"/>
                <w:szCs w:val="16"/>
                <w:color w:val="auto"/>
              </w:rPr>
            </w:pPr>
          </w:p>
        </w:tc>
        <w:tc>
          <w:tcPr>
            <w:tcW w:w="2360" w:type="dxa"/>
            <w:vAlign w:val="bottom"/>
          </w:tcPr>
          <w:p>
            <w:pPr>
              <w:jc w:val="right"/>
              <w:ind w:right="635"/>
              <w:spacing w:after="0"/>
              <w:rPr>
                <w:sz w:val="20"/>
                <w:szCs w:val="20"/>
                <w:color w:val="auto"/>
              </w:rPr>
            </w:pPr>
            <w:r>
              <w:rPr>
                <w:rFonts w:ascii="Arial" w:cs="Arial" w:eastAsia="Arial" w:hAnsi="Arial"/>
                <w:sz w:val="14"/>
                <w:szCs w:val="14"/>
                <w:b w:val="1"/>
                <w:bCs w:val="1"/>
                <w:color w:val="auto"/>
              </w:rPr>
              <w:t>Per Share Growth</w:t>
            </w:r>
          </w:p>
        </w:tc>
        <w:tc>
          <w:tcPr>
            <w:tcW w:w="1860" w:type="dxa"/>
            <w:vAlign w:val="bottom"/>
          </w:tcPr>
          <w:p>
            <w:pPr>
              <w:jc w:val="right"/>
              <w:ind w:right="43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49"/>
        </w:trPr>
        <w:tc>
          <w:tcPr>
            <w:tcW w:w="68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&lt;13%</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13%</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15%</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b w:val="1"/>
                <w:bCs w:val="1"/>
                <w:color w:val="auto"/>
              </w:rPr>
              <w:t>Maximum</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≥17%</w:t>
            </w: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36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January 2020, time-based share units were issued to all vice president and staff level employees and vest in three equal installments on January 2021, 2022 and 2023. In connection with our incentive program covering bonus awards for performance year 2019, in February 2020, time-based share units were issued to certain employees that vest in three equal installments on March 1, 2021, 2022 and 2023. In May 2020, time-based share units were granted to non-employee directors that vest one year from the date of grant.</w:t>
      </w:r>
    </w:p>
    <w:p>
      <w:pPr>
        <w:spacing w:after="0" w:line="187"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total fair value on the vesting date of nonvested shares, share units or DEUs that vested was $18.5 million and $23.6 million for the six months ended June 30, 2020 and 2019, respectively. As of June 30, 2020, there was $33.6 million of total unrecognized compensation expense related to nonvested shares or share units outstanding at June 30, 2020 and we expect to recognize the expense over a weighted average period of 2.2 years.</w:t>
      </w:r>
    </w:p>
    <w:p>
      <w:pPr>
        <w:spacing w:after="0" w:line="14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141,801 in the six months ended June 30, 2020. The tendered shares were recorded at cost and included in treasury stock. All treasury stock has been cancelled as of June 30,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3"/>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4,222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8,322</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1,555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Restrictions</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June 30, 2020, Essent Guaranty had unassigned surplus of approximately $298.5 million. Essent Guaranty did not pay dividends to Essent Group or any intermediate holding companies in the three and six months ended June 30, 2020 or 2019. As a result of PMIERs guidance issued by the GSEs, effective June 30, 2020 through March 31, 2021, Essent Guaranty is required to obtain GSE written approval before paying a dividend. Essent PA had unassigned surplus of approximately $14.4 million as of June 30, 2020. Essent PA did not pay a dividend in the three and six months ended June 30, 2020 or 2019.</w:t>
      </w:r>
    </w:p>
    <w:p>
      <w:pPr>
        <w:spacing w:after="0" w:line="16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2020, Essent Re had total equity of $1.0 billion.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2020, our insurance subsidiaries were in compliance with these rules, regulations and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As of June 30, 2020, the statutory income tax rates of the countries where the Company does business are 21% in the United States and 0.0% in Bermuda. The statutory income tax rate of each country is applied against the taxable income from each country to calculate the income tax expense. For the three and six months ended June 30, 2020, our provision for income taxes was not based on an estimated annual effective rate due to uncertainty regarding the potential impacts of COVID-19 on our results of operations. Due to that uncertainty, we were unable to make a reliable estimate of pretax income and the annual effective tax rate for the full year 2020. Accordingly, the provision for income taxes for the three and six months ended June 30, 2020 was based on the actual effective tax rate for the year to date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consists of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19,354</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13,527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12,513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28,973</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26,328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30,610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48,327</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51"/>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Income tax expense is different from that which would be obtained by applying the applicable statutory income tax rates to income before taxes by jurisdiction (i.e. U.S. 21%; Bermuda 0.0%). The reconciliation of the difference between income tax expense and the expected tax provision at the weighted average tax rate was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tcBorders>
              <w:bottom w:val="single" w:sz="8" w:color="auto"/>
            </w:tcBorders>
          </w:tcPr>
          <w:p>
            <w:pPr>
              <w:spacing w:after="0"/>
              <w:rPr>
                <w:sz w:val="16"/>
                <w:szCs w:val="16"/>
                <w:color w:val="auto"/>
              </w:rPr>
            </w:pPr>
          </w:p>
        </w:tc>
      </w:tr>
      <w:tr>
        <w:trPr>
          <w:trHeight w:val="263"/>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22"/>
                <w:szCs w:val="22"/>
                <w:color w:val="auto"/>
              </w:rPr>
            </w:pPr>
          </w:p>
        </w:tc>
      </w:tr>
      <w:tr>
        <w:trPr>
          <w:trHeight w:val="215"/>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 of pretax</w:t>
            </w:r>
          </w:p>
        </w:tc>
      </w:tr>
      <w:tr>
        <w:trPr>
          <w:trHeight w:val="210"/>
        </w:trPr>
        <w:tc>
          <w:tcPr>
            <w:tcW w:w="560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400" w:type="dxa"/>
            <w:vAlign w:val="bottom"/>
          </w:tcPr>
          <w:p>
            <w:pPr>
              <w:spacing w:after="0"/>
              <w:rPr>
                <w:sz w:val="18"/>
                <w:szCs w:val="18"/>
                <w:color w:val="auto"/>
              </w:rPr>
            </w:pPr>
          </w:p>
        </w:tc>
        <w:tc>
          <w:tcPr>
            <w:tcW w:w="1040" w:type="dxa"/>
            <w:vAlign w:val="bottom"/>
          </w:tcPr>
          <w:p>
            <w:pPr>
              <w:jc w:val="right"/>
              <w:ind w:right="59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r>
      <w:tr>
        <w:trPr>
          <w:trHeight w:val="33"/>
        </w:trPr>
        <w:tc>
          <w:tcPr>
            <w:tcW w:w="5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provision at weighted average statutory rates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25,795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Non-deductible expenses</w:t>
            </w: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exempt interest, net of proration</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5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26,328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16.2 %</w:t>
            </w: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22"/>
                <w:szCs w:val="22"/>
                <w:color w:val="auto"/>
              </w:rPr>
            </w:pPr>
          </w:p>
        </w:tc>
      </w:tr>
      <w:tr>
        <w:trPr>
          <w:trHeight w:val="215"/>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 of pretax</w:t>
            </w:r>
          </w:p>
        </w:tc>
      </w:tr>
      <w:tr>
        <w:trPr>
          <w:trHeight w:val="210"/>
        </w:trPr>
        <w:tc>
          <w:tcPr>
            <w:tcW w:w="560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400" w:type="dxa"/>
            <w:vAlign w:val="bottom"/>
          </w:tcPr>
          <w:p>
            <w:pPr>
              <w:spacing w:after="0"/>
              <w:rPr>
                <w:sz w:val="18"/>
                <w:szCs w:val="18"/>
                <w:color w:val="auto"/>
              </w:rPr>
            </w:pPr>
          </w:p>
        </w:tc>
        <w:tc>
          <w:tcPr>
            <w:tcW w:w="1040" w:type="dxa"/>
            <w:vAlign w:val="bottom"/>
          </w:tcPr>
          <w:p>
            <w:pPr>
              <w:jc w:val="right"/>
              <w:ind w:right="59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r>
      <w:tr>
        <w:trPr>
          <w:trHeight w:val="33"/>
        </w:trPr>
        <w:tc>
          <w:tcPr>
            <w:tcW w:w="5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provision at weighted average statutory rates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49,733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Non-deductible expenses</w:t>
            </w: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exempt interest, net of proration</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(1,978)</w:t>
            </w:r>
          </w:p>
        </w:tc>
        <w:tc>
          <w:tcPr>
            <w:tcW w:w="1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(0.6)</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57"/>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30,610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48,327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15.5 %</w:t>
            </w: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provide deferred taxes to reflect the estimated future tax effects of the differences between the financial statement and tax bases of assets and liabilities using currently enacted tax laws. The net deferred tax liability was comprised of the following: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29,392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(300,870)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(279,012)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net deferred tax liability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Contingency reserves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(273,077)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(261,855)</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(13,214)</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16,641</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3,391</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policy acquisition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(3,298)</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ceding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3,227</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Loss reserves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416</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Start-up expenditures,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1,410</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1,502</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2,426</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Change in fair market value of derivatives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370</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limited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reserves - TCJA transition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Organizational expenditures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(249,620)</w:t>
            </w: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six months ended June 30, 2020, we had purchases of T&amp;L Bonds in the amount of $17.3 million and for the year ended December 31, 2019, we had net purchases of T&amp;L Bonds in the amount of $59.5 million. As of June 30, 2020 and December 31, 2019, we held $279.1 million and $261.9 million of T&amp;L Bonds, respectively.</w:t>
      </w:r>
    </w:p>
    <w:p>
      <w:pPr>
        <w:spacing w:after="0" w:line="16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evaluating our ability to realize the benefit of our deferred tax assets, we consider the relevant impact of all available positive and negative evidence including our past operating results and our forecasts of future taxable income. At June 30, 2020 and December 31, 2019, after weighing all the evidence, management concluded that it was more likely than not that our deferred tax assets would be realized.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 (EPS)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164,903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264,125</w:t>
            </w:r>
          </w:p>
        </w:tc>
      </w:tr>
      <w:tr>
        <w:trPr>
          <w:trHeight w:val="121"/>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100,224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97,697</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Dilutive effect of nonvested shares</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440</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102,605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100,466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98,137</w:t>
            </w:r>
          </w:p>
        </w:tc>
      </w:tr>
      <w:tr>
        <w:trPr>
          <w:trHeight w:val="121"/>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2.69</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There were 578,659 and 17,018 antidilutive shares for the three months ended June 30, 2020 and 2019, respectively, and 465,945 and 79,483 antidilutive shares for the six months ended June 30, 2020 and 2019, respectively.</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June 30, 2020, the following percentages of the performance-based share awards would be issuable under the terms of the arrangements if June 30, 2020 was the end of the contingency period:</w:t>
      </w:r>
    </w:p>
    <w:p>
      <w:pPr>
        <w:spacing w:after="0" w:line="130" w:lineRule="exact"/>
        <w:rPr>
          <w:sz w:val="20"/>
          <w:szCs w:val="20"/>
          <w:color w:val="auto"/>
        </w:rPr>
      </w:pPr>
    </w:p>
    <w:tbl>
      <w:tblPr>
        <w:tblLayout w:type="fixed"/>
        <w:tblInd w:w="300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2018 Performance-Based Grants</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2019 Performance-Based Grants</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2020 Performance-Based Grants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Based on the compounded annual book value per share growth as of June 30, 2019, 100% of all performance-based share awards would have been issuable under the terms of the arrangements if June 30, 2019 was the end of the contingency period.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six months ended June 30,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9"/>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52,348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46,113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13,041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9,373</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9"/>
        </w:trPr>
        <w:tc>
          <w:tcPr>
            <w:tcW w:w="3940" w:type="dxa"/>
            <w:vAlign w:val="bottom"/>
            <w:gridSpan w:val="2"/>
          </w:tcPr>
          <w:p>
            <w:pPr>
              <w:ind w:left="280"/>
              <w:spacing w:after="0"/>
              <w:rPr>
                <w:sz w:val="20"/>
                <w:szCs w:val="20"/>
                <w:color w:val="auto"/>
              </w:rPr>
            </w:pPr>
            <w:r>
              <w:rPr>
                <w:rFonts w:ascii="Arial" w:cs="Arial" w:eastAsia="Arial" w:hAnsi="Arial"/>
                <w:sz w:val="18"/>
                <w:szCs w:val="18"/>
                <w:color w:val="auto"/>
              </w:rPr>
              <w:t>Unrealized holding gains (losses) 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gridSpan w:val="2"/>
          </w:tcPr>
          <w:p>
            <w:pPr>
              <w:ind w:left="4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Unrealized holding gains arising during the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period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90,608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73,264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36,453</w:t>
            </w:r>
          </w:p>
        </w:tc>
      </w:tr>
      <w:tr>
        <w:trPr>
          <w:trHeight w:val="229"/>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losses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gridSpan w:val="2"/>
          </w:tcPr>
          <w:p>
            <w:pPr>
              <w:ind w:left="540"/>
              <w:spacing w:after="0"/>
              <w:rPr>
                <w:sz w:val="20"/>
                <w:szCs w:val="20"/>
                <w:color w:val="auto"/>
              </w:rPr>
            </w:pPr>
            <w:r>
              <w:rPr>
                <w:rFonts w:ascii="Arial" w:cs="Arial" w:eastAsia="Arial" w:hAnsi="Arial"/>
                <w:sz w:val="18"/>
                <w:szCs w:val="18"/>
                <w:color w:val="auto"/>
              </w:rPr>
              <w:t>(gains) included in net income (1)</w:t>
            </w:r>
          </w:p>
        </w:tc>
        <w:tc>
          <w:tcPr>
            <w:tcW w:w="1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unrealized gains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35,987</w:t>
            </w: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91,877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74,285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35,987</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120,398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45,360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63"/>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9"/>
              </w:rPr>
              <w:t>Before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Before Tax</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Net of Tax</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69,401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56,187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(28,993)</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9"/>
        </w:trPr>
        <w:tc>
          <w:tcPr>
            <w:tcW w:w="3940" w:type="dxa"/>
            <w:vAlign w:val="bottom"/>
            <w:gridSpan w:val="2"/>
          </w:tcPr>
          <w:p>
            <w:pPr>
              <w:ind w:left="280"/>
              <w:spacing w:after="0"/>
              <w:rPr>
                <w:sz w:val="20"/>
                <w:szCs w:val="20"/>
                <w:color w:val="auto"/>
              </w:rPr>
            </w:pPr>
            <w:r>
              <w:rPr>
                <w:rFonts w:ascii="Arial" w:cs="Arial" w:eastAsia="Arial" w:hAnsi="Arial"/>
                <w:sz w:val="18"/>
                <w:szCs w:val="18"/>
                <w:color w:val="auto"/>
              </w:rPr>
              <w:t>Unrealized holding gains (losses) 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gridSpan w:val="2"/>
          </w:tcPr>
          <w:p>
            <w:pPr>
              <w:ind w:left="4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Unrealized holding gains arising during the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period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76,690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65,749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75,359</w:t>
            </w:r>
          </w:p>
        </w:tc>
      </w:tr>
      <w:tr>
        <w:trPr>
          <w:trHeight w:val="229"/>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Less: Reclassification adjustment for gains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gridSpan w:val="2"/>
          </w:tcPr>
          <w:p>
            <w:pPr>
              <w:ind w:left="540"/>
              <w:spacing w:after="0"/>
              <w:rPr>
                <w:sz w:val="20"/>
                <w:szCs w:val="20"/>
                <w:color w:val="auto"/>
              </w:rPr>
            </w:pPr>
            <w:r>
              <w:rPr>
                <w:rFonts w:ascii="Arial" w:cs="Arial" w:eastAsia="Arial" w:hAnsi="Arial"/>
                <w:sz w:val="18"/>
                <w:szCs w:val="18"/>
                <w:color w:val="auto"/>
              </w:rPr>
              <w:t>included in net income (1)</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unrealized gains on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74,824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64,211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74,353</w:t>
            </w: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74,824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64,211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89,398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74,353</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120,398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45,360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(losses)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8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Instruments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hanging="328"/>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4" w:lineRule="exact"/>
        <w:rPr>
          <w:rFonts w:ascii="Arial" w:cs="Arial" w:eastAsia="Arial" w:hAnsi="Arial"/>
          <w:sz w:val="16"/>
          <w:szCs w:val="16"/>
          <w:color w:val="auto"/>
        </w:rPr>
      </w:pPr>
    </w:p>
    <w:p>
      <w:pPr>
        <w:ind w:left="660" w:right="40"/>
        <w:spacing w:after="0" w:line="287"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Quoted Prices</w:t>
            </w:r>
          </w:p>
        </w:tc>
        <w:tc>
          <w:tcPr>
            <w:tcW w:w="28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 Active</w:t>
            </w: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2020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259,259</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830,124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830,124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465,063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465,063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54,637</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912,137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912,137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312,511</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385,486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385,486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1,118,204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1,118,204</w:t>
            </w:r>
          </w:p>
        </w:tc>
        <w:tc>
          <w:tcPr>
            <w:tcW w:w="0" w:type="dxa"/>
            <w:vAlign w:val="bottom"/>
          </w:tcPr>
          <w:p>
            <w:pPr>
              <w:spacing w:after="0"/>
              <w:rPr>
                <w:sz w:val="1"/>
                <w:szCs w:val="1"/>
                <w:color w:val="auto"/>
              </w:rPr>
            </w:pPr>
          </w:p>
        </w:tc>
      </w:tr>
      <w:tr>
        <w:trPr>
          <w:trHeight w:val="236"/>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1,377,463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2,974,640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4,352,103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Quoted Prices</w:t>
            </w:r>
          </w:p>
        </w:tc>
        <w:tc>
          <w:tcPr>
            <w:tcW w:w="28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 Active</w:t>
            </w: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33,605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848,334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361,638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880,301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43"/>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326,025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315,362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36"/>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 (1)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557,568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2,793,179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Statutory Accounting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2019</w:t>
            </w:r>
          </w:p>
        </w:tc>
      </w:tr>
      <w:tr>
        <w:trPr>
          <w:trHeight w:val="249"/>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120,883</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208,268</w:t>
            </w: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1,003,812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940,290</w:t>
            </w: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1,345,263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1,049,236</w:t>
            </w: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6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4,216</w:t>
            </w:r>
          </w:p>
        </w:tc>
      </w:tr>
      <w:tr>
        <w:trPr>
          <w:trHeight w:val="243"/>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53,432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51,151</w:t>
            </w:r>
          </w:p>
        </w:tc>
      </w:tr>
      <w:tr>
        <w:trPr>
          <w:trHeight w:val="27"/>
        </w:trPr>
        <w:tc>
          <w:tcPr>
            <w:tcW w:w="6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54,685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50,915</w:t>
            </w:r>
          </w:p>
        </w:tc>
      </w:tr>
      <w:tr>
        <w:trPr>
          <w:trHeight w:val="27"/>
        </w:trPr>
        <w:tc>
          <w:tcPr>
            <w:tcW w:w="6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2020 and 2019,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At June 30, 2020 and 2019, the statutory capital of our U.S. insurance subsidiaries, which is defined as the total of statutory surplus and contingency reserves, was in excess of the statutory capital necessary to satisfy their regulatory requirements.</w:t>
      </w:r>
    </w:p>
    <w:p>
      <w:pPr>
        <w:spacing w:after="0" w:line="14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2020, Essent Guaranty, our GSE-approved mortgage insurance company, was in compliance with PMIERs 2.0.</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six months ended June 30, 2020, Essent Guaranty increased its contingency reserve by $148.0 million and Essent PA increased its contingency reserve by $1.7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six months ended June 30, 2020 or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2019, all such requirements were met.</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Re's statutory capital and surplus was $1.0 billion as of June 30, 2020 and $939.2 million as of December 31, 2019. Essent Re's statutory net income was $59.0 million and $82.7 million for the six months ended June 30, 2020 and 2019, respectively. Statutory capital and surplus as of June 30, 2020 and December 31, 2019 and statutory net income in the six months ended June 30, 2020 and 2019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2019 as filed with the Securities and Exchange Commission and referred to herein as the “Annual Report,” and our condensed consolidated financial statements and related notes as of and for the three and six months ended June 30, 2020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negative outlook by S&amp;P Global Ratings (“S&amp;P”) and A (Excellent) with a stable outlook by A.M. Best. Essent Guaranty's financial strength rating was reaffirmed by A.M. Best on June 4, 2020 and by Moody's on July 21, 2020.</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389 employees as of June 30, 2020. We generated new insurance written, or NIW, of approximately $28.2 billion and $41.7 billion for the three and six months ended June 30, 2020, respectively, compared to approximately $18.0 billion and $29.0 billion for the three and six months ended June 30, 2019, respectively. As of June 30, 2020, we had approximately $174.6 billion of insurance in force.</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June 30, 2020, Essent Re provided insurance or reinsurance relating to GSE risk share and other reinsurance transactions covering approximately $1.0 billion of risk. Essent Re also reinsures 25% of Essent Guaranty’s NIW under a quota share reinsurance agreement. The insurer financial strength rating of Essent Re is BBB+ with a negative outlook by S&amp;P and A (Excellent) with a stable outlook by A.M. Best. On June 4, 2020 A.M. Best reaffirmed its rating of Essent 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novel coronavirus disease 2019 ("COVID-19") was first identified in December 2019 in Wuhan China. On March 11, 2020 the outbreak had spread to be declared a pandemic by the World Health Organization (“WHO”). Within a week of the WHO's declaration, most major economies had announced significant and increasing restrictions on the movement and interaction of people. By the end of March 2020, it was estimated that a quarter of the world’s population was under some form of lockdown or stay-at-home order. Most state governments in the United States implemented some form of travel and/or business restrictions to slow the spread of COVID-19. Business restrictions, stay-at-home orders and travel restrictions have resulted in a significant increase in unemployment in the United States, which has increased the number of delinquencies and has the potential to increase claim frequencies on the mortgages we insure.</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response to the impact of COVID-19, the federal government has implemented unprecedented measures to assist borrowers in avoiding foreclosures and allow families to remain in their homes. Most notably, under the Coronavirus Aid, Relief, and Economic Security Act ("CARES Act"), consumers with federally backed mortgages were granted two financial protections: (1) a temporary moratorium on foreclosures, and (2) mortgage forbearance, either in the form of a lower monthly payment or temporarily suspending payments. Under the new law, borrowers have the right to request forbearance for up to 360 days due to hardship caused by COVID-19. We believe that these measures will likely increase the overall duration of the default resolution process and reduce the number of defaults that result in claims compared to our historical default-to-claim experience. However, the increase in the default resolution process may result in increases in claim severities for loans that proceed to claim.</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Over 95%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16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Essent has had a Pandemic Plan in place as part of its comprehensive Business Continuity Program for a number of years and invoked the Pandemic Plan in light of the COVID-19 event. Our workforce has been working in "full remote" mode since March 16, 2020. Through the use of technology, our national and regional account managers and customer service team have been in contact with our policyholders and their servicers, and we have made several COVID-19-related announcements which have been posted on our mortgage insurance website.</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March 31, 2020, COVID-19 had not had a significant impact on our financial position or results of operations. During the three months ended June 30, 2020, the number and percentage of mortgage loans we insure that were reported to have missed at least two consecutive payments of principal and interest had increased as a result of COVID-19, which has resulted in an increase in our provision for losses in the three and six months ended June 30, 2020.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June 30, 2020.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U.S. Internal Revenue Service and Department of the Treasury issued proposed regulations on July 10, 2019 relating to the tax treatment of passive foreign investment companies ("PFICs"). The proposed regulations provide guidance on various PFIC rules, including changes resulting from the 2017 Tax Cuts and Jobs Act. The Company is evaluating the potential impact of these proposed regulations to its shareholders and business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8" w:lineRule="exact"/>
        <w:rPr>
          <w:sz w:val="20"/>
          <w:szCs w:val="20"/>
          <w:color w:val="auto"/>
        </w:rPr>
      </w:pPr>
    </w:p>
    <w:p>
      <w:pPr>
        <w:ind w:left="660" w:right="120" w:hanging="328"/>
        <w:spacing w:after="0" w:line="31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8" w:lineRule="exact"/>
        <w:rPr>
          <w:rFonts w:ascii="Arial" w:cs="Arial" w:eastAsia="Arial" w:hAnsi="Arial"/>
          <w:sz w:val="16"/>
          <w:szCs w:val="16"/>
          <w:color w:val="auto"/>
        </w:rPr>
      </w:pPr>
    </w:p>
    <w:p>
      <w:pPr>
        <w:ind w:left="660" w:right="24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2020 were non-refundable. Premiums collected on annual policies are recognized as net premiums earned on a straight-line basis over the year of coverage. For the six months ended June 30, 2020 and 2019, monthly premium policies comprised 90% and 88% of our NIW,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67.9% at June 30, 2020. Generally, higher prepayment speeds lead to lower persistency.</w:t>
      </w:r>
    </w:p>
    <w:p>
      <w:pPr>
        <w:spacing w:after="0" w:line="184" w:lineRule="exact"/>
        <w:rPr>
          <w:sz w:val="20"/>
          <w:szCs w:val="20"/>
          <w:color w:val="auto"/>
        </w:rPr>
      </w:pPr>
    </w:p>
    <w:p>
      <w:pPr>
        <w:ind w:right="4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June 30, 2020.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Prior to December 1, 2019, this fee was adjusted monthly based on the number of Triad’s mortgage insurance policies in force and, accordingly, decreased over time as Triad’s existing policies were cancelled. Effective December 1, 2019, the services agreement was amended providing for a flat monthly fee through November 30, 2021. The services agreement provides for two subsequent one-year renewals at Triad's option.</w:t>
      </w:r>
    </w:p>
    <w:p>
      <w:pPr>
        <w:spacing w:after="0" w:line="16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2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3"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June 30, 2020, 68% of our IIF relates to business written since January 1, 2018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June 30, 2020, 68% of our IIF relates to business written since January 1, 2018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Due to business restrictions, stay-at-home orders and travel restrictions implemented in March 2020 as a result of COVID-19, unemployment in the United States has increased significantly. As unemployment is one of the most common reasons for borrowers to default on their mortgage, the increase in unemployment has increased the number of delinquencies on the mortgages we insure, and has the potential to increase claim frequencies on defaults. As of June 30, 2020, insured loans in default totaled 38,068 and included 34,352 defaults classified as COVID-19 defaults compared to 5,841 total defaults and no COVID-19 defaults as of March 31, 2020.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 defaulted loans, we expect the ultimate number of COVID-19-related defaults that result in claims will be less than our historical default-to-claim experience. Accordingly, we applied a lower reserve rate to COVID-19 default notices received in the three months ended June 30, 2020 than the rate used for defaults that had missed three payments or less as of June 30, 2019.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As more fully described in Note 4 to our condensed consolidated financial statements, at June 30, 2020, we had approximately $1.6 billion of excess of loss reinsurance covering NIW from January 1, 2015 to August 31, 2019 and a quota share reinsurance transaction on a portion of our NIW effective September 1, 2019 and continuing through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62% and 61% of other underwriting and operating expenses for the three and six months ended June 30, 2020, respectively, compared to 56% of other underwriting and operating expenses for each of the three and six months ended June 30, 2019. Compensation and benefits expense includes base and incentive cash compensation, stock compensation expense, benefits and payroll taxes.</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Essent Group Ltd. ("Essent Group")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2020 and 2019 for our U.S. mortgage insurance portfolio. In addition, this table includes RIF at the end of each period.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74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165,615,503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143,181,641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164,005,853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137,720,786</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28,163,212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17,973,505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41,712,511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28,918,812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84,526</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(19,132,442)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(7,867,513)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(31,072,242)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(13,406,967)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174,646,273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153,317,157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174,646,273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153,317,157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168,635,275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148,188,377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166,865,006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144,302,864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39,113,879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37,034,687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39,113,879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37,034,687</w:t>
            </w:r>
          </w:p>
        </w:tc>
        <w:tc>
          <w:tcPr>
            <w:tcW w:w="0" w:type="dxa"/>
            <w:vAlign w:val="bottom"/>
          </w:tcPr>
          <w:p>
            <w:pPr>
              <w:spacing w:after="0"/>
              <w:rPr>
                <w:sz w:val="1"/>
                <w:szCs w:val="1"/>
                <w:color w:val="auto"/>
              </w:rPr>
            </w:pPr>
          </w:p>
        </w:tc>
      </w:tr>
      <w:tr>
        <w:trPr>
          <w:trHeight w:val="648"/>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June 30, 2020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(through June 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41,196,840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51,138,928</w:t>
            </w:r>
          </w:p>
        </w:tc>
        <w:tc>
          <w:tcPr>
            <w:tcW w:w="120" w:type="dxa"/>
            <w:vAlign w:val="bottom"/>
          </w:tcPr>
          <w:p>
            <w:pPr>
              <w:spacing w:after="0"/>
              <w:rPr>
                <w:sz w:val="21"/>
                <w:szCs w:val="21"/>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29.3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26,920,663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23,247,877</w:t>
            </w:r>
          </w:p>
        </w:tc>
        <w:tc>
          <w:tcPr>
            <w:tcW w:w="120" w:type="dxa"/>
            <w:vAlign w:val="bottom"/>
          </w:tcPr>
          <w:p>
            <w:pPr>
              <w:spacing w:after="0"/>
              <w:rPr>
                <w:sz w:val="21"/>
                <w:szCs w:val="21"/>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13.3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15,675,316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2015 and prior</w:t>
            </w: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16,466,649</w:t>
            </w:r>
          </w:p>
        </w:tc>
        <w:tc>
          <w:tcPr>
            <w:tcW w:w="120" w:type="dxa"/>
            <w:vAlign w:val="bottom"/>
          </w:tcPr>
          <w:p>
            <w:pPr>
              <w:spacing w:after="0"/>
              <w:rPr>
                <w:sz w:val="21"/>
                <w:szCs w:val="21"/>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9.4</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8"/>
        </w:trPr>
        <w:tc>
          <w:tcPr>
            <w:tcW w:w="7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174,646,273</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each of the three and six months ended June 30, 2020, our average net premium rate was 0.48%, as compared to 0.49% and 0.48% for the three and six months ended June 30, 2019, respectively. In 2019 and 2020, Essent Guaranty entered into third-party reinsurance agreements. We anticipate that the continued use of third-party reinsurance will reduce our average net premium rate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As of June 30, 2020, our combined net risk in force for our U.S. insurance companies was $28.8 billion and our combined statutory capital was $2.5 billion, resulting in a risk-to-capital ratio of 11.7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205,904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188,404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397,647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366,048</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Decrease in unearned premiums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211,471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188,490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417,967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366,281</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40,461</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(losses),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1,243</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4,433</w:t>
            </w:r>
          </w:p>
        </w:tc>
      </w:tr>
      <w:tr>
        <w:trPr>
          <w:trHeight w:val="237"/>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236,077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211,892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464,917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412,418</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12,067</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82,550</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w:t>
            </w:r>
          </w:p>
        </w:tc>
      </w:tr>
      <w:tr>
        <w:trPr>
          <w:trHeight w:val="237"/>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269,404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99,966</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312,452</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48,327</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15,380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136,405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164,903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264,125</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2020 Compared to the Three and Six Months Ended June 30, 2019</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the three months ended June 30, 2020, we reported net income of $15.4 million, compared to net income of $136.4 million for the three months ended June 30, 2019. For the six months ended June 30, 2020, we reported net income of $164.9 million, compared to net income of $264.1 million for the six months ended June 30, 2019. The decreases in our operating results in 2020 over the same periods in 2019 was primarily due to increases in the provision for losses and LAE, partially offset by increases in net premiums earned and other income and decreases in other underwriting and operating expenses and income tax expense.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Net premiums earned increased in the three months ended June 30, 2020 by 12%, compared to the three months ended June 30, 2019 primarily due to the increase in our average IIF from $148.2 billion at June 30, 2019 to $168.6 billion at June 30, 2020. The average net premium rate was 0.48% and 0.49% for the three months ended June 30, 2020 and 2019, respectively, as an increase in ceded premiums, changes in the mix of mortgages we insure and changes in our pricing were largely offset by an increase in premiums earned on the cancellation of non-refundable single premium policies. Net premiums earned increased in the six months ended June 30, 2020 by 14% compared to the six months ended June 30, 2019 due to the increase in our average IIF from $144.3 billion at June 30, 2019 to $166.9 billion at June 30, 2020. The average net premium rate was 0.48% in each of the six months ended June 30, 2020 and 2019 as an increase in ceded premiums was offset by an increase in premiums earned on the cancellation of non-refundable single premium policies. In the three and six months ended June 30, 2020, ceded premiums increased to $22.1 million and $36.4 million, respectively, from $8.4 million and $14.5 million in the three and six months ended June 30, 2019, respectively, due to reduced profit commission under our QSR Agreement as a result of higher ceded losses, new third-party reinsurance agreements entered in 2020 and a full three and six months of premiums ceded under third-party reinsurance agreements entered in 2019. In the three and six months ended June 30, 2020, premiums earned on the cancellation of non-refundable single premium policies increased to $26.7 million and $41.3 million, respectively, from $8.8 million and $13.1 million in the three and six months ended June 30, 2019, respectively, as a result of an increase in existing borrowers refinancing their mortgages due to favorable mortgage interest rates.</w:t>
      </w:r>
    </w:p>
    <w:p>
      <w:pPr>
        <w:spacing w:after="0" w:line="17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Net premiums written increased by 9% in the three and six months ended June 30, 2020 compared to the three and six months ended June 30, 2019 primarily due to an increase in average IIF in the respective periods, partially offset by an increase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premiums ceded under third-party reinsurance agreements, a decrease in new single premium policies written, changes in the mix of mortgages we insure and changes in our pricing.</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three months ended June 30, 2020 and 2019, unearned premiums decreased by $5.6 million and $0.1 million, respectively. The change in unearned premiums was a result of net premiums written on single premium policies of $36.8 million and $26.5 million, respectively, which was offset by $42.4 million and $26.6 million, respectively, of unearned premium that was recognized in earnings during the periods. In the six months ended June 30, 2020 and 2019, unearned premiums decreased by $20.3 million and $0.2 million, respectively. This was a result of net premiums written on single premium policies of $52.9 million and $46.5 million, respectively, which was offset by $73.2 million and $46.7 million, respectively, of unearned premium that was recognized in earnings during the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49"/>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39,923</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2,368</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42,291</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40,461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changes in net investment income for the three and six months ended June 30, 2020 as compared to the same periods in 2019 was due to a decrease in the pre-tax investment income yield partially offset by the increase in the weighted average balance of our investment portfolio. The average cash and investment portfolio balance increased to $3.9 billion for the three months ended June 30, 2020 from $3.0 billion for the three months ended June 30, 2019. The average cash and investment portfolio balance increased to $3.7 billion for the six months ended June 30, 2020 from $3.0 billion for the six months ended June 30, 2019. The increase in the average cash and investment portfolio was primarily due to investing cash flows from operations, proceeds from the public offering of common shares completed in June 2020 and increased borrowings under the Credit Facility. The pre-tax investment income yield decreased from 2.8% in each of the three and six months ended June 30, 2019 to 2.2% and 2.3% in the three and six months ended June 30, 2020, respectively, primarily due to an increase in the share of our investments allocated to cash, a general decline in investment yields due to declining interest rates and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Other income for the three months ended June 30, 2020 was $6.0 million as compared to $2.2 million for the three months ended June 30, 2019. The increase in other income for the three months ended June 30, 2020 as compared to the same period in 2019 was primarily due to a favorable increase in fair value of embedded derivatives contained in certain of our reinsurance agreements and an increase in fees earned for information technology and customer support services </w:t>
      </w:r>
      <w:r>
        <w:rPr>
          <w:rFonts w:ascii="Arial" w:cs="Arial" w:eastAsia="Arial" w:hAnsi="Arial"/>
          <w:sz w:val="17"/>
          <w:szCs w:val="17"/>
          <w:color w:val="242021"/>
        </w:rPr>
        <w:t>provided to Triad</w:t>
      </w:r>
      <w:r>
        <w:rPr>
          <w:rFonts w:ascii="Arial" w:cs="Arial" w:eastAsia="Arial" w:hAnsi="Arial"/>
          <w:sz w:val="17"/>
          <w:szCs w:val="17"/>
          <w:color w:val="auto"/>
        </w:rPr>
        <w:t xml:space="preserve">. Other income for the six months ended June 30, 2020 was $4.6 million compared to $4.4 million for the six months ended June 30, 2019. The increase in other income for the six months ended June 30, 2020 as compared to the same period in 2019 was primarily due to an increase in Triad service fees partially offset by a net unfavorable decrease in the fair value of the embedded derivatives. In the three and six months ended June 30, 2020 we earned Triad service fees of $1.6 million and $3.2 million, respectively, compared to $0.2 million and $0.4 million for the three and six months ended June 30, 2019, respectively. Effective December 1, 2019, the Triad services agreement was amended providing for a flat monthly fee through November 30, 2021. In the three months ended June 30, 2020, we recorded a favorable increase in the fair value of these embedded derivatives of $2.5 million compared to a favorable increase in the fair value of the embedded derivatives of $1.2 million in the three months ended June 30, 2019. In the six months ended June 30, 2020 we recorded a net unfavorable decrease in the fair value of the embedded derivatives of $1.7 million compared to a favorable increase of $2.6 million </w:t>
      </w:r>
      <w:r>
        <w:rPr>
          <w:rFonts w:ascii="Arial" w:cs="Arial" w:eastAsia="Arial" w:hAnsi="Arial"/>
          <w:sz w:val="17"/>
          <w:szCs w:val="17"/>
          <w:color w:val="242021"/>
        </w:rPr>
        <w:t>the</w:t>
      </w:r>
      <w:r>
        <w:rPr>
          <w:rFonts w:ascii="Arial" w:cs="Arial" w:eastAsia="Arial" w:hAnsi="Arial"/>
          <w:sz w:val="17"/>
          <w:szCs w:val="17"/>
          <w:color w:val="auto"/>
        </w:rPr>
        <w:t xml:space="preserve"> six months ended June 30, 2019. Other income also includes contract underwriting revenues and underwriting consulting services to third-party reinsurers.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increase in the provision for losses and LAE in the three and six months ended June 30, 2020 as compared to the same periods in 2019 was primarily due to an increase in defaults related to COVID-19.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5,841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5,947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37,357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2,849</w:t>
            </w:r>
          </w:p>
        </w:tc>
        <w:tc>
          <w:tcPr>
            <w:tcW w:w="1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41,290</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5,767</w:t>
            </w:r>
          </w:p>
        </w:tc>
      </w:tr>
      <w:tr>
        <w:trPr>
          <w:trHeight w:val="27"/>
        </w:trPr>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4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38,068</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4,405</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38,068</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4,405</w:t>
            </w:r>
          </w:p>
        </w:tc>
      </w:tr>
      <w:tr>
        <w:trPr>
          <w:trHeight w:val="27"/>
        </w:trPr>
        <w:tc>
          <w:tcPr>
            <w:tcW w:w="5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the ending default inventory included 34,352 defaults classified as COVID-19 defaults.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Borders>
              <w:bottom w:val="single" w:sz="8" w:color="auto"/>
            </w:tcBorders>
          </w:tcPr>
          <w:p>
            <w:pPr>
              <w:spacing w:after="0"/>
              <w:rPr>
                <w:sz w:val="16"/>
                <w:szCs w:val="16"/>
                <w:color w:val="auto"/>
              </w:rPr>
            </w:pPr>
          </w:p>
        </w:tc>
      </w:tr>
      <w:tr>
        <w:trPr>
          <w:trHeight w:val="263"/>
        </w:trPr>
        <w:tc>
          <w:tcPr>
            <w:tcW w:w="78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227,786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50,576</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250,862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55,138</w:t>
            </w:r>
          </w:p>
        </w:tc>
      </w:tr>
      <w:tr>
        <w:trPr>
          <w:trHeight w:val="27"/>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38,068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4,405</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11.5</w:t>
            </w:r>
          </w:p>
        </w:tc>
      </w:tr>
      <w:tr>
        <w:trPr>
          <w:trHeight w:val="27"/>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7"/>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r>
      <w:tr>
        <w:trPr>
          <w:trHeight w:val="27"/>
        </w:trPr>
        <w:tc>
          <w:tcPr>
            <w:tcW w:w="7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right="4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$28 thousand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5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decrease in the average total reserve per default was primarily due to a lower total reserve per COVID-19 default. Based on the forbearance programs in place and the credit characteristics of the COVID-19 defaulted loans, we expect the ultimate number of COVID-19-related defaults that result in claims will be less than our historical default-to-claim experience. Accordingly, we recorded a reserve equal to approximately 7% of the risk in force for the COVID-19 default notices received in the three months ended June 30, 2020, compared to approximately a 9% reserve estimate for defaults that had missed three payments or less as of June 30, 2019. The reserve for losses and LAE on COVID-19 defaults was $189.0 million at June 30,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53,484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73,243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53,484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69,291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49,464</w:t>
            </w: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181,776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11,354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23,182</w:t>
            </w: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(6,394)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(11,115)</w:t>
            </w: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175,877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12,067</w:t>
            </w: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6,148</w:t>
            </w: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6,393</w:t>
            </w: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243,129</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55,138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243,129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55,138</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250,890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55,138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250,890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55,138</w:t>
            </w: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June 30, 2020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48"/>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33,514</w:t>
            </w:r>
          </w:p>
        </w:tc>
        <w:tc>
          <w:tcPr>
            <w:tcW w:w="12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88%  $</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166,897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2,233,678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39,028</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234,152</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18,590</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36,694</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3,271</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3,846</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38,068</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8"/>
                <w:szCs w:val="18"/>
                <w:color w:val="auto"/>
              </w:rPr>
              <w:t>227,786</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2,508,370</w:t>
            </w:r>
          </w:p>
        </w:tc>
        <w:tc>
          <w:tcPr>
            <w:tcW w:w="14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17,084</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250,862</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$28 thousand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June 30,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1"/>
                <w:szCs w:val="21"/>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57%  $</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12,646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133,536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22,292</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78,047</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11,583</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22,093</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4,055</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4,657</w:t>
            </w:r>
          </w:p>
        </w:tc>
        <w:tc>
          <w:tcPr>
            <w:tcW w:w="1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case reserves</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4,405</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8"/>
                <w:szCs w:val="18"/>
                <w:color w:val="auto"/>
              </w:rPr>
              <w:t>50,576</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238,333</w:t>
            </w:r>
          </w:p>
        </w:tc>
        <w:tc>
          <w:tcPr>
            <w:tcW w:w="142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3,792</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LAE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reserves for losses and LAE</w:t>
            </w: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55,138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June 30, 2020, the provision for losses and LAE was $175.9 million, comprised of $181.8 million of current year losses partially offset by $5.9 million of favorable prior years’ loss development. During the three months ended June 30, 2019, the provision for losses and LAE was $5.0 million, comprised of $11.4 million of current year losses partially offset by $6.4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six months ended June 30, 2020, the provision for losses and LAE was $183.9 million, comprised of $197.2 million of current year losses partially offset by $13.3 million of favorable prior years’ loss development. During the six months ended June 30, 2019, the provision for losses and LAE was $12.1 million, comprised of $23.2 million of current year losses partially offset by $11.1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920" w:type="dxa"/>
            <w:vAlign w:val="bottom"/>
          </w:tcPr>
          <w:p>
            <w:pPr>
              <w:jc w:val="right"/>
              <w:ind w:right="72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5,718</w:t>
            </w:r>
          </w:p>
        </w:tc>
        <w:tc>
          <w:tcPr>
            <w:tcW w:w="100" w:type="dxa"/>
            <w:vAlign w:val="bottom"/>
          </w:tcPr>
          <w:p>
            <w:pPr>
              <w:spacing w:after="0"/>
              <w:rPr>
                <w:sz w:val="21"/>
                <w:szCs w:val="21"/>
                <w:color w:val="auto"/>
              </w:rPr>
            </w:pP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3,208</w:t>
            </w:r>
          </w:p>
        </w:tc>
        <w:tc>
          <w:tcPr>
            <w:tcW w:w="100" w:type="dxa"/>
            <w:vAlign w:val="bottom"/>
          </w:tcPr>
          <w:p>
            <w:pPr>
              <w:spacing w:after="0"/>
              <w:rPr>
                <w:sz w:val="21"/>
                <w:szCs w:val="21"/>
                <w:color w:val="auto"/>
              </w:rPr>
            </w:pPr>
          </w:p>
        </w:tc>
        <w:tc>
          <w:tcPr>
            <w:tcW w:w="920" w:type="dxa"/>
            <w:vAlign w:val="bottom"/>
          </w:tcPr>
          <w:p>
            <w:pPr>
              <w:jc w:val="right"/>
              <w:ind w:right="72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9,875</w:t>
            </w:r>
          </w:p>
        </w:tc>
        <w:tc>
          <w:tcPr>
            <w:tcW w:w="100" w:type="dxa"/>
            <w:vAlign w:val="bottom"/>
          </w:tcPr>
          <w:p>
            <w:pPr>
              <w:spacing w:after="0"/>
              <w:rPr>
                <w:sz w:val="21"/>
                <w:szCs w:val="21"/>
                <w:color w:val="auto"/>
              </w:rPr>
            </w:pP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6,107</w:t>
            </w: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Six Months Ended 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24,174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23,167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49,040</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46,516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Premium taxes</w:t>
            </w:r>
          </w:p>
        </w:tc>
        <w:tc>
          <w:tcPr>
            <w:tcW w:w="260" w:type="dxa"/>
            <w:vAlign w:val="bottom"/>
          </w:tcPr>
          <w:p>
            <w:pPr>
              <w:spacing w:after="0"/>
              <w:rPr>
                <w:sz w:val="21"/>
                <w:szCs w:val="21"/>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4,963</w:t>
            </w:r>
          </w:p>
        </w:tc>
        <w:tc>
          <w:tcPr>
            <w:tcW w:w="120" w:type="dxa"/>
            <w:vAlign w:val="bottom"/>
          </w:tcPr>
          <w:p>
            <w:pPr>
              <w:spacing w:after="0"/>
              <w:rPr>
                <w:sz w:val="21"/>
                <w:szCs w:val="21"/>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21"/>
                <w:szCs w:val="21"/>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9,396</w:t>
            </w:r>
          </w:p>
        </w:tc>
        <w:tc>
          <w:tcPr>
            <w:tcW w:w="840" w:type="dxa"/>
            <w:vAlign w:val="bottom"/>
            <w:gridSpan w:val="2"/>
          </w:tcPr>
          <w:p>
            <w:pPr>
              <w:jc w:val="right"/>
              <w:ind w:right="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8,369</w:t>
            </w:r>
          </w:p>
        </w:tc>
        <w:tc>
          <w:tcPr>
            <w:tcW w:w="12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9,682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14,062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22,330</w:t>
            </w:r>
          </w:p>
        </w:tc>
        <w:tc>
          <w:tcPr>
            <w:tcW w:w="8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27,665</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other underwriting and operating</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8"/>
                <w:szCs w:val="18"/>
                <w:color w:val="auto"/>
              </w:rPr>
              <w:t>38,819</w:t>
            </w:r>
          </w:p>
        </w:tc>
        <w:tc>
          <w:tcPr>
            <w:tcW w:w="120" w:type="dxa"/>
            <w:vAlign w:val="bottom"/>
          </w:tcPr>
          <w:p>
            <w:pPr>
              <w:spacing w:after="0"/>
              <w:rPr>
                <w:sz w:val="18"/>
                <w:szCs w:val="1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41,520</w:t>
            </w:r>
          </w:p>
        </w:tc>
        <w:tc>
          <w:tcPr>
            <w:tcW w:w="120" w:type="dxa"/>
            <w:vAlign w:val="bottom"/>
          </w:tcPr>
          <w:p>
            <w:pPr>
              <w:spacing w:after="0"/>
              <w:rPr>
                <w:sz w:val="18"/>
                <w:szCs w:val="1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80,766</w:t>
            </w:r>
          </w:p>
        </w:tc>
        <w:tc>
          <w:tcPr>
            <w:tcW w:w="100" w:type="dxa"/>
            <w:vAlign w:val="bottom"/>
            <w:vMerge w:val="restart"/>
          </w:tcPr>
          <w:p>
            <w:pPr>
              <w:spacing w:after="0"/>
              <w:rPr>
                <w:sz w:val="18"/>
                <w:szCs w:val="18"/>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82,550</w:t>
            </w:r>
          </w:p>
        </w:tc>
        <w:tc>
          <w:tcPr>
            <w:tcW w:w="120" w:type="dxa"/>
            <w:vAlign w:val="bottom"/>
          </w:tcPr>
          <w:p>
            <w:pPr>
              <w:spacing w:after="0"/>
              <w:rPr>
                <w:sz w:val="18"/>
                <w:szCs w:val="18"/>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7"/>
        </w:trPr>
        <w:tc>
          <w:tcPr>
            <w:tcW w:w="35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and benefits increased in the three and six months ended June 30, 2020 as compared to the three and six months ended June 30, 2019 primarily due to increased stock compensation expense associated with shares granted in 2019 and 2020 and increased salaries and overtime associated with our increased NIW.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Premium taxes increased primarily due to an increase in premiums written.</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expenses decreased primarily as a result of ceding commission earned under the QSR Agreement and lower travel expenses. Other expenses include professional fees, travel, marketing, hardware, software, rent, depreciation and amortization and other facilities expenses.</w:t>
      </w:r>
    </w:p>
    <w:p>
      <w:pPr>
        <w:spacing w:after="0" w:line="14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three and six months ended June 30, 2020, we incurred interest expense of $2.6 million and $4.7 million, respectively, as compared to $2.7 million and $5.3 million for the three and six months ended June 30, 2019, respectively. The decreases were primarily due to a decrease in the weighted average interest rate for borrowings outstanding, partially offset 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an increase in the average amounts outstanding under the Credit Facility. For the three and six months ended June 30, 2020, the average amount outstanding under the Credit Facility was $425.0 million and $330.5 million, respectively, as compared to $225.0 million for each of the three and six months ended June 30, 2019. For the three and six months ended June 30, 2020, the borrowings under the Credit Facility had a weighted average interest rate of 2.30% and 2.61%, respectively, as compared to 4.56% and 4.53% for the three and six months ended June 30, 2019,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subsidiaries in the United States file a consolidated U.S. Federal income tax return. Our income tax expense was $3.4 million and $26.3 million for the three months ended June 30, 2020 and 2019, respectively, and $30.6 million and $48.3 million for the six months ended June 30, 2020 and 2019, respectively. For the six months ended June 30, 2020, our provision for income taxes was not based on an estimated annual effective rate due to uncertainty regarding the potential impacts of COVID-19 on our results of operations. Accordingly, we were unable to make a reliable estimate of pretax income and the annual effective tax rate for the full year 2020, and the provision for income taxes for the six months ended June 30, 2020 was based on the actual effective tax rate of 15.7% for the year to date period. For the six months ended June 30, 2019, our income tax expense was calculated using an estimated annual effective tax rate of 16.1%. For the six months ended June 30, 2020 and 2019, income tax expense was reduced by excess tax benefits associated with the vesting of common shares and common share units of $0.6 million and $2.0 million, respectively. The tax effects associated with the vesting of common shares and common share units are treated as discrete items in the reporting period in which they occur and are not considered in the 2019 estimated annual effective tax rate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June 30, 2020, we had substantial liquidity with cash of $72.8 million, short-term investments of $1.1 billion and fixed maturity investments of $3.2 billion. We also had $75 million available capacity under the revolving credit component of our Credit Facility, with $425 million of borrowings outstanding under our Credit Facility. Borrowings under the Credit Facility contractually mature on May 17, 2021. In June 2020, we completed a public offering of 13.8 million common shares to strengthen our capital resources and provide financial flexibility. Net proceeds from this offering were approximately $440 million. At June 30, 2020, net cash and investments at the holding company were $702.2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2020.</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respond to changes in the business or economic environment related to COVID-19,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June 30, 2020, Essent Guaranty had unassigned surplus of approximately $298.5 million. Essent Guaranty of PA, Inc. (“Essent PA") had unassigned surplus of approximately $14.4 million as of June 30, 2020. As a result of PMIERs guidance issued by the GSEs, effective June 30, 2020 through March 31, 2021, Essent Guaranty is required to obtain GSE written approval before paying a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June 30, 2020, Essent Re had total equity of $1.0 billion. In connection with its insurance and reinsurance activities, Essent Re is required to maintain assets in trusts for the benefit of its contractual counterparties. See Note 3 to our condensed consolidated financial statements. At June 30, 2020, our insurance subsidiaries were in compliance with these rules, regulations and agreements.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345,785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265,484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(944,893)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(296,935)</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600,545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(39,691)</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Cash flow provided by operating activities totaled $345.8 million for the six months ended June 30, 2020, as compared to $265.5 million for the six months ended June 30, 2019. The increase in cash flow provided by operating activities of $80.3 million was primarily due to an increase in premiums collected, lower income tax payments and lower T&amp;L Bond purchases during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Cash flow used in investing activities totaled $944.9 million and $296.9 million for the six months ended June 30, 2020 and 2019, respectively. In both periods, cash flow used in investing activities related to investing cash flows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operations. Additionally, in 2020 cash flow used in investing activities included investing $440 million of net proceeds from the completion of a public offering of common shares in June and $200 million of increased borrowings under the Credit Facility.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Cash flow provided by financing activities totaled $600.5 million for the six months ended June 30, 2020, primarily related to $440 million of net proceeds from the completion of a public offering of common shares in June and $200 million of increased borrowings under the Credit Facility partially offset by the quarterly cash dividends paid in March and June and treasury stock acquired from employees to satisfy tax withholding obligations. Cash flow used in financing activities totaled $8.2 million for the six months ended June 30, 2019 primarily related to treasury stock acquired from employees to satisfy tax withholding obligations.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June 30, 2020 and 2019, no capital contributions were made to our U.S. insurance subsidiaries.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Essent Guaranty has entered into reinsurance agreements that provide excess of loss reinsurance coverage for new defaults on portfolios of mortgage insurance policies issued in 2015 through 2019. The aggregate excess of loss reinsurance coverages decrease over a ten-year period as the underlying covered mortgages amortize. Based on the level of delinquencies reported to us, the insurance-linked note transactions that Essent Guaranty has entered into to date (the “ILNs”) became subject to a "trigger event" as of June 25, 2020. The aggregate excess of loss reinsurance coverage will not amortize during the continuation of a trigger event.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4 to our condensed consolidated financial statements.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June 30, 2020 was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1,057,420</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4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1,399,948</w:t>
            </w:r>
          </w:p>
        </w:tc>
      </w:tr>
      <w:tr>
        <w:trPr>
          <w:trHeight w:val="27"/>
        </w:trPr>
        <w:tc>
          <w:tcPr>
            <w:tcW w:w="9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2,457,368</w:t>
            </w:r>
          </w:p>
        </w:tc>
      </w:tr>
      <w:tr>
        <w:trPr>
          <w:trHeight w:val="20"/>
        </w:trPr>
        <w:tc>
          <w:tcPr>
            <w:tcW w:w="9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24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28,787,600</w:t>
            </w:r>
          </w:p>
        </w:tc>
      </w:tr>
      <w:tr>
        <w:trPr>
          <w:trHeight w:val="27"/>
        </w:trPr>
        <w:tc>
          <w:tcPr>
            <w:tcW w:w="9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4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r>
      <w:tr>
        <w:trPr>
          <w:trHeight w:val="20"/>
        </w:trPr>
        <w:tc>
          <w:tcPr>
            <w:tcW w:w="9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For additional information regarding regulatory capital, see Note 15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Commissioners Accounting Practices and Procedures Manual. Such practices vary from accounting principles generally accepted in the United States.</w:t>
      </w:r>
    </w:p>
    <w:p>
      <w:pPr>
        <w:spacing w:after="0" w:line="24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Essent Re also reinsures 25% of Essent Guaranty’s NIW under a quota share reinsurance agreement. During the six months ended June 30, 2020 and 2019, Essent Re paid no dividends to Essent Group and Essent Group made no capital contributions to Essent Re. As of June 30, 2020, Essent Re had total stockholders’ equity of $1.0 billion and net risk in force of $11.1 billion.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A3 with a stable outlook by Moody’s Investors Service (“Moody's”), BBB+ with a negative outlook by S&amp;P and A (Excellent) with stable outlook by A.M. Best. The insurer financial strength rating of Essent Re is BBB+ with a negative outlook by S&amp;P and A (Excellent) with stable outlook by A.M. Best.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2020, Essent Guaranty, our GSE-approved mortgage insurance company, was in compliance with PMIERs 2.0. As of June 30, 2020, Essent Guaranty's Available Assets were $2.59 billion and its Minimum Required Assets were $1.46 billion based on our interpretation of PMIERs 2.0.</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each insured loan in default for no longer than four calendar months from the initial missed payment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January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up to four calendar months after the initial missed payment absent a forbearance plan. The 34,352 COVID-19 defaults included in our June 30, 2020 default inventory fall into categories 1) and 2) above and received the 0.30 multiplier in calculating the PMIERs required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June 30, 2020, stockholders’ equity was $3.6 billion, compared to $3.0 billion as of December 31, 2019. This increase was primarily due to the completion of a public offering of common shares in June 2020, net income generated in 2020 and an increase in accumulated other comprehensive income related to an increase in our unrealized investment gains.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2020, investments totaled $4.4 billion compared to $3.4 billion as of December 31, 2019. In addition, our total cash was $72.8 million as of June 30, 2020, compared to $71.4 million as of December 31, 2019. The increase in investments was primarily due to investing net cash flows from operations, the net proceeds from the public offering of common shares and the borrowings under the Credit Facility during the six months ended June 30,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8"/>
              </w:rPr>
              <w:t>June 30, 2020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3"/>
        </w:trPr>
        <w:tc>
          <w:tcPr>
            <w:tcW w:w="4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259,259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242,206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14,682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33,605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830,124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848,334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465,063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361,638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54,995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912,137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880,301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312,511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288,281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385,486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326,025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1,118,204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315,362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4,352,103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8"/>
                <w:szCs w:val="18"/>
                <w:b w:val="1"/>
                <w:bCs w:val="1"/>
                <w:color w:val="auto"/>
              </w:rPr>
              <w:t>3,350,747</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42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vMerge w:val="restart"/>
          </w:tcPr>
          <w:p>
            <w:pPr>
              <w:jc w:val="right"/>
              <w:ind w:right="23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2019</w:t>
            </w:r>
          </w:p>
        </w:tc>
        <w:tc>
          <w:tcPr>
            <w:tcW w:w="1140" w:type="dxa"/>
            <w:vAlign w:val="bottom"/>
            <w:tcBorders>
              <w:bottom w:val="single" w:sz="8" w:color="auto"/>
            </w:tcBorders>
          </w:tcPr>
          <w:p>
            <w:pPr>
              <w:spacing w:after="0"/>
              <w:rPr>
                <w:sz w:val="16"/>
                <w:szCs w:val="16"/>
                <w:color w:val="auto"/>
              </w:rPr>
            </w:pPr>
          </w:p>
        </w:tc>
      </w:tr>
      <w:tr>
        <w:trPr>
          <w:trHeight w:val="26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2,642,359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1,817,905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129,451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109,122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171,704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145,282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235,462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159,599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4.8</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213,946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206,643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253,507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183,780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211,209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244,669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232,490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6.9</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183,639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179,664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37,005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65,119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59,210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r>
      <w:tr>
        <w:trPr>
          <w:trHeight w:val="257"/>
        </w:trPr>
        <w:tc>
          <w:tcPr>
            <w:tcW w:w="40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4,352,103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3,350,747</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6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388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2019</w:t>
            </w:r>
          </w:p>
        </w:tc>
        <w:tc>
          <w:tcPr>
            <w:tcW w:w="1140" w:type="dxa"/>
            <w:vAlign w:val="bottom"/>
            <w:tcBorders>
              <w:bottom w:val="single" w:sz="8" w:color="auto"/>
            </w:tcBorders>
          </w:tcPr>
          <w:p>
            <w:pPr>
              <w:spacing w:after="0"/>
              <w:rPr>
                <w:sz w:val="16"/>
                <w:szCs w:val="16"/>
                <w:color w:val="auto"/>
              </w:rPr>
            </w:pPr>
          </w:p>
        </w:tc>
      </w:tr>
      <w:tr>
        <w:trPr>
          <w:trHeight w:val="26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3"/>
              </w:rPr>
              <w:t>Percent</w:t>
            </w:r>
          </w:p>
        </w:tc>
      </w:tr>
      <w:tr>
        <w:trPr>
          <w:trHeight w:val="249"/>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2,140,698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1,038,782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415,342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306,148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9.1</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369,123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348,708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10.4</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258,405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361,147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10.8</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443,382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13.2</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824,848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852,580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25.5</w:t>
            </w:r>
          </w:p>
        </w:tc>
      </w:tr>
      <w:tr>
        <w:trPr>
          <w:trHeight w:val="27"/>
        </w:trPr>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4,352,103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3,350,747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35"/>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40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Security</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3"/>
                <w:szCs w:val="13"/>
                <w:color w:val="auto"/>
              </w:rPr>
            </w:pPr>
          </w:p>
        </w:tc>
        <w:tc>
          <w:tcPr>
            <w:tcW w:w="11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Rating(1)</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28,982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Freddie Mac 4.000% 11/1/2048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25,869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24,847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0.250% 5/31/2025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25,578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U.S. Treasury 2.625% 6/30/2023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21,194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19,672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5.250% 11/15/2028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U.S. Treasury 1.500% 8/15/2026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18,646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17,449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Ginnie Mae 4.000% 4/20/2049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15,932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Fannie Mae 4.500% 5/1/2048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14,387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2.625% 7/15/2021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Freddie Mac 4.500% 4/1/2049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14,531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13,865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202,307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192,427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88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3"/>
          </w:tcPr>
          <w:p>
            <w:pPr>
              <w:jc w:val="right"/>
              <w:ind w:right="2220"/>
              <w:spacing w:after="0"/>
              <w:rPr>
                <w:sz w:val="20"/>
                <w:szCs w:val="20"/>
                <w:color w:val="auto"/>
              </w:rPr>
            </w:pPr>
            <w:r>
              <w:rPr>
                <w:rFonts w:ascii="Arial" w:cs="Arial" w:eastAsia="Arial" w:hAnsi="Arial"/>
                <w:sz w:val="14"/>
                <w:szCs w:val="14"/>
                <w:b w:val="1"/>
                <w:bCs w:val="1"/>
                <w:color w:val="auto"/>
              </w:rPr>
              <w:t>December 31,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tcPr>
          <w:p>
            <w:pPr>
              <w:jc w:val="right"/>
              <w:ind w:right="289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4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30,112</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5.250%</w:t>
            </w:r>
          </w:p>
        </w:tc>
        <w:tc>
          <w:tcPr>
            <w:tcW w:w="1100" w:type="dxa"/>
            <w:vAlign w:val="bottom"/>
          </w:tcPr>
          <w:p>
            <w:pPr>
              <w:ind w:left="40"/>
              <w:spacing w:after="0"/>
              <w:rPr>
                <w:sz w:val="20"/>
                <w:szCs w:val="20"/>
                <w:color w:val="auto"/>
              </w:rPr>
            </w:pPr>
            <w:r>
              <w:rPr>
                <w:rFonts w:ascii="Arial" w:cs="Arial" w:eastAsia="Arial" w:hAnsi="Arial"/>
                <w:sz w:val="18"/>
                <w:szCs w:val="18"/>
                <w:color w:val="auto"/>
              </w:rPr>
              <w:t>11/15/2028</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29,480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4.000% 11/1/2048</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2.625%</w:t>
            </w:r>
          </w:p>
        </w:tc>
        <w:tc>
          <w:tcPr>
            <w:tcW w:w="1100" w:type="dxa"/>
            <w:vAlign w:val="bottom"/>
          </w:tcPr>
          <w:p>
            <w:pPr>
              <w:ind w:left="40"/>
              <w:spacing w:after="0"/>
              <w:rPr>
                <w:sz w:val="20"/>
                <w:szCs w:val="20"/>
                <w:color w:val="auto"/>
              </w:rPr>
            </w:pPr>
            <w:r>
              <w:rPr>
                <w:rFonts w:ascii="Arial" w:cs="Arial" w:eastAsia="Arial" w:hAnsi="Arial"/>
                <w:sz w:val="18"/>
                <w:szCs w:val="18"/>
                <w:color w:val="auto"/>
              </w:rPr>
              <w:t>6/30/2023</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20,465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8/15/2026</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Fannie Mae 4.500% 5/1/2048</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16,972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4.500% 4/1/2049</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16,585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2.625%</w:t>
            </w:r>
          </w:p>
        </w:tc>
        <w:tc>
          <w:tcPr>
            <w:tcW w:w="1100" w:type="dxa"/>
            <w:vAlign w:val="bottom"/>
          </w:tcPr>
          <w:p>
            <w:pPr>
              <w:ind w:left="40"/>
              <w:spacing w:after="0"/>
              <w:rPr>
                <w:sz w:val="20"/>
                <w:szCs w:val="20"/>
                <w:color w:val="auto"/>
              </w:rPr>
            </w:pPr>
            <w:r>
              <w:rPr>
                <w:rFonts w:ascii="Arial" w:cs="Arial" w:eastAsia="Arial" w:hAnsi="Arial"/>
                <w:sz w:val="18"/>
                <w:szCs w:val="18"/>
                <w:color w:val="auto"/>
              </w:rPr>
              <w:t>7/15/2021</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4.000% 5/15/2050</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Fannie Mae 4.000% 5/1/2056</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13,079</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202,062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Percent of Investments Available for Sale</w:t>
            </w: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vMerge w:val="restart"/>
          </w:tcPr>
          <w:p>
            <w:pPr>
              <w:ind w:left="680"/>
              <w:spacing w:after="0"/>
              <w:rPr>
                <w:sz w:val="20"/>
                <w:szCs w:val="20"/>
                <w:color w:val="auto"/>
              </w:rPr>
            </w:pPr>
            <w:r>
              <w:rPr>
                <w:rFonts w:ascii="Arial" w:cs="Arial" w:eastAsia="Arial" w:hAnsi="Arial"/>
                <w:sz w:val="18"/>
                <w:szCs w:val="18"/>
                <w:color w:val="auto"/>
              </w:rPr>
              <w:t>45</w:t>
            </w: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ind w:right="232"/>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University of Houston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Texas A&amp;M University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 TX Combined Utility System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Austin TX Electric Utility Revenue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Houston TX</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North Texas Tollway System</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 TX</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LCRA Transmission Services Corp</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Fort Worth TX Water &amp; Sewer System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San Antonio TX Airport System</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Corpus Christi TX Utility System Revenue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Central Texas Turnpike System</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5"/>
              </w:rPr>
              <w:t>Baa1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Metropolitan Transit Authority of Harris County Sales &amp; Use Tax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County of Fort Bend TX</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Austin Independent School District</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49,709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46,397</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center"/>
              <w:ind w:right="232"/>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w w:val="94"/>
              </w:rPr>
              <w:t>New York City Transitional Finance Authority Future Tax Secured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8,797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8,172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of New York Personal Income Tax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New York NY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The Research Foundation of State University of New York</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City of Yonkers NY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TSASC, Inc.</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County of Nassau NY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 Island Power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New York State Dormitory Authority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Town of Oyster Bay NY</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50,160</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38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June 30, 2020, our estimated off-balance sheet maximum exposure to loss from the Radnor Re entities was $1.1 million, representing the estimated net present value of investment earnings on the assets in the reinsurance trusts. See Note 4 to our condensed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2019 Form 10-K. See Note 2 to our condensed consolidated financial statements for recently issued accounting standards adopted or under evaluation.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6" w:lineRule="exact"/>
        <w:rPr>
          <w:sz w:val="20"/>
          <w:szCs w:val="20"/>
          <w:color w:val="auto"/>
        </w:rPr>
      </w:pPr>
    </w:p>
    <w:p>
      <w:pPr>
        <w:jc w:val="both"/>
        <w:ind w:left="660" w:right="220" w:hanging="328"/>
        <w:spacing w:after="0" w:line="301" w:lineRule="auto"/>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7" w:lineRule="exact"/>
        <w:rPr>
          <w:rFonts w:ascii="Arial" w:cs="Arial" w:eastAsia="Arial" w:hAnsi="Arial"/>
          <w:sz w:val="16"/>
          <w:szCs w:val="16"/>
          <w:i w:val="1"/>
          <w:iCs w:val="1"/>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380" w:hanging="328"/>
        <w:spacing w:after="0" w:line="342" w:lineRule="auto"/>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260" w:hanging="328"/>
        <w:spacing w:after="0" w:line="342" w:lineRule="auto"/>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50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right="420" w:firstLine="648"/>
        <w:spacing w:after="0" w:line="301" w:lineRule="auto"/>
        <w:rPr>
          <w:sz w:val="20"/>
          <w:szCs w:val="20"/>
          <w:color w:val="auto"/>
        </w:rPr>
      </w:pPr>
      <w:r>
        <w:rPr>
          <w:rFonts w:ascii="Arial" w:cs="Arial" w:eastAsia="Arial" w:hAnsi="Arial"/>
          <w:sz w:val="16"/>
          <w:szCs w:val="16"/>
          <w:color w:val="auto"/>
        </w:rPr>
        <w:t>At June 30, 2020, the effective duration of our investments available for sale was 2.2 years, which means that an instantaneous parallel shift (movement up or down) in the yield curve of 100 basis points would result in a change of 2.2% in fair value of our investments available for sale. Excluding short-term investments, our investments available for sale effective duration was 3.0 years, which means that an instantaneous parallel shift (movement up or down) in the yield curve of 100 basis points would result in a change of 3.0% in fair value of our investments available for sale.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2020,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Risk factors that affect our business and financial results are discussed in Part I, Item 1A. “Risk Factors” in our Annual Report on Form 10-K for the year ended December 31, 2019.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impact of COVID-19</w:t>
      </w:r>
    </w:p>
    <w:p>
      <w:pPr>
        <w:spacing w:after="0" w:line="3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outbreak of COVID-19 is currently spreading throughout the world, including in Asia, Europe and the United States. This outbreak is unprecedented in modern history and continues to rapidly evolve and disrupt the global economy and financial markets, including the U.S. housing and mortgage markets. On March 11, 2020, the World Health Organization declared the outbreak to be a pandemic, and on March 13, 2020, U.S. President Donald Trump declared the outbreak to be a national emergency. The rapid spread has resulted in authorities around the world implementing numerous measures to contain the virus, such as travel bans and restrictions, quarantines, shelter-in-place orders and business shutdowns. The pandemic and these containment measures have had, and are expected to continue to have, a substantial negative impact on businesses around the world and on global, regional and national economies.</w:t>
      </w:r>
    </w:p>
    <w:p>
      <w:pPr>
        <w:spacing w:after="0" w:line="19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emergence of the COVID-19 pandemic and the resulting containment measures have caused economic and financial disruptions that have adversely affected, and are expected to continue to materially adversely affect, our business, results of operations, financial condition and liquidity. The extent to which the pandemic will continue to materially adversely affect our business, results of operations, financial condition and liquidity will depend on numerous evolving factors and future developments that we are not able to predict, including the duration, spread and severity of the outbreak; the nature, extent and effectiveness of containment measures; the extent and duration of the effect on the economy, unemployment, consumer confidence and consumer and business spending; and how quickly and to what extent normal economic and operating conditions can resume.</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Since the outbreak of the pandemic, there have been a number of governmental and GSE efforts to implement programs designed to assist individuals and businesses impacted by the virus. On March 27, 2020, the Coronavirus Aid, Relief and Economic Security Act, referred to as the CARES Act, was signed into law. The CARES Act provides financial assistance for businesses and individuals and targeted regulatory relief for financial institutions. Among many other things, the CARES Act suspends foreclosures and evictions for at least 60 days from March 18, 2020, on mortgages purchased or securitized by the GSEs. In addition, the CARES Act enacts into law a requirement to provide payment forbearance on such mortgages to borrowers experiencing a hardship during the COVID-19 emergency. Forbearance under the CARES Act allows for a mortgage payment to be suspended for up to 360 days due to hardship caused by COVID-19. The CARES Act also provides for enhanced unemployment benefits and direct aid to individuals, among other things.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Fannie Mae and Freddie Mac, the primary purchasers of mortgages we insure, have adopted relief measures consistent with the CARES Act to assist borrowers impacted by COVID-19. Under forbearance plans announced by the GSEs and implemented by their servicers, eligible homeowners who are adversely impacted by COVID-19 are permitted to temporarily reduce or suspend their mortgage payments for up to 12 months. The GSEs have announced that, at the end of the forbearance plan, the homeowner may not be required to pay back their reduced or suspended mortgage payments in one lump sum, but may be eligible for a number of different options offered by their mortgage servicer, including repayment plans, resuming normal payments or lowering the monthly loan payment through a modification. However, there can be no assurances that homeowners will be able to remain current on their mortgages once the forbearance period ends, and a significant percentage could ultimately default and result in a mortgage insurance claim despite the GSE and other programs.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COVID-19 pandemic and containment measures have contributed to, among other things:</w:t>
      </w:r>
    </w:p>
    <w:p>
      <w:pPr>
        <w:spacing w:after="0" w:line="225" w:lineRule="exact"/>
        <w:rPr>
          <w:sz w:val="20"/>
          <w:szCs w:val="20"/>
          <w:color w:val="auto"/>
        </w:rPr>
      </w:pPr>
    </w:p>
    <w:p>
      <w:pPr>
        <w:ind w:left="660" w:hanging="328"/>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that policy losses and loss adjustment expenses we ultimately incur as a result of COVID-19 and the related economic impact may be substantially different than the loss reserves established on our financial statements at the end of each period. In accordance with industry practice and statutory accounting rules applicable to mortgage guaranty insurance companies, we establish loss reserves only for loans reported to us in default, including forbearance-related defaults. These reserves are established using estimated claim rates and claim amounts in estimating the ultimate loss, which estimates are subject to significant uncertainty given the unprecedented nature and magnitude of the COVID-19 pandemic. In addition,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w:t>
      </w:r>
    </w:p>
    <w:p>
      <w:pPr>
        <w:spacing w:after="0" w:line="191" w:lineRule="exact"/>
        <w:rPr>
          <w:rFonts w:ascii="Arial" w:cs="Arial" w:eastAsia="Arial" w:hAnsi="Arial"/>
          <w:sz w:val="17"/>
          <w:szCs w:val="17"/>
          <w:color w:val="auto"/>
        </w:rPr>
      </w:pPr>
    </w:p>
    <w:p>
      <w:pPr>
        <w:ind w:left="660" w:right="100" w:hanging="328"/>
        <w:spacing w:after="0" w:line="29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deterioration in the ability and willingness of homeowners to continue to make mortgage payments on loans that we insure, which could result in an increase in the amount of insurance regulatory and PMIERs capital we are required to hold for delinquent loans, including forbearance-related delinquencies, as well as an increase in claims ultimately made with respect to such mortgage loans. Mortgage delinquencies are typically affected by a variety of borrower-specific factors, such as job loss, illness, death and divorce, and macroeconomic factors, such as rising unemployment, market deterioration and home price depreciation, many of which are likely exacerbated by the COVID-19 pandemic.</w:t>
      </w:r>
    </w:p>
    <w:p>
      <w:pPr>
        <w:spacing w:after="0" w:line="161" w:lineRule="exact"/>
        <w:rPr>
          <w:rFonts w:ascii="Arial" w:cs="Arial" w:eastAsia="Arial" w:hAnsi="Arial"/>
          <w:sz w:val="16"/>
          <w:szCs w:val="16"/>
          <w:color w:val="auto"/>
        </w:rPr>
      </w:pPr>
    </w:p>
    <w:p>
      <w:pPr>
        <w:ind w:left="660" w:right="1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potential reduction in the number of new mortgage loans available for us to insure, and consequently, on our future volumes of new insurance written, with the degree of the impact dependent in large part on the extent and duration of the economic contraction.</w:t>
      </w:r>
    </w:p>
    <w:p>
      <w:pPr>
        <w:spacing w:after="0" w:line="146" w:lineRule="exact"/>
        <w:rPr>
          <w:rFonts w:ascii="Arial" w:cs="Arial" w:eastAsia="Arial" w:hAnsi="Arial"/>
          <w:sz w:val="17"/>
          <w:szCs w:val="17"/>
          <w:color w:val="auto"/>
        </w:rPr>
      </w:pPr>
    </w:p>
    <w:p>
      <w:pPr>
        <w:ind w:left="660" w:right="2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impacts on capital, credit and reinsurance market conditions, which may limit our ability to issue ILNs, purchase reinsurance or access traditional financing methods. Such adverse impacts may increase our cost of capital and affect our ability to meet liquidity needs.</w:t>
      </w:r>
    </w:p>
    <w:p>
      <w:pPr>
        <w:spacing w:after="0" w:line="14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increased strain on our risk management policies generally, including, but not limited to, the effectiveness and accuracy of our models, given the lack of data inputs and comparable precedent.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increased risk to the value of our investments and other assets, which has the potential to result in impairment charges.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impacts on our daily business operations and our employees’ ability to perform necessary business functions, including as a result of illness or as a result of restrictions on movement.</w:t>
      </w:r>
    </w:p>
    <w:p>
      <w:pPr>
        <w:spacing w:after="0" w:line="170"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impacts on our costs structure, including the need for increased staffing in certain segments of our business, increased spending on our business continuity efforts, such as technology, and readiness efforts for returning to our offices, which may in turn limit our ability to make investments in other areas.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increased risk of an information or cyber-security incident, fraud, a failure to maintain the uninterrupted operation of our information systems or a failure in the effectiveness of our anti-money laundering and other compliance programs due to, among other things, an increase in remote work.</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above impacts of the COVID-19 pandemic and containment measures are likely to continue and in some cases, may worsen. The pandemic and containment measures may cause us to modify our strategic plans and business practices, and we may take further actions that we determine are in the best interests of our employees, customers and business partners. As a result of the above risks, COVID-19 could materially and adversely impact our business, results of operations, financial position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common shares during the three months ended June 30,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On August 4, 2020, the Board of Directors of the Company appointed Allan Levine to fill a vacancy on the Board, effective immediately, to serve as a Class II director until his successor is duly elected and qualified at the next annual meeting of shareholders. With Mr. Levine’s appointment, the Company’s Board of Directors consists of nine directors.</w:t>
      </w:r>
    </w:p>
    <w:p>
      <w:pPr>
        <w:spacing w:after="0" w:line="18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Mr. Levine was also appointed to, and as chairman of, the Risk Committee of the Board. Mr. Glanville, the former chairman of the Risk Committee, will remain a member of the Risk Committee.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Mr. Levine, 52, previously served as a member of our Board of Directors from 2008 to 2019. Mr. Levine currently is the chairman and chief executive officer of Global Atlantic Financial Group, a global financial services company, formerly the Goldman Sachs Reinsurance Group which he initially joined in 1997. Prior to the spin-off of Global Atlantic from Goldman Sachs in 2013, Mr. Levine was a partner and managing director of Goldman, Sachs &amp; Co. and global head of the Goldman Sachs Reinsurance Group, and prior to assuming that role, was co-head of the firm's strategy group. Mr. Levine holds a BS from Miami University and an MBA from Columbia Business School.</w:t>
      </w:r>
    </w:p>
    <w:p>
      <w:pPr>
        <w:spacing w:after="0" w:line="18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There are no transactions between Mr. Levine (or any member of his immediate family) and the Company or any of its subsidiaries, and there are no arrangements or understandings between Mr. Levine and any other persons or entities pursuant to which he was appointed as a director of the Company.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(a)</w:t>
            </w:r>
          </w:p>
        </w:tc>
        <w:tc>
          <w:tcPr>
            <w:tcW w:w="1062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4"/>
        </w:trPr>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5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9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31.1</w:t>
              </w:r>
            </w:hyperlink>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4"/>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620" w:type="dxa"/>
            <w:vAlign w:val="bottom"/>
          </w:tcPr>
          <w:p>
            <w:pPr>
              <w:ind w:left="4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31.2</w:t>
              </w:r>
            </w:hyperlink>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5"/>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620" w:type="dxa"/>
            <w:vAlign w:val="bottom"/>
          </w:tcPr>
          <w:p>
            <w:pPr>
              <w:ind w:left="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32.1</w:t>
              </w:r>
            </w:hyperlink>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256"/>
        </w:trPr>
        <w:tc>
          <w:tcPr>
            <w:tcW w:w="620" w:type="dxa"/>
            <w:vAlign w:val="bottom"/>
          </w:tcPr>
          <w:p>
            <w:pPr>
              <w:ind w:left="40"/>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June 30, 2020, formatted 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8"/>
              </w:rPr>
              <w:t>Inline XBRL: (i) the Condensed Consolidated Balance Sheets (Unaudited); (ii) the Condensed Consolidated Statements of</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1"/>
              </w:rPr>
              <w:t>Comprehensive Income (Unaudited); (iii) the Condensed Consolidated Statements of Changes in Stockholders’ Equity (Unaudited);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w w:val="93"/>
              </w:rPr>
              <w:t>(iv) the Condensed Consolidated Statements of Cash Flows (Unaudited); and (v) the Notes to Condensed Consolidated Financial</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Statements (Unaudited).</w:t>
            </w:r>
          </w:p>
        </w:tc>
        <w:tc>
          <w:tcPr>
            <w:tcW w:w="0" w:type="dxa"/>
            <w:vAlign w:val="bottom"/>
          </w:tcPr>
          <w:p>
            <w:pPr>
              <w:spacing w:after="0"/>
              <w:rPr>
                <w:sz w:val="1"/>
                <w:szCs w:val="1"/>
                <w:color w:val="auto"/>
              </w:rPr>
            </w:pPr>
          </w:p>
        </w:tc>
      </w:tr>
      <w:tr>
        <w:trPr>
          <w:trHeight w:val="675"/>
        </w:trPr>
        <w:tc>
          <w:tcPr>
            <w:tcW w:w="620" w:type="dxa"/>
            <w:vAlign w:val="bottom"/>
          </w:tcPr>
          <w:p>
            <w:pPr>
              <w:spacing w:after="0"/>
              <w:rPr>
                <w:sz w:val="24"/>
                <w:szCs w:val="24"/>
                <w:color w:val="auto"/>
              </w:rPr>
            </w:pPr>
          </w:p>
        </w:tc>
        <w:tc>
          <w:tcPr>
            <w:tcW w:w="10620" w:type="dxa"/>
            <w:vAlign w:val="bottom"/>
            <w:gridSpan w:val="3"/>
          </w:tcPr>
          <w:p>
            <w:pPr>
              <w:jc w:val="right"/>
              <w:ind w:right="54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3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991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3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991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3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99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25" w:right="3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jc w:val="both"/>
        <w:ind w:right="240" w:firstLine="8"/>
        <w:spacing w:after="0" w:line="395" w:lineRule="auto"/>
        <w:tabs>
          <w:tab w:leader="none" w:pos="517"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220" w:firstLine="8"/>
        <w:spacing w:after="0" w:line="324" w:lineRule="auto"/>
        <w:tabs>
          <w:tab w:leader="none" w:pos="5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520" w:firstLine="494"/>
        <w:spacing w:after="0" w:line="395" w:lineRule="auto"/>
        <w:tabs>
          <w:tab w:leader="none" w:pos="10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1020" w:hanging="52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780" w:firstLine="494"/>
        <w:spacing w:after="0" w:line="357" w:lineRule="auto"/>
        <w:tabs>
          <w:tab w:leader="none" w:pos="101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right="460" w:firstLine="494"/>
        <w:spacing w:after="0" w:line="324" w:lineRule="auto"/>
        <w:tabs>
          <w:tab w:leader="none" w:pos="102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40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jc w:val="both"/>
        <w:ind w:right="240" w:firstLine="8"/>
        <w:spacing w:after="0" w:line="395" w:lineRule="auto"/>
        <w:tabs>
          <w:tab w:leader="none" w:pos="517"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220" w:firstLine="8"/>
        <w:spacing w:after="0" w:line="324" w:lineRule="auto"/>
        <w:tabs>
          <w:tab w:leader="none" w:pos="5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520" w:firstLine="494"/>
        <w:spacing w:after="0" w:line="395" w:lineRule="auto"/>
        <w:tabs>
          <w:tab w:leader="none" w:pos="1014"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1020" w:hanging="526"/>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right="780" w:firstLine="494"/>
        <w:spacing w:after="0" w:line="357" w:lineRule="auto"/>
        <w:tabs>
          <w:tab w:leader="none" w:pos="1014"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right="460" w:firstLine="494"/>
        <w:spacing w:after="0" w:line="324" w:lineRule="auto"/>
        <w:tabs>
          <w:tab w:leader="none" w:pos="10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140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220" w:firstLine="8"/>
        <w:spacing w:after="0" w:line="324"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160" w:firstLine="8"/>
        <w:spacing w:after="0" w:line="574"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7, 2020</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2"/>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1."/>
      <w:numFmt w:val="decimal"/>
      <w:start w:val="5"/>
    </w:lvl>
    <w:lvl w:ilvl="1">
      <w:lvlJc w:val="left"/>
      <w:lvlText w:val="(%2)"/>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lowerLetter"/>
      <w:start w:val="3"/>
    </w:lvl>
  </w:abstractNum>
  <w:abstractNum w:abstractNumId="32">
    <w:nsid w:val="3006C83E"/>
    <w:multiLevelType w:val="hybridMultilevel"/>
    <w:lvl w:ilvl="0">
      <w:lvlJc w:val="left"/>
      <w:lvlText w:val="%1."/>
      <w:numFmt w:val="decimal"/>
      <w:start w:val="5"/>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2020-08-10T06:37:19Z</dcterms:created>
  <dcterms:modified xsi:type="dcterms:W3CDTF">2020-08-10T06:37:19Z</dcterms:modified>
</cp:coreProperties>
</file>