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167640</wp:posOffset>
            </wp:positionV>
            <wp:extent cx="31216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328295</wp:posOffset>
            </wp:positionV>
            <wp:extent cx="312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30" w:lineRule="exact"/>
        <w:rPr>
          <w:sz w:val="24"/>
          <w:szCs w:val="24"/>
          <w:color w:val="auto"/>
        </w:rPr>
      </w:pPr>
    </w:p>
    <w:p>
      <w:pPr>
        <w:ind w:left="640" w:hanging="308"/>
        <w:spacing w:after="0"/>
        <w:tabs>
          <w:tab w:leader="none" w:pos="6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69" w:lineRule="exact"/>
        <w:rPr>
          <w:rFonts w:ascii="MS PGothic" w:cs="MS PGothic" w:eastAsia="MS PGothic" w:hAnsi="MS PGothic"/>
          <w:sz w:val="21"/>
          <w:szCs w:val="21"/>
          <w:color w:val="auto"/>
        </w:rPr>
      </w:pPr>
    </w:p>
    <w:p>
      <w:pPr>
        <w:spacing w:after="0"/>
        <w:rPr>
          <w:rFonts w:ascii="MS PGothic" w:cs="MS PGothic" w:eastAsia="MS PGothic" w:hAnsi="MS PGothic"/>
          <w:sz w:val="21"/>
          <w:szCs w:val="21"/>
          <w:color w:val="auto"/>
        </w:rPr>
      </w:pPr>
      <w:r>
        <w:rPr>
          <w:rFonts w:ascii="Times New Roman" w:cs="Times New Roman" w:eastAsia="Times New Roman" w:hAnsi="Times New Roman"/>
          <w:sz w:val="22"/>
          <w:szCs w:val="22"/>
          <w:b w:val="1"/>
          <w:bCs w:val="1"/>
          <w:color w:val="auto"/>
        </w:rPr>
        <w:t>1934</w:t>
      </w:r>
    </w:p>
    <w:p>
      <w:pPr>
        <w:spacing w:after="0" w:line="21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period ended June 30, 2015</w:t>
      </w:r>
    </w:p>
    <w:p>
      <w:pPr>
        <w:spacing w:after="0" w:line="230" w:lineRule="exact"/>
        <w:rPr>
          <w:sz w:val="24"/>
          <w:szCs w:val="24"/>
          <w:color w:val="auto"/>
        </w:rPr>
      </w:pPr>
    </w:p>
    <w:p>
      <w:pPr>
        <w:ind w:left="600" w:hanging="268"/>
        <w:spacing w:after="0"/>
        <w:tabs>
          <w:tab w:leader="none" w:pos="60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69"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1934</w:t>
      </w:r>
    </w:p>
    <w:p>
      <w:pPr>
        <w:sectPr>
          <w:pgSz w:w="11900" w:h="16838" w:orient="portrait"/>
          <w:cols w:equalWidth="0" w:num="1">
            <w:col w:w="11240"/>
          </w:cols>
          <w:pgMar w:left="240" w:top="229" w:right="419" w:bottom="1440" w:gutter="0" w:footer="0" w:header="0"/>
        </w:sectPr>
      </w:pPr>
    </w:p>
    <w:p>
      <w:pPr>
        <w:spacing w:after="0" w:line="215"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00" w:lineRule="exact"/>
        <w:rPr>
          <w:sz w:val="24"/>
          <w:szCs w:val="24"/>
          <w:color w:val="auto"/>
        </w:rPr>
      </w:pPr>
    </w:p>
    <w:p>
      <w:pPr>
        <w:sectPr>
          <w:pgSz w:w="11900" w:h="16838" w:orient="portrait"/>
          <w:cols w:equalWidth="0" w:num="2">
            <w:col w:w="6200" w:space="620"/>
            <w:col w:w="4420"/>
          </w:cols>
          <w:pgMar w:left="240" w:top="229" w:right="419" w:bottom="1440" w:gutter="0" w:footer="0" w:header="0"/>
          <w:type w:val="continuous"/>
        </w:sectPr>
      </w:pP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190500</wp:posOffset>
            </wp:positionV>
            <wp:extent cx="3121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ectPr>
          <w:pgSz w:w="11900" w:h="16838" w:orient="portrait"/>
          <w:cols w:equalWidth="0" w:num="1">
            <w:col w:w="11240"/>
          </w:cols>
          <w:pgMar w:left="240" w:top="229" w:right="419" w:bottom="1440" w:gutter="0" w:footer="0" w:header="0"/>
          <w:type w:val="continuous"/>
        </w:sectPr>
      </w:pPr>
    </w:p>
    <w:p>
      <w:pPr>
        <w:spacing w:after="0" w:line="200" w:lineRule="exact"/>
        <w:rPr>
          <w:sz w:val="24"/>
          <w:szCs w:val="24"/>
          <w:color w:val="auto"/>
        </w:rPr>
      </w:pPr>
    </w:p>
    <w:p>
      <w:pPr>
        <w:spacing w:after="0" w:line="295" w:lineRule="exact"/>
        <w:rPr>
          <w:sz w:val="24"/>
          <w:szCs w:val="24"/>
          <w:color w:val="auto"/>
        </w:rPr>
      </w:pPr>
    </w:p>
    <w:tbl>
      <w:tblPr>
        <w:tblLayout w:type="fixed"/>
        <w:tblInd w:w="1660" w:type="dxa"/>
        <w:tblCellMar>
          <w:top w:w="0" w:type="dxa"/>
          <w:left w:w="0" w:type="dxa"/>
          <w:bottom w:w="0" w:type="dxa"/>
          <w:right w:w="0" w:type="dxa"/>
        </w:tblCellMar>
      </w:tblPr>
      <w:tr>
        <w:trPr>
          <w:trHeight w:val="393"/>
        </w:trPr>
        <w:tc>
          <w:tcPr>
            <w:tcW w:w="1600" w:type="dxa"/>
            <w:vAlign w:val="bottom"/>
          </w:tcPr>
          <w:p>
            <w:pPr>
              <w:spacing w:after="0"/>
              <w:rPr>
                <w:sz w:val="24"/>
                <w:szCs w:val="24"/>
                <w:color w:val="auto"/>
              </w:rPr>
            </w:pPr>
          </w:p>
        </w:tc>
        <w:tc>
          <w:tcPr>
            <w:tcW w:w="4480" w:type="dxa"/>
            <w:vAlign w:val="bottom"/>
          </w:tcPr>
          <w:p>
            <w:pPr>
              <w:jc w:val="center"/>
              <w:ind w:left="320"/>
              <w:spacing w:after="0"/>
              <w:rPr>
                <w:sz w:val="20"/>
                <w:szCs w:val="20"/>
                <w:color w:val="auto"/>
              </w:rPr>
            </w:pPr>
            <w:r>
              <w:rPr>
                <w:rFonts w:ascii="Times New Roman" w:cs="Times New Roman" w:eastAsia="Times New Roman" w:hAnsi="Times New Roman"/>
                <w:sz w:val="32"/>
                <w:szCs w:val="32"/>
                <w:b w:val="1"/>
                <w:bCs w:val="1"/>
                <w:color w:val="auto"/>
              </w:rPr>
              <w:t>ESSENT GROUP LTD.</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1600" w:type="dxa"/>
            <w:vAlign w:val="bottom"/>
          </w:tcPr>
          <w:p>
            <w:pPr>
              <w:spacing w:after="0"/>
              <w:rPr>
                <w:sz w:val="20"/>
                <w:szCs w:val="20"/>
                <w:color w:val="auto"/>
              </w:rPr>
            </w:pPr>
          </w:p>
        </w:tc>
        <w:tc>
          <w:tcPr>
            <w:tcW w:w="4480" w:type="dxa"/>
            <w:vAlign w:val="bottom"/>
          </w:tcPr>
          <w:p>
            <w:pPr>
              <w:jc w:val="center"/>
              <w:ind w:left="3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1600" w:type="dxa"/>
            <w:vAlign w:val="bottom"/>
          </w:tcPr>
          <w:p>
            <w:pPr>
              <w:spacing w:after="0"/>
              <w:rPr>
                <w:sz w:val="22"/>
                <w:szCs w:val="22"/>
                <w:color w:val="auto"/>
              </w:rPr>
            </w:pPr>
          </w:p>
        </w:tc>
        <w:tc>
          <w:tcPr>
            <w:tcW w:w="44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40" w:type="dxa"/>
            <w:vAlign w:val="bottom"/>
          </w:tcPr>
          <w:p>
            <w:pPr>
              <w:spacing w:after="0"/>
              <w:rPr>
                <w:sz w:val="22"/>
                <w:szCs w:val="22"/>
                <w:color w:val="auto"/>
              </w:rPr>
            </w:pPr>
          </w:p>
        </w:tc>
      </w:tr>
      <w:tr>
        <w:trPr>
          <w:trHeight w:val="588"/>
        </w:trPr>
        <w:tc>
          <w:tcPr>
            <w:tcW w:w="6080" w:type="dxa"/>
            <w:vAlign w:val="bottom"/>
            <w:gridSpan w:val="2"/>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w w:val="99"/>
              </w:rPr>
              <w:t>Bermuda</w:t>
            </w:r>
          </w:p>
        </w:tc>
        <w:tc>
          <w:tcPr>
            <w:tcW w:w="1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52"/>
        </w:trPr>
        <w:tc>
          <w:tcPr>
            <w:tcW w:w="6080" w:type="dxa"/>
            <w:vAlign w:val="bottom"/>
            <w:gridSpan w:val="2"/>
          </w:tcPr>
          <w:p>
            <w:pPr>
              <w:jc w:val="center"/>
              <w:ind w:right="380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080" w:type="dxa"/>
            <w:vAlign w:val="bottom"/>
            <w:gridSpan w:val="2"/>
          </w:tcPr>
          <w:p>
            <w:pPr>
              <w:jc w:val="center"/>
              <w:ind w:right="380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248"/>
        </w:trPr>
        <w:tc>
          <w:tcPr>
            <w:tcW w:w="1600" w:type="dxa"/>
            <w:vAlign w:val="bottom"/>
          </w:tcPr>
          <w:p>
            <w:pPr>
              <w:spacing w:after="0"/>
              <w:rPr>
                <w:sz w:val="21"/>
                <w:szCs w:val="21"/>
                <w:color w:val="auto"/>
              </w:rPr>
            </w:pPr>
          </w:p>
        </w:tc>
        <w:tc>
          <w:tcPr>
            <w:tcW w:w="4480" w:type="dxa"/>
            <w:vAlign w:val="bottom"/>
          </w:tcPr>
          <w:p>
            <w:pPr>
              <w:jc w:val="center"/>
              <w:ind w:left="320"/>
              <w:spacing w:after="0"/>
              <w:rPr>
                <w:sz w:val="20"/>
                <w:szCs w:val="20"/>
                <w:color w:val="auto"/>
              </w:rPr>
            </w:pPr>
            <w:r>
              <w:rPr>
                <w:rFonts w:ascii="Times New Roman" w:cs="Times New Roman" w:eastAsia="Times New Roman" w:hAnsi="Times New Roman"/>
                <w:sz w:val="18"/>
                <w:szCs w:val="18"/>
                <w:b w:val="1"/>
                <w:bCs w:val="1"/>
                <w:color w:val="auto"/>
                <w:w w:val="99"/>
              </w:rPr>
              <w:t>Clarendon House</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16"/>
        </w:trPr>
        <w:tc>
          <w:tcPr>
            <w:tcW w:w="1600" w:type="dxa"/>
            <w:vAlign w:val="bottom"/>
          </w:tcPr>
          <w:p>
            <w:pPr>
              <w:spacing w:after="0"/>
              <w:rPr>
                <w:sz w:val="18"/>
                <w:szCs w:val="18"/>
                <w:color w:val="auto"/>
              </w:rPr>
            </w:pPr>
          </w:p>
        </w:tc>
        <w:tc>
          <w:tcPr>
            <w:tcW w:w="4480" w:type="dxa"/>
            <w:vAlign w:val="bottom"/>
          </w:tcPr>
          <w:p>
            <w:pPr>
              <w:jc w:val="center"/>
              <w:ind w:left="320"/>
              <w:spacing w:after="0"/>
              <w:rPr>
                <w:sz w:val="20"/>
                <w:szCs w:val="20"/>
                <w:color w:val="auto"/>
              </w:rPr>
            </w:pPr>
            <w:r>
              <w:rPr>
                <w:rFonts w:ascii="Times New Roman" w:cs="Times New Roman" w:eastAsia="Times New Roman" w:hAnsi="Times New Roman"/>
                <w:sz w:val="18"/>
                <w:szCs w:val="18"/>
                <w:b w:val="1"/>
                <w:bCs w:val="1"/>
                <w:color w:val="auto"/>
                <w:w w:val="99"/>
              </w:rPr>
              <w:t>2 Church Street</w:t>
            </w: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1600" w:type="dxa"/>
            <w:vAlign w:val="bottom"/>
          </w:tcPr>
          <w:p>
            <w:pPr>
              <w:spacing w:after="0"/>
              <w:rPr>
                <w:sz w:val="19"/>
                <w:szCs w:val="19"/>
                <w:color w:val="auto"/>
              </w:rPr>
            </w:pPr>
          </w:p>
        </w:tc>
        <w:tc>
          <w:tcPr>
            <w:tcW w:w="4480" w:type="dxa"/>
            <w:vAlign w:val="bottom"/>
          </w:tcPr>
          <w:p>
            <w:pPr>
              <w:jc w:val="center"/>
              <w:ind w:left="320"/>
              <w:spacing w:after="0"/>
              <w:rPr>
                <w:sz w:val="20"/>
                <w:szCs w:val="20"/>
                <w:color w:val="auto"/>
              </w:rPr>
            </w:pPr>
            <w:r>
              <w:rPr>
                <w:rFonts w:ascii="Times New Roman" w:cs="Times New Roman" w:eastAsia="Times New Roman" w:hAnsi="Times New Roman"/>
                <w:sz w:val="18"/>
                <w:szCs w:val="18"/>
                <w:b w:val="1"/>
                <w:bCs w:val="1"/>
                <w:color w:val="auto"/>
                <w:w w:val="99"/>
              </w:rPr>
              <w:t>Hamilton HM11, Bermuda</w:t>
            </w: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1600" w:type="dxa"/>
            <w:vAlign w:val="bottom"/>
          </w:tcPr>
          <w:p>
            <w:pPr>
              <w:spacing w:after="0"/>
              <w:rPr>
                <w:sz w:val="20"/>
                <w:szCs w:val="20"/>
                <w:color w:val="auto"/>
              </w:rPr>
            </w:pPr>
          </w:p>
        </w:tc>
        <w:tc>
          <w:tcPr>
            <w:tcW w:w="4480" w:type="dxa"/>
            <w:vAlign w:val="bottom"/>
          </w:tcPr>
          <w:p>
            <w:pPr>
              <w:jc w:val="center"/>
              <w:ind w:left="320"/>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4"/>
        </w:trPr>
        <w:tc>
          <w:tcPr>
            <w:tcW w:w="608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9"/>
              </w:rPr>
              <w:t>(441) 297-9901</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1600" w:type="dxa"/>
            <w:vAlign w:val="bottom"/>
          </w:tcPr>
          <w:p>
            <w:pPr>
              <w:spacing w:after="0"/>
              <w:rPr>
                <w:sz w:val="20"/>
                <w:szCs w:val="20"/>
                <w:color w:val="auto"/>
              </w:rPr>
            </w:pPr>
          </w:p>
        </w:tc>
        <w:tc>
          <w:tcPr>
            <w:tcW w:w="4480" w:type="dxa"/>
            <w:vAlign w:val="bottom"/>
          </w:tcPr>
          <w:p>
            <w:pPr>
              <w:jc w:val="center"/>
              <w:ind w:left="3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25" w:lineRule="exact"/>
        <w:rPr>
          <w:sz w:val="24"/>
          <w:szCs w:val="24"/>
          <w:color w:val="auto"/>
        </w:rPr>
      </w:pPr>
    </w:p>
    <w:p>
      <w:pPr>
        <w:jc w:val="both"/>
        <w:ind w:right="60" w:firstLine="55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ind w:right="60" w:firstLine="55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ectPr>
          <w:pgSz w:w="11900" w:h="16838" w:orient="portrait"/>
          <w:cols w:equalWidth="0" w:num="1">
            <w:col w:w="11240"/>
          </w:cols>
          <w:pgMar w:left="240" w:top="229" w:right="419" w:bottom="1440" w:gutter="0" w:footer="0" w:header="0"/>
          <w:type w:val="continuous"/>
        </w:sectPr>
      </w:pPr>
    </w:p>
    <w:p>
      <w:pPr>
        <w:spacing w:after="0" w:line="153"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color w:val="auto"/>
        </w:rPr>
        <w:t>Large accelerated filer x</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o</w:t>
      </w:r>
    </w:p>
    <w:p>
      <w:pPr>
        <w:spacing w:after="0" w:line="63" w:lineRule="exact"/>
        <w:rPr>
          <w:sz w:val="24"/>
          <w:szCs w:val="24"/>
          <w:color w:val="auto"/>
        </w:rPr>
      </w:pPr>
    </w:p>
    <w:p>
      <w:pPr>
        <w:sectPr>
          <w:pgSz w:w="11900" w:h="16838" w:orient="portrait"/>
          <w:cols w:equalWidth="0" w:num="2">
            <w:col w:w="7300" w:space="720"/>
            <w:col w:w="3220"/>
          </w:cols>
          <w:pgMar w:left="240" w:top="229" w:right="41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211" w:lineRule="exact"/>
        <w:rPr>
          <w:sz w:val="24"/>
          <w:szCs w:val="24"/>
          <w:color w:val="auto"/>
        </w:rPr>
      </w:pPr>
    </w:p>
    <w:p>
      <w:pPr>
        <w:sectPr>
          <w:pgSz w:w="11900" w:h="16838" w:orient="portrait"/>
          <w:cols w:equalWidth="0" w:num="2">
            <w:col w:w="6920" w:space="720"/>
            <w:col w:w="3600"/>
          </w:cols>
          <w:pgMar w:left="240" w:top="229" w:right="419" w:bottom="1440" w:gutter="0" w:footer="0" w:header="0"/>
          <w:type w:val="continuous"/>
        </w:sectPr>
      </w:pPr>
    </w:p>
    <w:p>
      <w:pPr>
        <w:spacing w:after="0" w:line="24" w:lineRule="exact"/>
        <w:rPr>
          <w:sz w:val="24"/>
          <w:szCs w:val="24"/>
          <w:color w:val="auto"/>
        </w:rPr>
      </w:pPr>
    </w:p>
    <w:p>
      <w:pPr>
        <w:ind w:left="600" w:right="1500" w:hanging="41"/>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the registrant’s common shares outstanding as of August 3, 2015 was 92,655,155.</w:t>
      </w:r>
    </w:p>
    <w:p>
      <w:pPr>
        <w:sectPr>
          <w:pgSz w:w="11900" w:h="16838" w:orient="portrait"/>
          <w:cols w:equalWidth="0" w:num="1">
            <w:col w:w="11240"/>
          </w:cols>
          <w:pgMar w:left="240" w:top="229"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40" w:type="dxa"/>
            <w:vAlign w:val="bottom"/>
            <w:gridSpan w:val="9"/>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9"/>
              </w:rPr>
              <w:t>Essent Group Ltd.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gridSpan w:val="9"/>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1600" w:type="dxa"/>
            <w:vAlign w:val="bottom"/>
            <w:gridSpan w:val="8"/>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w:t>
              </w:r>
            </w:hyperlink>
          </w:p>
        </w:tc>
        <w:tc>
          <w:tcPr>
            <w:tcW w:w="9580" w:type="dxa"/>
            <w:vAlign w:val="bottom"/>
            <w:gridSpan w:val="17"/>
          </w:tcPr>
          <w:p>
            <w:pPr>
              <w:spacing w:after="0"/>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FINANCIAL INFORMATION</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6"/>
              </w:rPr>
            </w:pPr>
            <w:hyperlink w:anchor="page5">
              <w:r>
                <w:rPr>
                  <w:rFonts w:ascii="Times New Roman" w:cs="Times New Roman" w:eastAsia="Times New Roman" w:hAnsi="Times New Roman"/>
                  <w:sz w:val="18"/>
                  <w:szCs w:val="18"/>
                  <w:b w:val="1"/>
                  <w:bCs w:val="1"/>
                  <w:color w:val="0000EE"/>
                  <w:w w:val="96"/>
                </w:rPr>
                <w:t>Item 1.</w:t>
              </w:r>
            </w:hyperlink>
          </w:p>
        </w:tc>
        <w:tc>
          <w:tcPr>
            <w:tcW w:w="80" w:type="dxa"/>
            <w:vAlign w:val="bottom"/>
          </w:tcPr>
          <w:p>
            <w:pPr>
              <w:spacing w:after="0"/>
              <w:rPr>
                <w:sz w:val="24"/>
                <w:szCs w:val="24"/>
                <w:color w:val="auto"/>
              </w:rPr>
            </w:pPr>
          </w:p>
        </w:tc>
        <w:tc>
          <w:tcPr>
            <w:tcW w:w="980" w:type="dxa"/>
            <w:vAlign w:val="bottom"/>
            <w:gridSpan w:val="6"/>
          </w:tcPr>
          <w:p>
            <w:pPr>
              <w:spacing w:after="0"/>
              <w:rPr>
                <w:sz w:val="24"/>
                <w:szCs w:val="24"/>
                <w:color w:val="auto"/>
              </w:rPr>
            </w:pPr>
          </w:p>
        </w:tc>
        <w:tc>
          <w:tcPr>
            <w:tcW w:w="2600" w:type="dxa"/>
            <w:vAlign w:val="bottom"/>
            <w:tcBorders>
              <w:bottom w:val="single" w:sz="8" w:color="0000EE"/>
            </w:tcBorders>
            <w:gridSpan w:val="8"/>
          </w:tcPr>
          <w:p>
            <w:pPr>
              <w:spacing w:after="0"/>
              <w:rPr>
                <w:rFonts w:ascii="Times New Roman" w:cs="Times New Roman" w:eastAsia="Times New Roman" w:hAnsi="Times New Roman"/>
                <w:sz w:val="18"/>
                <w:szCs w:val="18"/>
                <w:b w:val="1"/>
                <w:bCs w:val="1"/>
                <w:color w:val="0000EE"/>
                <w:w w:val="99"/>
              </w:rPr>
            </w:pPr>
            <w:hyperlink w:anchor="page5">
              <w:r>
                <w:rPr>
                  <w:rFonts w:ascii="Times New Roman" w:cs="Times New Roman" w:eastAsia="Times New Roman" w:hAnsi="Times New Roman"/>
                  <w:sz w:val="18"/>
                  <w:szCs w:val="18"/>
                  <w:b w:val="1"/>
                  <w:bCs w:val="1"/>
                  <w:color w:val="0000EE"/>
                  <w:w w:val="99"/>
                </w:rPr>
                <w:t>Financial Statements (Unaudited)</w:t>
              </w:r>
            </w:hyperlink>
          </w:p>
        </w:tc>
        <w:tc>
          <w:tcPr>
            <w:tcW w:w="69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tcBorders>
              <w:bottom w:val="single" w:sz="8" w:color="0000EE"/>
            </w:tcBorders>
            <w:gridSpan w:val="9"/>
          </w:tcPr>
          <w:p>
            <w:pPr>
              <w:spacing w:after="0"/>
              <w:rPr>
                <w:rFonts w:ascii="Times New Roman" w:cs="Times New Roman" w:eastAsia="Times New Roman" w:hAnsi="Times New Roman"/>
                <w:sz w:val="18"/>
                <w:szCs w:val="18"/>
                <w:b w:val="1"/>
                <w:bCs w:val="1"/>
                <w:color w:val="0000EE"/>
                <w:w w:val="99"/>
              </w:rPr>
            </w:pPr>
            <w:hyperlink w:anchor="page5">
              <w:r>
                <w:rPr>
                  <w:rFonts w:ascii="Times New Roman" w:cs="Times New Roman" w:eastAsia="Times New Roman" w:hAnsi="Times New Roman"/>
                  <w:sz w:val="18"/>
                  <w:szCs w:val="18"/>
                  <w:b w:val="1"/>
                  <w:bCs w:val="1"/>
                  <w:color w:val="0000EE"/>
                  <w:w w:val="99"/>
                </w:rPr>
                <w:t>Condensed Consolidated Balance Sheets (Unaudited)</w:t>
              </w:r>
            </w:hyperlink>
          </w:p>
        </w:tc>
        <w:tc>
          <w:tcPr>
            <w:tcW w:w="550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1</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17"/>
          </w:tcPr>
          <w:p>
            <w:pPr>
              <w:spacing w:after="0"/>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Condensed Consolidated Statements of Comprehensive Income (Unaudited)</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17"/>
          </w:tcPr>
          <w:p>
            <w:pPr>
              <w:spacing w:after="0"/>
              <w:rPr>
                <w:rFonts w:ascii="Times New Roman" w:cs="Times New Roman" w:eastAsia="Times New Roman" w:hAnsi="Times New Roman"/>
                <w:sz w:val="18"/>
                <w:szCs w:val="18"/>
                <w:b w:val="1"/>
                <w:bCs w:val="1"/>
                <w:color w:val="0000EE"/>
              </w:rPr>
            </w:pPr>
            <w:hyperlink w:anchor="page6">
              <w:r>
                <w:rPr>
                  <w:rFonts w:ascii="Times New Roman" w:cs="Times New Roman" w:eastAsia="Times New Roman" w:hAnsi="Times New Roman"/>
                  <w:sz w:val="18"/>
                  <w:szCs w:val="18"/>
                  <w:b w:val="1"/>
                  <w:bCs w:val="1"/>
                  <w:color w:val="0000EE"/>
                </w:rPr>
                <w:t>Condensed Consolidated Statements of Changes in Stockholders’ Equity (Unaudited)</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3</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40" w:type="dxa"/>
            <w:vAlign w:val="bottom"/>
            <w:tcBorders>
              <w:top w:val="single" w:sz="8" w:color="0000EE"/>
            </w:tcBorders>
            <w:gridSpan w:val="15"/>
          </w:tcPr>
          <w:p>
            <w:pPr>
              <w:spacing w:after="0"/>
              <w:rPr>
                <w:rFonts w:ascii="Times New Roman" w:cs="Times New Roman" w:eastAsia="Times New Roman" w:hAnsi="Times New Roman"/>
                <w:sz w:val="18"/>
                <w:szCs w:val="18"/>
                <w:b w:val="1"/>
                <w:bCs w:val="1"/>
                <w:color w:val="0000EE"/>
              </w:rPr>
            </w:pPr>
            <w:hyperlink w:anchor="page7">
              <w:r>
                <w:rPr>
                  <w:rFonts w:ascii="Times New Roman" w:cs="Times New Roman" w:eastAsia="Times New Roman" w:hAnsi="Times New Roman"/>
                  <w:sz w:val="18"/>
                  <w:szCs w:val="18"/>
                  <w:b w:val="1"/>
                  <w:bCs w:val="1"/>
                  <w:color w:val="0000EE"/>
                </w:rPr>
                <w:t>Condensed Consolidated Statements of Cash Flows (Unaudited)</w:t>
              </w:r>
            </w:hyperlink>
          </w:p>
        </w:tc>
        <w:tc>
          <w:tcPr>
            <w:tcW w:w="30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4</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20" w:type="dxa"/>
            <w:vAlign w:val="bottom"/>
            <w:tcBorders>
              <w:bottom w:val="single" w:sz="8" w:color="0000EE"/>
            </w:tcBorders>
            <w:gridSpan w:val="13"/>
          </w:tcPr>
          <w:p>
            <w:pPr>
              <w:spacing w:after="0"/>
              <w:rPr>
                <w:rFonts w:ascii="Times New Roman" w:cs="Times New Roman" w:eastAsia="Times New Roman" w:hAnsi="Times New Roman"/>
                <w:sz w:val="18"/>
                <w:szCs w:val="18"/>
                <w:b w:val="1"/>
                <w:bCs w:val="1"/>
                <w:color w:val="0000EE"/>
                <w:w w:val="99"/>
              </w:rPr>
            </w:pPr>
            <w:hyperlink w:anchor="page8">
              <w:r>
                <w:rPr>
                  <w:rFonts w:ascii="Times New Roman" w:cs="Times New Roman" w:eastAsia="Times New Roman" w:hAnsi="Times New Roman"/>
                  <w:sz w:val="18"/>
                  <w:szCs w:val="18"/>
                  <w:b w:val="1"/>
                  <w:bCs w:val="1"/>
                  <w:color w:val="0000EE"/>
                  <w:w w:val="99"/>
                </w:rPr>
                <w:t>Notes to Condensed Consolidated Financial Statements (Unaudited)</w:t>
              </w:r>
            </w:hyperlink>
          </w:p>
        </w:tc>
        <w:tc>
          <w:tcPr>
            <w:tcW w:w="43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5</w:t>
              </w:r>
            </w:hyperlink>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6"/>
              </w:rPr>
            </w:pPr>
            <w:hyperlink w:anchor="page22">
              <w:r>
                <w:rPr>
                  <w:rFonts w:ascii="Times New Roman" w:cs="Times New Roman" w:eastAsia="Times New Roman" w:hAnsi="Times New Roman"/>
                  <w:sz w:val="18"/>
                  <w:szCs w:val="18"/>
                  <w:b w:val="1"/>
                  <w:bCs w:val="1"/>
                  <w:color w:val="0000EE"/>
                  <w:w w:val="96"/>
                </w:rPr>
                <w:t>Item 2.</w:t>
              </w:r>
            </w:hyperlink>
          </w:p>
        </w:tc>
        <w:tc>
          <w:tcPr>
            <w:tcW w:w="1060" w:type="dxa"/>
            <w:vAlign w:val="bottom"/>
            <w:gridSpan w:val="7"/>
          </w:tcPr>
          <w:p>
            <w:pPr>
              <w:spacing w:after="0"/>
              <w:rPr>
                <w:sz w:val="24"/>
                <w:szCs w:val="24"/>
                <w:color w:val="auto"/>
              </w:rPr>
            </w:pPr>
          </w:p>
        </w:tc>
        <w:tc>
          <w:tcPr>
            <w:tcW w:w="6840" w:type="dxa"/>
            <w:vAlign w:val="bottom"/>
            <w:tcBorders>
              <w:bottom w:val="single" w:sz="8" w:color="0000EE"/>
            </w:tcBorders>
            <w:gridSpan w:val="16"/>
          </w:tcPr>
          <w:p>
            <w:pPr>
              <w:spacing w:after="0"/>
              <w:rPr>
                <w:rFonts w:ascii="Times New Roman" w:cs="Times New Roman" w:eastAsia="Times New Roman" w:hAnsi="Times New Roman"/>
                <w:sz w:val="18"/>
                <w:szCs w:val="18"/>
                <w:b w:val="1"/>
                <w:bCs w:val="1"/>
                <w:color w:val="0000EE"/>
                <w:w w:val="99"/>
              </w:rPr>
            </w:pPr>
            <w:hyperlink w:anchor="page22">
              <w:r>
                <w:rPr>
                  <w:rFonts w:ascii="Times New Roman" w:cs="Times New Roman" w:eastAsia="Times New Roman" w:hAnsi="Times New Roman"/>
                  <w:sz w:val="18"/>
                  <w:szCs w:val="18"/>
                  <w:b w:val="1"/>
                  <w:bCs w:val="1"/>
                  <w:color w:val="0000EE"/>
                  <w:w w:val="9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2">
              <w:r>
                <w:rPr>
                  <w:rFonts w:ascii="Times New Roman" w:cs="Times New Roman" w:eastAsia="Times New Roman" w:hAnsi="Times New Roman"/>
                  <w:sz w:val="18"/>
                  <w:szCs w:val="18"/>
                  <w:color w:val="0000EE"/>
                  <w:w w:val="88"/>
                </w:rPr>
                <w:t>19</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Times New Roman" w:cs="Times New Roman" w:eastAsia="Times New Roman" w:hAnsi="Times New Roman"/>
                <w:sz w:val="18"/>
                <w:szCs w:val="18"/>
                <w:b w:val="1"/>
                <w:bCs w:val="1"/>
                <w:color w:val="0000EE"/>
                <w:w w:val="96"/>
              </w:rPr>
            </w:pPr>
            <w:hyperlink w:anchor="page39">
              <w:r>
                <w:rPr>
                  <w:rFonts w:ascii="Times New Roman" w:cs="Times New Roman" w:eastAsia="Times New Roman" w:hAnsi="Times New Roman"/>
                  <w:sz w:val="18"/>
                  <w:szCs w:val="18"/>
                  <w:b w:val="1"/>
                  <w:bCs w:val="1"/>
                  <w:color w:val="0000EE"/>
                  <w:w w:val="96"/>
                </w:rPr>
                <w:t>Item 3.</w:t>
              </w:r>
            </w:hyperlink>
          </w:p>
        </w:tc>
        <w:tc>
          <w:tcPr>
            <w:tcW w:w="1060" w:type="dxa"/>
            <w:vAlign w:val="bottom"/>
            <w:gridSpan w:val="7"/>
          </w:tcPr>
          <w:p>
            <w:pPr>
              <w:spacing w:after="0"/>
              <w:rPr>
                <w:sz w:val="24"/>
                <w:szCs w:val="24"/>
                <w:color w:val="auto"/>
              </w:rPr>
            </w:pPr>
          </w:p>
        </w:tc>
        <w:tc>
          <w:tcPr>
            <w:tcW w:w="9580" w:type="dxa"/>
            <w:vAlign w:val="bottom"/>
            <w:gridSpan w:val="17"/>
          </w:tcPr>
          <w:p>
            <w:pPr>
              <w:spacing w:after="0"/>
              <w:rPr>
                <w:rFonts w:ascii="Times New Roman" w:cs="Times New Roman" w:eastAsia="Times New Roman" w:hAnsi="Times New Roman"/>
                <w:sz w:val="18"/>
                <w:szCs w:val="18"/>
                <w:b w:val="1"/>
                <w:bCs w:val="1"/>
                <w:color w:val="0000EE"/>
              </w:rPr>
            </w:pPr>
            <w:hyperlink w:anchor="page39">
              <w:r>
                <w:rPr>
                  <w:rFonts w:ascii="Times New Roman" w:cs="Times New Roman" w:eastAsia="Times New Roman" w:hAnsi="Times New Roman"/>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39">
              <w:r>
                <w:rPr>
                  <w:rFonts w:ascii="Times New Roman" w:cs="Times New Roman" w:eastAsia="Times New Roman" w:hAnsi="Times New Roman"/>
                  <w:sz w:val="18"/>
                  <w:szCs w:val="18"/>
                  <w:color w:val="0000EE"/>
                  <w:w w:val="88"/>
                </w:rPr>
                <w:t>36</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b w:val="1"/>
                <w:bCs w:val="1"/>
                <w:color w:val="0000EE"/>
                <w:w w:val="96"/>
              </w:rPr>
            </w:pPr>
            <w:hyperlink w:anchor="page40">
              <w:r>
                <w:rPr>
                  <w:rFonts w:ascii="Times New Roman" w:cs="Times New Roman" w:eastAsia="Times New Roman" w:hAnsi="Times New Roman"/>
                  <w:sz w:val="18"/>
                  <w:szCs w:val="18"/>
                  <w:b w:val="1"/>
                  <w:bCs w:val="1"/>
                  <w:color w:val="0000EE"/>
                  <w:w w:val="96"/>
                </w:rPr>
                <w:t>Item 4.</w:t>
              </w:r>
            </w:hyperlink>
          </w:p>
        </w:tc>
        <w:tc>
          <w:tcPr>
            <w:tcW w:w="1060" w:type="dxa"/>
            <w:vAlign w:val="bottom"/>
            <w:gridSpan w:val="7"/>
          </w:tcPr>
          <w:p>
            <w:pPr>
              <w:spacing w:after="0"/>
              <w:rPr>
                <w:sz w:val="24"/>
                <w:szCs w:val="24"/>
                <w:color w:val="auto"/>
              </w:rPr>
            </w:pPr>
          </w:p>
        </w:tc>
        <w:tc>
          <w:tcPr>
            <w:tcW w:w="192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b w:val="1"/>
                <w:bCs w:val="1"/>
                <w:color w:val="0000EE"/>
                <w:w w:val="98"/>
              </w:rPr>
            </w:pPr>
            <w:hyperlink w:anchor="page40">
              <w:r>
                <w:rPr>
                  <w:rFonts w:ascii="Times New Roman" w:cs="Times New Roman" w:eastAsia="Times New Roman" w:hAnsi="Times New Roman"/>
                  <w:sz w:val="18"/>
                  <w:szCs w:val="18"/>
                  <w:b w:val="1"/>
                  <w:bCs w:val="1"/>
                  <w:color w:val="0000EE"/>
                  <w:w w:val="98"/>
                </w:rPr>
                <w:t>Controls and Procedures</w:t>
              </w:r>
            </w:hyperlink>
          </w:p>
        </w:tc>
        <w:tc>
          <w:tcPr>
            <w:tcW w:w="2740" w:type="dxa"/>
            <w:vAlign w:val="bottom"/>
            <w:tcBorders>
              <w:top w:val="single" w:sz="8" w:color="0000EE"/>
            </w:tcBorders>
            <w:gridSpan w:val="6"/>
          </w:tcPr>
          <w:p>
            <w:pPr>
              <w:spacing w:after="0"/>
              <w:rPr>
                <w:sz w:val="24"/>
                <w:szCs w:val="24"/>
                <w:color w:val="auto"/>
              </w:rPr>
            </w:pPr>
          </w:p>
        </w:tc>
        <w:tc>
          <w:tcPr>
            <w:tcW w:w="492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0">
              <w:r>
                <w:rPr>
                  <w:rFonts w:ascii="Times New Roman" w:cs="Times New Roman" w:eastAsia="Times New Roman" w:hAnsi="Times New Roman"/>
                  <w:sz w:val="18"/>
                  <w:szCs w:val="18"/>
                  <w:color w:val="0000EE"/>
                  <w:w w:val="88"/>
                </w:rPr>
                <w:t>36</w:t>
              </w:r>
            </w:hyperlink>
          </w:p>
        </w:tc>
      </w:tr>
      <w:tr>
        <w:trPr>
          <w:trHeight w:val="520"/>
        </w:trPr>
        <w:tc>
          <w:tcPr>
            <w:tcW w:w="40" w:type="dxa"/>
            <w:vAlign w:val="bottom"/>
          </w:tcPr>
          <w:p>
            <w:pPr>
              <w:spacing w:after="0"/>
              <w:rPr>
                <w:sz w:val="24"/>
                <w:szCs w:val="24"/>
                <w:color w:val="auto"/>
              </w:rPr>
            </w:pPr>
          </w:p>
        </w:tc>
        <w:tc>
          <w:tcPr>
            <w:tcW w:w="700" w:type="dxa"/>
            <w:vAlign w:val="bottom"/>
            <w:gridSpan w:val="4"/>
          </w:tcPr>
          <w:p>
            <w:pPr>
              <w:spacing w:after="0"/>
              <w:rPr>
                <w:rFonts w:ascii="Times New Roman" w:cs="Times New Roman" w:eastAsia="Times New Roman" w:hAnsi="Times New Roman"/>
                <w:sz w:val="18"/>
                <w:szCs w:val="18"/>
                <w:b w:val="1"/>
                <w:bCs w:val="1"/>
                <w:color w:val="0000EE"/>
                <w:w w:val="94"/>
              </w:rPr>
            </w:pPr>
            <w:hyperlink w:anchor="page40">
              <w:r>
                <w:rPr>
                  <w:rFonts w:ascii="Times New Roman" w:cs="Times New Roman" w:eastAsia="Times New Roman" w:hAnsi="Times New Roman"/>
                  <w:sz w:val="18"/>
                  <w:szCs w:val="18"/>
                  <w:b w:val="1"/>
                  <w:bCs w:val="1"/>
                  <w:color w:val="0000EE"/>
                  <w:w w:val="94"/>
                </w:rPr>
                <w:t>PART II.</w:t>
              </w:r>
            </w:hyperlink>
          </w:p>
        </w:tc>
        <w:tc>
          <w:tcPr>
            <w:tcW w:w="900" w:type="dxa"/>
            <w:vAlign w:val="bottom"/>
            <w:gridSpan w:val="4"/>
          </w:tcPr>
          <w:p>
            <w:pPr>
              <w:spacing w:after="0"/>
              <w:rPr>
                <w:sz w:val="24"/>
                <w:szCs w:val="24"/>
                <w:color w:val="auto"/>
              </w:rPr>
            </w:pPr>
          </w:p>
        </w:tc>
        <w:tc>
          <w:tcPr>
            <w:tcW w:w="9580" w:type="dxa"/>
            <w:vAlign w:val="bottom"/>
            <w:gridSpan w:val="17"/>
          </w:tcPr>
          <w:p>
            <w:pPr>
              <w:spacing w:after="0"/>
              <w:rPr>
                <w:rFonts w:ascii="Times New Roman" w:cs="Times New Roman" w:eastAsia="Times New Roman" w:hAnsi="Times New Roman"/>
                <w:sz w:val="18"/>
                <w:szCs w:val="18"/>
                <w:b w:val="1"/>
                <w:bCs w:val="1"/>
                <w:color w:val="0000EE"/>
              </w:rPr>
            </w:pPr>
            <w:hyperlink w:anchor="page40">
              <w:r>
                <w:rPr>
                  <w:rFonts w:ascii="Times New Roman" w:cs="Times New Roman" w:eastAsia="Times New Roman" w:hAnsi="Times New Roman"/>
                  <w:sz w:val="18"/>
                  <w:szCs w:val="18"/>
                  <w:b w:val="1"/>
                  <w:bCs w:val="1"/>
                  <w:color w:val="0000EE"/>
                </w:rPr>
                <w:t>OTHER INFORMATION</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40">
              <w:r>
                <w:rPr>
                  <w:rFonts w:ascii="Times New Roman" w:cs="Times New Roman" w:eastAsia="Times New Roman" w:hAnsi="Times New Roman"/>
                  <w:sz w:val="18"/>
                  <w:szCs w:val="18"/>
                  <w:color w:val="0000EE"/>
                  <w:w w:val="88"/>
                </w:rPr>
                <w:t>37</w:t>
              </w:r>
            </w:hyperlink>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rFonts w:ascii="Times New Roman" w:cs="Times New Roman" w:eastAsia="Times New Roman" w:hAnsi="Times New Roman"/>
                <w:sz w:val="18"/>
                <w:szCs w:val="18"/>
                <w:b w:val="1"/>
                <w:bCs w:val="1"/>
                <w:color w:val="0000EE"/>
                <w:w w:val="96"/>
              </w:rPr>
            </w:pPr>
            <w:hyperlink w:anchor="page41">
              <w:r>
                <w:rPr>
                  <w:rFonts w:ascii="Times New Roman" w:cs="Times New Roman" w:eastAsia="Times New Roman" w:hAnsi="Times New Roman"/>
                  <w:sz w:val="18"/>
                  <w:szCs w:val="18"/>
                  <w:b w:val="1"/>
                  <w:bCs w:val="1"/>
                  <w:color w:val="0000EE"/>
                  <w:w w:val="96"/>
                </w:rPr>
                <w:t>Item 1.</w:t>
              </w:r>
            </w:hyperlink>
          </w:p>
        </w:tc>
        <w:tc>
          <w:tcPr>
            <w:tcW w:w="160" w:type="dxa"/>
            <w:vAlign w:val="bottom"/>
            <w:tcBorders>
              <w:top w:val="single" w:sz="8" w:color="0000EE"/>
            </w:tcBorders>
            <w:gridSpan w:val="3"/>
          </w:tcPr>
          <w:p>
            <w:pPr>
              <w:spacing w:after="0"/>
              <w:rPr>
                <w:sz w:val="24"/>
                <w:szCs w:val="24"/>
                <w:color w:val="auto"/>
              </w:rPr>
            </w:pPr>
          </w:p>
        </w:tc>
        <w:tc>
          <w:tcPr>
            <w:tcW w:w="900" w:type="dxa"/>
            <w:vAlign w:val="bottom"/>
            <w:gridSpan w:val="4"/>
          </w:tcPr>
          <w:p>
            <w:pPr>
              <w:spacing w:after="0"/>
              <w:rPr>
                <w:sz w:val="24"/>
                <w:szCs w:val="24"/>
                <w:color w:val="auto"/>
              </w:rPr>
            </w:pPr>
          </w:p>
        </w:tc>
        <w:tc>
          <w:tcPr>
            <w:tcW w:w="2020" w:type="dxa"/>
            <w:vAlign w:val="bottom"/>
            <w:tcBorders>
              <w:top w:val="single" w:sz="8" w:color="0000EE"/>
            </w:tcBorders>
            <w:gridSpan w:val="6"/>
          </w:tcPr>
          <w:p>
            <w:pPr>
              <w:spacing w:after="0"/>
              <w:rPr>
                <w:rFonts w:ascii="Times New Roman" w:cs="Times New Roman" w:eastAsia="Times New Roman" w:hAnsi="Times New Roman"/>
                <w:sz w:val="18"/>
                <w:szCs w:val="18"/>
                <w:b w:val="1"/>
                <w:bCs w:val="1"/>
                <w:color w:val="0000EE"/>
              </w:rPr>
            </w:pPr>
            <w:hyperlink w:anchor="page41">
              <w:r>
                <w:rPr>
                  <w:rFonts w:ascii="Times New Roman" w:cs="Times New Roman" w:eastAsia="Times New Roman" w:hAnsi="Times New Roman"/>
                  <w:sz w:val="18"/>
                  <w:szCs w:val="18"/>
                  <w:b w:val="1"/>
                  <w:bCs w:val="1"/>
                  <w:color w:val="0000EE"/>
                </w:rPr>
                <w:t>Legal Proceedings</w:t>
              </w:r>
            </w:hyperlink>
          </w:p>
        </w:tc>
        <w:tc>
          <w:tcPr>
            <w:tcW w:w="7560" w:type="dxa"/>
            <w:vAlign w:val="bottom"/>
            <w:gridSpan w:val="11"/>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1">
              <w:r>
                <w:rPr>
                  <w:rFonts w:ascii="Times New Roman" w:cs="Times New Roman" w:eastAsia="Times New Roman" w:hAnsi="Times New Roman"/>
                  <w:sz w:val="18"/>
                  <w:szCs w:val="18"/>
                  <w:color w:val="0000EE"/>
                  <w:w w:val="88"/>
                </w:rPr>
                <w:t>37</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600" w:type="dxa"/>
            <w:vAlign w:val="bottom"/>
            <w:gridSpan w:val="8"/>
          </w:tcPr>
          <w:p>
            <w:pPr>
              <w:spacing w:after="0"/>
              <w:rPr>
                <w:rFonts w:ascii="Times New Roman" w:cs="Times New Roman" w:eastAsia="Times New Roman" w:hAnsi="Times New Roman"/>
                <w:sz w:val="18"/>
                <w:szCs w:val="18"/>
                <w:b w:val="1"/>
                <w:bCs w:val="1"/>
                <w:color w:val="0000EE"/>
              </w:rPr>
            </w:pPr>
            <w:hyperlink w:anchor="page41">
              <w:r>
                <w:rPr>
                  <w:rFonts w:ascii="Times New Roman" w:cs="Times New Roman" w:eastAsia="Times New Roman" w:hAnsi="Times New Roman"/>
                  <w:sz w:val="18"/>
                  <w:szCs w:val="18"/>
                  <w:b w:val="1"/>
                  <w:bCs w:val="1"/>
                  <w:color w:val="0000EE"/>
                </w:rPr>
                <w:t>Item 1A.</w:t>
              </w:r>
            </w:hyperlink>
          </w:p>
        </w:tc>
        <w:tc>
          <w:tcPr>
            <w:tcW w:w="9580" w:type="dxa"/>
            <w:vAlign w:val="bottom"/>
            <w:gridSpan w:val="17"/>
          </w:tcPr>
          <w:p>
            <w:pPr>
              <w:spacing w:after="0"/>
              <w:rPr>
                <w:rFonts w:ascii="Times New Roman" w:cs="Times New Roman" w:eastAsia="Times New Roman" w:hAnsi="Times New Roman"/>
                <w:sz w:val="18"/>
                <w:szCs w:val="18"/>
                <w:b w:val="1"/>
                <w:bCs w:val="1"/>
                <w:color w:val="0000EE"/>
              </w:rPr>
            </w:pPr>
            <w:hyperlink w:anchor="page41">
              <w:r>
                <w:rPr>
                  <w:rFonts w:ascii="Times New Roman" w:cs="Times New Roman" w:eastAsia="Times New Roman" w:hAnsi="Times New Roman"/>
                  <w:sz w:val="18"/>
                  <w:szCs w:val="18"/>
                  <w:b w:val="1"/>
                  <w:bCs w:val="1"/>
                  <w:color w:val="0000EE"/>
                </w:rPr>
                <w:t>Risk Factors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41">
              <w:r>
                <w:rPr>
                  <w:rFonts w:ascii="Times New Roman" w:cs="Times New Roman" w:eastAsia="Times New Roman" w:hAnsi="Times New Roman"/>
                  <w:sz w:val="18"/>
                  <w:szCs w:val="18"/>
                  <w:color w:val="0000EE"/>
                  <w:w w:val="88"/>
                </w:rPr>
                <w:t>37</w:t>
              </w:r>
            </w:hyperlink>
          </w:p>
        </w:tc>
      </w:tr>
      <w:tr>
        <w:trPr>
          <w:trHeight w:val="20"/>
        </w:trPr>
        <w:tc>
          <w:tcPr>
            <w:tcW w:w="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6"/>
              </w:rPr>
            </w:pPr>
            <w:hyperlink w:anchor="page41">
              <w:r>
                <w:rPr>
                  <w:rFonts w:ascii="Times New Roman" w:cs="Times New Roman" w:eastAsia="Times New Roman" w:hAnsi="Times New Roman"/>
                  <w:sz w:val="18"/>
                  <w:szCs w:val="18"/>
                  <w:b w:val="1"/>
                  <w:bCs w:val="1"/>
                  <w:color w:val="0000EE"/>
                  <w:w w:val="96"/>
                </w:rPr>
                <w:t>Item 2.</w:t>
              </w:r>
            </w:hyperlink>
          </w:p>
        </w:tc>
        <w:tc>
          <w:tcPr>
            <w:tcW w:w="120" w:type="dxa"/>
            <w:vAlign w:val="bottom"/>
            <w:gridSpan w:val="2"/>
          </w:tcPr>
          <w:p>
            <w:pPr>
              <w:spacing w:after="0"/>
              <w:rPr>
                <w:sz w:val="24"/>
                <w:szCs w:val="24"/>
                <w:color w:val="auto"/>
              </w:rPr>
            </w:pPr>
          </w:p>
        </w:tc>
        <w:tc>
          <w:tcPr>
            <w:tcW w:w="940" w:type="dxa"/>
            <w:vAlign w:val="bottom"/>
            <w:gridSpan w:val="5"/>
          </w:tcPr>
          <w:p>
            <w:pPr>
              <w:spacing w:after="0"/>
              <w:rPr>
                <w:sz w:val="24"/>
                <w:szCs w:val="24"/>
                <w:color w:val="auto"/>
              </w:rPr>
            </w:pPr>
          </w:p>
        </w:tc>
        <w:tc>
          <w:tcPr>
            <w:tcW w:w="4580" w:type="dxa"/>
            <w:vAlign w:val="bottom"/>
            <w:tcBorders>
              <w:bottom w:val="single" w:sz="8" w:color="0000EE"/>
            </w:tcBorders>
            <w:gridSpan w:val="10"/>
          </w:tcPr>
          <w:p>
            <w:pPr>
              <w:spacing w:after="0"/>
              <w:rPr>
                <w:rFonts w:ascii="Times New Roman" w:cs="Times New Roman" w:eastAsia="Times New Roman" w:hAnsi="Times New Roman"/>
                <w:sz w:val="18"/>
                <w:szCs w:val="18"/>
                <w:b w:val="1"/>
                <w:bCs w:val="1"/>
                <w:color w:val="0000EE"/>
                <w:w w:val="99"/>
              </w:rPr>
            </w:pPr>
            <w:hyperlink w:anchor="page41">
              <w:r>
                <w:rPr>
                  <w:rFonts w:ascii="Times New Roman" w:cs="Times New Roman" w:eastAsia="Times New Roman" w:hAnsi="Times New Roman"/>
                  <w:sz w:val="18"/>
                  <w:szCs w:val="18"/>
                  <w:b w:val="1"/>
                  <w:bCs w:val="1"/>
                  <w:color w:val="0000EE"/>
                  <w:w w:val="99"/>
                </w:rPr>
                <w:t>Unregistered Sales of Equity Securities and Use of Proceeds</w:t>
              </w:r>
            </w:hyperlink>
          </w:p>
        </w:tc>
        <w:tc>
          <w:tcPr>
            <w:tcW w:w="50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1">
              <w:r>
                <w:rPr>
                  <w:rFonts w:ascii="Times New Roman" w:cs="Times New Roman" w:eastAsia="Times New Roman" w:hAnsi="Times New Roman"/>
                  <w:sz w:val="18"/>
                  <w:szCs w:val="18"/>
                  <w:color w:val="0000EE"/>
                  <w:w w:val="88"/>
                </w:rPr>
                <w:t>37</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Times New Roman" w:cs="Times New Roman" w:eastAsia="Times New Roman" w:hAnsi="Times New Roman"/>
                <w:sz w:val="18"/>
                <w:szCs w:val="18"/>
                <w:b w:val="1"/>
                <w:bCs w:val="1"/>
                <w:color w:val="0000EE"/>
                <w:w w:val="96"/>
              </w:rPr>
            </w:pPr>
            <w:hyperlink w:anchor="page41">
              <w:r>
                <w:rPr>
                  <w:rFonts w:ascii="Times New Roman" w:cs="Times New Roman" w:eastAsia="Times New Roman" w:hAnsi="Times New Roman"/>
                  <w:sz w:val="18"/>
                  <w:szCs w:val="18"/>
                  <w:b w:val="1"/>
                  <w:bCs w:val="1"/>
                  <w:color w:val="0000EE"/>
                  <w:w w:val="96"/>
                </w:rPr>
                <w:t>Item 5.</w:t>
              </w:r>
            </w:hyperlink>
          </w:p>
        </w:tc>
        <w:tc>
          <w:tcPr>
            <w:tcW w:w="1060" w:type="dxa"/>
            <w:vAlign w:val="bottom"/>
            <w:gridSpan w:val="7"/>
          </w:tcPr>
          <w:p>
            <w:pPr>
              <w:spacing w:after="0"/>
              <w:rPr>
                <w:sz w:val="24"/>
                <w:szCs w:val="24"/>
                <w:color w:val="auto"/>
              </w:rPr>
            </w:pPr>
          </w:p>
        </w:tc>
        <w:tc>
          <w:tcPr>
            <w:tcW w:w="9580" w:type="dxa"/>
            <w:vAlign w:val="bottom"/>
            <w:gridSpan w:val="17"/>
          </w:tcPr>
          <w:p>
            <w:pPr>
              <w:spacing w:after="0"/>
              <w:rPr>
                <w:rFonts w:ascii="Times New Roman" w:cs="Times New Roman" w:eastAsia="Times New Roman" w:hAnsi="Times New Roman"/>
                <w:sz w:val="18"/>
                <w:szCs w:val="18"/>
                <w:b w:val="1"/>
                <w:bCs w:val="1"/>
                <w:color w:val="0000EE"/>
              </w:rPr>
            </w:pPr>
            <w:hyperlink w:anchor="page41">
              <w:r>
                <w:rPr>
                  <w:rFonts w:ascii="Times New Roman" w:cs="Times New Roman" w:eastAsia="Times New Roman" w:hAnsi="Times New Roman"/>
                  <w:sz w:val="18"/>
                  <w:szCs w:val="18"/>
                  <w:b w:val="1"/>
                  <w:bCs w:val="1"/>
                  <w:color w:val="0000EE"/>
                </w:rPr>
                <w:t>Other Information</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41">
              <w:r>
                <w:rPr>
                  <w:rFonts w:ascii="Times New Roman" w:cs="Times New Roman" w:eastAsia="Times New Roman" w:hAnsi="Times New Roman"/>
                  <w:sz w:val="18"/>
                  <w:szCs w:val="18"/>
                  <w:color w:val="0000EE"/>
                  <w:w w:val="88"/>
                </w:rPr>
                <w:t>37</w:t>
              </w:r>
            </w:hyperlink>
          </w:p>
        </w:tc>
      </w:tr>
      <w:tr>
        <w:trPr>
          <w:trHeight w:val="547"/>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rFonts w:ascii="Times New Roman" w:cs="Times New Roman" w:eastAsia="Times New Roman" w:hAnsi="Times New Roman"/>
                <w:sz w:val="18"/>
                <w:szCs w:val="18"/>
                <w:b w:val="1"/>
                <w:bCs w:val="1"/>
                <w:color w:val="0000EE"/>
                <w:w w:val="96"/>
              </w:rPr>
            </w:pPr>
            <w:hyperlink w:anchor="page41">
              <w:r>
                <w:rPr>
                  <w:rFonts w:ascii="Times New Roman" w:cs="Times New Roman" w:eastAsia="Times New Roman" w:hAnsi="Times New Roman"/>
                  <w:sz w:val="18"/>
                  <w:szCs w:val="18"/>
                  <w:b w:val="1"/>
                  <w:bCs w:val="1"/>
                  <w:color w:val="0000EE"/>
                  <w:w w:val="96"/>
                </w:rPr>
                <w:t>Item 6.</w:t>
              </w:r>
            </w:hyperlink>
          </w:p>
        </w:tc>
        <w:tc>
          <w:tcPr>
            <w:tcW w:w="1060" w:type="dxa"/>
            <w:vAlign w:val="bottom"/>
            <w:gridSpan w:val="7"/>
          </w:tcPr>
          <w:p>
            <w:pPr>
              <w:spacing w:after="0"/>
              <w:rPr>
                <w:sz w:val="24"/>
                <w:szCs w:val="24"/>
                <w:color w:val="auto"/>
              </w:rPr>
            </w:pPr>
          </w:p>
        </w:tc>
        <w:tc>
          <w:tcPr>
            <w:tcW w:w="1440" w:type="dxa"/>
            <w:vAlign w:val="bottom"/>
            <w:tcBorders>
              <w:top w:val="single" w:sz="8" w:color="0000EE"/>
            </w:tcBorders>
            <w:gridSpan w:val="4"/>
          </w:tcPr>
          <w:p>
            <w:pPr>
              <w:spacing w:after="0"/>
              <w:rPr>
                <w:rFonts w:ascii="Times New Roman" w:cs="Times New Roman" w:eastAsia="Times New Roman" w:hAnsi="Times New Roman"/>
                <w:sz w:val="18"/>
                <w:szCs w:val="18"/>
                <w:b w:val="1"/>
                <w:bCs w:val="1"/>
                <w:color w:val="0000EE"/>
              </w:rPr>
            </w:pPr>
            <w:hyperlink w:anchor="page41">
              <w:r>
                <w:rPr>
                  <w:rFonts w:ascii="Times New Roman" w:cs="Times New Roman" w:eastAsia="Times New Roman" w:hAnsi="Times New Roman"/>
                  <w:sz w:val="18"/>
                  <w:szCs w:val="18"/>
                  <w:b w:val="1"/>
                  <w:bCs w:val="1"/>
                  <w:color w:val="0000EE"/>
                </w:rPr>
                <w:t>Exhibits</w:t>
              </w:r>
            </w:hyperlink>
          </w:p>
        </w:tc>
        <w:tc>
          <w:tcPr>
            <w:tcW w:w="8140" w:type="dxa"/>
            <w:vAlign w:val="bottom"/>
            <w:gridSpan w:val="1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1">
              <w:r>
                <w:rPr>
                  <w:rFonts w:ascii="Times New Roman" w:cs="Times New Roman" w:eastAsia="Times New Roman" w:hAnsi="Times New Roman"/>
                  <w:sz w:val="18"/>
                  <w:szCs w:val="18"/>
                  <w:color w:val="0000EE"/>
                  <w:w w:val="88"/>
                </w:rPr>
                <w:t>38</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6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w w:val="97"/>
              </w:rPr>
            </w:pPr>
            <w:hyperlink w:anchor="page42">
              <w:r>
                <w:rPr>
                  <w:rFonts w:ascii="Times New Roman" w:cs="Times New Roman" w:eastAsia="Times New Roman" w:hAnsi="Times New Roman"/>
                  <w:sz w:val="18"/>
                  <w:szCs w:val="18"/>
                  <w:b w:val="1"/>
                  <w:bCs w:val="1"/>
                  <w:color w:val="0000EE"/>
                  <w:w w:val="97"/>
                </w:rPr>
                <w:t>SIGNATURES</w:t>
              </w:r>
            </w:hyperlink>
          </w:p>
        </w:tc>
        <w:tc>
          <w:tcPr>
            <w:tcW w:w="4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2">
              <w:r>
                <w:rPr>
                  <w:rFonts w:ascii="Times New Roman" w:cs="Times New Roman" w:eastAsia="Times New Roman" w:hAnsi="Times New Roman"/>
                  <w:sz w:val="18"/>
                  <w:szCs w:val="18"/>
                  <w:color w:val="0000EE"/>
                  <w:w w:val="88"/>
                </w:rPr>
                <w:t>39</w:t>
              </w:r>
            </w:hyperlink>
          </w:p>
        </w:tc>
      </w:tr>
      <w:tr>
        <w:trPr>
          <w:trHeight w:val="520"/>
        </w:trPr>
        <w:tc>
          <w:tcPr>
            <w:tcW w:w="40" w:type="dxa"/>
            <w:vAlign w:val="bottom"/>
          </w:tcPr>
          <w:p>
            <w:pPr>
              <w:spacing w:after="0"/>
              <w:rPr>
                <w:sz w:val="24"/>
                <w:szCs w:val="24"/>
                <w:color w:val="auto"/>
              </w:rPr>
            </w:pPr>
          </w:p>
        </w:tc>
        <w:tc>
          <w:tcPr>
            <w:tcW w:w="1600" w:type="dxa"/>
            <w:vAlign w:val="bottom"/>
            <w:gridSpan w:val="8"/>
          </w:tcPr>
          <w:p>
            <w:pPr>
              <w:spacing w:after="0"/>
              <w:rPr>
                <w:rFonts w:ascii="Times New Roman" w:cs="Times New Roman" w:eastAsia="Times New Roman" w:hAnsi="Times New Roman"/>
                <w:sz w:val="18"/>
                <w:szCs w:val="18"/>
                <w:b w:val="1"/>
                <w:bCs w:val="1"/>
                <w:color w:val="0000EE"/>
              </w:rPr>
            </w:pPr>
            <w:hyperlink w:anchor="page43">
              <w:r>
                <w:rPr>
                  <w:rFonts w:ascii="Times New Roman" w:cs="Times New Roman" w:eastAsia="Times New Roman" w:hAnsi="Times New Roman"/>
                  <w:sz w:val="18"/>
                  <w:szCs w:val="18"/>
                  <w:b w:val="1"/>
                  <w:bCs w:val="1"/>
                  <w:color w:val="0000EE"/>
                </w:rPr>
                <w:t>EXHIBIT INDEX</w:t>
              </w:r>
            </w:hyperlink>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40</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the context otherwise indicates or requires, the terms “we,” “our,” “us,” “Essent,” and the “Company,” as used in this Quarterly Report on</w:t>
      </w:r>
    </w:p>
    <w:p>
      <w:pPr>
        <w:spacing w:after="0" w:line="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Form 10-Q, refer to Essent Group Ltd. and its directly and indirectly owned subsidiaries, including our primary operating subsidiary, Essent Guaranty, Inc., as a combined entity, except where otherwise stated or where it is clear that the terms mean only Essent Group Ltd. exclusive of its subsidiaries.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merchandise,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factors described in Part I, Item 2 “Management’s Discussion and Analysis of Financial Condition and Results of Operations” of this Quarterly Report, and factors described in Part I, Item 1A “Risk Factors” of our Annual Report on Form 10-K for the year ended December 31, 2014 filed with the Securities and Exchange Commission. These factors include, without limitation, the following:</w:t>
      </w:r>
    </w:p>
    <w:p>
      <w:pPr>
        <w:spacing w:after="0" w:line="185" w:lineRule="exact"/>
        <w:rPr>
          <w:sz w:val="20"/>
          <w:szCs w:val="20"/>
          <w:color w:val="auto"/>
        </w:rPr>
      </w:pPr>
    </w:p>
    <w:p>
      <w:pPr>
        <w:ind w:left="660" w:right="20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to Fannie Mae and Freddie Mac, which we refer to collectively as the GSEs, whether through Federal legislation, restructurings or a shift in business practices;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meet the mortgage insurer eligibility requirements of the GSEs;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new insurance written, or NIW, and franchise value due to loss of a significant customer;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or investors seeking alternatives to private mortgage insurance;</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the number of loans insured through Federal government mortgage insurance programs, including those offered by the Federal Housing Administration;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the volume of low down payment mortgage originations;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loss reserve estimates;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length of time our insurance policies are in force;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w:t>
      </w:r>
    </w:p>
    <w:p>
      <w:pPr>
        <w:spacing w:after="0" w:line="22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“Qualified Mortgage” reducing the size of the mortgage origination market or creating incentives to use government mortgage insurance programs;</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“Qualified Residential Mortgage” reducing the number of low down payment loans or lenders and investors seeking alternatives to private mortgage insurance;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Basel III Capital Accord, which may discourage the use of private mortgage insurance;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risk in our investment portfolio;</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380"/>
          </w:cols>
          <w:pgMar w:left="240" w:top="121" w:right="27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of the premiums we charge to compensate for our losses incurred;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management team and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disturbance to our information technology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our customers’ capital requirements discouraging the use of mortgage insurance;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 of borrowers’ homes;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capital;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claims arise under and risks associated with our contract underwriting program;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practice that loss reserves are established only upon a loan default;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mortgage loan servicing;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future legal proceedings;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technological demands;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non-U.S. operations becoming subject to U.S. Federal income taxation;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becoming considered a passive foreign investment company for U.S. Federal income tax purposes;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of recently enacted legislation is uncertain;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of our insurance subsidiaries to pay dividends.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20"/>
          </w:cols>
          <w:pgMar w:left="240" w:top="121" w:right="4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75"/>
        </w:trPr>
        <w:tc>
          <w:tcPr>
            <w:tcW w:w="8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Investments available for sale, at fair value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 maturities (amortized cost: 2015 — $1,063,073; 2014 — $840,213)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1,064,013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846,925</w:t>
            </w:r>
          </w:p>
        </w:tc>
      </w:tr>
      <w:tr>
        <w:trPr>
          <w:trHeight w:val="243"/>
        </w:trPr>
        <w:tc>
          <w:tcPr>
            <w:tcW w:w="8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Short-term investments (amortized cost: 2015 — $95,366; 2014 — $210,688)</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95,366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210,688</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1,159,379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1,057,613</w:t>
            </w:r>
          </w:p>
        </w:tc>
      </w:tr>
      <w:tr>
        <w:trPr>
          <w:trHeight w:val="243"/>
        </w:trPr>
        <w:tc>
          <w:tcPr>
            <w:tcW w:w="8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24,411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5,748</w:t>
            </w:r>
          </w:p>
        </w:tc>
      </w:tr>
      <w:tr>
        <w:trPr>
          <w:trHeight w:val="243"/>
        </w:trPr>
        <w:tc>
          <w:tcPr>
            <w:tcW w:w="8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15,810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9,597</w:t>
            </w:r>
          </w:p>
        </w:tc>
      </w:tr>
      <w:tr>
        <w:trPr>
          <w:trHeight w:val="243"/>
        </w:trPr>
        <w:tc>
          <w:tcPr>
            <w:tcW w:w="8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Property and equipment (at cost, less accumulated depreciation of $40,841 in 2015 and $39,260 in 2014)</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5,841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federal income tax</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95,173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59,673</w:t>
            </w:r>
          </w:p>
        </w:tc>
      </w:tr>
      <w:tr>
        <w:trPr>
          <w:trHeight w:val="243"/>
        </w:trPr>
        <w:tc>
          <w:tcPr>
            <w:tcW w:w="8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2,768</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1,327,488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1,181,461</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1"/>
        </w:trPr>
        <w:tc>
          <w:tcPr>
            <w:tcW w:w="8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Reserve for losses and LAE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11,931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8,427</w:t>
            </w:r>
          </w:p>
        </w:tc>
      </w:tr>
      <w:tr>
        <w:trPr>
          <w:trHeight w:val="243"/>
        </w:trPr>
        <w:tc>
          <w:tcPr>
            <w:tcW w:w="8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Unearned premium reserve</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178,205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156,948</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payroll and bonuses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14,585</w:t>
            </w:r>
          </w:p>
        </w:tc>
      </w:tr>
      <w:tr>
        <w:trPr>
          <w:trHeight w:val="243"/>
        </w:trPr>
        <w:tc>
          <w:tcPr>
            <w:tcW w:w="8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64,161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37,092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Securities purchases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26,897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w:t>
            </w:r>
          </w:p>
        </w:tc>
      </w:tr>
      <w:tr>
        <w:trPr>
          <w:trHeight w:val="243"/>
        </w:trPr>
        <w:tc>
          <w:tcPr>
            <w:tcW w:w="8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8,444</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299,715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225,723</w:t>
            </w:r>
          </w:p>
        </w:tc>
      </w:tr>
      <w:tr>
        <w:trPr>
          <w:trHeight w:val="223"/>
        </w:trPr>
        <w:tc>
          <w:tcPr>
            <w:tcW w:w="8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Common shares, $0.015 par value: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Authorized - 233,333; issued — 92,659 shares in 2015 and 92,546 shares in 2014</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1,388</w:t>
            </w:r>
          </w:p>
        </w:tc>
      </w:tr>
      <w:tr>
        <w:trPr>
          <w:trHeight w:val="243"/>
        </w:trPr>
        <w:tc>
          <w:tcPr>
            <w:tcW w:w="8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897,167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893,285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4,667</w:t>
            </w:r>
          </w:p>
        </w:tc>
      </w:tr>
      <w:tr>
        <w:trPr>
          <w:trHeight w:val="243"/>
        </w:trPr>
        <w:tc>
          <w:tcPr>
            <w:tcW w:w="8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56,398</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1,027,773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955,738</w:t>
            </w:r>
          </w:p>
        </w:tc>
      </w:tr>
      <w:tr>
        <w:trPr>
          <w:trHeight w:val="257"/>
        </w:trPr>
        <w:tc>
          <w:tcPr>
            <w:tcW w:w="8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1,327,488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1,181,461</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100" w:type="dxa"/>
            <w:vAlign w:val="bottom"/>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premiums written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92,399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63,505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174,656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115,697</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0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Increase in unearned premiums</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(20,605)</w:t>
            </w:r>
          </w:p>
        </w:tc>
      </w:tr>
      <w:tr>
        <w:trPr>
          <w:trHeight w:val="237"/>
        </w:trPr>
        <w:tc>
          <w:tcPr>
            <w:tcW w:w="6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premiums earned</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78,361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50,342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153,399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95,092</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4,978</w:t>
            </w:r>
          </w:p>
        </w:tc>
      </w:tr>
      <w:tr>
        <w:trPr>
          <w:trHeight w:val="243"/>
        </w:trPr>
        <w:tc>
          <w:tcPr>
            <w:tcW w:w="6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468</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1,566</w:t>
            </w:r>
          </w:p>
        </w:tc>
      </w:tr>
      <w:tr>
        <w:trPr>
          <w:trHeight w:val="237"/>
        </w:trPr>
        <w:tc>
          <w:tcPr>
            <w:tcW w:w="60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84,067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54,283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164,078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102,104</w:t>
            </w:r>
          </w:p>
        </w:tc>
      </w:tr>
      <w:tr>
        <w:trPr>
          <w:trHeight w:val="27"/>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91"/>
        </w:trPr>
        <w:tc>
          <w:tcPr>
            <w:tcW w:w="5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6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1,868</w:t>
            </w:r>
          </w:p>
        </w:tc>
      </w:tr>
      <w:tr>
        <w:trPr>
          <w:trHeight w:val="243"/>
        </w:trPr>
        <w:tc>
          <w:tcPr>
            <w:tcW w:w="6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27,148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23,648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54,646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47,107</w:t>
            </w:r>
          </w:p>
        </w:tc>
      </w:tr>
      <w:tr>
        <w:trPr>
          <w:trHeight w:val="27"/>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Total losses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29,462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58,959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48,975</w:t>
            </w:r>
          </w:p>
        </w:tc>
      </w:tr>
      <w:tr>
        <w:trPr>
          <w:trHeight w:val="291"/>
        </w:trPr>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54,605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105,119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53,129</w:t>
            </w:r>
          </w:p>
        </w:tc>
      </w:tr>
      <w:tr>
        <w:trPr>
          <w:trHeight w:val="243"/>
        </w:trPr>
        <w:tc>
          <w:tcPr>
            <w:tcW w:w="6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17,412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33,088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18,568</w:t>
            </w:r>
          </w:p>
        </w:tc>
      </w:tr>
      <w:tr>
        <w:trPr>
          <w:trHeight w:val="27"/>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37,193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19,555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72,031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34,561</w:t>
            </w: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71"/>
        </w:trPr>
        <w:tc>
          <w:tcPr>
            <w:tcW w:w="5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50"/>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0.42</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0.41</w:t>
            </w:r>
          </w:p>
        </w:tc>
      </w:tr>
      <w:tr>
        <w:trPr>
          <w:trHeight w:val="284"/>
        </w:trPr>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90,344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83,276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90,265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83,071</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91,674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84,706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91,594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84,701</w:t>
            </w:r>
          </w:p>
        </w:tc>
      </w:tr>
      <w:tr>
        <w:trPr>
          <w:trHeight w:val="297"/>
        </w:trPr>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37,193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72,031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34,561</w:t>
            </w:r>
          </w:p>
        </w:tc>
      </w:tr>
      <w:tr>
        <w:trPr>
          <w:trHeight w:val="284"/>
        </w:trPr>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5"/>
        </w:trPr>
        <w:tc>
          <w:tcPr>
            <w:tcW w:w="6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Change in unrealized (depreciation) appreciation of investments, net of tax</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6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(benefit) expense of ($4,002) and $2,095 in the three months ended June</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30, 2015 and 2014 and ($1,892) and $2,465 in the six months ended June</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6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30, 2015 and 2014</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5,394</w:t>
            </w:r>
          </w:p>
        </w:tc>
      </w:tr>
      <w:tr>
        <w:trPr>
          <w:trHeight w:val="27"/>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5,394</w:t>
            </w:r>
          </w:p>
        </w:tc>
      </w:tr>
      <w:tr>
        <w:trPr>
          <w:trHeight w:val="257"/>
        </w:trPr>
        <w:tc>
          <w:tcPr>
            <w:tcW w:w="60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28,424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24,470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68,151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39,955</w:t>
            </w: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240" w:top="121" w:right="6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2"/>
                <w:szCs w:val="12"/>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1"/>
                <w:szCs w:val="11"/>
                <w:color w:val="auto"/>
              </w:rPr>
            </w:pPr>
          </w:p>
        </w:tc>
        <w:tc>
          <w:tcPr>
            <w:tcW w:w="11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01"/>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1"/>
                <w:szCs w:val="11"/>
                <w:color w:val="auto"/>
              </w:rPr>
            </w:pPr>
          </w:p>
        </w:tc>
        <w:tc>
          <w:tcPr>
            <w:tcW w:w="11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260" w:type="dxa"/>
            <w:vAlign w:val="bottom"/>
          </w:tcPr>
          <w:p>
            <w:pPr>
              <w:spacing w:after="0"/>
              <w:rPr>
                <w:sz w:val="11"/>
                <w:szCs w:val="11"/>
                <w:color w:val="auto"/>
              </w:rPr>
            </w:pPr>
          </w:p>
        </w:tc>
        <w:tc>
          <w:tcPr>
            <w:tcW w:w="11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180" w:type="dxa"/>
            <w:vAlign w:val="bottom"/>
          </w:tcPr>
          <w:p>
            <w:pPr>
              <w:spacing w:after="0"/>
              <w:rPr>
                <w:sz w:val="11"/>
                <w:szCs w:val="11"/>
                <w:color w:val="auto"/>
              </w:rPr>
            </w:pPr>
          </w:p>
        </w:tc>
        <w:tc>
          <w:tcPr>
            <w:tcW w:w="1060" w:type="dxa"/>
            <w:vAlign w:val="bottom"/>
          </w:tcPr>
          <w:p>
            <w:pPr>
              <w:jc w:val="center"/>
              <w:ind w:right="121"/>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76"/>
        </w:trPr>
        <w:tc>
          <w:tcPr>
            <w:tcW w:w="32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24"/>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Balance at January 1, 2014</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1,297</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754,390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(1,447)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(32,099)</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722,141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rPr>
              <w:t>88,497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88,497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6,114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6,114</w:t>
            </w:r>
          </w:p>
        </w:tc>
        <w:tc>
          <w:tcPr>
            <w:tcW w:w="0" w:type="dxa"/>
            <w:vAlign w:val="bottom"/>
          </w:tcPr>
          <w:p>
            <w:pPr>
              <w:spacing w:after="0"/>
              <w:rPr>
                <w:sz w:val="1"/>
                <w:szCs w:val="1"/>
                <w:color w:val="auto"/>
              </w:rPr>
            </w:pPr>
          </w:p>
        </w:tc>
      </w:tr>
      <w:tr>
        <w:trPr>
          <w:trHeight w:val="216"/>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Issuance of common shares net of issuance cost</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of $6,761</w:t>
            </w:r>
          </w:p>
        </w:tc>
        <w:tc>
          <w:tcPr>
            <w:tcW w:w="240" w:type="dxa"/>
            <w:vAlign w:val="bottom"/>
          </w:tcPr>
          <w:p>
            <w:pPr>
              <w:spacing w:after="0"/>
              <w:rPr>
                <w:sz w:val="18"/>
                <w:szCs w:val="18"/>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126,649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126,739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management incentive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Forfeiture of management incentive shares</w:t>
            </w: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12,520</w:t>
            </w:r>
          </w:p>
        </w:tc>
        <w:tc>
          <w:tcPr>
            <w:tcW w:w="0" w:type="dxa"/>
            <w:vAlign w:val="bottom"/>
          </w:tcPr>
          <w:p>
            <w:pPr>
              <w:spacing w:after="0"/>
              <w:rPr>
                <w:sz w:val="1"/>
                <w:szCs w:val="1"/>
                <w:color w:val="auto"/>
              </w:rPr>
            </w:pPr>
          </w:p>
        </w:tc>
      </w:tr>
      <w:tr>
        <w:trPr>
          <w:trHeight w:val="216"/>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Excess tax benefits from stock-based</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compensation expense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1,809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1,809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Treasury stock acquired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Cancellation of treasury stock</w:t>
            </w:r>
          </w:p>
        </w:tc>
        <w:tc>
          <w:tcPr>
            <w:tcW w:w="2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2,498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at December 31, 2014</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1,388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893,285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rPr>
              <w:t>4,667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rPr>
              <w:t>56,398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955,738</w:t>
            </w:r>
          </w:p>
        </w:tc>
        <w:tc>
          <w:tcPr>
            <w:tcW w:w="0" w:type="dxa"/>
            <w:vAlign w:val="bottom"/>
          </w:tcPr>
          <w:p>
            <w:pPr>
              <w:spacing w:after="0"/>
              <w:rPr>
                <w:sz w:val="1"/>
                <w:szCs w:val="1"/>
                <w:color w:val="auto"/>
              </w:rPr>
            </w:pPr>
          </w:p>
        </w:tc>
      </w:tr>
      <w:tr>
        <w:trPr>
          <w:trHeight w:val="297"/>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72,031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72,031</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management incentive shares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Forfeiture of management incentive shares</w:t>
            </w:r>
          </w:p>
        </w:tc>
        <w:tc>
          <w:tcPr>
            <w:tcW w:w="2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6,596</w:t>
            </w:r>
          </w:p>
        </w:tc>
        <w:tc>
          <w:tcPr>
            <w:tcW w:w="0" w:type="dxa"/>
            <w:vAlign w:val="bottom"/>
          </w:tcPr>
          <w:p>
            <w:pPr>
              <w:spacing w:after="0"/>
              <w:rPr>
                <w:sz w:val="1"/>
                <w:szCs w:val="1"/>
                <w:color w:val="auto"/>
              </w:rPr>
            </w:pPr>
          </w:p>
        </w:tc>
      </w:tr>
      <w:tr>
        <w:trPr>
          <w:trHeight w:val="216"/>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Excess tax benefits from stock-based</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compensation expense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2,332</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Treasury stock acquired</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(5,078)</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Cancellation of treasury stock</w:t>
            </w:r>
          </w:p>
        </w:tc>
        <w:tc>
          <w:tcPr>
            <w:tcW w:w="2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5,078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equity transactions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44"/>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Balance at June 30, 2015</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1,390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897,167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rPr>
              <w:t>787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rPr>
              <w:t>128,429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1,027,773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7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72,031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34,561</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Gain on the sale of investments, net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1,217</w:t>
            </w:r>
          </w:p>
        </w:tc>
      </w:tr>
      <w:tr>
        <w:trPr>
          <w:trHeight w:val="243"/>
        </w:trPr>
        <w:tc>
          <w:tcPr>
            <w:tcW w:w="7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Amortization of discount on payments due under Asset Purchase Agreement</w:t>
            </w:r>
          </w:p>
        </w:tc>
        <w:tc>
          <w:tcPr>
            <w:tcW w:w="3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6,148</w:t>
            </w:r>
          </w:p>
        </w:tc>
      </w:tr>
      <w:tr>
        <w:trPr>
          <w:trHeight w:val="243"/>
        </w:trPr>
        <w:tc>
          <w:tcPr>
            <w:tcW w:w="7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Amortization of premium on investment securities</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2,835</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17,312</w:t>
            </w:r>
          </w:p>
        </w:tc>
      </w:tr>
      <w:tr>
        <w:trPr>
          <w:trHeight w:val="243"/>
        </w:trPr>
        <w:tc>
          <w:tcPr>
            <w:tcW w:w="7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 in: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r>
      <w:tr>
        <w:trPr>
          <w:trHeight w:val="243"/>
        </w:trPr>
        <w:tc>
          <w:tcPr>
            <w:tcW w:w="7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federal income tax</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r>
      <w:tr>
        <w:trPr>
          <w:trHeight w:val="243"/>
        </w:trPr>
        <w:tc>
          <w:tcPr>
            <w:tcW w:w="7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825</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Reserve for losses and LAE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1,436</w:t>
            </w:r>
          </w:p>
        </w:tc>
      </w:tr>
      <w:tr>
        <w:trPr>
          <w:trHeight w:val="243"/>
        </w:trPr>
        <w:tc>
          <w:tcPr>
            <w:tcW w:w="7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Unearned premium reserve</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21,257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20,605</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w:t>
            </w:r>
          </w:p>
        </w:tc>
      </w:tr>
      <w:tr>
        <w:trPr>
          <w:trHeight w:val="237"/>
        </w:trPr>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89,846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45,247</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7"/>
        </w:trPr>
        <w:tc>
          <w:tcPr>
            <w:tcW w:w="7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change in short-term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115,322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(159,089)</w:t>
            </w:r>
          </w:p>
        </w:tc>
      </w:tr>
      <w:tr>
        <w:trPr>
          <w:trHeight w:val="243"/>
        </w:trPr>
        <w:tc>
          <w:tcPr>
            <w:tcW w:w="7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Purchase of investments available for sale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(427,964)</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maturity of investments available for sale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16,832</w:t>
            </w:r>
          </w:p>
        </w:tc>
      </w:tr>
      <w:tr>
        <w:trPr>
          <w:trHeight w:val="243"/>
        </w:trPr>
        <w:tc>
          <w:tcPr>
            <w:tcW w:w="7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Proceeds from sales of investments available for sale</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212,208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67,209</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Purchase of property and equipment, net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r>
      <w:tr>
        <w:trPr>
          <w:trHeight w:val="237"/>
        </w:trPr>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(85,418)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(504,683)</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7"/>
        </w:trPr>
        <w:tc>
          <w:tcPr>
            <w:tcW w:w="7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Treasury stock acquired</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r>
      <w:tr>
        <w:trPr>
          <w:trHeight w:val="243"/>
        </w:trPr>
        <w:tc>
          <w:tcPr>
            <w:tcW w:w="7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1,683</w:t>
            </w:r>
          </w:p>
        </w:tc>
      </w:tr>
      <w:tr>
        <w:trPr>
          <w:trHeight w:val="243"/>
        </w:trPr>
        <w:tc>
          <w:tcPr>
            <w:tcW w:w="7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Payments under Asset Purchase Agreement</w:t>
            </w:r>
          </w:p>
        </w:tc>
        <w:tc>
          <w:tcPr>
            <w:tcW w:w="3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w:t>
            </w:r>
          </w:p>
        </w:tc>
      </w:tr>
      <w:tr>
        <w:trPr>
          <w:trHeight w:val="27"/>
        </w:trPr>
        <w:tc>
          <w:tcPr>
            <w:tcW w:w="7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7"/>
        </w:trPr>
        <w:tc>
          <w:tcPr>
            <w:tcW w:w="7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(463,475)</w:t>
            </w: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at beginning of year</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24,411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477,655</w:t>
            </w:r>
          </w:p>
        </w:tc>
      </w:tr>
      <w:tr>
        <w:trPr>
          <w:trHeight w:val="297"/>
        </w:trPr>
        <w:tc>
          <w:tcPr>
            <w:tcW w:w="79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25,590</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14,180</w:t>
            </w:r>
          </w:p>
        </w:tc>
      </w:tr>
      <w:tr>
        <w:trPr>
          <w:trHeight w:val="271"/>
        </w:trPr>
        <w:tc>
          <w:tcPr>
            <w:tcW w:w="7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43"/>
        </w:trPr>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(payments) refunds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Noncash Transactions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Issuance of management incentive shares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416</w:t>
            </w:r>
          </w:p>
        </w:tc>
      </w:tr>
    </w:tbl>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160"/>
          </w:cols>
          <w:pgMar w:left="240" w:top="121" w:right="499" w:bottom="617" w:gutter="0" w:footer="0" w:header="0"/>
        </w:sectPr>
      </w:pP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60"/>
          </w:cols>
          <w:pgMar w:left="240" w:top="121" w:right="499" w:bottom="617"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In these notes to condensed consolidated financial statements, “Essent”, “Company”, “we”, “us”, and “our” refer to Essent Group Ltd. and its subsidiaries, unless the context otherwise requires.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low-down payment (generally less than 20%) mortgage loans into the secondary mortgage market, primarily to two government-sponsored enterprises (“GSEs”), Fannie Mae and Freddie Mac. Essent Group was incorporated in Bermuda in July 2008. In March 2014, Essent Group formed Essent Irish Intermediate Holdings Limited (“Essent Irish Intermediate”) as a wholly-owned subsidiary. In April 2014, Essent Group contributed all of the outstanding stock of Essent US Holdings, Inc. (“Essent Holdings”) to Essent Irish Intermediate. The primary mortgage insurance operations are conducted through Essent Holdings’ regulated and licensed wholly-owned subsidiaries, Essent Guaranty, Inc. (“Essent Guaranty”) and Essent Guaranty of PA, Inc. (“Essent PA”). Essent Group also has a wholly-owned Bermuda domiciled Class 3A Insurer licensed pursuant to Section 4 of the Bermuda Insurance Act 1978, Essent Reinsurance Ltd. (“Essent Re”), which offers mortgage-related insurance and reinsurance.</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2014,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2015 prior to the issuance of these condensed consolidated financial statements.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amounts in prior years have been reclassified to conform to the current year presentation.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Investments Available for Sale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Investments available for sale consist of the following:</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2015 (In thousands)</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3"/>
                <w:szCs w:val="13"/>
                <w:color w:val="auto"/>
              </w:rPr>
            </w:pPr>
          </w:p>
        </w:tc>
        <w:tc>
          <w:tcPr>
            <w:tcW w:w="1140" w:type="dxa"/>
            <w:vAlign w:val="bottom"/>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166,269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166,181</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 agency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103,599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104,236</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Municipal debt securities(1)</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260,051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260,887</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363,658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363,632</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51,292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50,750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130,025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130,128</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80,369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80,369</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1,158,439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1,159,379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50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2014 (In thousands)</w:t>
            </w:r>
          </w:p>
        </w:tc>
        <w:tc>
          <w:tcPr>
            <w:tcW w:w="12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24"/>
                <w:szCs w:val="24"/>
                <w:color w:val="auto"/>
              </w:rPr>
            </w:pPr>
          </w:p>
        </w:tc>
        <w:tc>
          <w:tcPr>
            <w:tcW w:w="1140" w:type="dxa"/>
            <w:vAlign w:val="bottom"/>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73,432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74,216</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 agency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4,520</w:t>
            </w:r>
          </w:p>
        </w:tc>
        <w:tc>
          <w:tcPr>
            <w:tcW w:w="0" w:type="dxa"/>
            <w:vAlign w:val="bottom"/>
          </w:tcPr>
          <w:p>
            <w:pPr>
              <w:spacing w:after="0"/>
              <w:rPr>
                <w:sz w:val="1"/>
                <w:szCs w:val="1"/>
                <w:color w:val="auto"/>
              </w:rPr>
            </w:pPr>
          </w:p>
        </w:tc>
      </w:tr>
      <w:tr>
        <w:trPr>
          <w:trHeight w:val="27"/>
        </w:trPr>
        <w:tc>
          <w:tcPr>
            <w:tcW w:w="5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82,190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83,540</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Municipal debt securities(1)</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191,723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195,546</w:t>
            </w:r>
          </w:p>
        </w:tc>
        <w:tc>
          <w:tcPr>
            <w:tcW w:w="0" w:type="dxa"/>
            <w:vAlign w:val="bottom"/>
          </w:tcPr>
          <w:p>
            <w:pPr>
              <w:spacing w:after="0"/>
              <w:rPr>
                <w:sz w:val="1"/>
                <w:szCs w:val="1"/>
                <w:color w:val="auto"/>
              </w:rPr>
            </w:pPr>
          </w:p>
        </w:tc>
      </w:tr>
      <w:tr>
        <w:trPr>
          <w:trHeight w:val="27"/>
        </w:trPr>
        <w:tc>
          <w:tcPr>
            <w:tcW w:w="5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295,507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296,829</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66,396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66,086</w:t>
            </w:r>
          </w:p>
        </w:tc>
        <w:tc>
          <w:tcPr>
            <w:tcW w:w="0" w:type="dxa"/>
            <w:vAlign w:val="bottom"/>
          </w:tcPr>
          <w:p>
            <w:pPr>
              <w:spacing w:after="0"/>
              <w:rPr>
                <w:sz w:val="1"/>
                <w:szCs w:val="1"/>
                <w:color w:val="auto"/>
              </w:rPr>
            </w:pPr>
          </w:p>
        </w:tc>
      </w:tr>
      <w:tr>
        <w:trPr>
          <w:trHeight w:val="27"/>
        </w:trPr>
        <w:tc>
          <w:tcPr>
            <w:tcW w:w="5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126,474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126,188</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210,688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210,688</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1,050,901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1,057,613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June 30, 2015, approximately 67.6% of municipal debt securities were special revenue bonds, 28.9% were general obligation bonds, 2.4% were certificate of participation bonds and 1.1% were tax allocation bonds. At December 31, 2014, approximately 59.7% of municipal debt securities were special revenue bonds, 37.5% were general obligation bonds, 1.5% were tax allocation bonds, 0.8% were certificate of participation bonds and 0.5% were special assessment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1406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amortized cost and fair value of investments available for sale at June 30, 2015, by contractual maturity, are shown below. Expected maturities will differ from contractual maturities because borrowers may have the right to call or prepay obligations with or without call or prepayment penalties. Because most mortgage-backed securities and asset-backed securities provide for periodic payments throughout their lives, they are listed below in separate categories.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60" w:type="dxa"/>
            <w:vAlign w:val="bottom"/>
          </w:tcPr>
          <w:p>
            <w:pPr>
              <w:spacing w:after="0"/>
              <w:rPr>
                <w:sz w:val="13"/>
                <w:szCs w:val="13"/>
                <w:color w:val="auto"/>
              </w:rPr>
            </w:pPr>
          </w:p>
        </w:tc>
        <w:tc>
          <w:tcPr>
            <w:tcW w:w="1480" w:type="dxa"/>
            <w:vAlign w:val="bottom"/>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7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19,853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19,879</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66,117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66,250</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80,299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80,052</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166,269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166,181</w:t>
            </w:r>
          </w:p>
        </w:tc>
        <w:tc>
          <w:tcPr>
            <w:tcW w:w="0" w:type="dxa"/>
            <w:vAlign w:val="bottom"/>
          </w:tcPr>
          <w:p>
            <w:pPr>
              <w:spacing w:after="0"/>
              <w:rPr>
                <w:sz w:val="1"/>
                <w:szCs w:val="1"/>
                <w:color w:val="auto"/>
              </w:rPr>
            </w:pPr>
          </w:p>
        </w:tc>
      </w:tr>
      <w:tr>
        <w:trPr>
          <w:trHeight w:val="223"/>
        </w:trPr>
        <w:tc>
          <w:tcPr>
            <w:tcW w:w="7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 agency securities:</w:t>
            </w:r>
          </w:p>
        </w:tc>
        <w:tc>
          <w:tcPr>
            <w:tcW w:w="3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23"/>
        </w:trPr>
        <w:tc>
          <w:tcPr>
            <w:tcW w:w="7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74,765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74,846</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91,891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92,933</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Due after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92,850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92,564</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260,051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260,887</w:t>
            </w:r>
          </w:p>
        </w:tc>
        <w:tc>
          <w:tcPr>
            <w:tcW w:w="0" w:type="dxa"/>
            <w:vAlign w:val="bottom"/>
          </w:tcPr>
          <w:p>
            <w:pPr>
              <w:spacing w:after="0"/>
              <w:rPr>
                <w:sz w:val="1"/>
                <w:szCs w:val="1"/>
                <w:color w:val="auto"/>
              </w:rPr>
            </w:pPr>
          </w:p>
        </w:tc>
      </w:tr>
      <w:tr>
        <w:trPr>
          <w:trHeight w:val="223"/>
        </w:trPr>
        <w:tc>
          <w:tcPr>
            <w:tcW w:w="7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8,874</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253,211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253,397</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101,319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101,075</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Due after 10 years</w:t>
            </w:r>
          </w:p>
        </w:tc>
        <w:tc>
          <w:tcPr>
            <w:tcW w:w="3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363,658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363,632</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103,599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104,236</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51,292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50,750</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130,025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130,128</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80,369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80,369</w:t>
            </w:r>
          </w:p>
        </w:tc>
        <w:tc>
          <w:tcPr>
            <w:tcW w:w="0" w:type="dxa"/>
            <w:vAlign w:val="bottom"/>
          </w:tcPr>
          <w:p>
            <w:pPr>
              <w:spacing w:after="0"/>
              <w:rPr>
                <w:sz w:val="1"/>
                <w:szCs w:val="1"/>
                <w:color w:val="auto"/>
              </w:rPr>
            </w:pPr>
          </w:p>
        </w:tc>
      </w:tr>
      <w:tr>
        <w:trPr>
          <w:trHeight w:val="237"/>
        </w:trPr>
        <w:tc>
          <w:tcPr>
            <w:tcW w:w="7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1,158,439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1,159,379</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Essent realized gross gains and losses on the sale of investments available for sale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420" w:type="dxa"/>
            <w:vAlign w:val="bottom"/>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3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Realized gross gains</w:t>
            </w:r>
          </w:p>
        </w:tc>
        <w:tc>
          <w:tcPr>
            <w:tcW w:w="2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2,127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840</w:t>
            </w: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gross losses</w:t>
            </w:r>
          </w:p>
        </w:tc>
        <w:tc>
          <w:tcPr>
            <w:tcW w:w="2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372</w:t>
            </w:r>
          </w:p>
        </w:tc>
      </w:tr>
      <w:tr>
        <w:trPr>
          <w:trHeight w:val="702"/>
        </w:trPr>
        <w:tc>
          <w:tcPr>
            <w:tcW w:w="3620" w:type="dxa"/>
            <w:vAlign w:val="bottom"/>
          </w:tcPr>
          <w:p>
            <w:pPr>
              <w:spacing w:after="0"/>
              <w:rPr>
                <w:sz w:val="24"/>
                <w:szCs w:val="24"/>
                <w:color w:val="auto"/>
              </w:rPr>
            </w:pPr>
          </w:p>
        </w:tc>
        <w:tc>
          <w:tcPr>
            <w:tcW w:w="2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investments in an unrealized loss position and the related unrealized losses were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2"/>
                <w:szCs w:val="12"/>
                <w:color w:val="auto"/>
              </w:rPr>
            </w:pPr>
          </w:p>
        </w:tc>
        <w:tc>
          <w:tcPr>
            <w:tcW w:w="78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2015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58,869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58,869</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28,747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130,250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163,172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5,083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21,243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59,760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6,362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454,398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39,626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494,024</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2"/>
                <w:szCs w:val="12"/>
                <w:color w:val="auto"/>
              </w:rPr>
            </w:pPr>
          </w:p>
        </w:tc>
        <w:tc>
          <w:tcPr>
            <w:tcW w:w="78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2014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21,698</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8,566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39,902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8,684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113,717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12,659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28,091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16,092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100,248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300,835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53,357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354,192</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gross unrealized losses on these investment securities are principally associated with the changes in the interest rate environment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other-than-temporary. There were no other-than-temporary impairments of investments in the six months ended June 30, 2015 or year ended December 31, 2014.</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investments deposited with insurance regulatory authorities to meet statutory requirements was $8.5 million as of June 30, 2015 and as of December 31, 2014. In connection with its insurance and reinsurance activities, Essent Re is required to maintain assets in trusts for the benefit of its contractual counterparties. The fair value of the required investments on deposit in these trusts were $151.6 million at June 30, 2015 and $66.7 million at December 31, 2014.</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investment income consists of:</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9,768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5,378</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investment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9,797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5,409</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Investment expenses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4,720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4,978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Accounts Receivable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receivable consist of the following:</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75"/>
        </w:trPr>
        <w:tc>
          <w:tcPr>
            <w:tcW w:w="8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Premiums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14,278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13,210</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receivables</w:t>
            </w: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2,600</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14,972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15,810</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14,972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15,810</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Premiums receivable consist of premiums due on our mortgage insurance policies. If mortgage insurance premiums are unpaid for more than 90 days, the receivable is written off against earned premium and the related insurance policy is cancelled. For all periods presented, no provision or allowance for doubtful accounts was required.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Reserve for Losses and Loss Adjustment Expenses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loss adjustment expenses (“LAE”) for the six months ended June 30:</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for losses and LAE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3,070</w:t>
            </w:r>
          </w:p>
        </w:tc>
      </w:tr>
      <w:tr>
        <w:trPr>
          <w:trHeight w:val="24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reserve for losses and LAE at beginning of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3,070</w:t>
            </w:r>
          </w:p>
        </w:tc>
      </w:tr>
      <w:tr>
        <w:trPr>
          <w:trHeight w:val="22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Add provision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2,452</w:t>
            </w:r>
          </w:p>
        </w:tc>
      </w:tr>
      <w:tr>
        <w:trPr>
          <w:trHeight w:val="243"/>
        </w:trPr>
        <w:tc>
          <w:tcPr>
            <w:tcW w:w="8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incurred losses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1,868</w:t>
            </w:r>
          </w:p>
        </w:tc>
      </w:tr>
      <w:tr>
        <w:trPr>
          <w:trHeight w:val="22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Deduct payments for losses and LAE, net of reinsurance, occurring in:</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period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Prior years</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432</w:t>
            </w: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and LAE payments during the current period</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432</w:t>
            </w:r>
          </w:p>
        </w:tc>
      </w:tr>
      <w:tr>
        <w:trPr>
          <w:trHeight w:val="237"/>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reserve for losses and LAE at end of period</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11,931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4,506</w:t>
            </w: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Reserve for losses and LAE at end of period</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11,931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4,506</w:t>
            </w:r>
          </w:p>
        </w:tc>
      </w:tr>
      <w:tr>
        <w:trPr>
          <w:trHeight w:val="67"/>
        </w:trPr>
        <w:tc>
          <w:tcPr>
            <w:tcW w:w="7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78"/>
        </w:trPr>
        <w:tc>
          <w:tcPr>
            <w:tcW w:w="7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Loans in default at end of period</w:t>
            </w: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235</w:t>
            </w:r>
          </w:p>
        </w:tc>
      </w:tr>
    </w:tbl>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2015, $0.7 million was paid for incurred claims and claim adjustment expenses attributable to insured events of prior years. There has been a $1.8 million favorable prior-year development during the six months ended June 30, 2015. Reserves remaining as of June 30, 2015 for prior years are $6.0 million as a result of re-estimation of unpaid losses and loss adjustment expenses. For the six months ended June 30, 2014, $0.4 million was paid for incurred claims and claim adjustment expenses attributable to insured events of prior years. There has been a $0.6 million favorable prior-year development during the six months ended June 30, 2014. Reserves remaining as of June 30, 2014 for prior years were $2.1 million as a result of re-estimation of unpaid losses and loss adjustment expenses. The decreases in both periods are generally the result of ongoing analysis of recent loss development trends. Original estimates are increased or decreased as additional information becomes known regarding individual claims.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under Guarantees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CUW Solutions LLC’s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$13,403 and $4,043 related to remedies for the six months ended June 30, 2015 and 2014, respectively. As of June 30, 2015, management believes any potential claims for indemnification related to contract underwriting services through June 30, 2015 are not material to our financial position or results of operations.</w:t>
      </w:r>
    </w:p>
    <w:p>
      <w:pPr>
        <w:spacing w:after="0" w:line="18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June 30, 2015,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nonvested common share and nonvested common share unit activity for the six months ended June 30, 2015:</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Time and Performance-</w:t>
            </w:r>
          </w:p>
        </w:tc>
        <w:tc>
          <w:tcPr>
            <w:tcW w:w="270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Time-Based Share</w:t>
            </w:r>
          </w:p>
        </w:tc>
        <w:tc>
          <w:tcPr>
            <w:tcW w:w="17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Based Share Awards</w:t>
            </w: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34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40" w:type="dxa"/>
            <w:vAlign w:val="bottom"/>
            <w:vMerge w:val="restart"/>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49"/>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1,290</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1,472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664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24.45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June 30, 2015</w:t>
            </w:r>
          </w:p>
        </w:tc>
        <w:tc>
          <w:tcPr>
            <w:tcW w:w="13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1,294</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962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540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19.72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320" w:firstLine="648"/>
        <w:spacing w:after="0" w:line="261" w:lineRule="auto"/>
        <w:rPr>
          <w:sz w:val="20"/>
          <w:szCs w:val="20"/>
          <w:color w:val="auto"/>
        </w:rPr>
      </w:pPr>
      <w:r>
        <w:rPr>
          <w:rFonts w:ascii="Times New Roman" w:cs="Times New Roman" w:eastAsia="Times New Roman" w:hAnsi="Times New Roman"/>
          <w:sz w:val="18"/>
          <w:szCs w:val="18"/>
          <w:color w:val="auto"/>
        </w:rPr>
        <w:t>In February 2015, certain members of senior management were granted nonvested common shares under the Essent Group Ltd. 2013 Long-Term Incentive Plan that were subject to time-based and performance-based vesting. The time-based share awards granted in February 2015 vest in three equal installments on March 1, 2016, 2017 and 2018. The performance-based share awards granted in February 2015 vest based upon our compounded annual book value per share growth percentage during a three-year performance period that commenced on January 1, 2015 and vest on March 1, 2018.</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In May 2015, nonvested common shares were granted to an employee in connection with an employment agreement that are subject to time-based and performance-based vesting. The time-based share award vests in four equal installments on July 1, 2016, 2017, 2018 and 2019. The performance-based share award vests based upon our compounded annual book value per share growth percentage during a three-year performance period that commenced on January 1, 2015 and vests on July 1, 2019.</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portion of the nonvested performance-based share awards that will be earned based upon the achievement of compounded annual book value per share growth is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Performance level</w:t>
            </w:r>
          </w:p>
        </w:tc>
        <w:tc>
          <w:tcPr>
            <w:tcW w:w="2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Compounded Annual Book Value</w:t>
            </w:r>
          </w:p>
        </w:tc>
        <w:tc>
          <w:tcPr>
            <w:tcW w:w="23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Nonvested Common</w:t>
            </w:r>
          </w:p>
        </w:tc>
        <w:tc>
          <w:tcPr>
            <w:tcW w:w="0" w:type="dxa"/>
            <w:vAlign w:val="bottom"/>
          </w:tcPr>
          <w:p>
            <w:pPr>
              <w:spacing w:after="0"/>
              <w:rPr>
                <w:sz w:val="1"/>
                <w:szCs w:val="1"/>
                <w:color w:val="auto"/>
              </w:rPr>
            </w:pPr>
          </w:p>
        </w:tc>
      </w:tr>
      <w:tr>
        <w:trPr>
          <w:trHeight w:val="195"/>
        </w:trPr>
        <w:tc>
          <w:tcPr>
            <w:tcW w:w="6160" w:type="dxa"/>
            <w:vAlign w:val="bottom"/>
            <w:gridSpan w:val="2"/>
            <w:vMerge w:val="continue"/>
          </w:tcPr>
          <w:p>
            <w:pPr>
              <w:spacing w:after="0"/>
              <w:rPr>
                <w:sz w:val="16"/>
                <w:szCs w:val="16"/>
                <w:color w:val="auto"/>
              </w:rPr>
            </w:pPr>
          </w:p>
        </w:tc>
        <w:tc>
          <w:tcPr>
            <w:tcW w:w="2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Share Growth</w:t>
            </w:r>
          </w:p>
        </w:tc>
        <w:tc>
          <w:tcPr>
            <w:tcW w:w="234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Shares Earned</w:t>
            </w:r>
          </w:p>
        </w:tc>
        <w:tc>
          <w:tcPr>
            <w:tcW w:w="0" w:type="dxa"/>
            <w:vAlign w:val="bottom"/>
          </w:tcPr>
          <w:p>
            <w:pPr>
              <w:spacing w:after="0"/>
              <w:rPr>
                <w:sz w:val="1"/>
                <w:szCs w:val="1"/>
                <w:color w:val="auto"/>
              </w:rPr>
            </w:pPr>
          </w:p>
        </w:tc>
      </w:tr>
      <w:tr>
        <w:trPr>
          <w:trHeight w:val="249"/>
        </w:trPr>
        <w:tc>
          <w:tcPr>
            <w:tcW w:w="6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3"/>
        </w:trPr>
        <w:tc>
          <w:tcPr>
            <w:tcW w:w="6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6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2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In the event that the compounded annual book value per share growth falls between the performance levels shown above, the nonvested common shares earned will be determined on a straight-line basis between the respective levels shown.</w:t>
      </w:r>
    </w:p>
    <w:p>
      <w:pPr>
        <w:spacing w:after="0" w:line="16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incentive program covering bonus awards for performance year 2014, in February 2015, time-based share awards and share units were issued to certain employees that vest in three equal installments on March 1, 2016, 2017 and 2018. In May 2015, time-based share units were granted to non-employee directors that vest one year from the date of grant.</w:t>
      </w:r>
    </w:p>
    <w:p>
      <w:pPr>
        <w:spacing w:after="0" w:line="17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total fair value of nonvested shares that vested was $20.6 million and $28.0 million for the six months ended June 30, 2015 and 2014, respectively. As of June 30, 2015, there was $27.5 million of total unrecognized compensation expense related to nonvested shares outstanding at June 30, 2015 and we expect to recognize the expense over a weighted average period of 2.3 years.</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Employees have the option to tender shares to Essent Group to pay the minimum employee statutory withholding taxes associated with shares upon vesting. Common shares tendered by employees to pay employee withholding taxes totaled 198,041 in the six months ended June 30, 2015. The tendered shares were recorded at cost, included in treasury stock and have been cancelled as of June 30, 2015.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Compensation expense, net of forfeitures, and related tax effects recognized in connection with nonvested shares were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3,335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6,596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6,148</w:t>
            </w: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2,152</w:t>
            </w:r>
          </w:p>
        </w:tc>
      </w:tr>
      <w:tr>
        <w:trPr>
          <w:trHeight w:val="70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Earnings per Share (EPS)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net income and the weighted average common shares outstanding used in the computations of basic and diluted earnings per common share: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37,193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19,555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72,031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34,561</w:t>
            </w:r>
          </w:p>
        </w:tc>
        <w:tc>
          <w:tcPr>
            <w:tcW w:w="0" w:type="dxa"/>
            <w:vAlign w:val="bottom"/>
          </w:tcPr>
          <w:p>
            <w:pPr>
              <w:spacing w:after="0"/>
              <w:rPr>
                <w:sz w:val="1"/>
                <w:szCs w:val="1"/>
                <w:color w:val="auto"/>
              </w:rPr>
            </w:pPr>
          </w:p>
        </w:tc>
      </w:tr>
      <w:tr>
        <w:trPr>
          <w:trHeight w:val="243"/>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Less: dividends declared</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37,193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19,555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72,031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34,561</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00" w:type="dxa"/>
            <w:vAlign w:val="bottom"/>
            <w:gridSpan w:val="2"/>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43"/>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90,344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83,276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90,265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83,071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Dilutive effect of nonvested shares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1,630</w:t>
            </w:r>
          </w:p>
        </w:tc>
        <w:tc>
          <w:tcPr>
            <w:tcW w:w="0" w:type="dxa"/>
            <w:vAlign w:val="bottom"/>
          </w:tcPr>
          <w:p>
            <w:pPr>
              <w:spacing w:after="0"/>
              <w:rPr>
                <w:sz w:val="1"/>
                <w:szCs w:val="1"/>
                <w:color w:val="auto"/>
              </w:rPr>
            </w:pPr>
          </w:p>
        </w:tc>
      </w:tr>
      <w:tr>
        <w:trPr>
          <w:trHeight w:val="243"/>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91,674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84,706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91,594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84,701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There were 50,372 and 151,857 antidilutive shares for the three months ended June 30, 2015 and 2014, respectively and 150,718 and 108,404 antidilutive shares for the six months ended June 30, 2015 and 2014, respectively.</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nonvested performance-based share awards are considered contingently issuable for purposes of the EPS calculation. Based on the compounded annual book value per share growth as of June 30, 2015, 100% of the performance-based share awards would be issuable under the terms of the arrangements if June 30, 2015 was the end of the performance period. Based on the compounded annual book value per share growth as of June 30, 2014, 0% of the performance-based share awards would have been issuable under the terms of the arrangements if June 30, 2014 was the end of the performance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Accumulated Other Comprehensive Income (Loss)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rollforward of accumulated other comprehensive income (loss) for the three and six months ended June 30, 2015 and 2014:</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Three Months Ended June 30, 2015</w:t>
            </w:r>
          </w:p>
        </w:tc>
        <w:tc>
          <w:tcPr>
            <w:tcW w:w="146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Net of Tax</w:t>
            </w: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13,711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9,556</w:t>
            </w:r>
          </w:p>
        </w:tc>
      </w:tr>
      <w:tr>
        <w:trPr>
          <w:trHeight w:val="22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holding losses arising during the period</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w:t>
            </w: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Reclassification adjustment for gains included in net income (1)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unrealized losses on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4,002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4,002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(8,769)</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620" w:type="dxa"/>
            <w:vAlign w:val="bottom"/>
          </w:tcPr>
          <w:p>
            <w:pPr>
              <w:spacing w:after="0"/>
              <w:rPr>
                <w:sz w:val="24"/>
                <w:szCs w:val="24"/>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12</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2015</w:t>
            </w: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Net of Tax</w:t>
            </w:r>
          </w:p>
        </w:tc>
      </w:tr>
      <w:tr>
        <w:trPr>
          <w:trHeight w:val="269"/>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6,712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4,667</w:t>
            </w:r>
          </w:p>
        </w:tc>
      </w:tr>
      <w:tr>
        <w:trPr>
          <w:trHeight w:val="223"/>
        </w:trPr>
        <w:tc>
          <w:tcPr>
            <w:tcW w:w="5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holding losses arising during the period</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r>
      <w:tr>
        <w:trPr>
          <w:trHeight w:val="243"/>
        </w:trPr>
        <w:tc>
          <w:tcPr>
            <w:tcW w:w="5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Less: Reclassification adjustment for gains included in net income (1)</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unrealized losses on investments</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1,892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r>
      <w:tr>
        <w:trPr>
          <w:trHeight w:val="237"/>
        </w:trPr>
        <w:tc>
          <w:tcPr>
            <w:tcW w:w="5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1,892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w:t>
            </w: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940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597"/>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6"/>
          </w:tcPr>
          <w:p>
            <w:pPr>
              <w:jc w:val="center"/>
              <w:ind w:left="1053"/>
              <w:spacing w:after="0"/>
              <w:rPr>
                <w:sz w:val="20"/>
                <w:szCs w:val="20"/>
                <w:color w:val="auto"/>
              </w:rPr>
            </w:pPr>
            <w:r>
              <w:rPr>
                <w:rFonts w:ascii="Times New Roman" w:cs="Times New Roman" w:eastAsia="Times New Roman" w:hAnsi="Times New Roman"/>
                <w:sz w:val="14"/>
                <w:szCs w:val="14"/>
                <w:b w:val="1"/>
                <w:bCs w:val="1"/>
                <w:color w:val="auto"/>
              </w:rPr>
              <w:t>Three Months Ended June 30, 2014</w:t>
            </w:r>
          </w:p>
        </w:tc>
        <w:tc>
          <w:tcPr>
            <w:tcW w:w="14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Net of Tax</w:t>
            </w:r>
          </w:p>
        </w:tc>
      </w:tr>
      <w:tr>
        <w:trPr>
          <w:trHeight w:val="269"/>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23"/>
        </w:trPr>
        <w:tc>
          <w:tcPr>
            <w:tcW w:w="5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57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holding gains arising during the period</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7,078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4,960</w:t>
            </w:r>
          </w:p>
        </w:tc>
      </w:tr>
      <w:tr>
        <w:trPr>
          <w:trHeight w:val="243"/>
        </w:trPr>
        <w:tc>
          <w:tcPr>
            <w:tcW w:w="5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Less: Reclassification adjustment for gains included in net income (1)</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57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unrealized gains on investments</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7,010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4,915</w:t>
            </w:r>
          </w:p>
        </w:tc>
      </w:tr>
      <w:tr>
        <w:trPr>
          <w:trHeight w:val="237"/>
        </w:trPr>
        <w:tc>
          <w:tcPr>
            <w:tcW w:w="5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7,010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4,915</w:t>
            </w:r>
          </w:p>
        </w:tc>
      </w:tr>
      <w:tr>
        <w:trPr>
          <w:trHeight w:val="27"/>
        </w:trPr>
        <w:tc>
          <w:tcPr>
            <w:tcW w:w="57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5,632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3,947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597"/>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2014</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Net of Tax</w:t>
            </w:r>
          </w:p>
        </w:tc>
      </w:tr>
      <w:tr>
        <w:trPr>
          <w:trHeight w:val="269"/>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223"/>
        </w:trPr>
        <w:tc>
          <w:tcPr>
            <w:tcW w:w="5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7"/>
        </w:trPr>
        <w:tc>
          <w:tcPr>
            <w:tcW w:w="57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holding gains arising during the period</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8,327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5,700</w:t>
            </w:r>
          </w:p>
        </w:tc>
      </w:tr>
      <w:tr>
        <w:trPr>
          <w:trHeight w:val="243"/>
        </w:trPr>
        <w:tc>
          <w:tcPr>
            <w:tcW w:w="5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Less: Reclassification adjustment for gains included in net income (1)</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7"/>
        </w:trPr>
        <w:tc>
          <w:tcPr>
            <w:tcW w:w="57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7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unrealized gains on investments</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5,394</w:t>
            </w:r>
          </w:p>
        </w:tc>
      </w:tr>
      <w:tr>
        <w:trPr>
          <w:trHeight w:val="237"/>
        </w:trPr>
        <w:tc>
          <w:tcPr>
            <w:tcW w:w="5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7,859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5,394</w:t>
            </w:r>
          </w:p>
        </w:tc>
      </w:tr>
      <w:tr>
        <w:trPr>
          <w:trHeight w:val="27"/>
        </w:trPr>
        <w:tc>
          <w:tcPr>
            <w:tcW w:w="57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5,632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3,947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5620" w:right="2780" w:hanging="5288"/>
        <w:spacing w:after="0" w:line="814" w:lineRule="auto"/>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net realized investment gains on our condensed consolidated statements of comprehensive income.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-887730</wp:posOffset>
            </wp:positionV>
            <wp:extent cx="1406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Fair Value of Financial Instruments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fair values and related carrying amounts of our financial instruments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2015 (In thousands)</w:t>
            </w:r>
          </w:p>
        </w:tc>
        <w:tc>
          <w:tcPr>
            <w:tcW w:w="120" w:type="dxa"/>
            <w:vAlign w:val="bottom"/>
            <w:gridSpan w:val="2"/>
            <w:vMerge w:val="restart"/>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7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3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Assets:</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U.S. Treasury securities</w:t>
            </w: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166,181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166,181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agency securities</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3,196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104,236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104,236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260,887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260,887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363,632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363,632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50,750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50,750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130,128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130,128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Money market funds</w:t>
            </w: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80,369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80,369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Total investments</w:t>
            </w:r>
          </w:p>
        </w:tc>
        <w:tc>
          <w:tcPr>
            <w:tcW w:w="440" w:type="dxa"/>
            <w:vAlign w:val="bottom"/>
            <w:tcBorders>
              <w:top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1,159,379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1,159,379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706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18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Financial Liabilities:</w:t>
            </w: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9"/>
        </w:trPr>
        <w:tc>
          <w:tcPr>
            <w:tcW w:w="7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2014 (In thousands)</w:t>
            </w: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Assets:</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U.S. Treasury securities</w:t>
            </w: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agency securities</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126,188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Money market funds</w:t>
            </w: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210,688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210,688</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Total investments</w:t>
            </w:r>
          </w:p>
        </w:tc>
        <w:tc>
          <w:tcPr>
            <w:tcW w:w="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1,057,613</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1,057,613</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18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Financial Liabilities:</w:t>
            </w: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18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instruments in active markets accessible at the measurement date.</w:t>
      </w:r>
    </w:p>
    <w:p>
      <w:pPr>
        <w:spacing w:after="0" w:line="225"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derived from one or more significant inputs that are unobservable.</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21" w:right="25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used the following methods and assumptions in estimating fair values of financial instruments:</w:t>
      </w:r>
    </w:p>
    <w:p>
      <w:pPr>
        <w:spacing w:after="0" w:line="225" w:lineRule="exact"/>
        <w:rPr>
          <w:sz w:val="20"/>
          <w:szCs w:val="20"/>
          <w:color w:val="auto"/>
        </w:rPr>
      </w:pPr>
    </w:p>
    <w:p>
      <w:pPr>
        <w:ind w:left="660" w:right="20" w:hanging="328"/>
        <w:spacing w:after="0" w:line="25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U.S. agency securities, U.S. agency mortgage-backed securities, certain mortgage-backed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Municipal debt securities, corporate debt securities, certain mortgage-backed securities and asset-backed securities are classified as Level 2 investments.</w:t>
      </w:r>
    </w:p>
    <w:p>
      <w:pPr>
        <w:spacing w:after="0" w:line="187" w:lineRule="exact"/>
        <w:rPr>
          <w:rFonts w:ascii="Times New Roman" w:cs="Times New Roman" w:eastAsia="Times New Roman" w:hAnsi="Times New Roman"/>
          <w:sz w:val="18"/>
          <w:szCs w:val="18"/>
          <w:color w:val="auto"/>
        </w:rPr>
      </w:pPr>
    </w:p>
    <w:p>
      <w:pPr>
        <w:ind w:left="66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We review the reasonableness of prices received from our primary pricing service by comparison to prices obtained from additional pricing sources. We have not made any adjustments to the prices obtained from our primary pricing service.</w:t>
      </w:r>
    </w:p>
    <w:p>
      <w:pPr>
        <w:spacing w:after="0" w:line="189"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liabilities — We define fair value as the current amount that would be exchanged to sell an asset or transfer a liability, other than in a forced liquidation. Certain of our Freddie Mac Agency Credit Insurance Structure ("ACIS") contracts are accounted for as derivatives. In determining an exit market, we consider the fact that there is not a principal market for these contracts. In the absence of a principal market, we value these ACIS contracts in a hypothetical market where market participants, and potential counterparties, include other mortgage guaranty insurers or reinsurers with similar credit quality to us. We believe that in the absence of a principal market, this hypothetical market provides the most relevant information with respect to fair value estimates. These ACIS contracts are classified as Level 3 of the fair value hierarchy.</w:t>
      </w:r>
    </w:p>
    <w:p>
      <w:pPr>
        <w:spacing w:after="0" w:line="187" w:lineRule="exact"/>
        <w:rPr>
          <w:rFonts w:ascii="Times New Roman" w:cs="Times New Roman" w:eastAsia="Times New Roman" w:hAnsi="Times New Roman"/>
          <w:sz w:val="18"/>
          <w:szCs w:val="18"/>
          <w:color w:val="auto"/>
        </w:rPr>
      </w:pPr>
    </w:p>
    <w:p>
      <w:pPr>
        <w:ind w:left="660" w:right="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the fair value of our derivative instruments primarily using internally-generated models. We utilize market observable inputs, such as the performance of the underlying pool of mortgages, mortgage prepayment speeds and pricing spreads on the reference STACR notes, whenever they are available. There is a high degree of uncertainty about our fair value estimates since our contracts are not traded or exchanged, which makes external validation and corroboration of our estimates difficult. Considerable judgment is required to interpret market data to develop the estimates of fair value. Accordingly, the estimates may not be indicative of amounts we could realize in a current market exchange or negotiated termination. The use of different market assumptions or estimation methodologies may have a material effect on the estimated fair value amounts.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300" w:type="dxa"/>
            <w:vAlign w:val="bottom"/>
          </w:tcPr>
          <w:p>
            <w:pPr>
              <w:spacing w:after="0"/>
              <w:rPr>
                <w:sz w:val="13"/>
                <w:szCs w:val="13"/>
                <w:color w:val="auto"/>
              </w:rPr>
            </w:pPr>
          </w:p>
        </w:tc>
        <w:tc>
          <w:tcPr>
            <w:tcW w:w="15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2015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30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Financial Assets:</w:t>
            </w: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166,181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166,181</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U.S. agency securities</w:t>
            </w:r>
          </w:p>
        </w:tc>
        <w:tc>
          <w:tcPr>
            <w:tcW w:w="280" w:type="dxa"/>
            <w:vAlign w:val="bottom"/>
          </w:tcPr>
          <w:p>
            <w:pPr>
              <w:spacing w:after="0"/>
              <w:rPr>
                <w:sz w:val="21"/>
                <w:szCs w:val="21"/>
                <w:color w:val="auto"/>
              </w:rPr>
            </w:pPr>
          </w:p>
        </w:tc>
        <w:tc>
          <w:tcPr>
            <w:tcW w:w="14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104,236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104,236</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260,887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260,887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363,632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363,632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80" w:type="dxa"/>
            <w:vAlign w:val="bottom"/>
          </w:tcPr>
          <w:p>
            <w:pPr>
              <w:spacing w:after="0"/>
              <w:rPr>
                <w:sz w:val="21"/>
                <w:szCs w:val="21"/>
                <w:color w:val="auto"/>
              </w:rPr>
            </w:pPr>
          </w:p>
        </w:tc>
        <w:tc>
          <w:tcPr>
            <w:tcW w:w="14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4,649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46,101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50,750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130,128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130,128</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spacing w:after="0"/>
              <w:rPr>
                <w:sz w:val="21"/>
                <w:szCs w:val="21"/>
                <w:color w:val="auto"/>
              </w:rPr>
            </w:pPr>
          </w:p>
        </w:tc>
        <w:tc>
          <w:tcPr>
            <w:tcW w:w="14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80,369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80,369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358,631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800,748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1,159,379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Financial 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37"/>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300" w:type="dxa"/>
            <w:vAlign w:val="bottom"/>
          </w:tcPr>
          <w:p>
            <w:pPr>
              <w:spacing w:after="0"/>
              <w:rPr>
                <w:sz w:val="24"/>
                <w:szCs w:val="24"/>
                <w:color w:val="auto"/>
              </w:rPr>
            </w:pPr>
          </w:p>
        </w:tc>
        <w:tc>
          <w:tcPr>
            <w:tcW w:w="15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2014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30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Financial Assets:</w:t>
            </w: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74,216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74,216</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U.S. agency securities</w:t>
            </w:r>
          </w:p>
        </w:tc>
        <w:tc>
          <w:tcPr>
            <w:tcW w:w="280" w:type="dxa"/>
            <w:vAlign w:val="bottom"/>
          </w:tcPr>
          <w:p>
            <w:pPr>
              <w:spacing w:after="0"/>
              <w:rPr>
                <w:sz w:val="21"/>
                <w:szCs w:val="21"/>
                <w:color w:val="auto"/>
              </w:rPr>
            </w:pPr>
          </w:p>
        </w:tc>
        <w:tc>
          <w:tcPr>
            <w:tcW w:w="14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4,520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4,520</w:t>
            </w: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83,540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83,540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195,546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195,546</w:t>
            </w: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296,829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296,829</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80" w:type="dxa"/>
            <w:vAlign w:val="bottom"/>
          </w:tcPr>
          <w:p>
            <w:pPr>
              <w:spacing w:after="0"/>
              <w:rPr>
                <w:sz w:val="21"/>
                <w:szCs w:val="21"/>
                <w:color w:val="auto"/>
              </w:rPr>
            </w:pPr>
          </w:p>
        </w:tc>
        <w:tc>
          <w:tcPr>
            <w:tcW w:w="14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4,882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61,204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66,086</w:t>
            </w: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126,188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126,188</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spacing w:after="0"/>
              <w:rPr>
                <w:sz w:val="21"/>
                <w:szCs w:val="21"/>
                <w:color w:val="auto"/>
              </w:rPr>
            </w:pPr>
          </w:p>
        </w:tc>
        <w:tc>
          <w:tcPr>
            <w:tcW w:w="14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210,688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210,688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377,846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679,767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1,057,613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Financial 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37"/>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Level 3 Recurring Fair Value Measurements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tables presents changes during the three and six months ended June 30, 2015 in Level 3 liabilities measured at fair value on a recurring basis, and the realized and unrealized gains (losses) related to the Level 3 liabilities in the condensed consolidated balance sheets at June 30, 2015. For the six months ended June 30, 2014, we had no Level 3 liabilities. During the six months ended June 30, 2015, and in the year ended December 31, 2014, we had no Level 3 assets.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400" w:type="dxa"/>
            <w:vAlign w:val="bottom"/>
          </w:tcPr>
          <w:p>
            <w:pPr>
              <w:spacing w:after="0"/>
              <w:rPr>
                <w:sz w:val="12"/>
                <w:szCs w:val="12"/>
                <w:color w:val="auto"/>
              </w:rPr>
            </w:pPr>
          </w:p>
        </w:tc>
        <w:tc>
          <w:tcPr>
            <w:tcW w:w="82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200" w:type="dxa"/>
            <w:vAlign w:val="bottom"/>
          </w:tcPr>
          <w:p>
            <w:pPr>
              <w:spacing w:after="0"/>
              <w:rPr>
                <w:sz w:val="12"/>
                <w:szCs w:val="12"/>
                <w:color w:val="auto"/>
              </w:rPr>
            </w:pPr>
          </w:p>
        </w:tc>
        <w:tc>
          <w:tcPr>
            <w:tcW w:w="112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6"/>
              </w:rPr>
              <w:t>Net Realized and</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Changes in Unrealized</w:t>
            </w:r>
          </w:p>
        </w:tc>
      </w:tr>
      <w:tr>
        <w:trPr>
          <w:trHeight w:val="135"/>
        </w:trPr>
        <w:tc>
          <w:tcPr>
            <w:tcW w:w="1500" w:type="dxa"/>
            <w:vAlign w:val="bottom"/>
          </w:tcPr>
          <w:p>
            <w:pPr>
              <w:ind w:left="60"/>
              <w:spacing w:after="0" w:line="135" w:lineRule="exact"/>
              <w:rPr>
                <w:sz w:val="20"/>
                <w:szCs w:val="20"/>
                <w:color w:val="auto"/>
              </w:rPr>
            </w:pPr>
            <w:r>
              <w:rPr>
                <w:rFonts w:ascii="Times New Roman" w:cs="Times New Roman" w:eastAsia="Times New Roman" w:hAnsi="Times New Roman"/>
                <w:sz w:val="12"/>
                <w:szCs w:val="12"/>
                <w:b w:val="1"/>
                <w:bCs w:val="1"/>
                <w:color w:val="auto"/>
              </w:rPr>
              <w:t>June 30, 2015</w:t>
            </w:r>
          </w:p>
        </w:tc>
        <w:tc>
          <w:tcPr>
            <w:tcW w:w="400" w:type="dxa"/>
            <w:vAlign w:val="bottom"/>
          </w:tcPr>
          <w:p>
            <w:pPr>
              <w:spacing w:after="0"/>
              <w:rPr>
                <w:sz w:val="11"/>
                <w:szCs w:val="11"/>
                <w:color w:val="auto"/>
              </w:rPr>
            </w:pPr>
          </w:p>
        </w:tc>
        <w:tc>
          <w:tcPr>
            <w:tcW w:w="82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9"/>
              </w:rPr>
              <w:t>Value</w:t>
            </w:r>
          </w:p>
        </w:tc>
        <w:tc>
          <w:tcPr>
            <w:tcW w:w="200" w:type="dxa"/>
            <w:vAlign w:val="bottom"/>
          </w:tcPr>
          <w:p>
            <w:pPr>
              <w:spacing w:after="0"/>
              <w:rPr>
                <w:sz w:val="11"/>
                <w:szCs w:val="11"/>
                <w:color w:val="auto"/>
              </w:rPr>
            </w:pPr>
          </w:p>
        </w:tc>
        <w:tc>
          <w:tcPr>
            <w:tcW w:w="112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8"/>
              </w:rPr>
              <w:t>Unrealized Gains</w:t>
            </w:r>
          </w:p>
        </w:tc>
        <w:tc>
          <w:tcPr>
            <w:tcW w:w="160" w:type="dxa"/>
            <w:vAlign w:val="bottom"/>
          </w:tcPr>
          <w:p>
            <w:pPr>
              <w:spacing w:after="0"/>
              <w:rPr>
                <w:sz w:val="11"/>
                <w:szCs w:val="11"/>
                <w:color w:val="auto"/>
              </w:rPr>
            </w:pPr>
          </w:p>
        </w:tc>
        <w:tc>
          <w:tcPr>
            <w:tcW w:w="98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80" w:type="dxa"/>
            <w:vAlign w:val="bottom"/>
          </w:tcPr>
          <w:p>
            <w:pPr>
              <w:spacing w:after="0"/>
              <w:rPr>
                <w:sz w:val="11"/>
                <w:szCs w:val="11"/>
                <w:color w:val="auto"/>
              </w:rPr>
            </w:pPr>
          </w:p>
        </w:tc>
        <w:tc>
          <w:tcPr>
            <w:tcW w:w="108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Purchases, Sales,</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Gains (Losses) Included in</w:t>
            </w:r>
          </w:p>
        </w:tc>
      </w:tr>
      <w:tr>
        <w:trPr>
          <w:trHeight w:val="135"/>
        </w:trPr>
        <w:tc>
          <w:tcPr>
            <w:tcW w:w="1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6"/>
              </w:rPr>
              <w:t>Beginning</w:t>
            </w:r>
          </w:p>
        </w:tc>
        <w:tc>
          <w:tcPr>
            <w:tcW w:w="200" w:type="dxa"/>
            <w:vAlign w:val="bottom"/>
          </w:tcPr>
          <w:p>
            <w:pPr>
              <w:spacing w:after="0"/>
              <w:rPr>
                <w:sz w:val="11"/>
                <w:szCs w:val="11"/>
                <w:color w:val="auto"/>
              </w:rPr>
            </w:pPr>
          </w:p>
        </w:tc>
        <w:tc>
          <w:tcPr>
            <w:tcW w:w="112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8"/>
              </w:rPr>
              <w:t>(Losses) Included</w:t>
            </w:r>
          </w:p>
        </w:tc>
        <w:tc>
          <w:tcPr>
            <w:tcW w:w="160" w:type="dxa"/>
            <w:vAlign w:val="bottom"/>
          </w:tcPr>
          <w:p>
            <w:pPr>
              <w:spacing w:after="0"/>
              <w:rPr>
                <w:sz w:val="11"/>
                <w:szCs w:val="11"/>
                <w:color w:val="auto"/>
              </w:rPr>
            </w:pPr>
          </w:p>
        </w:tc>
        <w:tc>
          <w:tcPr>
            <w:tcW w:w="98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Comprehensive</w:t>
            </w:r>
          </w:p>
        </w:tc>
        <w:tc>
          <w:tcPr>
            <w:tcW w:w="180" w:type="dxa"/>
            <w:vAlign w:val="bottom"/>
          </w:tcPr>
          <w:p>
            <w:pPr>
              <w:spacing w:after="0"/>
              <w:rPr>
                <w:sz w:val="11"/>
                <w:szCs w:val="11"/>
                <w:color w:val="auto"/>
              </w:rPr>
            </w:pPr>
          </w:p>
        </w:tc>
        <w:tc>
          <w:tcPr>
            <w:tcW w:w="108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Issues and</w:t>
            </w:r>
          </w:p>
        </w:tc>
        <w:tc>
          <w:tcPr>
            <w:tcW w:w="160" w:type="dxa"/>
            <w:vAlign w:val="bottom"/>
          </w:tcPr>
          <w:p>
            <w:pPr>
              <w:spacing w:after="0"/>
              <w:rPr>
                <w:sz w:val="11"/>
                <w:szCs w:val="11"/>
                <w:color w:val="auto"/>
              </w:rPr>
            </w:pPr>
          </w:p>
        </w:tc>
        <w:tc>
          <w:tcPr>
            <w:tcW w:w="720" w:type="dxa"/>
            <w:vAlign w:val="bottom"/>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3"/>
              </w:rPr>
              <w:t>Gross</w:t>
            </w:r>
          </w:p>
        </w:tc>
        <w:tc>
          <w:tcPr>
            <w:tcW w:w="180" w:type="dxa"/>
            <w:vAlign w:val="bottom"/>
          </w:tcPr>
          <w:p>
            <w:pPr>
              <w:spacing w:after="0"/>
              <w:rPr>
                <w:sz w:val="11"/>
                <w:szCs w:val="11"/>
                <w:color w:val="auto"/>
              </w:rPr>
            </w:pPr>
          </w:p>
        </w:tc>
        <w:tc>
          <w:tcPr>
            <w:tcW w:w="840" w:type="dxa"/>
            <w:vAlign w:val="bottom"/>
          </w:tcPr>
          <w:p>
            <w:pPr>
              <w:jc w:val="center"/>
              <w:ind w:right="39"/>
              <w:spacing w:after="0" w:line="135" w:lineRule="exact"/>
              <w:rPr>
                <w:sz w:val="20"/>
                <w:szCs w:val="20"/>
                <w:color w:val="auto"/>
              </w:rPr>
            </w:pPr>
            <w:r>
              <w:rPr>
                <w:rFonts w:ascii="Times New Roman" w:cs="Times New Roman" w:eastAsia="Times New Roman" w:hAnsi="Times New Roman"/>
                <w:sz w:val="12"/>
                <w:szCs w:val="12"/>
                <w:b w:val="1"/>
                <w:bCs w:val="1"/>
                <w:color w:val="auto"/>
                <w:w w:val="99"/>
              </w:rPr>
              <w:t>Gross</w:t>
            </w:r>
          </w:p>
        </w:tc>
        <w:tc>
          <w:tcPr>
            <w:tcW w:w="180" w:type="dxa"/>
            <w:vAlign w:val="bottom"/>
          </w:tcPr>
          <w:p>
            <w:pPr>
              <w:spacing w:after="0"/>
              <w:rPr>
                <w:sz w:val="11"/>
                <w:szCs w:val="11"/>
                <w:color w:val="auto"/>
              </w:rPr>
            </w:pPr>
          </w:p>
        </w:tc>
        <w:tc>
          <w:tcPr>
            <w:tcW w:w="940" w:type="dxa"/>
            <w:vAlign w:val="bottom"/>
          </w:tcPr>
          <w:p>
            <w:pPr>
              <w:jc w:val="center"/>
              <w:ind w:right="39"/>
              <w:spacing w:after="0" w:line="135" w:lineRule="exact"/>
              <w:rPr>
                <w:sz w:val="20"/>
                <w:szCs w:val="20"/>
                <w:color w:val="auto"/>
              </w:rPr>
            </w:pPr>
            <w:r>
              <w:rPr>
                <w:rFonts w:ascii="Times New Roman" w:cs="Times New Roman" w:eastAsia="Times New Roman" w:hAnsi="Times New Roman"/>
                <w:sz w:val="12"/>
                <w:szCs w:val="12"/>
                <w:b w:val="1"/>
                <w:bCs w:val="1"/>
                <w:color w:val="auto"/>
                <w:w w:val="95"/>
              </w:rPr>
              <w:t>Fair Value End</w:t>
            </w:r>
          </w:p>
        </w:tc>
        <w:tc>
          <w:tcPr>
            <w:tcW w:w="240" w:type="dxa"/>
            <w:vAlign w:val="bottom"/>
          </w:tcPr>
          <w:p>
            <w:pPr>
              <w:spacing w:after="0"/>
              <w:rPr>
                <w:sz w:val="11"/>
                <w:szCs w:val="11"/>
                <w:color w:val="auto"/>
              </w:rPr>
            </w:pPr>
          </w:p>
        </w:tc>
        <w:tc>
          <w:tcPr>
            <w:tcW w:w="1720" w:type="dxa"/>
            <w:vAlign w:val="bottom"/>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Income on Instruments</w:t>
            </w:r>
          </w:p>
        </w:tc>
      </w:tr>
      <w:tr>
        <w:trPr>
          <w:trHeight w:val="152"/>
        </w:trPr>
        <w:tc>
          <w:tcPr>
            <w:tcW w:w="15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400" w:type="dxa"/>
            <w:vAlign w:val="bottom"/>
          </w:tcPr>
          <w:p>
            <w:pPr>
              <w:spacing w:after="0"/>
              <w:rPr>
                <w:sz w:val="13"/>
                <w:szCs w:val="13"/>
                <w:color w:val="auto"/>
              </w:rPr>
            </w:pPr>
          </w:p>
        </w:tc>
        <w:tc>
          <w:tcPr>
            <w:tcW w:w="82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7"/>
              </w:rPr>
              <w:t>of Period</w:t>
            </w:r>
          </w:p>
        </w:tc>
        <w:tc>
          <w:tcPr>
            <w:tcW w:w="200" w:type="dxa"/>
            <w:vAlign w:val="bottom"/>
          </w:tcPr>
          <w:p>
            <w:pPr>
              <w:spacing w:after="0"/>
              <w:rPr>
                <w:sz w:val="13"/>
                <w:szCs w:val="13"/>
                <w:color w:val="auto"/>
              </w:rPr>
            </w:pPr>
          </w:p>
        </w:tc>
        <w:tc>
          <w:tcPr>
            <w:tcW w:w="11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in Income</w:t>
            </w:r>
          </w:p>
        </w:tc>
        <w:tc>
          <w:tcPr>
            <w:tcW w:w="160" w:type="dxa"/>
            <w:vAlign w:val="bottom"/>
          </w:tcPr>
          <w:p>
            <w:pPr>
              <w:spacing w:after="0"/>
              <w:rPr>
                <w:sz w:val="13"/>
                <w:szCs w:val="13"/>
                <w:color w:val="auto"/>
              </w:rPr>
            </w:pPr>
          </w:p>
        </w:tc>
        <w:tc>
          <w:tcPr>
            <w:tcW w:w="98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180" w:type="dxa"/>
            <w:vAlign w:val="bottom"/>
          </w:tcPr>
          <w:p>
            <w:pPr>
              <w:spacing w:after="0"/>
              <w:rPr>
                <w:sz w:val="13"/>
                <w:szCs w:val="13"/>
                <w:color w:val="auto"/>
              </w:rPr>
            </w:pPr>
          </w:p>
        </w:tc>
        <w:tc>
          <w:tcPr>
            <w:tcW w:w="108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Settlements, Net</w:t>
            </w:r>
          </w:p>
        </w:tc>
        <w:tc>
          <w:tcPr>
            <w:tcW w:w="1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Transfers In</w:t>
            </w:r>
          </w:p>
        </w:tc>
        <w:tc>
          <w:tcPr>
            <w:tcW w:w="180" w:type="dxa"/>
            <w:vAlign w:val="bottom"/>
          </w:tcPr>
          <w:p>
            <w:pPr>
              <w:spacing w:after="0"/>
              <w:rPr>
                <w:sz w:val="13"/>
                <w:szCs w:val="13"/>
                <w:color w:val="auto"/>
              </w:rPr>
            </w:pPr>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5"/>
              </w:rPr>
              <w:t>Transfers Out</w:t>
            </w:r>
          </w:p>
        </w:tc>
        <w:tc>
          <w:tcPr>
            <w:tcW w:w="180" w:type="dxa"/>
            <w:vAlign w:val="bottom"/>
          </w:tcPr>
          <w:p>
            <w:pPr>
              <w:spacing w:after="0"/>
              <w:rPr>
                <w:sz w:val="13"/>
                <w:szCs w:val="13"/>
                <w:color w:val="auto"/>
              </w:rPr>
            </w:pPr>
          </w:p>
        </w:tc>
        <w:tc>
          <w:tcPr>
            <w:tcW w:w="940" w:type="dxa"/>
            <w:vAlign w:val="bottom"/>
          </w:tcPr>
          <w:p>
            <w:pPr>
              <w:jc w:val="center"/>
              <w:ind w:right="19"/>
              <w:spacing w:after="0"/>
              <w:rPr>
                <w:sz w:val="20"/>
                <w:szCs w:val="20"/>
                <w:color w:val="auto"/>
              </w:rPr>
            </w:pPr>
            <w:r>
              <w:rPr>
                <w:rFonts w:ascii="Times New Roman" w:cs="Times New Roman" w:eastAsia="Times New Roman" w:hAnsi="Times New Roman"/>
                <w:sz w:val="12"/>
                <w:szCs w:val="12"/>
                <w:b w:val="1"/>
                <w:bCs w:val="1"/>
                <w:color w:val="auto"/>
                <w:w w:val="97"/>
              </w:rPr>
              <w:t>of Period</w:t>
            </w:r>
          </w:p>
        </w:tc>
        <w:tc>
          <w:tcPr>
            <w:tcW w:w="240" w:type="dxa"/>
            <w:vAlign w:val="bottom"/>
          </w:tcPr>
          <w:p>
            <w:pPr>
              <w:spacing w:after="0"/>
              <w:rPr>
                <w:sz w:val="13"/>
                <w:szCs w:val="13"/>
                <w:color w:val="auto"/>
              </w:rPr>
            </w:pPr>
          </w:p>
        </w:tc>
        <w:tc>
          <w:tcPr>
            <w:tcW w:w="172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Held at End of Period</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10"/>
        </w:trPr>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Derivative Liabilities</w:t>
            </w:r>
          </w:p>
        </w:tc>
        <w:tc>
          <w:tcPr>
            <w:tcW w:w="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2,720</w:t>
            </w:r>
          </w:p>
        </w:tc>
        <w:tc>
          <w:tcPr>
            <w:tcW w:w="2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w:t>
            </w:r>
          </w:p>
        </w:tc>
      </w:tr>
      <w:tr>
        <w:trPr>
          <w:trHeight w:val="176"/>
        </w:trPr>
        <w:tc>
          <w:tcPr>
            <w:tcW w:w="1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6"/>
        </w:trPr>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Total Level 3 Liabilities</w:t>
            </w:r>
          </w:p>
        </w:tc>
        <w:tc>
          <w:tcPr>
            <w:tcW w:w="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2,720</w:t>
            </w:r>
          </w:p>
        </w:tc>
        <w:tc>
          <w:tcPr>
            <w:tcW w:w="2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w:t>
            </w:r>
          </w:p>
        </w:tc>
      </w:tr>
      <w:tr>
        <w:trPr>
          <w:trHeight w:val="503"/>
        </w:trPr>
        <w:tc>
          <w:tcPr>
            <w:tcW w:w="15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400" w:type="dxa"/>
            <w:vAlign w:val="bottom"/>
          </w:tcPr>
          <w:p>
            <w:pPr>
              <w:spacing w:after="0"/>
              <w:rPr>
                <w:sz w:val="24"/>
                <w:szCs w:val="24"/>
                <w:color w:val="auto"/>
              </w:rPr>
            </w:pPr>
          </w:p>
        </w:tc>
        <w:tc>
          <w:tcPr>
            <w:tcW w:w="82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200" w:type="dxa"/>
            <w:vAlign w:val="bottom"/>
          </w:tcPr>
          <w:p>
            <w:pPr>
              <w:spacing w:after="0"/>
              <w:rPr>
                <w:sz w:val="24"/>
                <w:szCs w:val="24"/>
                <w:color w:val="auto"/>
              </w:rPr>
            </w:pPr>
          </w:p>
        </w:tc>
        <w:tc>
          <w:tcPr>
            <w:tcW w:w="112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6"/>
              </w:rPr>
              <w:t>Net Realized and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Changes in Unrealized</w:t>
            </w:r>
          </w:p>
        </w:tc>
      </w:tr>
      <w:tr>
        <w:trPr>
          <w:trHeight w:val="135"/>
        </w:trPr>
        <w:tc>
          <w:tcPr>
            <w:tcW w:w="1500" w:type="dxa"/>
            <w:vAlign w:val="bottom"/>
          </w:tcPr>
          <w:p>
            <w:pPr>
              <w:ind w:left="60"/>
              <w:spacing w:after="0" w:line="135" w:lineRule="exact"/>
              <w:rPr>
                <w:sz w:val="20"/>
                <w:szCs w:val="20"/>
                <w:color w:val="auto"/>
              </w:rPr>
            </w:pPr>
            <w:r>
              <w:rPr>
                <w:rFonts w:ascii="Times New Roman" w:cs="Times New Roman" w:eastAsia="Times New Roman" w:hAnsi="Times New Roman"/>
                <w:sz w:val="12"/>
                <w:szCs w:val="12"/>
                <w:b w:val="1"/>
                <w:bCs w:val="1"/>
                <w:color w:val="auto"/>
              </w:rPr>
              <w:t>June 30, 2015</w:t>
            </w:r>
          </w:p>
        </w:tc>
        <w:tc>
          <w:tcPr>
            <w:tcW w:w="400" w:type="dxa"/>
            <w:vAlign w:val="bottom"/>
          </w:tcPr>
          <w:p>
            <w:pPr>
              <w:spacing w:after="0"/>
              <w:rPr>
                <w:sz w:val="11"/>
                <w:szCs w:val="11"/>
                <w:color w:val="auto"/>
              </w:rPr>
            </w:pPr>
          </w:p>
        </w:tc>
        <w:tc>
          <w:tcPr>
            <w:tcW w:w="82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9"/>
              </w:rPr>
              <w:t>Value</w:t>
            </w:r>
          </w:p>
        </w:tc>
        <w:tc>
          <w:tcPr>
            <w:tcW w:w="200" w:type="dxa"/>
            <w:vAlign w:val="bottom"/>
          </w:tcPr>
          <w:p>
            <w:pPr>
              <w:spacing w:after="0"/>
              <w:rPr>
                <w:sz w:val="11"/>
                <w:szCs w:val="11"/>
                <w:color w:val="auto"/>
              </w:rPr>
            </w:pPr>
          </w:p>
        </w:tc>
        <w:tc>
          <w:tcPr>
            <w:tcW w:w="112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8"/>
              </w:rPr>
              <w:t>Unrealized Gains</w:t>
            </w:r>
          </w:p>
        </w:tc>
        <w:tc>
          <w:tcPr>
            <w:tcW w:w="160" w:type="dxa"/>
            <w:vAlign w:val="bottom"/>
          </w:tcPr>
          <w:p>
            <w:pPr>
              <w:spacing w:after="0"/>
              <w:rPr>
                <w:sz w:val="11"/>
                <w:szCs w:val="11"/>
                <w:color w:val="auto"/>
              </w:rPr>
            </w:pPr>
          </w:p>
        </w:tc>
        <w:tc>
          <w:tcPr>
            <w:tcW w:w="98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80" w:type="dxa"/>
            <w:vAlign w:val="bottom"/>
          </w:tcPr>
          <w:p>
            <w:pPr>
              <w:spacing w:after="0"/>
              <w:rPr>
                <w:sz w:val="11"/>
                <w:szCs w:val="11"/>
                <w:color w:val="auto"/>
              </w:rPr>
            </w:pPr>
          </w:p>
        </w:tc>
        <w:tc>
          <w:tcPr>
            <w:tcW w:w="108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Purchases, Sales,</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Gains (Losses) Included in</w:t>
            </w:r>
          </w:p>
        </w:tc>
      </w:tr>
      <w:tr>
        <w:trPr>
          <w:trHeight w:val="135"/>
        </w:trPr>
        <w:tc>
          <w:tcPr>
            <w:tcW w:w="1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6"/>
              </w:rPr>
              <w:t>Beginning</w:t>
            </w:r>
          </w:p>
        </w:tc>
        <w:tc>
          <w:tcPr>
            <w:tcW w:w="200" w:type="dxa"/>
            <w:vAlign w:val="bottom"/>
          </w:tcPr>
          <w:p>
            <w:pPr>
              <w:spacing w:after="0"/>
              <w:rPr>
                <w:sz w:val="11"/>
                <w:szCs w:val="11"/>
                <w:color w:val="auto"/>
              </w:rPr>
            </w:pPr>
          </w:p>
        </w:tc>
        <w:tc>
          <w:tcPr>
            <w:tcW w:w="112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8"/>
              </w:rPr>
              <w:t>(Losses) Included</w:t>
            </w:r>
          </w:p>
        </w:tc>
        <w:tc>
          <w:tcPr>
            <w:tcW w:w="160" w:type="dxa"/>
            <w:vAlign w:val="bottom"/>
          </w:tcPr>
          <w:p>
            <w:pPr>
              <w:spacing w:after="0"/>
              <w:rPr>
                <w:sz w:val="11"/>
                <w:szCs w:val="11"/>
                <w:color w:val="auto"/>
              </w:rPr>
            </w:pPr>
          </w:p>
        </w:tc>
        <w:tc>
          <w:tcPr>
            <w:tcW w:w="98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Comprehensive</w:t>
            </w:r>
          </w:p>
        </w:tc>
        <w:tc>
          <w:tcPr>
            <w:tcW w:w="180" w:type="dxa"/>
            <w:vAlign w:val="bottom"/>
          </w:tcPr>
          <w:p>
            <w:pPr>
              <w:spacing w:after="0"/>
              <w:rPr>
                <w:sz w:val="11"/>
                <w:szCs w:val="11"/>
                <w:color w:val="auto"/>
              </w:rPr>
            </w:pPr>
          </w:p>
        </w:tc>
        <w:tc>
          <w:tcPr>
            <w:tcW w:w="108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Issues and</w:t>
            </w:r>
          </w:p>
        </w:tc>
        <w:tc>
          <w:tcPr>
            <w:tcW w:w="160" w:type="dxa"/>
            <w:vAlign w:val="bottom"/>
          </w:tcPr>
          <w:p>
            <w:pPr>
              <w:spacing w:after="0"/>
              <w:rPr>
                <w:sz w:val="11"/>
                <w:szCs w:val="11"/>
                <w:color w:val="auto"/>
              </w:rPr>
            </w:pPr>
          </w:p>
        </w:tc>
        <w:tc>
          <w:tcPr>
            <w:tcW w:w="720" w:type="dxa"/>
            <w:vAlign w:val="bottom"/>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3"/>
              </w:rPr>
              <w:t>Gross</w:t>
            </w:r>
          </w:p>
        </w:tc>
        <w:tc>
          <w:tcPr>
            <w:tcW w:w="180" w:type="dxa"/>
            <w:vAlign w:val="bottom"/>
          </w:tcPr>
          <w:p>
            <w:pPr>
              <w:spacing w:after="0"/>
              <w:rPr>
                <w:sz w:val="11"/>
                <w:szCs w:val="11"/>
                <w:color w:val="auto"/>
              </w:rPr>
            </w:pPr>
          </w:p>
        </w:tc>
        <w:tc>
          <w:tcPr>
            <w:tcW w:w="840" w:type="dxa"/>
            <w:vAlign w:val="bottom"/>
          </w:tcPr>
          <w:p>
            <w:pPr>
              <w:jc w:val="center"/>
              <w:ind w:right="39"/>
              <w:spacing w:after="0" w:line="135" w:lineRule="exact"/>
              <w:rPr>
                <w:sz w:val="20"/>
                <w:szCs w:val="20"/>
                <w:color w:val="auto"/>
              </w:rPr>
            </w:pPr>
            <w:r>
              <w:rPr>
                <w:rFonts w:ascii="Times New Roman" w:cs="Times New Roman" w:eastAsia="Times New Roman" w:hAnsi="Times New Roman"/>
                <w:sz w:val="12"/>
                <w:szCs w:val="12"/>
                <w:b w:val="1"/>
                <w:bCs w:val="1"/>
                <w:color w:val="auto"/>
                <w:w w:val="99"/>
              </w:rPr>
              <w:t>Gross</w:t>
            </w:r>
          </w:p>
        </w:tc>
        <w:tc>
          <w:tcPr>
            <w:tcW w:w="180" w:type="dxa"/>
            <w:vAlign w:val="bottom"/>
          </w:tcPr>
          <w:p>
            <w:pPr>
              <w:spacing w:after="0"/>
              <w:rPr>
                <w:sz w:val="11"/>
                <w:szCs w:val="11"/>
                <w:color w:val="auto"/>
              </w:rPr>
            </w:pPr>
          </w:p>
        </w:tc>
        <w:tc>
          <w:tcPr>
            <w:tcW w:w="940" w:type="dxa"/>
            <w:vAlign w:val="bottom"/>
          </w:tcPr>
          <w:p>
            <w:pPr>
              <w:jc w:val="center"/>
              <w:ind w:right="39"/>
              <w:spacing w:after="0" w:line="135" w:lineRule="exact"/>
              <w:rPr>
                <w:sz w:val="20"/>
                <w:szCs w:val="20"/>
                <w:color w:val="auto"/>
              </w:rPr>
            </w:pPr>
            <w:r>
              <w:rPr>
                <w:rFonts w:ascii="Times New Roman" w:cs="Times New Roman" w:eastAsia="Times New Roman" w:hAnsi="Times New Roman"/>
                <w:sz w:val="12"/>
                <w:szCs w:val="12"/>
                <w:b w:val="1"/>
                <w:bCs w:val="1"/>
                <w:color w:val="auto"/>
                <w:w w:val="95"/>
              </w:rPr>
              <w:t>Fair Value End</w:t>
            </w:r>
          </w:p>
        </w:tc>
        <w:tc>
          <w:tcPr>
            <w:tcW w:w="240" w:type="dxa"/>
            <w:vAlign w:val="bottom"/>
          </w:tcPr>
          <w:p>
            <w:pPr>
              <w:spacing w:after="0"/>
              <w:rPr>
                <w:sz w:val="11"/>
                <w:szCs w:val="11"/>
                <w:color w:val="auto"/>
              </w:rPr>
            </w:pPr>
          </w:p>
        </w:tc>
        <w:tc>
          <w:tcPr>
            <w:tcW w:w="1720" w:type="dxa"/>
            <w:vAlign w:val="bottom"/>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Income on Instruments</w:t>
            </w:r>
          </w:p>
        </w:tc>
      </w:tr>
      <w:tr>
        <w:trPr>
          <w:trHeight w:val="152"/>
        </w:trPr>
        <w:tc>
          <w:tcPr>
            <w:tcW w:w="15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400" w:type="dxa"/>
            <w:vAlign w:val="bottom"/>
          </w:tcPr>
          <w:p>
            <w:pPr>
              <w:spacing w:after="0"/>
              <w:rPr>
                <w:sz w:val="13"/>
                <w:szCs w:val="13"/>
                <w:color w:val="auto"/>
              </w:rPr>
            </w:pPr>
          </w:p>
        </w:tc>
        <w:tc>
          <w:tcPr>
            <w:tcW w:w="82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88"/>
              </w:rPr>
              <w:t>of Year</w:t>
            </w:r>
          </w:p>
        </w:tc>
        <w:tc>
          <w:tcPr>
            <w:tcW w:w="200" w:type="dxa"/>
            <w:vAlign w:val="bottom"/>
          </w:tcPr>
          <w:p>
            <w:pPr>
              <w:spacing w:after="0"/>
              <w:rPr>
                <w:sz w:val="13"/>
                <w:szCs w:val="13"/>
                <w:color w:val="auto"/>
              </w:rPr>
            </w:pPr>
          </w:p>
        </w:tc>
        <w:tc>
          <w:tcPr>
            <w:tcW w:w="11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in Income</w:t>
            </w:r>
          </w:p>
        </w:tc>
        <w:tc>
          <w:tcPr>
            <w:tcW w:w="160" w:type="dxa"/>
            <w:vAlign w:val="bottom"/>
          </w:tcPr>
          <w:p>
            <w:pPr>
              <w:spacing w:after="0"/>
              <w:rPr>
                <w:sz w:val="13"/>
                <w:szCs w:val="13"/>
                <w:color w:val="auto"/>
              </w:rPr>
            </w:pPr>
          </w:p>
        </w:tc>
        <w:tc>
          <w:tcPr>
            <w:tcW w:w="98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180" w:type="dxa"/>
            <w:vAlign w:val="bottom"/>
          </w:tcPr>
          <w:p>
            <w:pPr>
              <w:spacing w:after="0"/>
              <w:rPr>
                <w:sz w:val="13"/>
                <w:szCs w:val="13"/>
                <w:color w:val="auto"/>
              </w:rPr>
            </w:pPr>
          </w:p>
        </w:tc>
        <w:tc>
          <w:tcPr>
            <w:tcW w:w="108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Settlements, Net</w:t>
            </w:r>
          </w:p>
        </w:tc>
        <w:tc>
          <w:tcPr>
            <w:tcW w:w="1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Transfers In</w:t>
            </w:r>
          </w:p>
        </w:tc>
        <w:tc>
          <w:tcPr>
            <w:tcW w:w="180" w:type="dxa"/>
            <w:vAlign w:val="bottom"/>
          </w:tcPr>
          <w:p>
            <w:pPr>
              <w:spacing w:after="0"/>
              <w:rPr>
                <w:sz w:val="13"/>
                <w:szCs w:val="13"/>
                <w:color w:val="auto"/>
              </w:rPr>
            </w:pPr>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5"/>
              </w:rPr>
              <w:t>Transfers Out</w:t>
            </w:r>
          </w:p>
        </w:tc>
        <w:tc>
          <w:tcPr>
            <w:tcW w:w="180" w:type="dxa"/>
            <w:vAlign w:val="bottom"/>
          </w:tcPr>
          <w:p>
            <w:pPr>
              <w:spacing w:after="0"/>
              <w:rPr>
                <w:sz w:val="13"/>
                <w:szCs w:val="13"/>
                <w:color w:val="auto"/>
              </w:rPr>
            </w:pPr>
          </w:p>
        </w:tc>
        <w:tc>
          <w:tcPr>
            <w:tcW w:w="940" w:type="dxa"/>
            <w:vAlign w:val="bottom"/>
          </w:tcPr>
          <w:p>
            <w:pPr>
              <w:jc w:val="center"/>
              <w:ind w:right="19"/>
              <w:spacing w:after="0"/>
              <w:rPr>
                <w:sz w:val="20"/>
                <w:szCs w:val="20"/>
                <w:color w:val="auto"/>
              </w:rPr>
            </w:pPr>
            <w:r>
              <w:rPr>
                <w:rFonts w:ascii="Times New Roman" w:cs="Times New Roman" w:eastAsia="Times New Roman" w:hAnsi="Times New Roman"/>
                <w:sz w:val="12"/>
                <w:szCs w:val="12"/>
                <w:b w:val="1"/>
                <w:bCs w:val="1"/>
                <w:color w:val="auto"/>
                <w:w w:val="97"/>
              </w:rPr>
              <w:t>of Period</w:t>
            </w:r>
          </w:p>
        </w:tc>
        <w:tc>
          <w:tcPr>
            <w:tcW w:w="240" w:type="dxa"/>
            <w:vAlign w:val="bottom"/>
          </w:tcPr>
          <w:p>
            <w:pPr>
              <w:spacing w:after="0"/>
              <w:rPr>
                <w:sz w:val="13"/>
                <w:szCs w:val="13"/>
                <w:color w:val="auto"/>
              </w:rPr>
            </w:pPr>
          </w:p>
        </w:tc>
        <w:tc>
          <w:tcPr>
            <w:tcW w:w="172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Held at End of Period</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10"/>
        </w:trPr>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Derivative Liabilities</w:t>
            </w:r>
          </w:p>
        </w:tc>
        <w:tc>
          <w:tcPr>
            <w:tcW w:w="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2,720</w:t>
            </w:r>
          </w:p>
        </w:tc>
        <w:tc>
          <w:tcPr>
            <w:tcW w:w="2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w:t>
            </w:r>
          </w:p>
        </w:tc>
      </w:tr>
      <w:tr>
        <w:trPr>
          <w:trHeight w:val="176"/>
        </w:trPr>
        <w:tc>
          <w:tcPr>
            <w:tcW w:w="1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6"/>
        </w:trPr>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Total Level 3 Liabilities</w:t>
            </w:r>
          </w:p>
        </w:tc>
        <w:tc>
          <w:tcPr>
            <w:tcW w:w="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2,720</w:t>
            </w:r>
          </w:p>
        </w:tc>
        <w:tc>
          <w:tcPr>
            <w:tcW w:w="2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w:t>
            </w:r>
          </w:p>
        </w:tc>
      </w:tr>
    </w:tbl>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significant unobservable inputs used in our recurring Level 3 fair value measurements as of June 30, 2015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3"/>
                <w:szCs w:val="13"/>
                <w:color w:val="auto"/>
              </w:rPr>
            </w:pPr>
          </w:p>
        </w:tc>
        <w:tc>
          <w:tcPr>
            <w:tcW w:w="21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20" w:type="dxa"/>
            <w:vAlign w:val="bottom"/>
            <w:vMerge w:val="restart"/>
          </w:tcPr>
          <w:p>
            <w:pPr>
              <w:spacing w:after="0"/>
              <w:rPr>
                <w:sz w:val="13"/>
                <w:szCs w:val="13"/>
                <w:color w:val="auto"/>
              </w:rPr>
            </w:pPr>
          </w:p>
        </w:tc>
        <w:tc>
          <w:tcPr>
            <w:tcW w:w="3180" w:type="dxa"/>
            <w:vAlign w:val="bottom"/>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00" w:type="dxa"/>
            <w:vAlign w:val="bottom"/>
            <w:vMerge w:val="restart"/>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95"/>
        </w:trPr>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49"/>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Discounted cash flows</w:t>
            </w:r>
          </w:p>
        </w:tc>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Constant prepayment rate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Reference STACR credit spread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502"/>
        </w:trPr>
        <w:tc>
          <w:tcPr>
            <w:tcW w:w="3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0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24"/>
                <w:szCs w:val="24"/>
                <w:color w:val="auto"/>
              </w:rPr>
            </w:pPr>
          </w:p>
        </w:tc>
        <w:tc>
          <w:tcPr>
            <w:tcW w:w="21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20" w:type="dxa"/>
            <w:vAlign w:val="bottom"/>
            <w:vMerge w:val="restart"/>
          </w:tcPr>
          <w:p>
            <w:pPr>
              <w:spacing w:after="0"/>
              <w:rPr>
                <w:sz w:val="24"/>
                <w:szCs w:val="24"/>
                <w:color w:val="auto"/>
              </w:rPr>
            </w:pPr>
          </w:p>
        </w:tc>
        <w:tc>
          <w:tcPr>
            <w:tcW w:w="3180" w:type="dxa"/>
            <w:vAlign w:val="bottom"/>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00" w:type="dxa"/>
            <w:vAlign w:val="bottom"/>
            <w:vMerge w:val="restart"/>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95"/>
        </w:trPr>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49"/>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Discounted cash flows</w:t>
            </w:r>
          </w:p>
        </w:tc>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Constant prepayment rate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Reference STACR credit spread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7"/>
        </w:trPr>
        <w:tc>
          <w:tcPr>
            <w:tcW w:w="3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significant unobservable inputs used for derivative liabilities are constant prepayment rates (“CPR”) and default rates on the reference pool of mortgages and the credit spreads on the reference STACR notes. An increase in the CPR, default rate or reference STACR credit spread will increase the fair value of the liability.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Statutory Accounting</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six months ended June 30:</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Essent Guaranty</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Statutory net income</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84,386</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47,536</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Statutory surplus</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502,997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422,944</w:t>
            </w:r>
          </w:p>
        </w:tc>
      </w:tr>
      <w:tr>
        <w:trPr>
          <w:trHeight w:val="243"/>
        </w:trPr>
        <w:tc>
          <w:tcPr>
            <w:tcW w:w="6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Contingency reserve liability</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244,320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123,142</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97"/>
        </w:trPr>
        <w:tc>
          <w:tcPr>
            <w:tcW w:w="6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Essent PA</w:t>
            </w: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Statutory net income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8,090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5,341</w:t>
            </w:r>
          </w:p>
        </w:tc>
      </w:tr>
      <w:tr>
        <w:trPr>
          <w:trHeight w:val="243"/>
        </w:trPr>
        <w:tc>
          <w:tcPr>
            <w:tcW w:w="6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Statutory surplus</w:t>
            </w: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45,087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40,565</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6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Contingency reserve liability</w:t>
            </w: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22,469</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11,183</w:t>
            </w:r>
          </w:p>
        </w:tc>
      </w:tr>
      <w:tr>
        <w:trPr>
          <w:trHeight w:val="27"/>
        </w:trPr>
        <w:tc>
          <w:tcPr>
            <w:tcW w:w="6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Net income determined in accordance with statutory accounting practices differs from GAAP. In 2015 and 2014,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18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At June 30, 2015 and 2014, the statutory capital of our insurance subsidiaries, which is defined as the total of statutory surplus and contingency reserves, was in excess of the statutory capital necessary to satisfy their regulatory requirements.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the second quarter of 2015, at the direction of the Federal Housing Finance Agency ("FHFA"), Fannie Mae and Freddie Mac finalized the Private Mortgage Insurer Eligibility Requirements ("PMIERs"), which become effective on December 31, 2015. The PMIERs represent the standards by which private mortgage insurers are eligible to provide mortgage insurance on loans owned or guaranteed by Fannie Mae and Freddie Mac. The PMIERs include new financial strength requirements incorporating a risk-based framework that will require approved insurers to have a sufficient level of liquid assets from which to pay claims. The PMIERs also include enhanced operational performance expectations and define remedial actions that will apply should an approved insurer fail to comply with the new requirements. As of June 30, 2015, Essent had sufficient assets in its insurance companies to meet the total risk-based required asset amount of the PMIERs.</w:t>
      </w:r>
    </w:p>
    <w:p>
      <w:pPr>
        <w:spacing w:after="0" w:line="18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Statement of Statutory Accounting Principles No. 58, </w:t>
      </w:r>
      <w:r>
        <w:rPr>
          <w:rFonts w:ascii="Times New Roman" w:cs="Times New Roman" w:eastAsia="Times New Roman" w:hAnsi="Times New Roman"/>
          <w:sz w:val="18"/>
          <w:szCs w:val="18"/>
          <w:i w:val="1"/>
          <w:iCs w:val="1"/>
          <w:color w:val="auto"/>
        </w:rPr>
        <w:t>Mortgage Guaranty Insurance,</w:t>
      </w:r>
      <w:r>
        <w:rPr>
          <w:rFonts w:ascii="Times New Roman" w:cs="Times New Roman" w:eastAsia="Times New Roman" w:hAnsi="Times New Roman"/>
          <w:sz w:val="18"/>
          <w:szCs w:val="18"/>
          <w:color w:val="auto"/>
        </w:rPr>
        <w:t xml:space="preserve"> requires mortgage insurers to establish a special contingency reserve for statutory accounting purposes included in total liabilities equal to 50% of earned premium for that year. During the six months ended June 30, 2015, Essent Guaranty increased its contingency reserve by $65.1 million and Essent PA increased its contingency reserve by $5.6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the six months ended June 30, 2015 or 2014.</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60"/>
          </w:cols>
          <w:pgMar w:left="240" w:top="121" w:right="29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together with the “Selected Financial Data” and our audited consolidated financial statements and related notes included in our Annual Report on Form 10-K as of and for the year ended December 31, 2014 as filed with the Securities and Exchange Commission and referred to herein as the “Annual Report,” and our condensed consolidated financial statements and related notes as of and for the three and six months ended June 30, 2015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Except as otherwise indicated, “Market Share” means our market share as measured by our share of total new insurance written (“NIW”) on a flow basis (in which loans are insured in individual, loan-by-loan transactions) in the private mortgage insurance industry, and excludes both NIW under the Home Affordable Refinance Program (“HARP” and such NIW, the “HARP NIW”) and bulk insurance (in which each loan in a portfolio of loans is insured in a single transaction).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Our Market Share for the six months ended June 30, 2015 was an estimated 12.2%, compared to 13.7% and 12.1% for the years ended December 31, 2014 and 2013, respectively. We believe that our success in acquiring customers and growing our insurance in force has been driven by the unique opportunity we offer lenders to partner with a well-capitalized mortgage insurer, unencumbered by business originated prior to the financial crisis, that provides fair and transparent claims payment practices, and consistency and speed of service.</w:t>
      </w:r>
    </w:p>
    <w:p>
      <w:pPr>
        <w:spacing w:after="0" w:line="188"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In 2010, Essent became the first private mortgage insurer to be approved by the GSEs since 1995, and we are licensed to write coverage in all 50 states and the District of Columbia. We completed our initial public offering in November 2013. The financial strength of Essent Guaranty, our wholly-owned insurance subsidiary, is rated BBB+ with a stable outlook by Standard &amp; Poor’s Rating Services (“S&amp;P”). On April 27, 2015, Moody’s Investor Services (“Moody’s”) affirmed its rating of Essent Guaranty at Baa2, and changed its outlook to positive from stable.</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had master policy relationships with approximately 1,225 customers as of June 30, 2015 and had 1,045 customers that generated NIW during the twelve months ended June 30, 2015. Our holding company is domiciled in Bermuda and our U.S. insurance business is headquartered in Radnor, Pennsylvania. We operate additional underwriting and service centers in Winston-Salem, North Carolina and Irvine, California. We have a highly experienced, talented team with 355 employees as of June 30, 2015. We generated new insurance written of approximately $7.3 billion and $12.6 billion for the three and six months ended June 30, 2015, respectively, compared to approximately $5.9 billion and $9.5 billion for the three and six months ended June 30, 2014, respectively. As of June 30, 2015, we had approximately $57.4 billion of insurance in force.</w:t>
      </w:r>
    </w:p>
    <w:p>
      <w:pPr>
        <w:spacing w:after="0" w:line="18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also offer mortgage-related insurance and reinsurance through our wholly-owned Bermuda-based subsidiary, Essent Re. As of June 30, 2015, Essent Re provides insurance or reinsurance in connection with ACIS covering in the aggregate up to approximately $66.3 million of risk on mortgage loans in reference pools associated with debt notes issued by Freddie Mac. Essent Re also reinsures 25% of Essent Guaranty’s GSE-eligible mortgage insurance NIW originated since July 1, 2014 under a quota share reinsurance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and Regulatory Developments</w:t>
      </w:r>
    </w:p>
    <w:p>
      <w:pPr>
        <w:spacing w:after="0" w:line="229"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In the second quarter of 2015, at the direction of the FHFA, Fannie Mae and Freddie Mac finalized the PMIERs, which become effective on December 31, 2015. The PMIERs represent the standards by which private mortgage insurers are eligible to provide mortgage insurance on loans owned or guaranteed by Fannie Mae and Freddie Mac. The PMIERs include new financial strength requirements incorporating a risk-based framework that will require approved insurers to have a sufficient level of liquid assets from which to pay claims. The PMIERs also include enhanced operational performance expectations and define remedial actions that will apply should an approved insurer fail to comply with the new requirements. As of June 30, 2015, Essent had sufficient assets in its insurance companies to meet the total risk-based required asset amount of the PMIERs. See additional discussion in “— Liquidity and Capital Resources —Private Mortgage Insurer Eligibility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Premiums are based on insurance in force, or IIF, during all or a portion of a period. A change in the average IIF during a period causes premiums to increase or decrease as compared to prior periods. Average premium rates in effect during a given period will also cause premiums to differ when compared to earlier periods. IIF at the end of a reporting period is a function of the IIF at the beginning of such reporting period plus new insurance written, or NIW, less policy cancellations (including claims paid) during the period. As a result, premiums are generally influenced by:</w:t>
      </w:r>
    </w:p>
    <w:p>
      <w:pPr>
        <w:spacing w:after="0" w:line="180" w:lineRule="exact"/>
        <w:rPr>
          <w:sz w:val="20"/>
          <w:szCs w:val="20"/>
          <w:color w:val="auto"/>
        </w:rPr>
      </w:pPr>
    </w:p>
    <w:p>
      <w:pPr>
        <w:ind w:left="660" w:right="300" w:hanging="328"/>
        <w:spacing w:after="0" w:line="313"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NIW, which is the aggregate principal amount of the new mortgages that are insured during a period. Many factors affect NIW, including, among others, the volume of low down payment home mortgage originations and the competition to provide credit enhancement on those mortgages;</w:t>
      </w:r>
    </w:p>
    <w:p>
      <w:pPr>
        <w:spacing w:after="0" w:line="138" w:lineRule="exact"/>
        <w:rPr>
          <w:rFonts w:ascii="Times New Roman" w:cs="Times New Roman" w:eastAsia="Times New Roman" w:hAnsi="Times New Roman"/>
          <w:sz w:val="17"/>
          <w:szCs w:val="17"/>
          <w:color w:val="auto"/>
        </w:rPr>
      </w:pPr>
    </w:p>
    <w:p>
      <w:pPr>
        <w:ind w:left="660" w:right="1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our insurance policies, which are impacted by payments on mortgages, home price appreciation, or refinancings, which in turn are affected by mortgage interest rates. Cancellations are also impacted by the levels of rescissions and claim payments;</w:t>
      </w:r>
    </w:p>
    <w:p>
      <w:pPr>
        <w:spacing w:after="0" w:line="16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ceded or assumed under reinsurance arrangements. To date, we have not ceded any premiums under third-party reinsurance contracts.</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June 30, 2015 were non-refundable. Premiums collected on annual policies are recognized as net premiums earned on a straight-line basis over the year of coverage. For the six months ended June 30, 2015, monthly and single premium policies comprised 75.9% and 24.1% of our NIW, respectively.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Persistency and Business Mix</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percentage of IIF that remains on our books after any 12-month period is defined as our persistency rate. Because our insurance premiums are earned over the life of a policy, changes in persistency rates can have a significant impact on our profitability. The persistency rate on our portfolio was 80.3% at June 30, 2015. Generally, higher prepayment speeds lead to lower persistency.</w:t>
      </w:r>
    </w:p>
    <w:p>
      <w:pPr>
        <w:spacing w:after="0" w:line="17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investment portfolio was comprised entirely of investment-grade fixed income securities and money market funds as of June 30, 2015.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“other-than-temporary” impairments recognized in earnings. The amount received on the sale of fixed income securities is affected by the coupon rate of the security compared to the yield of comparable securities at the time of sale.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From the period from December 1, 2009 to November 30, 2010, this fee was based on a fixed amount. Effective December 1, 2010, the fee is adjusted monthly based on the number of Triad’s mortgage insurance policies in force and, accordingly, will decrease over time as Triad’s existing policies are cancelled. The services agreement was automatically extended until November 30, 2015 and provides for four subsequent one-year renewals at Triad’s option.</w:t>
      </w:r>
    </w:p>
    <w:p>
      <w:pPr>
        <w:spacing w:after="0" w:line="18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Other income also includes revenues associated with contract underwriting services and changes in the fair value of derivative instruments. The level of contract underwriting revenue is dependent upon the number of customers who have engaged us for this service and the number of loans underwritten for these customers. The insurance and certain of the reinsurance policies issued by Essent Re in connection with the ACIS program are accounted for as derivatives under GAAP with the fair value of these policies reported as an asset or liability and changes in the fair value of these policies reported in earnings. Changes in the fair value of these policies are impacted by changes in market observable factors.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provision for losses and loss adjustment expenses reflect the current expense that is recorded within a particular period to reflect actual and estimated loss payments that we believe will ultimately be made as a result of insured loans that are in default.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Losses incurred are generally affected by:</w:t>
      </w:r>
    </w:p>
    <w:p>
      <w:pPr>
        <w:spacing w:after="0" w:line="225" w:lineRule="exact"/>
        <w:rPr>
          <w:sz w:val="20"/>
          <w:szCs w:val="20"/>
          <w:color w:val="auto"/>
        </w:rPr>
      </w:pPr>
    </w:p>
    <w:p>
      <w:pPr>
        <w:ind w:left="660" w:right="40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state of the economy, which broadly affects the likelihood that borrowers may default on their loans and have the ability to cure such defaults;</w:t>
      </w:r>
    </w:p>
    <w:p>
      <w:pPr>
        <w:spacing w:after="0" w:line="161" w:lineRule="exact"/>
        <w:rPr>
          <w:rFonts w:ascii="Times New Roman" w:cs="Times New Roman" w:eastAsia="Times New Roman" w:hAnsi="Times New Roman"/>
          <w:sz w:val="18"/>
          <w:szCs w:val="18"/>
          <w:color w:val="auto"/>
        </w:rPr>
      </w:pPr>
    </w:p>
    <w:p>
      <w:pPr>
        <w:ind w:left="660" w:right="400" w:hanging="328"/>
        <w:spacing w:after="0" w:line="313"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3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mix of IIF, with loans having higher risk characteristics generally resulting in higher defaults and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loans insured, with higher average loan amounts tending to increase losses incurred;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loan-to-value ratio, with higher average loan-to-value ratios tending to increase losses incurred;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coverage on insured loans, with deeper average coverage tending to increase losses incurred;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quality of borrowers, including higher debt-to-income ratios and lower FICO scores, which tend to increase incurred losses;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8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7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claims over the life of a book. The average age of our insurance portfolio is young with 87% of our IIF as of June 30, 2015 having been originated since January 1, 2013. As a result, based on historical industry performance, we expect the number of defaults and claims we experience, as well as our provision for losses and loss adjustment expenses, to increase as our portfolio further seasons. See “— Mortgage Insurance Earnings and Cash Flow Cycle” below.</w:t>
      </w:r>
    </w:p>
    <w:p>
      <w:pPr>
        <w:spacing w:after="0" w:line="180" w:lineRule="exact"/>
        <w:rPr>
          <w:sz w:val="20"/>
          <w:szCs w:val="20"/>
          <w:color w:val="auto"/>
        </w:rPr>
      </w:pPr>
    </w:p>
    <w:p>
      <w:pPr>
        <w:jc w:val="both"/>
        <w:ind w:right="200" w:firstLine="648"/>
        <w:spacing w:after="0" w:line="272" w:lineRule="auto"/>
        <w:rPr>
          <w:sz w:val="20"/>
          <w:szCs w:val="20"/>
          <w:color w:val="auto"/>
        </w:rPr>
      </w:pPr>
      <w:r>
        <w:rPr>
          <w:rFonts w:ascii="Times New Roman" w:cs="Times New Roman" w:eastAsia="Times New Roman" w:hAnsi="Times New Roman"/>
          <w:sz w:val="17"/>
          <w:szCs w:val="17"/>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w:t>
      </w:r>
    </w:p>
    <w:p>
      <w:pPr>
        <w:spacing w:after="0" w:line="2" w:lineRule="exact"/>
        <w:rPr>
          <w:sz w:val="20"/>
          <w:szCs w:val="20"/>
          <w:color w:val="auto"/>
        </w:rPr>
      </w:pPr>
    </w:p>
    <w:p>
      <w:pPr>
        <w:jc w:val="both"/>
        <w:ind w:right="460"/>
        <w:spacing w:after="0" w:line="255" w:lineRule="auto"/>
        <w:rPr>
          <w:sz w:val="20"/>
          <w:szCs w:val="20"/>
          <w:color w:val="auto"/>
        </w:rPr>
      </w:pPr>
      <w:r>
        <w:rPr>
          <w:rFonts w:ascii="Times New Roman" w:cs="Times New Roman" w:eastAsia="Times New Roman" w:hAnsi="Times New Roman"/>
          <w:sz w:val="18"/>
          <w:szCs w:val="18"/>
          <w:color w:val="auto"/>
        </w:rPr>
        <w:t>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8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believe, based upon our experience and industry data, that claims incidence for mortgage insurance is generally highest in the third through sixth years after loan origination. As of June 30, 2015, 87% of our IIF relates to business written since January 1, 2013 and substantially all of our policies in force are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Our other underwriting and operating expenses include components that are substantially fixed, as well as expenses that generally increase or decrease in line with the level of NIW.</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most significant expense is compensation and benefits for our employees, which represented 64% and 65% of other underwriting and operating expenses for the three and six months ended June 30, 2015, respectively, compared to 67% of other underwriting and operating expenses for each of the three and six months ended June 30, 2014. Compensation and benefits expense includes base and incentive cash compensation, stock compensation expense, benefits and payroll taxes. Compensation and benefits expense has increased as we have increased our staffing from 289 employees at January 1, 2014 to 355 at June 30, 2015, primarily in our business development and operations functions to support the growth of our business. The growth in our sales organization contributed to the growth of our active customers and NIW. We also expanded our underwriting and customer service teams to support this new business.</w:t>
      </w:r>
    </w:p>
    <w:p>
      <w:pPr>
        <w:spacing w:after="0" w:line="188"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Underwriting and other expenses include legal, consulting, other professional fees, premium taxes, travel, entertainment, marketing, licensing, supplies, hardware, software, rent, utilities, depreciation and amortization and other expenses.</w:t>
      </w:r>
    </w:p>
    <w:p>
      <w:pPr>
        <w:spacing w:after="0" w:line="162"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as we continue to add customers and increase our IIF, our expenses will also continue to increase. In addition, as a result of the increase in our IIF, we expect that our net premiums earned will grow faster than our underwriting and other expenses resulting in a decline in our expense ratio.</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Income taxes are incurred based on the amount of earnings or losses generated in the jurisdictions in which we operate and the applicable tax rates and regulations in those jurisdictions. Through December 31, 2014, substantially all of our business activity had been conducted in the United States where we are subject to corporate level Federal income taxes. Our U.S. insurance subsidiaries are generally not subject to income taxes in the states in which we operate; however, our non-insurance subsidiaries are subject to state income taxes. In lieu of state income taxes, our insurance subsidiaries pay premium taxes that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are recorded in other underwriting and operating expenses. In 2014, Essent Re entered into insurance and reinsurance transactions with Freddie Mac and entered into a quota share reinsurance agreement with Essent Guaranty, an affiliate, to reinsure 25% of Essent Guaranty’s GSE-eligible NIW effective July 1, 2014. During 2014, since substantially all of our earnings were generated in the United States, our effective tax rate approximated the federal statutory tax rate. In 2015 and future periods, the amount of income tax expense or benefit will be dependent on the jurisdictions in which we operate and the tax laws and regulations in effect, as well as the amount of earnings or losses generated in those jurisdictions.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Mortgage Insurance Earnings and Cash Flow Cycle</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In Force</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discussed above, premiums we collect and earn are generated based on our IIF, which is a function of our NIW and cancellations. The following table includes a summary of the change in our IIF for the three and six months ended June 30, 2015 and 2014. In addition, this table includes our risk in force, or RIF, at the end of each period.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IIF,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53,253,632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34,778,057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50,762,594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32,028,196</w:t>
            </w:r>
          </w:p>
        </w:tc>
      </w:tr>
      <w:tr>
        <w:trPr>
          <w:trHeight w:val="243"/>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NIW</w:t>
            </w:r>
          </w:p>
        </w:tc>
        <w:tc>
          <w:tcPr>
            <w:tcW w:w="3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7,286,659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5,874,334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12,633,479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9,504,907</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Cancellations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(3,104,432)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(5,960,214)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(2,153,224)</w:t>
            </w:r>
          </w:p>
        </w:tc>
      </w:tr>
      <w:tr>
        <w:trPr>
          <w:trHeight w:val="23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IIF, end of period</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57,435,859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39,379,879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57,435,859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39,379,879</w:t>
            </w:r>
          </w:p>
        </w:tc>
      </w:tr>
      <w:tr>
        <w:trPr>
          <w:trHeight w:val="67"/>
        </w:trPr>
        <w:tc>
          <w:tcPr>
            <w:tcW w:w="50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Average IIF during the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55,224,827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36,973,455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53,649,683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35,216,295</w:t>
            </w: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RIF, end of period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13,992,701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9,700,549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13,992,701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9,700,549</w:t>
            </w:r>
          </w:p>
        </w:tc>
      </w:tr>
    </w:tbl>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Our cancellation activity has been relatively low to date because the average age of our insurance portfolio is young. The following is a summary of our IIF at June 30, 2015 by vintage: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9"/>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 (through June 30)</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12,445,502</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43"/>
        </w:trPr>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21,735,013</w:t>
            </w:r>
          </w:p>
        </w:tc>
        <w:tc>
          <w:tcPr>
            <w:tcW w:w="100" w:type="dxa"/>
            <w:vAlign w:val="bottom"/>
          </w:tcPr>
          <w:p>
            <w:pPr>
              <w:spacing w:after="0"/>
              <w:rPr>
                <w:sz w:val="21"/>
                <w:szCs w:val="21"/>
                <w:color w:val="auto"/>
              </w:rPr>
            </w:pPr>
          </w:p>
        </w:tc>
        <w:tc>
          <w:tcPr>
            <w:tcW w:w="2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37.8</w:t>
            </w:r>
          </w:p>
        </w:tc>
      </w:tr>
      <w:tr>
        <w:trPr>
          <w:trHeight w:val="27"/>
        </w:trPr>
        <w:tc>
          <w:tcPr>
            <w:tcW w:w="7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15,544,043</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27.1</w:t>
            </w:r>
          </w:p>
        </w:tc>
      </w:tr>
      <w:tr>
        <w:trPr>
          <w:trHeight w:val="243"/>
        </w:trPr>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6,588,716</w:t>
            </w:r>
          </w:p>
        </w:tc>
        <w:tc>
          <w:tcPr>
            <w:tcW w:w="100" w:type="dxa"/>
            <w:vAlign w:val="bottom"/>
          </w:tcPr>
          <w:p>
            <w:pPr>
              <w:spacing w:after="0"/>
              <w:rPr>
                <w:sz w:val="21"/>
                <w:szCs w:val="21"/>
                <w:color w:val="auto"/>
              </w:rPr>
            </w:pPr>
          </w:p>
        </w:tc>
        <w:tc>
          <w:tcPr>
            <w:tcW w:w="2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7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1,060,637</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61,948</w:t>
            </w:r>
          </w:p>
        </w:tc>
        <w:tc>
          <w:tcPr>
            <w:tcW w:w="100" w:type="dxa"/>
            <w:vAlign w:val="bottom"/>
          </w:tcPr>
          <w:p>
            <w:pPr>
              <w:spacing w:after="0"/>
              <w:rPr>
                <w:sz w:val="21"/>
                <w:szCs w:val="21"/>
                <w:color w:val="auto"/>
              </w:rPr>
            </w:pPr>
          </w:p>
        </w:tc>
        <w:tc>
          <w:tcPr>
            <w:tcW w:w="2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7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7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57,435,859</w:t>
            </w:r>
          </w:p>
        </w:tc>
        <w:tc>
          <w:tcPr>
            <w:tcW w:w="1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Average Premium Rate</w:t>
      </w:r>
    </w:p>
    <w:p>
      <w:pPr>
        <w:spacing w:after="0" w:line="22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Our average premium rate is dependent on a number of factors, including: (1) the risk characteristics and average coverage on the mortgages we insure; (2) the mix of monthly premiums compared to single premiums in our portfolio; (3) cancellations of non-refundable single premiums during the period; and (4) changes to our pricing.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outlines our average premium rate, which reflects net premiums earned as a percentage of average IIF, for the periods presented: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860" w:type="dxa"/>
            <w:vAlign w:val="bottom"/>
            <w:gridSpan w:val="3"/>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4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78,361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50,342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153,399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95,092</w:t>
            </w:r>
          </w:p>
        </w:tc>
      </w:tr>
      <w:tr>
        <w:trPr>
          <w:trHeight w:val="243"/>
        </w:trPr>
        <w:tc>
          <w:tcPr>
            <w:tcW w:w="4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Average IIF during the period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55,224,827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36,973,455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53,649,683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35,216,295</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premium rate (annualized)</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7"/>
        </w:trPr>
        <w:tc>
          <w:tcPr>
            <w:tcW w:w="4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Persistency Rate</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 to Capital</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risk to 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As of June 30, 2015, our combined net risk in force for our U.S. insurance companies was $12.5 billion and our combined statutory capital was $816.4 million, resulting in a risk to capital ratio of 15.3 to 1. The amount of capital required varies in each jurisdiction in which we operate; however, generally, the maximum permitted risk to capital ratio is 25.0 to 1. State insurance regulators are currently examining their respective capital rules to determine whether, in light of the recent financial crisis, changes are needed to more accurately assess mortgage insurers’ ability to withstand stressful economic conditions. As a result, the capital metrics under which they assess and measure capital adequacy may change in the future. As discussed below, the GSEs announced new PMIERs in the second quarter of 2015 which, when effective on December 31, 2015, will require us and the other private mortgage insurers in our industry to maintain a sufficient level of liquid assets from which to pay claims. See additional discussion in “— Liquidity and Capital Resources —Private Mortgage Insurer Eligibility Requirements.”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six months ended June 30, 2015, capital contributions of $20.0 million were made by Essent Group Ltd. to a U.S. insurance subsidiary.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2014, capital contributions of $75.0 million were made to our U.S. insurance subsidiaries.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Summary of Operations</w:t>
            </w: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premiums written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92,399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63,505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174,656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115,697</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Increase in unearned premiums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(20,605)</w:t>
            </w:r>
          </w:p>
        </w:tc>
      </w:tr>
      <w:tr>
        <w:trPr>
          <w:trHeight w:val="23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premiums earned</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78,361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50,342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153,399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95,092</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4,978</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468</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1,566</w:t>
            </w:r>
          </w:p>
        </w:tc>
      </w:tr>
      <w:tr>
        <w:trPr>
          <w:trHeight w:val="237"/>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84,067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54,283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164,078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102,104</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1,868</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27,148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23,648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54,646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47,107</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losses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29,462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24,614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58,959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48,975</w:t>
            </w:r>
          </w:p>
        </w:tc>
      </w:tr>
      <w:tr>
        <w:trPr>
          <w:trHeight w:val="23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54,605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29,669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105,119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53,129</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33,088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18,568</w:t>
            </w:r>
          </w:p>
        </w:tc>
      </w:tr>
      <w:tr>
        <w:trPr>
          <w:trHeight w:val="25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37,193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19,555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72,031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34,561</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2015 Compared to the Three and Six Months Ended June 30, 2014</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2015, we reported net income of $37.2 million, compared to net income of $19.6 million for the three months ended June 30, 2014. For the six months ended June 30, 2015, we reported net income of $72.0 million, compared to net income of $34.6 million for the six months ended June 30, 2014. The increase in our operating results in 2015 over the same periods in 2014 was primarily due to an increase in net premiums earned associated with the growth of our IIF and an increase in net investment income, partially offset by increases in other underwriting and operating expenses, the provision for losses and loss adjustment expenses and income taxes.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229"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Net premiums earned increased in the three months ended June 30, 2015 by 56% compared to the three months ended June 30, 2014 due to the increase in our average IIF from $37.0 billion at June 30, 2014 to $55.2 billion at June 30, 2015, as well as an increase in the average premium rate from</w:t>
      </w:r>
    </w:p>
    <w:p>
      <w:pPr>
        <w:ind w:right="60"/>
        <w:spacing w:after="0" w:line="253" w:lineRule="auto"/>
        <w:rPr>
          <w:sz w:val="20"/>
          <w:szCs w:val="20"/>
          <w:color w:val="auto"/>
        </w:rPr>
      </w:pPr>
      <w:r>
        <w:rPr>
          <w:rFonts w:ascii="Times New Roman" w:cs="Times New Roman" w:eastAsia="Times New Roman" w:hAnsi="Times New Roman"/>
          <w:sz w:val="18"/>
          <w:szCs w:val="18"/>
          <w:color w:val="auto"/>
        </w:rPr>
        <w:t>0.54% in the second quarter of 2014 to 0.57% in the second quarter of 2015. Net premiums earned increased in the six months ended June 30, 2015 by 61% compared to the six months ended June 30, 2014 due to the increase in our average IIF from $35.2 billion at June 30, 2014 to $53.6 billion at June 30, 2015, as well as an increase in the average premium rate from 0.54% in the six months ended June 30, 2014 to 0.57% in the six months ended June 30, 2015. The increase in the average premium rate is due to changes in the mix of business and an increase in unearned premiums recognized upon the cancellation of non-refundable single premium policies.</w:t>
      </w:r>
    </w:p>
    <w:p>
      <w:pPr>
        <w:spacing w:after="0" w:line="18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increase in net premiums written is due primarily to the increase in average IIF of 49% for the three months ended June 30, 2015 and 52% for the six months ended June 30, 2015 as compared to the comparable periods of 2014. Net premiums written increased in the three and six months ended June 30, 2015 by 45% and 51%, respectively, over the three and six months ended June 30, 2014.</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the three months ended June 30, 2015 and 2014, unearned premiums increased by $14.0 million and $13.2 million, respectively. The change in unearned premiums was a result of net premiums written on single premium policies of $28.2 million and $19.6 million, respectively, which was partially offset by $14.2 million and $6.4 million, respectively, of unearned premium that was recognized in earnings during the periods. In the six months ended June 30, 2015 and 2014, unearned premiums increased by $21.3 million and $20.6 million, respectively. This was a result of net premiums written on single premium policies of $49.4 million and $32.1 million, respectively, which was partially offset by $28.1 million and $11.5 million, respectively, of unearned premium that was recognized in earnings during the periods.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net investment income was derived from the following sources for the period indicated: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9,768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5,378</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9,797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5,409</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Investment expenses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4,720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4,978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increase in net investment income for the three and six months ended June 30, 2015 as compared to the same periods in 2014 was due in part to an increase in the weighted average balance of our investment portfolio as a result of investing the proceeds from our secondary offering of common shares in 2014, proceeds from our IPO, and cash flows generated from operations. The increase in net investment income is also due to an increase in the yield on the investment portfolio, resulting from a reduction in short-term investments and an increase in higher yielding fixed maturity securities. The average cash and investment portfolio balance was $1.1 billion for the three months ended June 30, 2015 compared to $839.2 million for the three months ended June 30,</w:t>
      </w:r>
    </w:p>
    <w:p>
      <w:pPr>
        <w:spacing w:after="0" w:line="3"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2014. The average cash and investment portfolio balance was $1.1 billion for the six months ended June 30, 2015 compared to $829.9 million for the six months ended June 30, 2014. The pre-tax investment income yield was 1.8% and 1.6% in the three months ended June 30, 2015 and 2014, respectively,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and 1.3% in the six months ended June 30, 2015 and 2014, respectively. The pre-tax investment income yields are calculated based on amortized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 Liquidity and Capital Resources” below for further details of our investment portfolio.</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Other income includes fees earned for information technology and customer support services provided to Triad, contract underwriting revenues and changes in the fair value of the insurance and certain reinsurance policies issued by Essent Re under the ACIS program. The decrease in other income for the three and six months ended June 30, 2015 compared to the same period in 2014 was primarily due to a decrease in the estimated fair value of our ACIS contracts resulting from an increase in observed prepayment speeds associated with the underlying pool of mortgages on the reference STACR notes.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increase in the provision for losses and LAE in the three and six months ended June 30, 2015 as compared to the same periods in 2014 was due to increases in the number of insured loans in default and the seasoning of the underlying loans in default, partially offset by previously identified defaults that cured.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rollforward of insured loans in default for the periods indicated: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Pr>
          <w:p>
            <w:pPr>
              <w:spacing w:after="0"/>
              <w:rPr>
                <w:sz w:val="16"/>
                <w:szCs w:val="16"/>
                <w:color w:val="auto"/>
              </w:rPr>
            </w:pPr>
          </w:p>
        </w:tc>
        <w:tc>
          <w:tcPr>
            <w:tcW w:w="2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40" w:type="dxa"/>
            <w:vAlign w:val="bottom"/>
            <w:tcBorders>
              <w:bottom w:val="single" w:sz="8" w:color="auto"/>
            </w:tcBorders>
          </w:tcPr>
          <w:p>
            <w:pPr>
              <w:spacing w:after="0"/>
              <w:rPr>
                <w:sz w:val="16"/>
                <w:szCs w:val="16"/>
                <w:color w:val="auto"/>
              </w:rPr>
            </w:pPr>
          </w:p>
        </w:tc>
      </w:tr>
      <w:tr>
        <w:trPr>
          <w:trHeight w:val="264"/>
        </w:trPr>
        <w:tc>
          <w:tcPr>
            <w:tcW w:w="6880" w:type="dxa"/>
            <w:vAlign w:val="bottom"/>
            <w:gridSpan w:val="2"/>
          </w:tcPr>
          <w:p>
            <w:pPr>
              <w:ind w:left="656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8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Pr>
          <w:p>
            <w:pPr>
              <w:spacing w:after="0"/>
              <w:rPr>
                <w:sz w:val="22"/>
                <w:szCs w:val="22"/>
                <w:color w:val="auto"/>
              </w:rPr>
            </w:pPr>
          </w:p>
        </w:tc>
      </w:tr>
      <w:tr>
        <w:trPr>
          <w:trHeight w:val="249"/>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default inventory</w:t>
            </w: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6"/>
              </w:rPr>
              <w:t>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r>
      <w:tr>
        <w:trPr>
          <w:trHeight w:val="243"/>
        </w:trPr>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Plus: new defaults</w:t>
            </w:r>
          </w:p>
        </w:tc>
        <w:tc>
          <w:tcPr>
            <w:tcW w:w="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6"/>
              </w:rPr>
              <w:t>151</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r>
      <w:tr>
        <w:trPr>
          <w:trHeight w:val="27"/>
        </w:trPr>
        <w:tc>
          <w:tcPr>
            <w:tcW w:w="6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(226)</w:t>
            </w:r>
          </w:p>
        </w:tc>
      </w:tr>
      <w:tr>
        <w:trPr>
          <w:trHeight w:val="243"/>
        </w:trPr>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claims paid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60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default inventory</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6"/>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increase in the number of defaults at June 30, 2015 compared to June 30, 2014 was primarily due to an increase in our IIF and policies in force, as well as further seasoning of our insurance portfolio.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additional information about our loans in default as of the dates indicated: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60" w:type="dxa"/>
            <w:vAlign w:val="bottom"/>
            <w:tcBorders>
              <w:bottom w:val="single" w:sz="8" w:color="auto"/>
            </w:tcBorders>
          </w:tcPr>
          <w:p>
            <w:pPr>
              <w:spacing w:after="0"/>
              <w:rPr>
                <w:sz w:val="16"/>
                <w:szCs w:val="16"/>
                <w:color w:val="auto"/>
              </w:rPr>
            </w:pPr>
          </w:p>
        </w:tc>
      </w:tr>
      <w:tr>
        <w:trPr>
          <w:trHeight w:val="264"/>
        </w:trPr>
        <w:tc>
          <w:tcPr>
            <w:tcW w:w="84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Case reserves (in thousands)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10,958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4,121</w:t>
            </w: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Ending default inventory</w:t>
            </w:r>
          </w:p>
        </w:tc>
        <w:tc>
          <w:tcPr>
            <w:tcW w:w="340" w:type="dxa"/>
            <w:vAlign w:val="bottom"/>
          </w:tcPr>
          <w:p>
            <w:pPr>
              <w:spacing w:after="0"/>
              <w:rPr>
                <w:sz w:val="21"/>
                <w:szCs w:val="21"/>
                <w:color w:val="auto"/>
              </w:rPr>
            </w:pPr>
          </w:p>
        </w:tc>
        <w:tc>
          <w:tcPr>
            <w:tcW w:w="11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235</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case reserve per default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18,112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17,536</w:t>
            </w:r>
          </w:p>
        </w:tc>
      </w:tr>
      <w:tr>
        <w:trPr>
          <w:trHeight w:val="243"/>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Default rate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Claims received included in ending default inventory</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4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a reconciliation of the beginning and ending reserve balances for losses and LAE and a detail of reserves and defaulted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RIF by the number of missed payments and pending claims: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for losses and LAE at beginning of period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8,427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3,070</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Add provision for losses and LAE occurring in:</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period</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2,452</w:t>
            </w:r>
          </w:p>
        </w:tc>
      </w:tr>
      <w:tr>
        <w:trPr>
          <w:trHeight w:val="243"/>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Prior years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Incurred losses during the current period</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1,868</w:t>
            </w:r>
          </w:p>
        </w:tc>
      </w:tr>
      <w:tr>
        <w:trPr>
          <w:trHeight w:val="23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Deduct payments for losses and LAE occurring in:</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period</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Prior years</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432</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and LAE payments during the current period</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432</w:t>
            </w:r>
          </w:p>
        </w:tc>
      </w:tr>
      <w:tr>
        <w:trPr>
          <w:trHeight w:val="25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Reserve for losses and LAE at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11,931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4,506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11,931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4,506</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As of June 30, 2015</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7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04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2"/>
                <w:szCs w:val="12"/>
                <w:color w:val="auto"/>
              </w:rPr>
            </w:pPr>
          </w:p>
        </w:tc>
        <w:tc>
          <w:tcPr>
            <w:tcW w:w="15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20" w:type="dxa"/>
            <w:vAlign w:val="bottom"/>
          </w:tcPr>
          <w:p>
            <w:pPr>
              <w:spacing w:after="0"/>
              <w:rPr>
                <w:sz w:val="12"/>
                <w:szCs w:val="12"/>
                <w:color w:val="auto"/>
              </w:rPr>
            </w:pPr>
          </w:p>
        </w:tc>
        <w:tc>
          <w:tcPr>
            <w:tcW w:w="102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49"/>
        </w:trPr>
        <w:tc>
          <w:tcPr>
            <w:tcW w:w="2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vMerge w:val="restart"/>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7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2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RIF</w:t>
            </w:r>
          </w:p>
        </w:tc>
        <w:tc>
          <w:tcPr>
            <w:tcW w:w="0" w:type="dxa"/>
            <w:vAlign w:val="bottom"/>
          </w:tcPr>
          <w:p>
            <w:pPr>
              <w:spacing w:after="0"/>
              <w:rPr>
                <w:sz w:val="1"/>
                <w:szCs w:val="1"/>
                <w:color w:val="auto"/>
              </w:rPr>
            </w:pPr>
          </w:p>
        </w:tc>
      </w:tr>
      <w:tr>
        <w:trPr>
          <w:trHeight w:val="249"/>
        </w:trPr>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Missed payments:</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Three payments or less</w:t>
            </w: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  $</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2,797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16,188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Four to eleven payments</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5,680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12,715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2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Twelve or more payments</w:t>
            </w: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2,003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Pending claims</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478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540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97"/>
        </w:trPr>
        <w:tc>
          <w:tcPr>
            <w:tcW w:w="290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CCEEFF"/>
            </w:tcBorders>
          </w:tcPr>
          <w:p>
            <w:pPr>
              <w:spacing w:after="0"/>
              <w:rPr>
                <w:sz w:val="24"/>
                <w:szCs w:val="24"/>
                <w:color w:val="auto"/>
              </w:rPr>
            </w:pPr>
          </w:p>
        </w:tc>
        <w:tc>
          <w:tcPr>
            <w:tcW w:w="1040" w:type="dxa"/>
            <w:vAlign w:val="bottom"/>
            <w:tcBorders>
              <w:top w:val="single" w:sz="8" w:color="auto"/>
              <w:bottom w:val="single" w:sz="8" w:color="CCEEFF"/>
            </w:tcBorders>
          </w:tcPr>
          <w:p>
            <w:pPr>
              <w:jc w:val="right"/>
              <w:ind w:right="35"/>
              <w:spacing w:after="0"/>
              <w:rPr>
                <w:sz w:val="20"/>
                <w:szCs w:val="20"/>
                <w:color w:val="auto"/>
              </w:rPr>
            </w:pPr>
            <w:r>
              <w:rPr>
                <w:rFonts w:ascii="Times New Roman" w:cs="Times New Roman" w:eastAsia="Times New Roman" w:hAnsi="Times New Roman"/>
                <w:sz w:val="18"/>
                <w:szCs w:val="18"/>
                <w:color w:val="auto"/>
              </w:rPr>
              <w:t>10,958</w:t>
            </w:r>
          </w:p>
        </w:tc>
        <w:tc>
          <w:tcPr>
            <w:tcW w:w="10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31,943</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290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IBNR</w:t>
            </w: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5"/>
              <w:spacing w:after="0" w:line="203" w:lineRule="exact"/>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LAE and other</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reserves</w:t>
            </w: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11,931</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As of June 30, 2014</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2"/>
                <w:szCs w:val="12"/>
                <w:color w:val="auto"/>
              </w:rPr>
            </w:pPr>
          </w:p>
        </w:tc>
        <w:tc>
          <w:tcPr>
            <w:tcW w:w="9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2"/>
                <w:szCs w:val="12"/>
                <w:color w:val="auto"/>
              </w:rPr>
            </w:pPr>
          </w:p>
        </w:tc>
        <w:tc>
          <w:tcPr>
            <w:tcW w:w="15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20" w:type="dxa"/>
            <w:vAlign w:val="bottom"/>
          </w:tcPr>
          <w:p>
            <w:pPr>
              <w:spacing w:after="0"/>
              <w:rPr>
                <w:sz w:val="12"/>
                <w:szCs w:val="12"/>
                <w:color w:val="auto"/>
              </w:rPr>
            </w:pPr>
          </w:p>
        </w:tc>
        <w:tc>
          <w:tcPr>
            <w:tcW w:w="102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49"/>
        </w:trPr>
        <w:tc>
          <w:tcPr>
            <w:tcW w:w="2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2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RIF</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RIF</w:t>
            </w:r>
          </w:p>
        </w:tc>
        <w:tc>
          <w:tcPr>
            <w:tcW w:w="0" w:type="dxa"/>
            <w:vAlign w:val="bottom"/>
          </w:tcPr>
          <w:p>
            <w:pPr>
              <w:spacing w:after="0"/>
              <w:rPr>
                <w:sz w:val="1"/>
                <w:szCs w:val="1"/>
                <w:color w:val="auto"/>
              </w:rPr>
            </w:pPr>
          </w:p>
        </w:tc>
      </w:tr>
      <w:tr>
        <w:trPr>
          <w:trHeight w:val="249"/>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Missed payments:</w:t>
            </w: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Three payments or less</w:t>
            </w: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1,266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6,316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Four to eleven payments</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2,026</w:t>
            </w:r>
          </w:p>
        </w:tc>
        <w:tc>
          <w:tcPr>
            <w:tcW w:w="154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4,083</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30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Twelve or more payments</w:t>
            </w: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4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724</w:t>
            </w:r>
          </w:p>
        </w:tc>
        <w:tc>
          <w:tcPr>
            <w:tcW w:w="15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990</w:t>
            </w:r>
          </w:p>
        </w:tc>
        <w:tc>
          <w:tcPr>
            <w:tcW w:w="14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Pending claims</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105</w:t>
            </w:r>
          </w:p>
        </w:tc>
        <w:tc>
          <w:tcPr>
            <w:tcW w:w="154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103</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97"/>
        </w:trPr>
        <w:tc>
          <w:tcPr>
            <w:tcW w:w="300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960" w:type="dxa"/>
            <w:vAlign w:val="bottom"/>
            <w:tcBorders>
              <w:top w:val="single" w:sz="8" w:color="auto"/>
              <w:bottom w:val="single" w:sz="8" w:color="CCEEFF"/>
            </w:tcBorders>
          </w:tcPr>
          <w:p>
            <w:pPr>
              <w:jc w:val="right"/>
              <w:ind w:right="15"/>
              <w:spacing w:after="0"/>
              <w:rPr>
                <w:sz w:val="20"/>
                <w:szCs w:val="20"/>
                <w:color w:val="auto"/>
              </w:rPr>
            </w:pPr>
            <w:r>
              <w:rPr>
                <w:rFonts w:ascii="Times New Roman" w:cs="Times New Roman" w:eastAsia="Times New Roman" w:hAnsi="Times New Roman"/>
                <w:sz w:val="18"/>
                <w:szCs w:val="18"/>
                <w:color w:val="auto"/>
              </w:rPr>
              <w:t>4,121</w:t>
            </w:r>
          </w:p>
        </w:tc>
        <w:tc>
          <w:tcPr>
            <w:tcW w:w="1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11,492</w:t>
            </w:r>
          </w:p>
        </w:tc>
        <w:tc>
          <w:tcPr>
            <w:tcW w:w="1440" w:type="dxa"/>
            <w:vAlign w:val="bottom"/>
            <w:tcBorders>
              <w:bottom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300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IBNR</w:t>
            </w: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LAE and other</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reserves</w:t>
            </w: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4,506</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2015, the provision for losses and LAE was $2.3 million, comprised of $3.4 million of current year losses partially offset by $1.1 million of favorable prior years’ loss development. During the three months ended June 30, 2014, the provision for losses and LAE was $1.0 million, comprised of $1.2 million of current year losses partially offset by $0.2 million of favorable prior years’ loss development. In both periods, the prior years’ loss development is the result of a re-estimation of amounts ultimately to be paid on prior year defaults in the default inventory.</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2015, the provision for losses and LAE was $4.3 million, comprised of $6.1 million of current year losses partially offset by $1.8 million of favorable prior years’ loss development. During the six months ended June 30, 2014, the provision for losses and LAE was $1.9 million, comprised of $2.5 million of current year losses partially offset by $0.6 million of favorable prior years’ loss development. In both periods, the prior years’ loss development is the result of a re-estimation of amounts ultimately to be paid on prior year defaults in the default inventory.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additional information about our claims paid and claim severity as of the dates indicated: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42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claims paid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Amount of claims paid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422</w:t>
            </w: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Claim severity</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5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are the components of our other underwriting and operating expenses for the periods indicated: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60" w:type="dxa"/>
            <w:vAlign w:val="bottom"/>
            <w:tcBorders>
              <w:bottom w:val="single" w:sz="8" w:color="auto"/>
            </w:tcBorders>
          </w:tcPr>
          <w:p>
            <w:pPr>
              <w:spacing w:after="0"/>
              <w:rPr>
                <w:sz w:val="16"/>
                <w:szCs w:val="16"/>
                <w:color w:val="auto"/>
              </w:rPr>
            </w:pPr>
          </w:p>
        </w:tc>
      </w:tr>
      <w:tr>
        <w:trPr>
          <w:trHeight w:val="264"/>
        </w:trPr>
        <w:tc>
          <w:tcPr>
            <w:tcW w:w="3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760" w:type="dxa"/>
            <w:vAlign w:val="bottom"/>
            <w:tcBorders>
              <w:bottom w:val="single" w:sz="8" w:color="auto"/>
            </w:tcBorders>
          </w:tcPr>
          <w:p>
            <w:pPr>
              <w:spacing w:after="0"/>
              <w:rPr>
                <w:sz w:val="22"/>
                <w:szCs w:val="22"/>
                <w:color w:val="auto"/>
              </w:rPr>
            </w:pPr>
          </w:p>
        </w:tc>
      </w:tr>
      <w:tr>
        <w:trPr>
          <w:trHeight w:val="264"/>
        </w:trPr>
        <w:tc>
          <w:tcPr>
            <w:tcW w:w="3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9"/>
        </w:trPr>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17,477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15,840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35,663</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31,508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9,671</w:t>
            </w:r>
          </w:p>
        </w:tc>
        <w:tc>
          <w:tcPr>
            <w:tcW w:w="120" w:type="dxa"/>
            <w:vAlign w:val="bottom"/>
          </w:tcPr>
          <w:p>
            <w:pPr>
              <w:spacing w:after="0"/>
              <w:rPr>
                <w:sz w:val="21"/>
                <w:szCs w:val="21"/>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7,808</w:t>
            </w:r>
          </w:p>
        </w:tc>
        <w:tc>
          <w:tcPr>
            <w:tcW w:w="100" w:type="dxa"/>
            <w:vAlign w:val="bottom"/>
          </w:tcPr>
          <w:p>
            <w:pPr>
              <w:spacing w:after="0"/>
              <w:rPr>
                <w:sz w:val="21"/>
                <w:szCs w:val="21"/>
                <w:color w:val="auto"/>
              </w:rPr>
            </w:pPr>
          </w:p>
        </w:tc>
        <w:tc>
          <w:tcPr>
            <w:tcW w:w="7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18,983</w:t>
            </w:r>
          </w:p>
        </w:tc>
        <w:tc>
          <w:tcPr>
            <w:tcW w:w="80" w:type="dxa"/>
            <w:vAlign w:val="bottom"/>
          </w:tcPr>
          <w:p>
            <w:pPr>
              <w:spacing w:after="0"/>
              <w:rPr>
                <w:sz w:val="21"/>
                <w:szCs w:val="21"/>
                <w:color w:val="auto"/>
              </w:rPr>
            </w:pPr>
          </w:p>
        </w:tc>
        <w:tc>
          <w:tcPr>
            <w:tcW w:w="7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15,599</w:t>
            </w:r>
          </w:p>
        </w:tc>
        <w:tc>
          <w:tcPr>
            <w:tcW w:w="100" w:type="dxa"/>
            <w:vAlign w:val="bottom"/>
          </w:tcPr>
          <w:p>
            <w:pPr>
              <w:spacing w:after="0"/>
              <w:rPr>
                <w:sz w:val="21"/>
                <w:szCs w:val="21"/>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3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3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27,148</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23,648</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54,646</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47,107</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3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employees at end of period</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323</w:t>
            </w:r>
          </w:p>
        </w:tc>
      </w:tr>
      <w:tr>
        <w:trPr>
          <w:trHeight w:val="27"/>
        </w:trPr>
        <w:tc>
          <w:tcPr>
            <w:tcW w:w="3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Other underwriting and operating expenses were $27.1 million in the three months ended June 30, 2015 as compared to $23.6 million in the three months ended June 30, 2014. Other underwriting and operating expenses were $54.6 million in the six months ended June 30, 2015 as compared to $47.1 million in the six months ended June 30, 2014. The significant factors contributing to the change in other underwriting and operating expenses were:</w:t>
      </w:r>
    </w:p>
    <w:p>
      <w:pPr>
        <w:spacing w:after="0" w:line="176" w:lineRule="exact"/>
        <w:rPr>
          <w:sz w:val="20"/>
          <w:szCs w:val="20"/>
          <w:color w:val="auto"/>
        </w:rPr>
      </w:pPr>
    </w:p>
    <w:p>
      <w:pPr>
        <w:ind w:left="660" w:right="3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increased primarily due to the increase in our work force to 355 at June 30, 2015 from 289 at January 1, 2014, and an increase in stock compensation expense. Additional employees were hired to support the</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9" w:lineRule="exact"/>
        <w:rPr>
          <w:sz w:val="20"/>
          <w:szCs w:val="20"/>
          <w:color w:val="auto"/>
        </w:rPr>
      </w:pPr>
    </w:p>
    <w:p>
      <w:pPr>
        <w:ind w:left="660" w:right="280"/>
        <w:spacing w:after="0" w:line="329" w:lineRule="auto"/>
        <w:rPr>
          <w:sz w:val="20"/>
          <w:szCs w:val="20"/>
          <w:color w:val="auto"/>
        </w:rPr>
      </w:pPr>
      <w:r>
        <w:rPr>
          <w:rFonts w:ascii="Times New Roman" w:cs="Times New Roman" w:eastAsia="Times New Roman" w:hAnsi="Times New Roman"/>
          <w:sz w:val="18"/>
          <w:szCs w:val="18"/>
          <w:color w:val="auto"/>
        </w:rPr>
        <w:t>growth in our business, particularly in our sales organization, as well as our underwriting and customer service teams. Compensation and benefits includes salaries, wages and bonus, stock compensation expense, benefits and payroll taxes.</w:t>
      </w:r>
    </w:p>
    <w:p>
      <w:pPr>
        <w:spacing w:after="0" w:line="135" w:lineRule="exact"/>
        <w:rPr>
          <w:sz w:val="20"/>
          <w:szCs w:val="20"/>
          <w:color w:val="auto"/>
        </w:rPr>
      </w:pPr>
    </w:p>
    <w:p>
      <w:pPr>
        <w:ind w:left="660" w:right="4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premium taxes, travel, marketing, hardware, software, rent, depreciation and amortization and other facilities expenses. Other expenses increased as a result of the expansion of our business.</w:t>
      </w:r>
    </w:p>
    <w:p>
      <w:pPr>
        <w:spacing w:after="0" w:line="15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subsidiaries in the United States file a consolidated U.S. Federal income tax return. Our income tax expense was $17.4 million and $10.1 million for the three months ended June 30, 2015 and 2014, respectively. Our income tax expense was $33.1 million and $18.6 million for the six months ended June 30, 2015 and 2014, respectively. Our effective tax rate was 31.9% and 34.1% for the three months ended June 30, 2015 and 2014, respectively, and 31.5% and 34.9% for the six months ended June 30, 2015 and 2014, respectively. In 2014, substantially all of our earnings were generated in the United States. For 2015, we expect the proportion of our consolidated earnings generated in Bermuda to increase as a result of insurance and reinsurance contracts executed with Freddie Mac and the quota share reinsurance agreement entered in to by Essent Guaranty and Essent Re effective July 1, 2014. Bermuda does not have a corporate income tax. For interim reporting periods, we use an annualized effective tax rate method required under GAAP to calculate the income tax provision. In the three months ended June 30, 2015 and 2014, our effective tax rate reflects the impact of the change in our expectations for the proportion of consolidated earnings to be generated in the United States compared to Bermuda in each year. In the six months ended June 30, 2015, our effective tax rate is below the U.S. statutory income tax rate primarily due to the expected proportion of our consolidated earnings to be generated in Bermuda. In the six months ended June 30, 2014, our effective tax rate approximated the federal statutory tax rate as earnings in Bermuda were substantially offset by permanent differences.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 and interest income on the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premiums that we will receive from our existing IIF as well as policies that we write in the future;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capital shares.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consist primarily 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payments under our policies;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costs and operating expenses of our business.</w:t>
      </w:r>
    </w:p>
    <w:p>
      <w:pPr>
        <w:spacing w:after="0" w:line="22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As of June 30, 2015, we had substantial liquidity with cash of $25.6 million, short-term investments of $95.4 million and fixed maturity investments of $1.1 billion, and had no debt outstanding. At June 30, 2015, net cash and investments at the holding company were $107.6 million. Our cash and short-term investment position decreased in the six months ended June 30, 2015 as compared to the year ended December 31, 2014 primarily as a result of an increase in amounts invested in our fixed income portfolio. Our cash and short-term investment position increased during the year ended December 31, 2014 primarily as a result of net proceeds of $126.7 million from our secondary offering of common shares which was completed in November 2014 plus cash flows from operations, net of amounts invested in our fixed income portfolio.</w:t>
      </w:r>
    </w:p>
    <w:p>
      <w:pPr>
        <w:spacing w:after="0" w:line="188"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While the Company and all of its subsidiaries are expected to have sufficient liquidity to meet all their expected obligations, additional capital may be required to meet any new capital requirements that are adopted by regulatory authorities, or to provide additional capital related to the growth of our risk in force in our mortgage insurance portfolio, or to fund new business initiatives including the insurance activities of Essent Re.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the value of our investments;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sell investment assets to provide cash to fund operating needs;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expected revenues generated from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expected claim payments related to our IIF;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operating expenses.</w:t>
      </w:r>
    </w:p>
    <w:p>
      <w:pPr>
        <w:spacing w:after="0" w:line="225"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absent the Pennsylvania Insurance Commissioner’s prior approval. At June 30, 2015, Essent Guaranty had negative unassigned surplus and therefore would require prior approval by the Pennsylvania Insurance Commissioner to make any dividend payment or other distributions in 2015. At June 30, 2015, Essent PA had unassigned surplus of $6.1 million. During the six months ended June 30, 2015, Essent PA did not pay a dividend. In 2014, Essent PA paid a $200,000 dividend to Essent Holdings. Essent Guaranty has paid no dividends since its inception. 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June 30, 2015, Essent Re had total equity of $162.5 million. At June 30, 2015, our insurance subsidiaries were in compliance with these rules, regulations and agreements.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from operating, investing and financing activities: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7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89,846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45,247</w:t>
            </w: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(85,418)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(504,683)</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r>
      <w:tr>
        <w:trPr>
          <w:trHeight w:val="257"/>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(463,475)</w:t>
            </w: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Cash flow provided by operating activities totaled $89.8 million for the six months ended June 30, 2015 as compared to cash flow provided by operating activities of $45.2 million for the six months ended June 30, 2014. The increase in cash flow from operating activities of $44.6 million in 2015 was a result of increases in premiums collected and net investment income, partially offset by increases in prepaid taxes and expenses paid.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Cash flow used in investing activities totaled $85.4 million for the six months ended June 30, 2015, primarily related to investing cash flows from the business. Cash flow used in investing activities totaled $504.7 million for the six months ended June 30, 2014 primarily related to investing capital contributions from our initial investors received in 2013, proceeds from our initial public offering that was completed in November 2013, and cash flows from the business.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Cash flow used in financing activities totaled $3.2 million for the six months ended June 30, 2015, primarily related to the acquisition of treasury stock from employees to satisfy tax withholding obligations, partially offset by excess tax benefits recognized as a result of stock-based compensation. Cash flow used in financing activities totaled $4.0 million for the six</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months ended June 30, 2014, primarily related to a payment made to Triad under the Asset Purchase Agreement, and the acquisition of treasury stock from employees to satisfy tax withholding obligations, partially offset by excess tax benefits recognized as a result of stock-based compensation.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Company Capital</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compute a risk to capital ratio for our U.S. insurance companies on a separate company statutory basis, as well as for our combined insurance operations. The risk to 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six months ended June 30, 2015, capital contributions of $20.0 million were made by Essent Group Ltd. to a U.S. insurance subsidiary.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2014, capital contributions of $75.0 million were made to our U.S. insurance subsidiaries.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combined risk to capital calculation for our U.S. insurance operations as of June 30, 2015 is as follows:</w:t>
      </w: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Combined statutory capital:</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Policyholders’ surplus</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266,789</w:t>
            </w:r>
          </w:p>
        </w:tc>
      </w:tr>
      <w:tr>
        <w:trPr>
          <w:trHeight w:val="243"/>
        </w:trPr>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Contingency reserves</w:t>
            </w:r>
          </w:p>
        </w:tc>
        <w:tc>
          <w:tcPr>
            <w:tcW w:w="5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549,652</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Combined statutory capital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816,441</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9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net risk in force</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12,492,050</w:t>
            </w:r>
          </w:p>
        </w:tc>
      </w:tr>
      <w:tr>
        <w:trPr>
          <w:trHeight w:val="27"/>
        </w:trPr>
        <w:tc>
          <w:tcPr>
            <w:tcW w:w="9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Combined risk to capital ratio</w:t>
            </w:r>
          </w:p>
        </w:tc>
        <w:tc>
          <w:tcPr>
            <w:tcW w:w="5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15.3:1</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additional information regarding regulatory capital, see Note 10 to our condensed consolidated financial statements. Our combined statutory capital equals the sum of statutory capital of Essent Guaranty plus Essent PA, after eliminating the impact of intercompany transactions. The combined risk to 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Such practices vary from accounting principles generally accepted in the United States.</w:t>
      </w:r>
    </w:p>
    <w:p>
      <w:pPr>
        <w:spacing w:after="0" w:line="1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2014 and 2015, Essent Re entered into insurance and reinsurance transactions with Freddie Mac. In 2014, Essent Re also executed a quota share reinsurance transaction with Essent Guaranty to reinsure 25% of Essent Guaranty’s GSE-eligible NIW effective July 1, 2014. As of June 30, 2015, Essent Re had total stockholders’ equity of $162.5 million and net risk in force of $1.6 billion.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Strength Ratings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insurer financial strength rating of Essent Guaranty, our principal mortgage insurance subsidiary, is BBB+ with a stable outlook by S&amp;P. On April 27, 2015, Moody’s affirmed its rating of Essent Guaranty at Baa2, and changed its outlook to positive from stable. Essent Re is not currently rated by a nationally recognized statistical rating organization.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Private Mortgage Insurer Eligibility Requirements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the second quarter of 2015, at the direction of the FHFA, Fannie Mae and Freddie Mac finalized the PMIERs, which become effective on December 31, 2015. The PMIERs represent the standards by which private mortgage insurers will be eligible to provide mortgage insurance on loans owned or guaranteed by Fannie Mae and Freddie Mac. The PMIERs include new financial strength requirements incorporating a risk-based framework that will require approved insurers to have a sufficient level of liquid assets from which to pay claims. The PMIERs also include enhanced operational performance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121" w:right="27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expectations and define remedial actions that will apply should an approved insurer fail to comply with the new requirements. As of June 30, 2015, Essent had sufficient assets in its insurance companies to meet the total risk-based required asset amount of the PMIERs.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of June 30, 2015, stockholders’ equity was $1.0 billion compared to $955.7 million as of December 31, 2014. This increase was primarily due to net income generated in 2015.</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 of our investment portfolio was $1.2 billion as of June 30, 2015 and $1.1 billion as of December 31, 2014. In addition, our total cash was $25.6 million as of June 30, 2015, compared to $24.4 million as of December 31, 2014.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Portfolio by Asset Class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6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220" w:type="dxa"/>
            <w:vAlign w:val="bottom"/>
            <w:tcBorders>
              <w:bottom w:val="single" w:sz="8" w:color="auto"/>
            </w:tcBorders>
          </w:tcPr>
          <w:p>
            <w:pPr>
              <w:spacing w:after="0"/>
              <w:rPr>
                <w:sz w:val="16"/>
                <w:szCs w:val="16"/>
                <w:color w:val="auto"/>
              </w:rPr>
            </w:pPr>
          </w:p>
        </w:tc>
      </w:tr>
      <w:tr>
        <w:trPr>
          <w:trHeight w:val="264"/>
        </w:trPr>
        <w:tc>
          <w:tcPr>
            <w:tcW w:w="3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49"/>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166,181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74,216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 agency securities</w:t>
            </w: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4,520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104,236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83,540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Municipal debt securities(1)</w:t>
            </w: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260,887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195,546</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18.5</w:t>
            </w: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363,632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296,829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28.1</w:t>
            </w:r>
          </w:p>
        </w:tc>
      </w:tr>
      <w:tr>
        <w:trPr>
          <w:trHeight w:val="243"/>
        </w:trPr>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50,750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66,086</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130,128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126,188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3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80,369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210,688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19.9</w:t>
            </w:r>
          </w:p>
        </w:tc>
      </w:tr>
      <w:tr>
        <w:trPr>
          <w:trHeight w:val="27"/>
        </w:trPr>
        <w:tc>
          <w:tcPr>
            <w:tcW w:w="3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1,159,379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1,057,613</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hanging="328"/>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June 30, 2015, approximately 67.6% of municipal debt securities were special revenue bonds, 28.9% were general obligation bonds, 2.4% were certificate of participation bonds and 1.1% were tax allocation bonds. At December 31, 2014, approximately 59.7% of municipal debt securities were special revenue bonds, 37.5% were general obligation bonds, 1.5% were tax allocation bonds, 0.8% were certificate of participation bonds and 0.5% were special assessment bonds. For information regarding the amortized cost and fair value of the municipal debt securities, see Note 2 to our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Portfolio by Rating</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Rating(1)</w:t>
            </w:r>
          </w:p>
        </w:tc>
        <w:tc>
          <w:tcPr>
            <w:tcW w:w="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160" w:type="dxa"/>
            <w:vAlign w:val="bottom"/>
            <w:tcBorders>
              <w:bottom w:val="single" w:sz="8" w:color="auto"/>
            </w:tcBorders>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49"/>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Aaa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509,624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545,807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43"/>
        </w:trPr>
        <w:tc>
          <w:tcPr>
            <w:tcW w:w="4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53,428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47,792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77,463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51,958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4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67,968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48,261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A1</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100,655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74,161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4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A2</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110,740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67,413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86,548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71,964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4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Baa1</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70,109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60,399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Baa2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72,327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79,727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4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Baa3</w:t>
            </w:r>
          </w:p>
        </w:tc>
        <w:tc>
          <w:tcPr>
            <w:tcW w:w="3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10,517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10,131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Below Baa3</w:t>
            </w:r>
          </w:p>
        </w:tc>
        <w:tc>
          <w:tcPr>
            <w:tcW w:w="3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1,159,379</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1,057,613</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rating utilized if Moody’s not available.</w:t>
      </w:r>
    </w:p>
    <w:p>
      <w:pPr>
        <w:spacing w:after="0" w:line="221" w:lineRule="exact"/>
        <w:rPr>
          <w:rFonts w:ascii="Times New Roman" w:cs="Times New Roman" w:eastAsia="Times New Roman" w:hAnsi="Times New Roman"/>
          <w:sz w:val="18"/>
          <w:szCs w:val="18"/>
          <w:color w:val="auto"/>
        </w:rPr>
      </w:pPr>
    </w:p>
    <w:p>
      <w:pPr>
        <w:ind w:left="4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Investment Portfolio by Effective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14147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Effective Duration</w:t>
            </w:r>
          </w:p>
        </w:tc>
        <w:tc>
          <w:tcPr>
            <w:tcW w:w="3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6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360" w:type="dxa"/>
            <w:vAlign w:val="bottom"/>
            <w:tcBorders>
              <w:bottom w:val="single" w:sz="8" w:color="auto"/>
            </w:tcBorders>
          </w:tcPr>
          <w:p>
            <w:pPr>
              <w:spacing w:after="0"/>
              <w:rPr>
                <w:sz w:val="16"/>
                <w:szCs w:val="16"/>
                <w:color w:val="auto"/>
              </w:rPr>
            </w:pPr>
          </w:p>
        </w:tc>
      </w:tr>
      <w:tr>
        <w:trPr>
          <w:trHeight w:val="264"/>
        </w:trPr>
        <w:tc>
          <w:tcPr>
            <w:tcW w:w="3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49"/>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&lt; 1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235,260</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332,399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43"/>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 to &lt; 2 Years</w:t>
            </w:r>
          </w:p>
        </w:tc>
        <w:tc>
          <w:tcPr>
            <w:tcW w:w="3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132,001</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85,971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 to &lt; 3 Years</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188,325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167,504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15.8</w:t>
            </w:r>
          </w:p>
        </w:tc>
      </w:tr>
      <w:tr>
        <w:trPr>
          <w:trHeight w:val="243"/>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 to &lt; 4 Years</w:t>
            </w:r>
          </w:p>
        </w:tc>
        <w:tc>
          <w:tcPr>
            <w:tcW w:w="3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142,899</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106,432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 to &lt; 5 Years</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97,351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80,300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 or more Years</w:t>
            </w:r>
          </w:p>
        </w:tc>
        <w:tc>
          <w:tcPr>
            <w:tcW w:w="3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363,543</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285,007</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27.0</w:t>
            </w:r>
          </w:p>
        </w:tc>
      </w:tr>
      <w:tr>
        <w:trPr>
          <w:trHeight w:val="27"/>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1,159,379</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1,057,613</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62"/>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Top Ten Portfolio Holdings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28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Rank</w:t>
            </w:r>
          </w:p>
        </w:tc>
        <w:tc>
          <w:tcPr>
            <w:tcW w:w="304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3"/>
                <w:szCs w:val="13"/>
                <w:color w:val="auto"/>
              </w:rPr>
            </w:pPr>
          </w:p>
        </w:tc>
        <w:tc>
          <w:tcPr>
            <w:tcW w:w="1180" w:type="dxa"/>
            <w:vAlign w:val="bottom"/>
          </w:tcPr>
          <w:p>
            <w:pPr>
              <w:jc w:val="right"/>
              <w:ind w:right="253"/>
              <w:spacing w:after="0" w:line="15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3"/>
                <w:szCs w:val="13"/>
                <w:color w:val="auto"/>
              </w:rPr>
            </w:pPr>
          </w:p>
        </w:tc>
        <w:tc>
          <w:tcPr>
            <w:tcW w:w="9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Credit</w:t>
            </w:r>
          </w:p>
        </w:tc>
        <w:tc>
          <w:tcPr>
            <w:tcW w:w="0" w:type="dxa"/>
            <w:vAlign w:val="bottom"/>
          </w:tcPr>
          <w:p>
            <w:pPr>
              <w:spacing w:after="0"/>
              <w:rPr>
                <w:sz w:val="1"/>
                <w:szCs w:val="1"/>
                <w:color w:val="auto"/>
              </w:rPr>
            </w:pPr>
          </w:p>
        </w:tc>
      </w:tr>
      <w:tr>
        <w:trPr>
          <w:trHeight w:val="195"/>
        </w:trPr>
        <w:tc>
          <w:tcPr>
            <w:tcW w:w="3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3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Gain (Loss)(1)</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Rating(2)</w:t>
            </w:r>
          </w:p>
        </w:tc>
        <w:tc>
          <w:tcPr>
            <w:tcW w:w="0" w:type="dxa"/>
            <w:vAlign w:val="bottom"/>
          </w:tcPr>
          <w:p>
            <w:pPr>
              <w:spacing w:after="0"/>
              <w:rPr>
                <w:sz w:val="1"/>
                <w:szCs w:val="1"/>
                <w:color w:val="auto"/>
              </w:rPr>
            </w:pPr>
          </w:p>
        </w:tc>
      </w:tr>
      <w:tr>
        <w:trPr>
          <w:trHeight w:val="249"/>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2.125% 5/15/2025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16,005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15,901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Treasury 2.375% 8/15/2024</w:t>
            </w:r>
          </w:p>
        </w:tc>
        <w:tc>
          <w:tcPr>
            <w:tcW w:w="240" w:type="dxa"/>
            <w:vAlign w:val="bottom"/>
          </w:tcPr>
          <w:p>
            <w:pPr>
              <w:spacing w:after="0"/>
              <w:rPr>
                <w:sz w:val="21"/>
                <w:szCs w:val="21"/>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15,282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2.250% 11/15/2024</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12,424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12,873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3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Treasury 1.500% 5/31/2020</w:t>
            </w:r>
          </w:p>
        </w:tc>
        <w:tc>
          <w:tcPr>
            <w:tcW w:w="240" w:type="dxa"/>
            <w:vAlign w:val="bottom"/>
          </w:tcPr>
          <w:p>
            <w:pPr>
              <w:spacing w:after="0"/>
              <w:rPr>
                <w:sz w:val="21"/>
                <w:szCs w:val="21"/>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11,934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11,892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1.000% 9/30/2016</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10,076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10,063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3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Treasury 0.750% 3/15/2017</w:t>
            </w:r>
          </w:p>
        </w:tc>
        <w:tc>
          <w:tcPr>
            <w:tcW w:w="240" w:type="dxa"/>
            <w:vAlign w:val="bottom"/>
          </w:tcPr>
          <w:p>
            <w:pPr>
              <w:spacing w:after="0"/>
              <w:rPr>
                <w:sz w:val="21"/>
                <w:szCs w:val="21"/>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10,035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0.625%</w:t>
            </w:r>
          </w:p>
        </w:tc>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12/15/2016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10,020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0.500%</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6/30/2016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1.625%</w:t>
            </w:r>
          </w:p>
        </w:tc>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6/30/2020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9,499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2.000%</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2/15/2025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6,801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6,989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112,092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112,324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Investment Portfolio</w:t>
            </w:r>
          </w:p>
        </w:tc>
        <w:tc>
          <w:tcPr>
            <w:tcW w:w="1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right="8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2015, for securities in unrealized loss positions, management believes decline in fair values is principally associated with the changes in the interest rate environment subsequent to their purchase and there are no other-than-temporary impairments. Also, see Note 2 to our condensed consolidated financial statements, which summarizes the aggregate amount of gross unrealized losses by asset class in which the fair value of investments has been less than cost for less than 12 months and for 12 months or more.</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rating utilized if Moody’s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-814070</wp:posOffset>
            </wp:positionV>
            <wp:extent cx="14147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Rank</w:t>
            </w:r>
          </w:p>
        </w:tc>
        <w:tc>
          <w:tcPr>
            <w:tcW w:w="1560" w:type="dxa"/>
            <w:vAlign w:val="bottom"/>
            <w:tcBorders>
              <w:bottom w:val="single" w:sz="8" w:color="auto"/>
            </w:tcBorders>
          </w:tcPr>
          <w:p>
            <w:pPr>
              <w:spacing w:after="0"/>
              <w:rPr>
                <w:sz w:val="16"/>
                <w:szCs w:val="16"/>
                <w:color w:val="auto"/>
              </w:rPr>
            </w:pPr>
          </w:p>
        </w:tc>
        <w:tc>
          <w:tcPr>
            <w:tcW w:w="5100" w:type="dxa"/>
            <w:vAlign w:val="bottom"/>
            <w:tcBorders>
              <w:bottom w:val="single" w:sz="8" w:color="auto"/>
            </w:tcBorders>
            <w:gridSpan w:val="2"/>
          </w:tcPr>
          <w:p>
            <w:pPr>
              <w:ind w:left="19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50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2.375% 8/15/2024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16,907</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6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Treasury 1.500% 11/30/2019</w:t>
            </w: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8,744</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2.000%</w:t>
            </w:r>
          </w:p>
        </w:tc>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10/31/2021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7,520</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6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Fannie Mae 4.500% MBS 30Yr</w:t>
            </w: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7,064</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Freddie Mac 4.000% MBS 30Yr</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6,891</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2.750%</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2/15/2024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5,498</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2.000%</w:t>
            </w:r>
          </w:p>
        </w:tc>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8/31/2021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5,216</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6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Ally Master Owner Trust ABS 2014-1 A1</w:t>
            </w: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5,045</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2.000%</w:t>
            </w:r>
          </w:p>
        </w:tc>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11/15/2021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5,019</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6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Sysco Corporation 3.000% 10/2/2021</w:t>
            </w:r>
          </w:p>
        </w:tc>
        <w:tc>
          <w:tcPr>
            <w:tcW w:w="2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4,680</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CCEEFF"/>
            </w:tcBorders>
            <w:shd w:val="clear" w:color="auto" w:fill="CCEEFF"/>
          </w:tcPr>
          <w:p>
            <w:pPr>
              <w:spacing w:after="0"/>
              <w:rPr>
                <w:sz w:val="22"/>
                <w:szCs w:val="22"/>
                <w:color w:val="auto"/>
              </w:rPr>
            </w:pPr>
          </w:p>
        </w:tc>
        <w:tc>
          <w:tcPr>
            <w:tcW w:w="5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72,584</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Investment Portfolio</w:t>
            </w:r>
          </w:p>
        </w:tc>
        <w:tc>
          <w:tcPr>
            <w:tcW w:w="156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0" w:type="dxa"/>
            <w:vAlign w:val="bottom"/>
            <w:vMerge w:val="restart"/>
          </w:tcPr>
          <w:p>
            <w:pPr>
              <w:ind w:left="78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municipal debt securities for states that represent more than 10% of the total municipal bond position as of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0" w:type="dxa"/>
            <w:vAlign w:val="bottom"/>
          </w:tcPr>
          <w:p>
            <w:pPr>
              <w:spacing w:after="0"/>
              <w:rPr>
                <w:sz w:val="1"/>
                <w:szCs w:val="1"/>
                <w:color w:val="auto"/>
              </w:rPr>
            </w:pPr>
          </w:p>
        </w:tc>
      </w:tr>
      <w:tr>
        <w:trPr>
          <w:trHeight w:val="195"/>
        </w:trPr>
        <w:tc>
          <w:tcPr>
            <w:tcW w:w="5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Rating (1), (2)</w:t>
            </w:r>
          </w:p>
        </w:tc>
        <w:tc>
          <w:tcPr>
            <w:tcW w:w="0" w:type="dxa"/>
            <w:vAlign w:val="bottom"/>
          </w:tcPr>
          <w:p>
            <w:pPr>
              <w:spacing w:after="0"/>
              <w:rPr>
                <w:sz w:val="1"/>
                <w:szCs w:val="1"/>
                <w:color w:val="auto"/>
              </w:rPr>
            </w:pPr>
          </w:p>
        </w:tc>
      </w:tr>
      <w:tr>
        <w:trPr>
          <w:trHeight w:val="249"/>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Texas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Dallas/Fort Worth International Airport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2,787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 University of Texas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2,460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City of Houston TX</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2,318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City of Austin TX Electric Utility</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2,255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Cypress-Fairbanks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Harris County Cultural Education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City of Dallas TX Waterworks &amp; Sewer</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1,788</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Alamo Community College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North Texas Tollway Authority</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Tarrant Regional Water District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Alvin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Texas Transportation Commission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Houston Texas Combined Utility System</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County of Dallas TX</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Pasadena Independent School District</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Tarrant County Cultural Education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State of Texas Public Finance Authority</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County of Rockwall TX</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Central Texas Turnpike System</w:t>
            </w:r>
          </w:p>
        </w:tc>
        <w:tc>
          <w:tcPr>
            <w:tcW w:w="3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Baa1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City of El Paso TX</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Aa1</w:t>
            </w:r>
          </w:p>
        </w:tc>
        <w:tc>
          <w:tcPr>
            <w:tcW w:w="0" w:type="dxa"/>
            <w:vAlign w:val="bottom"/>
          </w:tcPr>
          <w:p>
            <w:pPr>
              <w:spacing w:after="0"/>
              <w:rPr>
                <w:sz w:val="1"/>
                <w:szCs w:val="1"/>
                <w:color w:val="auto"/>
              </w:rPr>
            </w:pPr>
          </w:p>
        </w:tc>
      </w:tr>
      <w:tr>
        <w:trPr>
          <w:trHeight w:val="237"/>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30,890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30,703</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right="44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above securities include financial guaranty insurance. Certain securities include state enhancements. The above ratings exclude the effect of such state enhancements.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rating utilized if Moody’s is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wp:posOffset>
            </wp:positionV>
            <wp:extent cx="1414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have any off-balance sheet arrangements or financing activities with special-purpose entities.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0"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60" w:lineRule="exact"/>
        <w:rPr>
          <w:sz w:val="20"/>
          <w:szCs w:val="20"/>
          <w:color w:val="auto"/>
        </w:rPr>
      </w:pPr>
    </w:p>
    <w:p>
      <w:pPr>
        <w:ind w:left="660" w:right="60" w:hanging="328"/>
        <w:spacing w:after="0" w:line="261" w:lineRule="auto"/>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Changes to the level of interest rates. </w:t>
      </w:r>
      <w:r>
        <w:rPr>
          <w:rFonts w:ascii="Times New Roman" w:cs="Times New Roman" w:eastAsia="Times New Roman" w:hAnsi="Times New Roman"/>
          <w:sz w:val="18"/>
          <w:szCs w:val="18"/>
          <w:color w:val="auto"/>
        </w:rPr>
        <w:t>Increasing interest rates may reduce the value of certain fixed-rate bonds held in the investment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80" w:lineRule="exact"/>
        <w:rPr>
          <w:rFonts w:ascii="Times New Roman" w:cs="Times New Roman" w:eastAsia="Times New Roman" w:hAnsi="Times New Roman"/>
          <w:sz w:val="18"/>
          <w:szCs w:val="18"/>
          <w:i w:val="1"/>
          <w:iCs w:val="1"/>
          <w:color w:val="auto"/>
        </w:rPr>
      </w:pPr>
    </w:p>
    <w:p>
      <w:pPr>
        <w:ind w:left="660" w:right="240" w:hanging="328"/>
        <w:spacing w:after="0" w:line="284" w:lineRule="auto"/>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Changes to the term structure of interest rates. </w:t>
      </w:r>
      <w:r>
        <w:rPr>
          <w:rFonts w:ascii="Times New Roman" w:cs="Times New Roman" w:eastAsia="Times New Roman" w:hAnsi="Times New Roman"/>
          <w:sz w:val="18"/>
          <w:szCs w:val="18"/>
          <w:color w:val="auto"/>
        </w:rPr>
        <w:t>Rising or falling rates typically change by different amounts along the yield curve. These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unforeseen impacts on the value of certain assets.</w:t>
      </w:r>
    </w:p>
    <w:p>
      <w:pPr>
        <w:spacing w:after="0" w:line="158" w:lineRule="exact"/>
        <w:rPr>
          <w:rFonts w:ascii="Times New Roman" w:cs="Times New Roman" w:eastAsia="Times New Roman" w:hAnsi="Times New Roman"/>
          <w:sz w:val="18"/>
          <w:szCs w:val="18"/>
          <w:i w:val="1"/>
          <w:iCs w:val="1"/>
          <w:color w:val="auto"/>
        </w:rPr>
      </w:pPr>
    </w:p>
    <w:p>
      <w:pPr>
        <w:ind w:left="660" w:right="520" w:hanging="328"/>
        <w:spacing w:after="0" w:line="284" w:lineRule="auto"/>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Market volatility/changes in the real or perceived credit quality of investments. </w:t>
      </w:r>
      <w:r>
        <w:rPr>
          <w:rFonts w:ascii="Times New Roman" w:cs="Times New Roman" w:eastAsia="Times New Roman" w:hAnsi="Times New Roman"/>
          <w:sz w:val="18"/>
          <w:szCs w:val="18"/>
          <w:color w:val="auto"/>
        </w:rPr>
        <w:t>Deterioration in the quality of investments, identified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our own or third-party (e.g., rating agency) assessments, will reduce the value and potentially the liquidity of investments.</w:t>
      </w:r>
    </w:p>
    <w:p>
      <w:pPr>
        <w:spacing w:after="0" w:line="158" w:lineRule="exact"/>
        <w:rPr>
          <w:rFonts w:ascii="Times New Roman" w:cs="Times New Roman" w:eastAsia="Times New Roman" w:hAnsi="Times New Roman"/>
          <w:sz w:val="18"/>
          <w:szCs w:val="18"/>
          <w:i w:val="1"/>
          <w:iCs w:val="1"/>
          <w:color w:val="auto"/>
        </w:rPr>
      </w:pPr>
    </w:p>
    <w:p>
      <w:pPr>
        <w:ind w:left="660" w:right="400" w:hanging="328"/>
        <w:spacing w:after="0" w:line="284" w:lineRule="auto"/>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Concentration Risk. </w:t>
      </w:r>
      <w:r>
        <w:rPr>
          <w:rFonts w:ascii="Times New Roman" w:cs="Times New Roman" w:eastAsia="Times New Roman" w:hAnsi="Times New Roman"/>
          <w:sz w:val="18"/>
          <w:szCs w:val="18"/>
          <w:color w:val="auto"/>
        </w:rPr>
        <w:t>If the investment portfolio is highly concentrated in one asset, or in multiple assets whose values are highly correlated,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total portfolio may be greatly affected by the change in value of just one asset or a group of highly correlated assets.</w:t>
      </w:r>
    </w:p>
    <w:p>
      <w:pPr>
        <w:spacing w:after="0" w:line="158" w:lineRule="exact"/>
        <w:rPr>
          <w:rFonts w:ascii="Times New Roman" w:cs="Times New Roman" w:eastAsia="Times New Roman" w:hAnsi="Times New Roman"/>
          <w:sz w:val="18"/>
          <w:szCs w:val="18"/>
          <w:i w:val="1"/>
          <w:iCs w:val="1"/>
          <w:color w:val="auto"/>
        </w:rPr>
      </w:pPr>
    </w:p>
    <w:p>
      <w:pPr>
        <w:ind w:left="660" w:right="120" w:hanging="328"/>
        <w:spacing w:after="0" w:line="284" w:lineRule="auto"/>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Prepayment Risk. </w:t>
      </w:r>
      <w:r>
        <w:rPr>
          <w:rFonts w:ascii="Times New Roman" w:cs="Times New Roman" w:eastAsia="Times New Roman" w:hAnsi="Times New Roman"/>
          <w:sz w:val="18"/>
          <w:szCs w:val="18"/>
          <w:color w:val="auto"/>
        </w:rPr>
        <w:t>Bonds may have call provisions that permit debtors to repay prior to maturity when it is to their advantage. This typically occurs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rates fall below the interest rate of the debt.</w:t>
      </w:r>
    </w:p>
    <w:p>
      <w:pPr>
        <w:spacing w:after="0" w:line="16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At June 30, 2015, the effective duration of our investment portfolio, including cash, was 3.7 years, which means that an instantaneous parallel shift (movement up or down) in the yield curve of 100 basis points would result in a change of 3.7% in fair value of our investment portfolio. Excluding cash, our investment portfolio effective duration was 4.0 years, which means that an instantaneous parallel shift (movement up or down) in the yield curve of 100 basis points would result in a change of 4.0% in fair value of our investment portfolio.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June 30, 2015, the end of the period covered by this Quarterly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121" w:right="27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22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Risk factors that affect our business and financial results are discussed in Part I, Item 1A. “Risk Factors” in our Annual Report on Form 10-K for the year ended December 31, 2014.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8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Securities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information regarding repurchases of our common shares during the three months ended June 30, 2015. All of the shares represent common shares that were tendered to the Company by employees in connection with the vesting of restricted shares to satisfy tax withholding obligations. We do not consider these transactions to be a share buyback program.</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50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0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9"/>
        </w:trPr>
        <w:tc>
          <w:tcPr>
            <w:tcW w:w="37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vMerge w:val="restart"/>
          </w:tcPr>
          <w:p>
            <w:pPr>
              <w:spacing w:after="0"/>
              <w:rPr>
                <w:sz w:val="12"/>
                <w:szCs w:val="12"/>
                <w:color w:val="auto"/>
              </w:rPr>
            </w:pPr>
          </w:p>
        </w:tc>
        <w:tc>
          <w:tcPr>
            <w:tcW w:w="1280" w:type="dxa"/>
            <w:vAlign w:val="bottom"/>
          </w:tcPr>
          <w:p>
            <w:pPr>
              <w:jc w:val="center"/>
              <w:ind w:left="488"/>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0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5"/>
        </w:trPr>
        <w:tc>
          <w:tcPr>
            <w:tcW w:w="3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1 - April 30, 2015</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May 1 - May 31, 2015</w:t>
            </w:r>
          </w:p>
        </w:tc>
        <w:tc>
          <w:tcPr>
            <w:tcW w:w="12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1 - June 30, 2015</w:t>
            </w:r>
          </w:p>
        </w:tc>
        <w:tc>
          <w:tcPr>
            <w:tcW w:w="1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7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August 5, 2015, upon the recommendation of the compensation committee, the Company’s board of directors approved the annual leadership bonus program for 2015 (the “2015 Plan”) pursuant to the Essent Group Ltd. Annual Incentive Plan and set the level of potential awards and determined the financial targets and other performance measures which, if attained, would result in the payment of awards to the Company’s president and chief executive officer and other named executive officers under the 2015 Plan.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60"/>
          </w:cols>
          <w:pgMar w:left="240" w:top="121" w:right="29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680" w:hanging="672"/>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20" w:type="dxa"/>
            <w:vAlign w:val="bottom"/>
          </w:tcPr>
          <w:p>
            <w:pPr>
              <w:spacing w:after="0"/>
              <w:rPr>
                <w:sz w:val="13"/>
                <w:szCs w:val="13"/>
                <w:color w:val="auto"/>
              </w:rPr>
            </w:pPr>
          </w:p>
        </w:tc>
        <w:tc>
          <w:tcPr>
            <w:tcW w:w="9180" w:type="dxa"/>
            <w:vAlign w:val="bottom"/>
            <w:vMerge w:val="restart"/>
          </w:tcPr>
          <w:p>
            <w:pPr>
              <w:ind w:left="3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w:t>
            </w:r>
          </w:p>
        </w:tc>
        <w:tc>
          <w:tcPr>
            <w:tcW w:w="620" w:type="dxa"/>
            <w:vAlign w:val="bottom"/>
          </w:tcPr>
          <w:p>
            <w:pPr>
              <w:spacing w:after="0"/>
              <w:rPr>
                <w:sz w:val="16"/>
                <w:szCs w:val="16"/>
                <w:color w:val="auto"/>
              </w:rPr>
            </w:pPr>
          </w:p>
        </w:tc>
        <w:tc>
          <w:tcPr>
            <w:tcW w:w="9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spacing w:after="0"/>
              <w:rPr>
                <w:sz w:val="21"/>
                <w:szCs w:val="21"/>
                <w:color w:val="auto"/>
              </w:rPr>
            </w:pPr>
          </w:p>
        </w:tc>
        <w:tc>
          <w:tcPr>
            <w:tcW w:w="98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Form of Annual Leadership Bonus Program</w:t>
            </w:r>
          </w:p>
        </w:tc>
        <w:tc>
          <w:tcPr>
            <w:tcW w:w="0" w:type="dxa"/>
            <w:vAlign w:val="bottom"/>
          </w:tcPr>
          <w:p>
            <w:pPr>
              <w:spacing w:after="0"/>
              <w:rPr>
                <w:sz w:val="1"/>
                <w:szCs w:val="1"/>
                <w:color w:val="auto"/>
              </w:rPr>
            </w:pPr>
          </w:p>
        </w:tc>
      </w:tr>
      <w:tr>
        <w:trPr>
          <w:trHeight w:val="252"/>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46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2"/>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46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2"/>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46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 18 U.S.C. 1350, as adopted pursuant to Section 906 of</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0" w:type="dxa"/>
            <w:vAlign w:val="bottom"/>
          </w:tcPr>
          <w:p>
            <w:pPr>
              <w:spacing w:after="0"/>
              <w:rPr>
                <w:sz w:val="1"/>
                <w:szCs w:val="1"/>
                <w:color w:val="auto"/>
              </w:rPr>
            </w:pPr>
          </w:p>
        </w:tc>
      </w:tr>
      <w:tr>
        <w:trPr>
          <w:trHeight w:val="25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following financial information from this Quarterly Report on Form 10-Q for the quarter ended June 30, 2015, formatted in XBRL</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(Extensible Business Reporting Language) and filed electronically herewith: (i) the Condensed Consolidated Balance Sheets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(Unaudited); (ii) the Condensed Consolidated Statements of Comprehensive Income (Unaudited); (iii) the Condensed Consolidated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Statements of Changes in Stockholders’ Equity (Unaudited); (iv) the Condensed Consolidated Statements of Cash Flows (Unaudited);</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(v) the Notes to Condensed Consolidated Financial Statements (Unaudited), tagged as blocks of text.</w:t>
            </w:r>
          </w:p>
        </w:tc>
        <w:tc>
          <w:tcPr>
            <w:tcW w:w="0" w:type="dxa"/>
            <w:vAlign w:val="bottom"/>
          </w:tcPr>
          <w:p>
            <w:pPr>
              <w:spacing w:after="0"/>
              <w:rPr>
                <w:sz w:val="1"/>
                <w:szCs w:val="1"/>
                <w:color w:val="auto"/>
              </w:rPr>
            </w:pPr>
          </w:p>
        </w:tc>
      </w:tr>
      <w:tr>
        <w:trPr>
          <w:trHeight w:val="284"/>
        </w:trPr>
        <w:tc>
          <w:tcPr>
            <w:tcW w:w="1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Management contract or compensatory plan or arrangement</w:t>
            </w:r>
          </w:p>
        </w:tc>
        <w:tc>
          <w:tcPr>
            <w:tcW w:w="0" w:type="dxa"/>
            <w:vAlign w:val="bottom"/>
          </w:tcPr>
          <w:p>
            <w:pPr>
              <w:spacing w:after="0"/>
              <w:rPr>
                <w:sz w:val="1"/>
                <w:szCs w:val="1"/>
                <w:color w:val="auto"/>
              </w:rPr>
            </w:pPr>
          </w:p>
        </w:tc>
      </w:tr>
      <w:tr>
        <w:trPr>
          <w:trHeight w:val="25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Pursuant to applicable securities laws and regulations, this interactive data file is deemed not filed or part of a registration statement or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prospectus for purposes of Sections 11 or 12 of the Securities Act of 1933, as amended, is deemed not filed for purposes of Section 18</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the Securities Exchange Act of 1934, as amended, and otherwise is not subject to liability under those sections.</w:t>
            </w:r>
          </w:p>
        </w:tc>
        <w:tc>
          <w:tcPr>
            <w:tcW w:w="0" w:type="dxa"/>
            <w:vAlign w:val="bottom"/>
          </w:tcPr>
          <w:p>
            <w:pPr>
              <w:spacing w:after="0"/>
              <w:rPr>
                <w:sz w:val="1"/>
                <w:szCs w:val="1"/>
                <w:color w:val="auto"/>
              </w:rPr>
            </w:pPr>
          </w:p>
        </w:tc>
      </w:tr>
      <w:tr>
        <w:trPr>
          <w:trHeight w:val="702"/>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32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ESSENT GROUP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640" w:val="left"/>
          <w:tab w:leader="none" w:pos="5440" w:val="left"/>
        </w:tabs>
        <w:rPr>
          <w:sz w:val="20"/>
          <w:szCs w:val="20"/>
          <w:color w:val="auto"/>
        </w:rPr>
      </w:pPr>
      <w:r>
        <w:rPr>
          <w:rFonts w:ascii="Times New Roman" w:cs="Times New Roman" w:eastAsia="Times New Roman" w:hAnsi="Times New Roman"/>
          <w:sz w:val="18"/>
          <w:szCs w:val="18"/>
          <w:color w:val="auto"/>
        </w:rPr>
        <w:t>Date:</w:t>
        <w:tab/>
        <w:t>August 10, 2015</w:t>
      </w:r>
      <w:r>
        <w:rPr>
          <w:sz w:val="20"/>
          <w:szCs w:val="20"/>
          <w:color w:val="auto"/>
        </w:rPr>
        <w:tab/>
      </w:r>
      <w:r>
        <w:rPr>
          <w:rFonts w:ascii="Times New Roman" w:cs="Times New Roman" w:eastAsia="Times New Roman" w:hAnsi="Times New Roman"/>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34290</wp:posOffset>
            </wp:positionV>
            <wp:extent cx="3035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Mark A. Casale</w:t>
      </w:r>
    </w:p>
    <w:p>
      <w:pPr>
        <w:spacing w:after="0" w:line="6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85" w:lineRule="exact"/>
        <w:rPr>
          <w:sz w:val="20"/>
          <w:szCs w:val="20"/>
          <w:color w:val="auto"/>
        </w:rPr>
      </w:pPr>
    </w:p>
    <w:p>
      <w:pPr>
        <w:ind w:left="40"/>
        <w:spacing w:after="0"/>
        <w:tabs>
          <w:tab w:leader="none" w:pos="640" w:val="left"/>
          <w:tab w:leader="none" w:pos="5440" w:val="left"/>
        </w:tabs>
        <w:rPr>
          <w:sz w:val="20"/>
          <w:szCs w:val="20"/>
          <w:color w:val="auto"/>
        </w:rPr>
      </w:pPr>
      <w:r>
        <w:rPr>
          <w:rFonts w:ascii="Times New Roman" w:cs="Times New Roman" w:eastAsia="Times New Roman" w:hAnsi="Times New Roman"/>
          <w:sz w:val="18"/>
          <w:szCs w:val="18"/>
          <w:color w:val="auto"/>
        </w:rPr>
        <w:t>Date:</w:t>
        <w:tab/>
        <w:t>August 10, 2015</w:t>
      </w:r>
      <w:r>
        <w:rPr>
          <w:sz w:val="20"/>
          <w:szCs w:val="20"/>
          <w:color w:val="auto"/>
        </w:rPr>
        <w:tab/>
      </w:r>
      <w:r>
        <w:rPr>
          <w:rFonts w:ascii="Times New Roman" w:cs="Times New Roman" w:eastAsia="Times New Roman" w:hAnsi="Times New Roman"/>
          <w:sz w:val="17"/>
          <w:szCs w:val="17"/>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34290</wp:posOffset>
            </wp:positionV>
            <wp:extent cx="30359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Lawrence E. McAlee</w:t>
      </w:r>
    </w:p>
    <w:p>
      <w:pPr>
        <w:spacing w:after="0" w:line="6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385" w:lineRule="exact"/>
        <w:rPr>
          <w:sz w:val="20"/>
          <w:szCs w:val="20"/>
          <w:color w:val="auto"/>
        </w:rPr>
      </w:pPr>
    </w:p>
    <w:p>
      <w:pPr>
        <w:ind w:left="40"/>
        <w:spacing w:after="0"/>
        <w:tabs>
          <w:tab w:leader="none" w:pos="640" w:val="left"/>
          <w:tab w:leader="none" w:pos="5440" w:val="left"/>
        </w:tabs>
        <w:rPr>
          <w:sz w:val="20"/>
          <w:szCs w:val="20"/>
          <w:color w:val="auto"/>
        </w:rPr>
      </w:pPr>
      <w:r>
        <w:rPr>
          <w:rFonts w:ascii="Times New Roman" w:cs="Times New Roman" w:eastAsia="Times New Roman" w:hAnsi="Times New Roman"/>
          <w:sz w:val="18"/>
          <w:szCs w:val="18"/>
          <w:color w:val="auto"/>
        </w:rPr>
        <w:t>Date:</w:t>
        <w:tab/>
        <w:t>August 10, 2015</w:t>
      </w:r>
      <w:r>
        <w:rPr>
          <w:sz w:val="20"/>
          <w:szCs w:val="20"/>
          <w:color w:val="auto"/>
        </w:rPr>
        <w:tab/>
      </w:r>
      <w:r>
        <w:rPr>
          <w:rFonts w:ascii="Times New Roman" w:cs="Times New Roman" w:eastAsia="Times New Roman" w:hAnsi="Times New Roman"/>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34290</wp:posOffset>
            </wp:positionV>
            <wp:extent cx="30359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6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7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240" w:top="121" w:right="4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18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50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20" w:type="dxa"/>
            <w:vAlign w:val="bottom"/>
          </w:tcPr>
          <w:p>
            <w:pPr>
              <w:spacing w:after="0"/>
              <w:rPr>
                <w:sz w:val="24"/>
                <w:szCs w:val="24"/>
                <w:color w:val="auto"/>
              </w:rPr>
            </w:pPr>
          </w:p>
        </w:tc>
        <w:tc>
          <w:tcPr>
            <w:tcW w:w="9180" w:type="dxa"/>
            <w:vAlign w:val="bottom"/>
            <w:vMerge w:val="restart"/>
          </w:tcPr>
          <w:p>
            <w:pPr>
              <w:ind w:left="3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w:t>
            </w:r>
          </w:p>
        </w:tc>
        <w:tc>
          <w:tcPr>
            <w:tcW w:w="620" w:type="dxa"/>
            <w:vAlign w:val="bottom"/>
          </w:tcPr>
          <w:p>
            <w:pPr>
              <w:spacing w:after="0"/>
              <w:rPr>
                <w:sz w:val="16"/>
                <w:szCs w:val="16"/>
                <w:color w:val="auto"/>
              </w:rPr>
            </w:pPr>
          </w:p>
        </w:tc>
        <w:tc>
          <w:tcPr>
            <w:tcW w:w="9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spacing w:after="0"/>
              <w:rPr>
                <w:sz w:val="21"/>
                <w:szCs w:val="21"/>
                <w:color w:val="auto"/>
              </w:rPr>
            </w:pPr>
          </w:p>
        </w:tc>
        <w:tc>
          <w:tcPr>
            <w:tcW w:w="98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Form of Annual Leadership Bonus Program</w:t>
            </w:r>
          </w:p>
        </w:tc>
        <w:tc>
          <w:tcPr>
            <w:tcW w:w="0" w:type="dxa"/>
            <w:vAlign w:val="bottom"/>
          </w:tcPr>
          <w:p>
            <w:pPr>
              <w:spacing w:after="0"/>
              <w:rPr>
                <w:sz w:val="1"/>
                <w:szCs w:val="1"/>
                <w:color w:val="auto"/>
              </w:rPr>
            </w:pPr>
          </w:p>
        </w:tc>
      </w:tr>
      <w:tr>
        <w:trPr>
          <w:trHeight w:val="252"/>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46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2"/>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46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52"/>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46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 pursuant to 18 U.S.C. 1350, as adopted pursuant to Section 906 of</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0" w:type="dxa"/>
            <w:vAlign w:val="bottom"/>
          </w:tcPr>
          <w:p>
            <w:pPr>
              <w:spacing w:after="0"/>
              <w:rPr>
                <w:sz w:val="1"/>
                <w:szCs w:val="1"/>
                <w:color w:val="auto"/>
              </w:rPr>
            </w:pPr>
          </w:p>
        </w:tc>
      </w:tr>
      <w:tr>
        <w:trPr>
          <w:trHeight w:val="25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following financial information from this Quarterly Report on Form 10-Q for the quarter ended June 30, 2015, formatted in XBRL</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(Extensible Business Reporting Language) and filed electronically herewith: (i) the Condensed Consolidated Balance Sheets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(Unaudited); (ii) the Condensed Consolidated Statements of Comprehensive Income (Unaudited); (iii) the Condensed Consolidated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Statements of Changes in Stockholders’ Equity (Unaudited); (iv) the Condensed Consolidated Statements of Cash Flows (Unaudited);</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(v) the Notes to Condensed Consolidated Financial Statements (Unaudited), tagged as blocks of text.</w:t>
            </w:r>
          </w:p>
        </w:tc>
        <w:tc>
          <w:tcPr>
            <w:tcW w:w="0" w:type="dxa"/>
            <w:vAlign w:val="bottom"/>
          </w:tcPr>
          <w:p>
            <w:pPr>
              <w:spacing w:after="0"/>
              <w:rPr>
                <w:sz w:val="1"/>
                <w:szCs w:val="1"/>
                <w:color w:val="auto"/>
              </w:rPr>
            </w:pPr>
          </w:p>
        </w:tc>
      </w:tr>
      <w:tr>
        <w:trPr>
          <w:trHeight w:val="500"/>
        </w:trPr>
        <w:tc>
          <w:tcPr>
            <w:tcW w:w="1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Management contract or compensatory plan or arrangement</w:t>
            </w:r>
          </w:p>
        </w:tc>
        <w:tc>
          <w:tcPr>
            <w:tcW w:w="0" w:type="dxa"/>
            <w:vAlign w:val="bottom"/>
          </w:tcPr>
          <w:p>
            <w:pPr>
              <w:spacing w:after="0"/>
              <w:rPr>
                <w:sz w:val="1"/>
                <w:szCs w:val="1"/>
                <w:color w:val="auto"/>
              </w:rPr>
            </w:pPr>
          </w:p>
        </w:tc>
      </w:tr>
      <w:tr>
        <w:trPr>
          <w:trHeight w:val="252"/>
        </w:trPr>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Pursuant to applicable securities laws and regulations, this interactive data file is deemed not filed or part of a registration statement or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prospectus for purposes of Sections 11 or 12 of the Securities Act of 1933, as amended, is deemed not filed for purposes of Section 18</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the Securities Exchange Act of 1934, as amended, and otherwise is not subject to liability under those sections.</w:t>
            </w:r>
          </w:p>
        </w:tc>
        <w:tc>
          <w:tcPr>
            <w:tcW w:w="0" w:type="dxa"/>
            <w:vAlign w:val="bottom"/>
          </w:tcPr>
          <w:p>
            <w:pPr>
              <w:spacing w:after="0"/>
              <w:rPr>
                <w:sz w:val="1"/>
                <w:szCs w:val="1"/>
                <w:color w:val="auto"/>
              </w:rPr>
            </w:pPr>
          </w:p>
        </w:tc>
      </w:tr>
      <w:tr>
        <w:trPr>
          <w:trHeight w:val="918"/>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Form of Annual Leadership Bonus Program (“Bonus Program”)</w:t>
      </w:r>
    </w:p>
    <w:p>
      <w:pPr>
        <w:spacing w:after="0" w:line="1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for Essent Group Ltd. and its subsidiaries</w:t>
      </w:r>
    </w:p>
    <w:p>
      <w:pPr>
        <w:spacing w:after="0" w:line="238" w:lineRule="exact"/>
        <w:rPr>
          <w:sz w:val="20"/>
          <w:szCs w:val="20"/>
          <w:color w:val="auto"/>
        </w:rPr>
      </w:pPr>
    </w:p>
    <w:p>
      <w:pPr>
        <w:ind w:left="200" w:hanging="192"/>
        <w:spacing w:after="0"/>
        <w:tabs>
          <w:tab w:leader="none" w:pos="20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How the Bonus Program Works:</w:t>
      </w:r>
    </w:p>
    <w:p>
      <w:pPr>
        <w:spacing w:after="0" w:line="229" w:lineRule="exact"/>
        <w:rPr>
          <w:rFonts w:ascii="Times New Roman" w:cs="Times New Roman" w:eastAsia="Times New Roman" w:hAnsi="Times New Roman"/>
          <w:sz w:val="20"/>
          <w:szCs w:val="20"/>
          <w:b w:val="1"/>
          <w:bCs w:val="1"/>
          <w:color w:val="auto"/>
        </w:rPr>
      </w:pPr>
    </w:p>
    <w:p>
      <w:pPr>
        <w:ind w:left="660" w:hanging="328"/>
        <w:spacing w:after="0"/>
        <w:tabs>
          <w:tab w:leader="none" w:pos="66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Who may Participate in the Leadership Bonus Program and Be Considered for Bonus Payments?</w:t>
      </w:r>
    </w:p>
    <w:p>
      <w:pPr>
        <w:spacing w:after="0" w:line="116" w:lineRule="exact"/>
        <w:rPr>
          <w:rFonts w:ascii="Times New Roman" w:cs="Times New Roman" w:eastAsia="Times New Roman" w:hAnsi="Times New Roman"/>
          <w:sz w:val="20"/>
          <w:szCs w:val="20"/>
          <w:color w:val="auto"/>
        </w:rPr>
      </w:pPr>
    </w:p>
    <w:p>
      <w:pPr>
        <w:ind w:left="980" w:right="40" w:hanging="324"/>
        <w:spacing w:after="0" w:line="375" w:lineRule="auto"/>
        <w:tabs>
          <w:tab w:leader="none" w:pos="98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Essent Group Ltd and its subsidiaries (“Company” or “Essent”) Senior Vice Presidents and above and other employees designated in writing as eligible to participate in the Bonus Program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who:</w:t>
      </w:r>
    </w:p>
    <w:p>
      <w:pPr>
        <w:spacing w:after="0" w:line="1" w:lineRule="exact"/>
        <w:rPr>
          <w:rFonts w:ascii="Times New Roman" w:cs="Times New Roman" w:eastAsia="Times New Roman" w:hAnsi="Times New Roman"/>
          <w:sz w:val="18"/>
          <w:szCs w:val="18"/>
          <w:color w:val="auto"/>
        </w:rPr>
      </w:pPr>
    </w:p>
    <w:p>
      <w:pPr>
        <w:ind w:left="1300" w:right="40" w:hanging="320"/>
        <w:spacing w:after="0" w:line="375" w:lineRule="auto"/>
        <w:tabs>
          <w:tab w:leader="none" w:pos="1300" w:val="left"/>
        </w:tabs>
        <w:numPr>
          <w:ilvl w:val="3"/>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employed by the Company on or before [DATE] (those hired on or after [DATE] may participate on a pro rata basis calculated as of the first day of the month in which their date of hire falls);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3"/>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eligible to participate in the Essent Group Ltd. 2013 Long-Term Incentive Plan (the “2013 LTIP”);</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3"/>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on any form of written corrective counseling at the time payments are made; and</w:t>
      </w:r>
    </w:p>
    <w:p>
      <w:pPr>
        <w:spacing w:after="0" w:line="11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3"/>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employed by Essent on the date the cash bonus payment is made and share bonus award is granted</w:t>
      </w:r>
      <w:r>
        <w:rPr>
          <w:rFonts w:ascii="Times New Roman" w:cs="Times New Roman" w:eastAsia="Times New Roman" w:hAnsi="Times New Roman"/>
          <w:sz w:val="18"/>
          <w:szCs w:val="18"/>
          <w:b w:val="1"/>
          <w:bCs w:val="1"/>
          <w:color w:val="auto"/>
        </w:rPr>
        <w:t>.</w:t>
      </w:r>
    </w:p>
    <w:p>
      <w:pPr>
        <w:spacing w:after="0" w:line="2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is the Bonus Opportunity?</w:t>
      </w:r>
    </w:p>
    <w:p>
      <w:pPr>
        <w:spacing w:after="0" w:line="112" w:lineRule="exact"/>
        <w:rPr>
          <w:rFonts w:ascii="Times New Roman" w:cs="Times New Roman" w:eastAsia="Times New Roman" w:hAnsi="Times New Roman"/>
          <w:sz w:val="20"/>
          <w:szCs w:val="20"/>
          <w:b w:val="1"/>
          <w:bCs w:val="1"/>
          <w:color w:val="auto"/>
        </w:rPr>
      </w:pPr>
    </w:p>
    <w:p>
      <w:pPr>
        <w:ind w:left="980" w:right="60" w:hanging="324"/>
        <w:spacing w:after="0" w:line="378" w:lineRule="auto"/>
        <w:tabs>
          <w:tab w:leader="none" w:pos="98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Participant was provided with an annual </w:t>
      </w:r>
      <w:r>
        <w:rPr>
          <w:rFonts w:ascii="Times New Roman" w:cs="Times New Roman" w:eastAsia="Times New Roman" w:hAnsi="Times New Roman"/>
          <w:sz w:val="18"/>
          <w:szCs w:val="18"/>
          <w:b w:val="1"/>
          <w:bCs w:val="1"/>
          <w:color w:val="auto"/>
        </w:rPr>
        <w:t>Target Bonus</w:t>
      </w:r>
      <w:r>
        <w:rPr>
          <w:rFonts w:ascii="Times New Roman" w:cs="Times New Roman" w:eastAsia="Times New Roman" w:hAnsi="Times New Roman"/>
          <w:sz w:val="18"/>
          <w:szCs w:val="18"/>
          <w:color w:val="auto"/>
        </w:rPr>
        <w:t xml:space="preserve"> expressed as a percentage of his or her base salary. This is typically documented in an offer letter or other writing signed by the President and CEO, or another authorized officer, of Essent .</w:t>
      </w:r>
    </w:p>
    <w:p>
      <w:pPr>
        <w:ind w:left="980" w:hanging="324"/>
        <w:spacing w:after="0"/>
        <w:tabs>
          <w:tab w:leader="none" w:pos="98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Participant’s target amount and cash/shares percentage is communicated individually.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issuable under this Program are authorized under Section 10 of the 2013 LTIP, and are subject to the broader terms of that Plan.</w:t>
      </w:r>
    </w:p>
    <w:p>
      <w:pPr>
        <w:spacing w:after="0" w:line="2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What Performance is Required for a Participant to be Eligible for a Bonus under the Bonus Plan?</w:t>
      </w:r>
    </w:p>
    <w:p>
      <w:pPr>
        <w:spacing w:after="0" w:line="224" w:lineRule="exact"/>
        <w:rPr>
          <w:rFonts w:ascii="Times New Roman" w:cs="Times New Roman" w:eastAsia="Times New Roman" w:hAnsi="Times New Roman"/>
          <w:sz w:val="20"/>
          <w:szCs w:val="20"/>
          <w:color w:val="auto"/>
        </w:rPr>
      </w:pPr>
    </w:p>
    <w:p>
      <w:pPr>
        <w:ind w:left="660" w:right="180"/>
        <w:spacing w:after="0" w:line="39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Essent’s Bonus Program pays for performance. This means that both the Participant and the Company must meet minimum stated scores to qualify for a bonus. Essent utilizes scorecards for both Company and Participant performance to determine the potential size of the bonus payment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Participant’s bonus will be dependent on several factors.</w:t>
      </w:r>
    </w:p>
    <w:p>
      <w:pPr>
        <w:spacing w:after="0" w:line="65" w:lineRule="exact"/>
        <w:rPr>
          <w:sz w:val="20"/>
          <w:szCs w:val="20"/>
          <w:color w:val="auto"/>
        </w:rPr>
      </w:pPr>
    </w:p>
    <w:p>
      <w:pPr>
        <w:ind w:left="1300" w:right="540" w:hanging="320"/>
        <w:spacing w:after="0" w:line="41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factor is the achievement of Corporate Objectives as determined by Essent’s Board of Directors. The </w:t>
      </w:r>
      <w:r>
        <w:rPr>
          <w:rFonts w:ascii="Times New Roman" w:cs="Times New Roman" w:eastAsia="Times New Roman" w:hAnsi="Times New Roman"/>
          <w:sz w:val="18"/>
          <w:szCs w:val="18"/>
          <w:b w:val="1"/>
          <w:bCs w:val="1"/>
          <w:color w:val="auto"/>
        </w:rPr>
        <w:t>Corporate Scorecard</w:t>
      </w:r>
      <w:r>
        <w:rPr>
          <w:rFonts w:ascii="Times New Roman" w:cs="Times New Roman" w:eastAsia="Times New Roman" w:hAnsi="Times New Roman"/>
          <w:sz w:val="18"/>
          <w:szCs w:val="18"/>
          <w:color w:val="auto"/>
        </w:rPr>
        <w:t xml:space="preserve"> identifying the level of achievement of Corporate Objectives will be published by management.</w:t>
      </w:r>
    </w:p>
    <w:p>
      <w:pPr>
        <w:spacing w:after="0" w:line="45" w:lineRule="exact"/>
        <w:rPr>
          <w:rFonts w:ascii="Times New Roman" w:cs="Times New Roman" w:eastAsia="Times New Roman" w:hAnsi="Times New Roman"/>
          <w:sz w:val="18"/>
          <w:szCs w:val="18"/>
          <w:color w:val="auto"/>
        </w:rPr>
      </w:pPr>
    </w:p>
    <w:p>
      <w:pPr>
        <w:ind w:left="1300" w:hanging="320"/>
        <w:spacing w:after="0" w:line="383"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second factor is based on the Participant’s overall performance rating on his/her </w:t>
      </w:r>
      <w:r>
        <w:rPr>
          <w:rFonts w:ascii="Times New Roman" w:cs="Times New Roman" w:eastAsia="Times New Roman" w:hAnsi="Times New Roman"/>
          <w:sz w:val="18"/>
          <w:szCs w:val="18"/>
          <w:b w:val="1"/>
          <w:bCs w:val="1"/>
          <w:color w:val="auto"/>
        </w:rPr>
        <w:t>Individual Scorecard</w:t>
      </w:r>
      <w:r>
        <w:rPr>
          <w:rFonts w:ascii="Times New Roman" w:cs="Times New Roman" w:eastAsia="Times New Roman" w:hAnsi="Times New Roman"/>
          <w:sz w:val="18"/>
          <w:szCs w:val="18"/>
          <w:color w:val="auto"/>
        </w:rPr>
        <w:t xml:space="preserve"> (“Annual Performance Review Form”). The Annual Performance Review will take into consideration the level of the Participant’s achievement of Individual Objectives as well as other success factors. Each Participant will receive an Annual Performance Review in the first calendar quarter of each year reviewing the previous calendar year’s results. This process of combining both Company and individual achievement and rewarding success through the Bonus Program is designed to promote applicable desired conduct, including driving profitable business and balanced objectivity.</w:t>
      </w:r>
    </w:p>
    <w:p>
      <w:pPr>
        <w:spacing w:after="0" w:line="80" w:lineRule="exact"/>
        <w:rPr>
          <w:sz w:val="20"/>
          <w:szCs w:val="20"/>
          <w:color w:val="auto"/>
        </w:rPr>
      </w:pPr>
    </w:p>
    <w:p>
      <w:pPr>
        <w:ind w:left="1300" w:hanging="320"/>
        <w:spacing w:after="0"/>
        <w:tabs>
          <w:tab w:leader="none" w:pos="130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Company Performance Scorecard</w:t>
      </w:r>
    </w:p>
    <w:p>
      <w:pPr>
        <w:spacing w:after="0" w:line="112" w:lineRule="exact"/>
        <w:rPr>
          <w:rFonts w:ascii="Times New Roman" w:cs="Times New Roman" w:eastAsia="Times New Roman" w:hAnsi="Times New Roman"/>
          <w:sz w:val="20"/>
          <w:szCs w:val="20"/>
          <w:b w:val="1"/>
          <w:bCs w:val="1"/>
          <w:color w:val="auto"/>
        </w:rPr>
      </w:pPr>
    </w:p>
    <w:p>
      <w:pPr>
        <w:ind w:left="13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Please see</w:t>
      </w:r>
      <w:r>
        <w:rPr>
          <w:rFonts w:ascii="Times New Roman" w:cs="Times New Roman" w:eastAsia="Times New Roman" w:hAnsi="Times New Roman"/>
          <w:sz w:val="18"/>
          <w:szCs w:val="18"/>
          <w:b w:val="1"/>
          <w:bCs w:val="1"/>
          <w:color w:val="auto"/>
        </w:rPr>
        <w:t xml:space="preserve"> Exhibit A </w:t>
      </w:r>
      <w:r>
        <w:rPr>
          <w:rFonts w:ascii="Times New Roman" w:cs="Times New Roman" w:eastAsia="Times New Roman" w:hAnsi="Times New Roman"/>
          <w:sz w:val="18"/>
          <w:szCs w:val="18"/>
          <w:color w:val="auto"/>
        </w:rPr>
        <w:t>which contains a sample of the Company Scorecard.</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617" w:right="239" w:bottom="1440" w:gutter="0" w:footer="0" w:header="0"/>
        </w:sectPr>
      </w:pPr>
    </w:p>
    <w:bookmarkStart w:id="45" w:name="page46"/>
    <w:bookmarkEnd w:id="45"/>
    <w:p>
      <w:pPr>
        <w:ind w:left="1612" w:right="560" w:hanging="315"/>
        <w:spacing w:after="0" w:line="373" w:lineRule="auto"/>
        <w:tabs>
          <w:tab w:leader="none" w:pos="1612" w:val="left"/>
        </w:tabs>
        <w:numPr>
          <w:ilvl w:val="3"/>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for any payments to be made under the Bonus Program, Essent’s FY Company Scorecard must equal or exceed 2.5 (the “Company Score”).</w:t>
      </w:r>
    </w:p>
    <w:p>
      <w:pPr>
        <w:spacing w:after="0" w:line="4" w:lineRule="exact"/>
        <w:rPr>
          <w:rFonts w:ascii="Times New Roman" w:cs="Times New Roman" w:eastAsia="Times New Roman" w:hAnsi="Times New Roman"/>
          <w:sz w:val="18"/>
          <w:szCs w:val="18"/>
          <w:b w:val="1"/>
          <w:bCs w:val="1"/>
          <w:color w:val="auto"/>
        </w:rPr>
      </w:pPr>
    </w:p>
    <w:p>
      <w:pPr>
        <w:ind w:left="1612" w:hanging="315"/>
        <w:spacing w:after="0"/>
        <w:tabs>
          <w:tab w:leader="none" w:pos="1612" w:val="left"/>
        </w:tabs>
        <w:numPr>
          <w:ilvl w:val="3"/>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 payment amounts increase as Essent’s weighted average scorecard score goes up.</w:t>
      </w:r>
    </w:p>
    <w:p>
      <w:pPr>
        <w:spacing w:after="0" w:line="230" w:lineRule="exact"/>
        <w:rPr>
          <w:rFonts w:ascii="Times New Roman" w:cs="Times New Roman" w:eastAsia="Times New Roman" w:hAnsi="Times New Roman"/>
          <w:sz w:val="18"/>
          <w:szCs w:val="18"/>
          <w:b w:val="1"/>
          <w:bCs w:val="1"/>
          <w:color w:val="auto"/>
        </w:rPr>
      </w:pPr>
    </w:p>
    <w:p>
      <w:pPr>
        <w:ind w:left="1392" w:hanging="420"/>
        <w:spacing w:after="0"/>
        <w:tabs>
          <w:tab w:leader="none" w:pos="1392" w:val="left"/>
        </w:tabs>
        <w:numPr>
          <w:ilvl w:val="2"/>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Individual Performance Scorecard</w:t>
      </w:r>
    </w:p>
    <w:p>
      <w:pPr>
        <w:spacing w:after="0" w:line="116" w:lineRule="exact"/>
        <w:rPr>
          <w:rFonts w:ascii="Times New Roman" w:cs="Times New Roman" w:eastAsia="Times New Roman" w:hAnsi="Times New Roman"/>
          <w:sz w:val="20"/>
          <w:szCs w:val="20"/>
          <w:b w:val="1"/>
          <w:bCs w:val="1"/>
          <w:color w:val="auto"/>
        </w:rPr>
      </w:pPr>
    </w:p>
    <w:p>
      <w:pPr>
        <w:ind w:left="1612" w:right="280" w:hanging="315"/>
        <w:spacing w:after="0" w:line="374" w:lineRule="auto"/>
        <w:tabs>
          <w:tab w:leader="none" w:pos="1612" w:val="left"/>
        </w:tabs>
        <w:numPr>
          <w:ilvl w:val="3"/>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Each Participant will have an Annual Performance Review to determine the achievement of Individual Objectives and other success factors. Please see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for a sample of an Annual Performance Review Form that may be used as a scorecard for the achievement of Individual Objectives and other success factors.</w:t>
      </w:r>
    </w:p>
    <w:p>
      <w:pPr>
        <w:spacing w:after="0" w:line="4" w:lineRule="exact"/>
        <w:rPr>
          <w:rFonts w:ascii="Times New Roman" w:cs="Times New Roman" w:eastAsia="Times New Roman" w:hAnsi="Times New Roman"/>
          <w:sz w:val="18"/>
          <w:szCs w:val="18"/>
          <w:b w:val="1"/>
          <w:bCs w:val="1"/>
          <w:color w:val="auto"/>
        </w:rPr>
      </w:pPr>
    </w:p>
    <w:p>
      <w:pPr>
        <w:ind w:left="1612" w:right="180" w:hanging="315"/>
        <w:spacing w:after="0" w:line="373" w:lineRule="auto"/>
        <w:tabs>
          <w:tab w:leader="none" w:pos="1612" w:val="left"/>
        </w:tabs>
        <w:numPr>
          <w:ilvl w:val="3"/>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for a Participant to receive a bonus under the Bonus Plan, he or she must have an overall Performance Review Rating of 3 or higher on Essent’s 5-point scale at the time bonuses are paid (“Individual Score”), plus a Company Score of at least 2.5.</w:t>
      </w:r>
    </w:p>
    <w:p>
      <w:pPr>
        <w:spacing w:after="0" w:line="4" w:lineRule="exact"/>
        <w:rPr>
          <w:rFonts w:ascii="Times New Roman" w:cs="Times New Roman" w:eastAsia="Times New Roman" w:hAnsi="Times New Roman"/>
          <w:sz w:val="18"/>
          <w:szCs w:val="18"/>
          <w:b w:val="1"/>
          <w:bCs w:val="1"/>
          <w:color w:val="auto"/>
        </w:rPr>
      </w:pPr>
    </w:p>
    <w:p>
      <w:pPr>
        <w:ind w:left="1612" w:hanging="315"/>
        <w:spacing w:after="0"/>
        <w:tabs>
          <w:tab w:leader="none" w:pos="1612" w:val="left"/>
        </w:tabs>
        <w:numPr>
          <w:ilvl w:val="3"/>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Participant’s Individual Score increases, his/her potential to reach the “Target” bonus or above also increases.</w:t>
      </w:r>
    </w:p>
    <w:p>
      <w:pPr>
        <w:spacing w:after="0" w:line="122" w:lineRule="exact"/>
        <w:rPr>
          <w:rFonts w:ascii="Times New Roman" w:cs="Times New Roman" w:eastAsia="Times New Roman" w:hAnsi="Times New Roman"/>
          <w:sz w:val="18"/>
          <w:szCs w:val="18"/>
          <w:b w:val="1"/>
          <w:bCs w:val="1"/>
          <w:color w:val="auto"/>
        </w:rPr>
      </w:pPr>
    </w:p>
    <w:p>
      <w:pPr>
        <w:ind w:left="1252" w:hanging="280"/>
        <w:spacing w:after="0"/>
        <w:tabs>
          <w:tab w:leader="none" w:pos="1252" w:val="left"/>
        </w:tabs>
        <w:numPr>
          <w:ilvl w:val="2"/>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Weighting of Corporate and Individual Scores</w:t>
      </w:r>
    </w:p>
    <w:p>
      <w:pPr>
        <w:spacing w:after="0" w:line="112" w:lineRule="exact"/>
        <w:rPr>
          <w:rFonts w:ascii="Times New Roman" w:cs="Times New Roman" w:eastAsia="Times New Roman" w:hAnsi="Times New Roman"/>
          <w:sz w:val="20"/>
          <w:szCs w:val="20"/>
          <w:b w:val="1"/>
          <w:bCs w:val="1"/>
          <w:color w:val="auto"/>
        </w:rPr>
      </w:pPr>
    </w:p>
    <w:p>
      <w:pPr>
        <w:ind w:left="1612" w:right="40" w:hanging="315"/>
        <w:spacing w:after="0" w:line="394" w:lineRule="auto"/>
        <w:tabs>
          <w:tab w:leader="none" w:pos="1612" w:val="left"/>
        </w:tabs>
        <w:numPr>
          <w:ilvl w:val="3"/>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Participant has been assigned a weighting between the Company Score and Individual Score.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provides an example of a possible correlation between the achievement of Company Score and Individual Score and its impact on the potential bonus awards. Actual weightings are communicated individually and are determined by position.</w:t>
      </w:r>
    </w:p>
    <w:p>
      <w:pPr>
        <w:spacing w:after="0" w:line="178" w:lineRule="exact"/>
        <w:rPr>
          <w:rFonts w:ascii="Times New Roman" w:cs="Times New Roman" w:eastAsia="Times New Roman" w:hAnsi="Times New Roman"/>
          <w:sz w:val="18"/>
          <w:szCs w:val="18"/>
          <w:color w:val="auto"/>
        </w:rPr>
      </w:pPr>
    </w:p>
    <w:p>
      <w:pPr>
        <w:ind w:left="232" w:hanging="232"/>
        <w:spacing w:after="0"/>
        <w:tabs>
          <w:tab w:leader="none" w:pos="232"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How and When are Bonus Payments Made?</w:t>
      </w:r>
    </w:p>
    <w:p>
      <w:pPr>
        <w:spacing w:after="0" w:line="112" w:lineRule="exact"/>
        <w:rPr>
          <w:rFonts w:ascii="Times New Roman" w:cs="Times New Roman" w:eastAsia="Times New Roman" w:hAnsi="Times New Roman"/>
          <w:sz w:val="20"/>
          <w:szCs w:val="20"/>
          <w:b w:val="1"/>
          <w:bCs w:val="1"/>
          <w:color w:val="auto"/>
        </w:rPr>
      </w:pPr>
    </w:p>
    <w:p>
      <w:pPr>
        <w:ind w:left="972" w:hanging="324"/>
        <w:spacing w:after="0"/>
        <w:tabs>
          <w:tab w:leader="none" w:pos="97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Timing:</w:t>
      </w:r>
    </w:p>
    <w:p>
      <w:pPr>
        <w:spacing w:after="0" w:line="121" w:lineRule="exact"/>
        <w:rPr>
          <w:rFonts w:ascii="Times New Roman" w:cs="Times New Roman" w:eastAsia="Times New Roman" w:hAnsi="Times New Roman"/>
          <w:sz w:val="18"/>
          <w:szCs w:val="18"/>
          <w:color w:val="auto"/>
        </w:rPr>
      </w:pPr>
    </w:p>
    <w:p>
      <w:pPr>
        <w:ind w:left="1292" w:right="100" w:hanging="320"/>
        <w:spacing w:after="0" w:line="312" w:lineRule="auto"/>
        <w:tabs>
          <w:tab w:leader="none" w:pos="1292"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payment in respect of a bonus awarded under the Bonus Program is scheduled to occur as soon as practicable following the close of Fiscal Year [DATE], but in any case on or before March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of the following year.</w:t>
      </w:r>
    </w:p>
    <w:p>
      <w:pPr>
        <w:spacing w:after="0" w:line="1"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Form of Bonus Payments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292" w:right="40" w:hanging="320"/>
        <w:spacing w:after="0" w:line="375" w:lineRule="auto"/>
        <w:tabs>
          <w:tab w:leader="none" w:pos="1292"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any awarded bonus will be paid in cash and 25% will be paid in Essent Group Ltd. restricted common shares valued based on the closing price of such Essent Group Ltd. common stock on the date the bonus is approved by the Board of Directors. For the purposes of this Bonus Program, cash awards will be paid in cash (via check or direct deposit), less all applicable taxes and deductions. Unless otherwise provided in a Participant’s employment or award agreement, restricted share share awards will vest in 3 equal installments, on each of [DATE], [DATE] and [DATE]. Share awards are subject to the terms of the 2013 LTIP, including an award agreement pursuant to the 2013 LTIP to be entered into between the Participant and Essent in such form as may be adopted by Essent from time to time. All share awards are subject to withholding taxes on the date of vesting in accordance with applicable law and Company policy.</w:t>
      </w:r>
    </w:p>
    <w:p>
      <w:pPr>
        <w:ind w:left="972" w:hanging="324"/>
        <w:spacing w:after="0"/>
        <w:tabs>
          <w:tab w:leader="none" w:pos="97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Necessary Approvals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292" w:right="180" w:hanging="320"/>
        <w:spacing w:after="0" w:line="375" w:lineRule="auto"/>
        <w:tabs>
          <w:tab w:leader="none" w:pos="1292"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President and CEO together with the Compensation Committee (the “Compensation Committee”) and Board of Directors will review and approve all Participants’ awards under this Bonus Program.</w:t>
      </w:r>
    </w:p>
    <w:p>
      <w:pPr>
        <w:spacing w:after="0" w:line="1" w:lineRule="exact"/>
        <w:rPr>
          <w:rFonts w:ascii="Times New Roman" w:cs="Times New Roman" w:eastAsia="Times New Roman" w:hAnsi="Times New Roman"/>
          <w:sz w:val="18"/>
          <w:szCs w:val="18"/>
          <w:color w:val="auto"/>
        </w:rPr>
      </w:pPr>
    </w:p>
    <w:p>
      <w:pPr>
        <w:ind w:left="1292" w:hanging="320"/>
        <w:spacing w:after="0" w:line="375" w:lineRule="auto"/>
        <w:tabs>
          <w:tab w:leader="none" w:pos="1292"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President and CEO’s cash payments and share awards under this Bonus Program are approved by the Compensation Committee and the Board of Directors.</w:t>
      </w:r>
    </w:p>
    <w:p>
      <w:pPr>
        <w:spacing w:after="0" w:line="1" w:lineRule="exact"/>
        <w:rPr>
          <w:rFonts w:ascii="Times New Roman" w:cs="Times New Roman" w:eastAsia="Times New Roman" w:hAnsi="Times New Roman"/>
          <w:sz w:val="18"/>
          <w:szCs w:val="18"/>
          <w:color w:val="auto"/>
        </w:rPr>
      </w:pPr>
    </w:p>
    <w:p>
      <w:pPr>
        <w:ind w:left="1292" w:right="20" w:hanging="320"/>
        <w:spacing w:after="0" w:line="407" w:lineRule="auto"/>
        <w:tabs>
          <w:tab w:leader="none" w:pos="1292"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has sole discretion and final review and approval authority over the award pool under the Bonus Program, and holds the responsibility for reviewing and approving recommended individual payments for all Participants.</w:t>
      </w:r>
    </w:p>
    <w:p>
      <w:pPr>
        <w:spacing w:after="0" w:line="21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12"/>
          </w:cols>
          <w:pgMar w:left="248" w:top="675" w:right="239" w:bottom="1440" w:gutter="0" w:footer="0" w:header="0"/>
        </w:sectPr>
      </w:pPr>
    </w:p>
    <w:bookmarkStart w:id="46" w:name="page47"/>
    <w:bookmarkEnd w:id="46"/>
    <w:p>
      <w:pPr>
        <w:jc w:val="both"/>
        <w:ind w:left="1300" w:right="180" w:hanging="320"/>
        <w:spacing w:after="0" w:line="391"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in this Program satisfies the “Covered Employee” definition in the Essent Group Ltd. Annual Incentive Plan (the “Annual Plan”), this Program document will serve as administrative guidelines for the Compensation Committee to apply in determining the cash and share bonus payout for that employee under the Bonus Program.</w:t>
      </w:r>
    </w:p>
    <w:p>
      <w:pPr>
        <w:spacing w:after="0" w:line="39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Who administers the Bonus Program?</w:t>
      </w:r>
    </w:p>
    <w:p>
      <w:pPr>
        <w:spacing w:after="0" w:line="116" w:lineRule="exact"/>
        <w:rPr>
          <w:rFonts w:ascii="Times New Roman" w:cs="Times New Roman" w:eastAsia="Times New Roman" w:hAnsi="Times New Roman"/>
          <w:sz w:val="20"/>
          <w:szCs w:val="20"/>
          <w:b w:val="1"/>
          <w:bCs w:val="1"/>
          <w:color w:val="auto"/>
        </w:rPr>
      </w:pPr>
    </w:p>
    <w:p>
      <w:pPr>
        <w:jc w:val="both"/>
        <w:ind w:left="340" w:right="200"/>
        <w:spacing w:after="0" w:line="37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8"/>
          <w:szCs w:val="18"/>
          <w:color w:val="auto"/>
        </w:rPr>
        <w:t>Within the authority granted by the Compensation Committee, decisions are made by the Plan Administration Committee (“the Committee”), which is comprised of the President and CEO, the Chief Legal Officer and the Chief Financial Officer. Notwithstanding the foregoing, decisions with respect to awards under the Bonus Plan to the President and CEO are made solely by the Compensation Committee.</w:t>
      </w:r>
    </w:p>
    <w:p>
      <w:pPr>
        <w:ind w:left="1300" w:hanging="320"/>
        <w:spacing w:after="0"/>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Committee’s responsibilities include</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information to the Compensation Committee and the Board of Directors;</w:t>
      </w:r>
    </w:p>
    <w:p>
      <w:pPr>
        <w:spacing w:after="0" w:line="117"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eligibility rules, individual bonus target assignments and the relative weights of Company and Individual performance;</w:t>
      </w:r>
    </w:p>
    <w:p>
      <w:pPr>
        <w:spacing w:after="0" w:line="117"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performance standards;</w:t>
      </w:r>
    </w:p>
    <w:p>
      <w:pPr>
        <w:spacing w:after="0" w:line="117"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financial accruals as necessary;</w:t>
      </w:r>
    </w:p>
    <w:p>
      <w:pPr>
        <w:spacing w:after="0" w:line="117" w:lineRule="exact"/>
        <w:rPr>
          <w:rFonts w:ascii="Times New Roman" w:cs="Times New Roman" w:eastAsia="Times New Roman" w:hAnsi="Times New Roman"/>
          <w:sz w:val="18"/>
          <w:szCs w:val="18"/>
          <w:color w:val="auto"/>
        </w:rPr>
      </w:pPr>
    </w:p>
    <w:p>
      <w:pPr>
        <w:ind w:left="1620" w:right="260" w:hanging="315"/>
        <w:spacing w:after="0" w:line="375" w:lineRule="auto"/>
        <w:tabs>
          <w:tab w:leader="none" w:pos="16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collection of aggregate and group payment recommendations for review by the President and CEO, according to the pool assigned by the Compensation Committee of the Board of Directors;</w:t>
      </w:r>
    </w:p>
    <w:p>
      <w:pPr>
        <w:spacing w:after="0" w:line="1"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verifying all proposed payments before such payments are made;</w:t>
      </w:r>
    </w:p>
    <w:p>
      <w:pPr>
        <w:spacing w:after="0" w:line="117" w:lineRule="exact"/>
        <w:rPr>
          <w:rFonts w:ascii="Times New Roman" w:cs="Times New Roman" w:eastAsia="Times New Roman" w:hAnsi="Times New Roman"/>
          <w:sz w:val="18"/>
          <w:szCs w:val="18"/>
          <w:color w:val="auto"/>
        </w:rPr>
      </w:pPr>
    </w:p>
    <w:p>
      <w:pPr>
        <w:ind w:left="1620" w:right="400" w:hanging="315"/>
        <w:spacing w:after="0" w:line="375" w:lineRule="auto"/>
        <w:tabs>
          <w:tab w:leader="none" w:pos="16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extent to which internal transfers, promotions, changes in full-or-part-time status and approved leaves of absence impact accruals, targets and actual rewards; and</w:t>
      </w:r>
    </w:p>
    <w:p>
      <w:pPr>
        <w:spacing w:after="0" w:line="1" w:lineRule="exact"/>
        <w:rPr>
          <w:rFonts w:ascii="Times New Roman" w:cs="Times New Roman" w:eastAsia="Times New Roman" w:hAnsi="Times New Roman"/>
          <w:sz w:val="18"/>
          <w:szCs w:val="18"/>
          <w:color w:val="auto"/>
        </w:rPr>
      </w:pPr>
    </w:p>
    <w:p>
      <w:pPr>
        <w:ind w:left="1620" w:right="720" w:hanging="315"/>
        <w:spacing w:after="0" w:line="407" w:lineRule="auto"/>
        <w:tabs>
          <w:tab w:leader="none" w:pos="16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Interpreting the Bonus Program document and establishing, adopting, or amending any provisions as are necessary for proper administration, consulting where appropriate with the Compensation Committee and Board of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Important Details:</w:t>
      </w:r>
    </w:p>
    <w:p>
      <w:pPr>
        <w:spacing w:after="0" w:line="112" w:lineRule="exact"/>
        <w:rPr>
          <w:sz w:val="20"/>
          <w:szCs w:val="20"/>
          <w:color w:val="auto"/>
        </w:rPr>
      </w:pPr>
    </w:p>
    <w:p>
      <w:pPr>
        <w:ind w:left="660" w:right="120" w:hanging="328"/>
        <w:spacing w:after="0" w:line="375"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Essent is an employer at will</w:t>
      </w:r>
      <w:r>
        <w:rPr>
          <w:rFonts w:ascii="Times New Roman" w:cs="Times New Roman" w:eastAsia="Times New Roman" w:hAnsi="Times New Roman"/>
          <w:sz w:val="18"/>
          <w:szCs w:val="18"/>
          <w:color w:val="auto"/>
        </w:rPr>
        <w:t>. Participation in the Bonus Program or any enhancement of the Bonus Program does not impact this fact in any way.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Bonus Program nor any future enhancement will be deemed a contract for employment.</w:t>
      </w:r>
    </w:p>
    <w:p>
      <w:pPr>
        <w:spacing w:after="0" w:line="1" w:lineRule="exact"/>
        <w:rPr>
          <w:rFonts w:ascii="Times New Roman" w:cs="Times New Roman" w:eastAsia="Times New Roman" w:hAnsi="Times New Roman"/>
          <w:sz w:val="18"/>
          <w:szCs w:val="18"/>
          <w:color w:val="auto"/>
        </w:rPr>
      </w:pPr>
    </w:p>
    <w:p>
      <w:pPr>
        <w:ind w:left="660" w:right="420" w:hanging="328"/>
        <w:spacing w:after="0" w:line="375"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Bonus Program and Exhibits hereto may be amended, suspended or terminated at any time without notice </w:t>
      </w:r>
      <w:r>
        <w:rPr>
          <w:rFonts w:ascii="Times New Roman" w:cs="Times New Roman" w:eastAsia="Times New Roman" w:hAnsi="Times New Roman"/>
          <w:sz w:val="18"/>
          <w:szCs w:val="18"/>
          <w:color w:val="auto"/>
        </w:rPr>
        <w:t>upon the approval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Committee and Board of Directors.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Employment.</w:t>
      </w:r>
    </w:p>
    <w:p>
      <w:pPr>
        <w:spacing w:after="0" w:line="117" w:lineRule="exact"/>
        <w:rPr>
          <w:rFonts w:ascii="Times New Roman" w:cs="Times New Roman" w:eastAsia="Times New Roman" w:hAnsi="Times New Roman"/>
          <w:sz w:val="18"/>
          <w:szCs w:val="18"/>
          <w:color w:val="auto"/>
        </w:rPr>
      </w:pPr>
    </w:p>
    <w:p>
      <w:pPr>
        <w:ind w:left="980" w:right="400" w:hanging="324"/>
        <w:spacing w:after="0" w:line="375" w:lineRule="auto"/>
        <w:tabs>
          <w:tab w:leader="none" w:pos="98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Participant’s employment is terminated (voluntarily or involuntarily) </w:t>
      </w:r>
      <w:r>
        <w:rPr>
          <w:rFonts w:ascii="Times New Roman" w:cs="Times New Roman" w:eastAsia="Times New Roman" w:hAnsi="Times New Roman"/>
          <w:sz w:val="18"/>
          <w:szCs w:val="18"/>
          <w:b w:val="1"/>
          <w:bCs w:val="1"/>
          <w:color w:val="auto"/>
        </w:rPr>
        <w:t>prior to the awarding</w:t>
      </w:r>
      <w:r>
        <w:rPr>
          <w:rFonts w:ascii="Times New Roman" w:cs="Times New Roman" w:eastAsia="Times New Roman" w:hAnsi="Times New Roman"/>
          <w:sz w:val="18"/>
          <w:szCs w:val="18"/>
          <w:color w:val="auto"/>
        </w:rPr>
        <w:t xml:space="preserve"> or payment of any bonus under the Bonus Program, the Participant will not be entitled to any award or payment under the Bonus Program.</w:t>
      </w:r>
    </w:p>
    <w:p>
      <w:pPr>
        <w:spacing w:after="0" w:line="1" w:lineRule="exact"/>
        <w:rPr>
          <w:rFonts w:ascii="Times New Roman" w:cs="Times New Roman" w:eastAsia="Times New Roman" w:hAnsi="Times New Roman"/>
          <w:sz w:val="18"/>
          <w:szCs w:val="18"/>
          <w:color w:val="auto"/>
        </w:rPr>
      </w:pPr>
    </w:p>
    <w:p>
      <w:pPr>
        <w:ind w:left="980" w:right="60" w:hanging="324"/>
        <w:spacing w:after="0" w:line="375" w:lineRule="auto"/>
        <w:tabs>
          <w:tab w:leader="none" w:pos="98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Participant’s employment is terminated (voluntarily or involuntarily) </w:t>
      </w:r>
      <w:r>
        <w:rPr>
          <w:rFonts w:ascii="Times New Roman" w:cs="Times New Roman" w:eastAsia="Times New Roman" w:hAnsi="Times New Roman"/>
          <w:sz w:val="18"/>
          <w:szCs w:val="18"/>
          <w:b w:val="1"/>
          <w:bCs w:val="1"/>
          <w:color w:val="auto"/>
        </w:rPr>
        <w:t>prior to payment</w:t>
      </w:r>
      <w:r>
        <w:rPr>
          <w:rFonts w:ascii="Times New Roman" w:cs="Times New Roman" w:eastAsia="Times New Roman" w:hAnsi="Times New Roman"/>
          <w:sz w:val="18"/>
          <w:szCs w:val="18"/>
          <w:color w:val="auto"/>
        </w:rPr>
        <w:t xml:space="preserve"> of an awarded bonus under the Bonus Program, the Participant will not be entitled to any award or payment under the Bonus Program and will forfeit any such payment.</w:t>
      </w:r>
    </w:p>
    <w:p>
      <w:pPr>
        <w:spacing w:after="0" w:line="1" w:lineRule="exact"/>
        <w:rPr>
          <w:rFonts w:ascii="Times New Roman" w:cs="Times New Roman" w:eastAsia="Times New Roman" w:hAnsi="Times New Roman"/>
          <w:sz w:val="18"/>
          <w:szCs w:val="18"/>
          <w:color w:val="auto"/>
        </w:rPr>
      </w:pPr>
    </w:p>
    <w:p>
      <w:pPr>
        <w:ind w:left="980" w:right="380" w:hanging="324"/>
        <w:spacing w:after="0" w:line="375" w:lineRule="auto"/>
        <w:tabs>
          <w:tab w:leader="none" w:pos="98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Participant’s employment is terminated (voluntarily or involuntarily) </w:t>
      </w:r>
      <w:r>
        <w:rPr>
          <w:rFonts w:ascii="Times New Roman" w:cs="Times New Roman" w:eastAsia="Times New Roman" w:hAnsi="Times New Roman"/>
          <w:sz w:val="18"/>
          <w:szCs w:val="18"/>
          <w:b w:val="1"/>
          <w:bCs w:val="1"/>
          <w:color w:val="auto"/>
        </w:rPr>
        <w:t>prior to the vesting</w:t>
      </w:r>
      <w:r>
        <w:rPr>
          <w:rFonts w:ascii="Times New Roman" w:cs="Times New Roman" w:eastAsia="Times New Roman" w:hAnsi="Times New Roman"/>
          <w:sz w:val="18"/>
          <w:szCs w:val="18"/>
          <w:color w:val="auto"/>
        </w:rPr>
        <w:t xml:space="preserve"> of any shares issued as a portion of an award under the Bonus Program, such shares will be forfeited by the Participant.</w:t>
      </w:r>
    </w:p>
    <w:p>
      <w:pPr>
        <w:spacing w:after="0" w:line="1" w:lineRule="exact"/>
        <w:rPr>
          <w:rFonts w:ascii="Times New Roman" w:cs="Times New Roman" w:eastAsia="Times New Roman" w:hAnsi="Times New Roman"/>
          <w:sz w:val="18"/>
          <w:szCs w:val="18"/>
          <w:color w:val="auto"/>
        </w:rPr>
      </w:pPr>
    </w:p>
    <w:p>
      <w:pPr>
        <w:ind w:left="580" w:right="360" w:hanging="329"/>
        <w:spacing w:after="0" w:line="412" w:lineRule="auto"/>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Committee and the Compensation Committee retain the right </w:t>
      </w:r>
      <w:r>
        <w:rPr>
          <w:rFonts w:ascii="Times New Roman" w:cs="Times New Roman" w:eastAsia="Times New Roman" w:hAnsi="Times New Roman"/>
          <w:sz w:val="18"/>
          <w:szCs w:val="18"/>
          <w:color w:val="auto"/>
        </w:rPr>
        <w:t>to make equitable judgments with regard to the awarding, funding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of awards under the Bonus Program.</w:t>
      </w:r>
    </w:p>
    <w:p>
      <w:pPr>
        <w:spacing w:after="0" w:line="1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756" w:right="279" w:bottom="1440" w:gutter="0" w:footer="0" w:header="0"/>
        </w:sectPr>
      </w:pPr>
    </w:p>
    <w:bookmarkStart w:id="47" w:name="page48"/>
    <w:bookmarkEnd w:id="47"/>
    <w:p>
      <w:pPr>
        <w:ind w:left="329" w:right="560" w:hanging="329"/>
        <w:spacing w:after="0" w:line="376" w:lineRule="auto"/>
        <w:tabs>
          <w:tab w:leader="none" w:pos="31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Taxes and other deductions will be withheld </w:t>
      </w:r>
      <w:r>
        <w:rPr>
          <w:rFonts w:ascii="Times New Roman" w:cs="Times New Roman" w:eastAsia="Times New Roman" w:hAnsi="Times New Roman"/>
          <w:sz w:val="18"/>
          <w:szCs w:val="18"/>
          <w:color w:val="auto"/>
        </w:rPr>
        <w:t>as required by law and in compliance with Essent's internal policies. Cash payments will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part of any Participant’s base salary.</w:t>
      </w:r>
    </w:p>
    <w:p>
      <w:pPr>
        <w:spacing w:after="0" w:line="26" w:lineRule="exact"/>
        <w:rPr>
          <w:rFonts w:ascii="Times New Roman" w:cs="Times New Roman" w:eastAsia="Times New Roman" w:hAnsi="Times New Roman"/>
          <w:sz w:val="18"/>
          <w:szCs w:val="18"/>
          <w:color w:val="auto"/>
        </w:rPr>
      </w:pPr>
    </w:p>
    <w:p>
      <w:pPr>
        <w:ind w:left="329" w:hanging="329"/>
        <w:spacing w:after="0" w:line="398" w:lineRule="auto"/>
        <w:tabs>
          <w:tab w:leader="none" w:pos="311"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Repurchase of Shares. </w:t>
      </w:r>
      <w:r>
        <w:rPr>
          <w:rFonts w:ascii="Times New Roman" w:cs="Times New Roman" w:eastAsia="Times New Roman" w:hAnsi="Times New Roman"/>
          <w:sz w:val="18"/>
          <w:szCs w:val="18"/>
          <w:color w:val="auto"/>
        </w:rPr>
        <w:t>As a condition to the receipt of shares upon vesting, the Participant will make such arrangements as the Committee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for the satisfaction of any federal, state, local or foreign withholding obligations that may arise in connection with such shares. The Participant may satisfy the withholding requirement by making a payment in cash, or, by having shares withheld from the share award.</w:t>
      </w:r>
    </w:p>
    <w:p>
      <w:pPr>
        <w:spacing w:after="0" w:line="1" w:lineRule="exact"/>
        <w:rPr>
          <w:rFonts w:ascii="Arial" w:cs="Arial" w:eastAsia="Arial" w:hAnsi="Arial"/>
          <w:sz w:val="22"/>
          <w:szCs w:val="22"/>
          <w:color w:val="auto"/>
        </w:rPr>
      </w:pPr>
    </w:p>
    <w:p>
      <w:pPr>
        <w:jc w:val="both"/>
        <w:ind w:left="329" w:right="140" w:hanging="261"/>
        <w:spacing w:after="0" w:line="375" w:lineRule="auto"/>
        <w:tabs>
          <w:tab w:leader="none" w:pos="26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401(k). </w:t>
      </w:r>
      <w:r>
        <w:rPr>
          <w:rFonts w:ascii="Times New Roman" w:cs="Times New Roman" w:eastAsia="Times New Roman" w:hAnsi="Times New Roman"/>
          <w:sz w:val="18"/>
          <w:szCs w:val="18"/>
          <w:color w:val="auto"/>
        </w:rPr>
        <w:t>With respect to cash payments only (and not share awards) under the Bonus Program, deductions for the 401(k) Savings Plan will be taken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Participant’s deferral rate in effect at the time of payment. Cash payments are subject to all applicable laws and regulations and 401(k) plan laws requirements and constraints.</w:t>
      </w:r>
    </w:p>
    <w:p>
      <w:pPr>
        <w:spacing w:after="0" w:line="2" w:lineRule="exact"/>
        <w:rPr>
          <w:rFonts w:ascii="Times New Roman" w:cs="Times New Roman" w:eastAsia="Times New Roman" w:hAnsi="Times New Roman"/>
          <w:sz w:val="18"/>
          <w:szCs w:val="18"/>
          <w:color w:val="auto"/>
        </w:rPr>
      </w:pPr>
    </w:p>
    <w:p>
      <w:pPr>
        <w:ind w:left="269" w:hanging="201"/>
        <w:spacing w:after="0"/>
        <w:tabs>
          <w:tab w:leader="none" w:pos="26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Life Insurance and Other Benefits. </w:t>
      </w:r>
      <w:r>
        <w:rPr>
          <w:rFonts w:ascii="Times New Roman" w:cs="Times New Roman" w:eastAsia="Times New Roman" w:hAnsi="Times New Roman"/>
          <w:sz w:val="18"/>
          <w:szCs w:val="18"/>
          <w:color w:val="auto"/>
        </w:rPr>
        <w:t>Participant’s base salary will remain the basis for life insurance, accidental death and disability and long and</w:t>
      </w:r>
    </w:p>
    <w:p>
      <w:pPr>
        <w:spacing w:after="0" w:line="121" w:lineRule="exact"/>
        <w:rPr>
          <w:sz w:val="20"/>
          <w:szCs w:val="20"/>
          <w:color w:val="auto"/>
        </w:rPr>
      </w:pPr>
    </w:p>
    <w:p>
      <w:pPr>
        <w:ind w:left="329"/>
        <w:spacing w:after="0"/>
        <w:rPr>
          <w:sz w:val="20"/>
          <w:szCs w:val="20"/>
          <w:color w:val="auto"/>
        </w:rPr>
      </w:pPr>
      <w:r>
        <w:rPr>
          <w:rFonts w:ascii="Times New Roman" w:cs="Times New Roman" w:eastAsia="Times New Roman" w:hAnsi="Times New Roman"/>
          <w:sz w:val="18"/>
          <w:szCs w:val="18"/>
          <w:color w:val="auto"/>
        </w:rPr>
        <w:t>short term disability. Any award under this Bonus Program will not increase the level of these benefits.</w:t>
      </w:r>
    </w:p>
    <w:p>
      <w:pPr>
        <w:spacing w:after="0" w:line="113" w:lineRule="exact"/>
        <w:rPr>
          <w:sz w:val="20"/>
          <w:szCs w:val="20"/>
          <w:color w:val="auto"/>
        </w:rPr>
      </w:pPr>
    </w:p>
    <w:p>
      <w:pPr>
        <w:ind w:left="329" w:hanging="248"/>
        <w:spacing w:after="0"/>
        <w:tabs>
          <w:tab w:leader="none" w:pos="329"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Leave of Absence. </w:t>
      </w:r>
      <w:r>
        <w:rPr>
          <w:rFonts w:ascii="Times New Roman" w:cs="Times New Roman" w:eastAsia="Times New Roman" w:hAnsi="Times New Roman"/>
          <w:sz w:val="18"/>
          <w:szCs w:val="18"/>
          <w:color w:val="auto"/>
        </w:rPr>
        <w:t>Participant’s bonus will be pro-rated for any time away from work for approved leave of absence in excess of two weeks.</w:t>
      </w:r>
    </w:p>
    <w:p>
      <w:pPr>
        <w:spacing w:after="0" w:line="117" w:lineRule="exact"/>
        <w:rPr>
          <w:rFonts w:ascii="Times New Roman" w:cs="Times New Roman" w:eastAsia="Times New Roman" w:hAnsi="Times New Roman"/>
          <w:sz w:val="18"/>
          <w:szCs w:val="18"/>
          <w:b w:val="1"/>
          <w:bCs w:val="1"/>
          <w:color w:val="auto"/>
        </w:rPr>
      </w:pPr>
    </w:p>
    <w:p>
      <w:pPr>
        <w:ind w:left="329" w:hanging="248"/>
        <w:spacing w:after="0" w:line="375" w:lineRule="auto"/>
        <w:tabs>
          <w:tab w:leader="none" w:pos="32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409A Compliance. </w:t>
      </w:r>
      <w:r>
        <w:rPr>
          <w:rFonts w:ascii="Times New Roman" w:cs="Times New Roman" w:eastAsia="Times New Roman" w:hAnsi="Times New Roman"/>
          <w:sz w:val="18"/>
          <w:szCs w:val="18"/>
          <w:color w:val="auto"/>
        </w:rPr>
        <w:t>This Bonus Program is intended to comply with the short term deferral rule set forth in the regulations under section 409A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Revenue Code of 1986, as amended (“Code”) in order to avoid application of Section 409A to this Bonus Program. This Bonus Program shall be administered in accordance with Section 409A of the Code.</w:t>
      </w:r>
    </w:p>
    <w:p>
      <w:pPr>
        <w:spacing w:after="0" w:line="2" w:lineRule="exact"/>
        <w:rPr>
          <w:rFonts w:ascii="Times New Roman" w:cs="Times New Roman" w:eastAsia="Times New Roman" w:hAnsi="Times New Roman"/>
          <w:sz w:val="18"/>
          <w:szCs w:val="18"/>
          <w:color w:val="auto"/>
        </w:rPr>
      </w:pPr>
    </w:p>
    <w:p>
      <w:pPr>
        <w:ind w:left="329" w:right="640" w:hanging="248"/>
        <w:spacing w:after="0" w:line="412" w:lineRule="auto"/>
        <w:tabs>
          <w:tab w:leader="none" w:pos="32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Conflict. </w:t>
      </w:r>
      <w:r>
        <w:rPr>
          <w:rFonts w:ascii="Times New Roman" w:cs="Times New Roman" w:eastAsia="Times New Roman" w:hAnsi="Times New Roman"/>
          <w:sz w:val="18"/>
          <w:szCs w:val="18"/>
          <w:color w:val="auto"/>
        </w:rPr>
        <w:t>In the event of a conflict between the terms of this Bonus Program and the terms of a Participant’s individual employment or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terms of the applicable employment or award agreement shall control.</w:t>
      </w:r>
    </w:p>
    <w:p>
      <w:pPr>
        <w:spacing w:after="0" w:line="131"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9"/>
          </w:cols>
          <w:pgMar w:left="491" w:top="671" w:right="2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Essent Group Ltd.;</w:t>
      </w:r>
    </w:p>
    <w:p>
      <w:pPr>
        <w:spacing w:after="0" w:line="26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make the statements made, in light of the circumstances under which such statements were made, not misleading with respect to the period covered by this quarterly report;</w:t>
      </w:r>
    </w:p>
    <w:p>
      <w:pPr>
        <w:spacing w:after="0" w:line="162" w:lineRule="exact"/>
        <w:rPr>
          <w:sz w:val="20"/>
          <w:szCs w:val="20"/>
          <w:color w:val="auto"/>
        </w:rPr>
      </w:pPr>
    </w:p>
    <w:p>
      <w:pPr>
        <w:ind w:right="580" w:firstLine="8"/>
        <w:spacing w:after="0" w:line="329" w:lineRule="auto"/>
        <w:tabs>
          <w:tab w:leader="none" w:pos="5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left="1000" w:hanging="506"/>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w:t>
      </w:r>
    </w:p>
    <w:p>
      <w:pPr>
        <w:spacing w:after="0" w:line="5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ind w:left="1020" w:hanging="526"/>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5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ind w:right="700" w:firstLine="494"/>
        <w:spacing w:after="0" w:line="329" w:lineRule="auto"/>
        <w:tabs>
          <w:tab w:leader="none" w:pos="101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020" w:hanging="526"/>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w:t>
      </w:r>
    </w:p>
    <w:p>
      <w:pPr>
        <w:spacing w:after="0" w:line="5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right="100" w:firstLine="8"/>
        <w:spacing w:after="0" w:line="329" w:lineRule="auto"/>
        <w:tabs>
          <w:tab w:leader="none" w:pos="54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right="140" w:firstLine="494"/>
        <w:spacing w:after="0" w:line="329" w:lineRule="auto"/>
        <w:tabs>
          <w:tab w:leader="none" w:pos="101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right="80" w:firstLine="494"/>
        <w:spacing w:after="0" w:line="329" w:lineRule="auto"/>
        <w:tabs>
          <w:tab w:leader="none" w:pos="102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August 10, 2015</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2106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E. McAlee, certify that:</w:t>
      </w:r>
    </w:p>
    <w:p>
      <w:pPr>
        <w:spacing w:after="0" w:line="225" w:lineRule="exact"/>
        <w:rPr>
          <w:sz w:val="20"/>
          <w:szCs w:val="20"/>
          <w:color w:val="auto"/>
        </w:rPr>
      </w:pPr>
    </w:p>
    <w:p>
      <w:pPr>
        <w:ind w:left="560" w:hanging="552"/>
        <w:spacing w:after="0"/>
        <w:tabs>
          <w:tab w:leader="none" w:pos="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Essent Group Ltd.;</w:t>
      </w:r>
    </w:p>
    <w:p>
      <w:pPr>
        <w:spacing w:after="0" w:line="26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make the statements made, in light of the circumstances under which such statements were made, not misleading with respect to the period covered by this quarterly report;</w:t>
      </w:r>
    </w:p>
    <w:p>
      <w:pPr>
        <w:spacing w:after="0" w:line="162" w:lineRule="exact"/>
        <w:rPr>
          <w:sz w:val="20"/>
          <w:szCs w:val="20"/>
          <w:color w:val="auto"/>
        </w:rPr>
      </w:pPr>
    </w:p>
    <w:p>
      <w:pPr>
        <w:ind w:right="580" w:firstLine="8"/>
        <w:spacing w:after="0" w:line="329" w:lineRule="auto"/>
        <w:tabs>
          <w:tab w:leader="none" w:pos="5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left="1000" w:hanging="506"/>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w:t>
      </w:r>
    </w:p>
    <w:p>
      <w:pPr>
        <w:spacing w:after="0" w:line="5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ind w:left="1020" w:hanging="526"/>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5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ind w:right="700" w:firstLine="494"/>
        <w:spacing w:after="0" w:line="329" w:lineRule="auto"/>
        <w:tabs>
          <w:tab w:leader="none" w:pos="101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020" w:hanging="526"/>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w:t>
      </w:r>
    </w:p>
    <w:p>
      <w:pPr>
        <w:spacing w:after="0" w:line="5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right="100" w:firstLine="8"/>
        <w:spacing w:after="0" w:line="329" w:lineRule="auto"/>
        <w:tabs>
          <w:tab w:leader="none" w:pos="54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right="140" w:firstLine="494"/>
        <w:spacing w:after="0" w:line="329" w:lineRule="auto"/>
        <w:tabs>
          <w:tab w:leader="none" w:pos="101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right="80" w:firstLine="494"/>
        <w:spacing w:after="0" w:line="329" w:lineRule="auto"/>
        <w:tabs>
          <w:tab w:leader="none" w:pos="102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10, 2015</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2106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50" w:name="page51"/>
    <w:bookmarkEnd w:id="50"/>
    <w:p>
      <w:pPr>
        <w:ind w:left="104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 C. Section 1350 as adopted pursuant to Section 906 of the Sarbanes-Oxley Act of 2002, that to the best of his knowledge:</w:t>
      </w:r>
    </w:p>
    <w:p>
      <w:pPr>
        <w:spacing w:after="0" w:line="176" w:lineRule="exact"/>
        <w:rPr>
          <w:sz w:val="20"/>
          <w:szCs w:val="20"/>
          <w:color w:val="auto"/>
        </w:rPr>
      </w:pPr>
    </w:p>
    <w:p>
      <w:pPr>
        <w:ind w:right="380" w:firstLine="8"/>
        <w:spacing w:after="0" w:line="329" w:lineRule="auto"/>
        <w:tabs>
          <w:tab w:leader="none" w:pos="68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2015 (the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right="340" w:firstLine="8"/>
        <w:spacing w:after="0" w:line="579" w:lineRule="auto"/>
        <w:tabs>
          <w:tab w:leader="none" w:pos="68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10, 2015</w:t>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Mark A. Casale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Lawrence E. McAlee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25">
    <w:nsid w:val="440BADFC"/>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26">
    <w:nsid w:val="5072367"/>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7">
    <w:nsid w:val="3804823E"/>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28">
    <w:nsid w:val="77465F0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9">
    <w:nsid w:val="7724C67E"/>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30">
    <w:nsid w:val="5C482A97"/>
    <w:multiLevelType w:val="hybridMultilevel"/>
    <w:lvl w:ilvl="0">
      <w:lvlJc w:val="left"/>
      <w:lvlText w:val="%1)"/>
      <w:numFmt w:val="lowerLetter"/>
      <w:start w:val="5"/>
    </w:lvl>
    <w:lvl w:ilvl="1">
      <w:lvlJc w:val="left"/>
      <w:lvlText w:val="%2)"/>
      <w:numFmt w:val="lowerLetter"/>
      <w:start w:val="7"/>
    </w:lvl>
  </w:abstractNum>
  <w:abstractNum w:abstractNumId="31">
    <w:nsid w:val="2463B9EA"/>
    <w:multiLevelType w:val="hybridMultilevel"/>
    <w:lvl w:ilvl="0">
      <w:lvlJc w:val="left"/>
      <w:lvlText w:val="%1)"/>
      <w:numFmt w:val="lowerLetter"/>
      <w:start w:val="9"/>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3"/>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lowerLetter"/>
      <w:start w:val="2"/>
    </w:lvl>
  </w:abstractNum>
  <w:abstractNum w:abstractNumId="36">
    <w:nsid w:val="153EA438"/>
    <w:multiLevelType w:val="hybridMultilevel"/>
    <w:lvl w:ilvl="0">
      <w:lvlJc w:val="left"/>
      <w:lvlText w:val="(%1)"/>
      <w:numFmt w:val="lowerLetter"/>
      <w:start w:val="3"/>
    </w:lvl>
  </w:abstractNum>
  <w:abstractNum w:abstractNumId="37">
    <w:nsid w:val="3855585C"/>
    <w:multiLevelType w:val="hybridMultilevel"/>
    <w:lvl w:ilvl="0">
      <w:lvlJc w:val="left"/>
      <w:lvlText w:val="%1."/>
      <w:numFmt w:val="decimal"/>
      <w:start w:val="5"/>
    </w:lvl>
    <w:lvl w:ilvl="1">
      <w:lvlJc w:val="left"/>
      <w:lvlText w:val="(%2)"/>
      <w:numFmt w:val="lowerLetter"/>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3"/>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lowerLetter"/>
      <w:start w:val="2"/>
    </w:lvl>
  </w:abstractNum>
  <w:abstractNum w:abstractNumId="42">
    <w:nsid w:val="725A06FB"/>
    <w:multiLevelType w:val="hybridMultilevel"/>
    <w:lvl w:ilvl="0">
      <w:lvlJc w:val="left"/>
      <w:lvlText w:val="(%1)"/>
      <w:numFmt w:val="lowerLetter"/>
      <w:start w:val="3"/>
    </w:lvl>
  </w:abstractNum>
  <w:abstractNum w:abstractNumId="43">
    <w:nsid w:val="2CD89A32"/>
    <w:multiLevelType w:val="hybridMultilevel"/>
    <w:lvl w:ilvl="0">
      <w:lvlJc w:val="left"/>
      <w:lvlText w:val="%1."/>
      <w:numFmt w:val="decimal"/>
      <w:start w:val="5"/>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2020-01-24T07:12:28Z</dcterms:created>
  <dcterms:modified xsi:type="dcterms:W3CDTF">2020-01-24T07:12:28Z</dcterms:modified>
</cp:coreProperties>
</file>