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186690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1"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jc w:val="center"/>
        <w:ind w:right="-1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168910</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500" w:type="dxa"/>
        <w:tblCellMar>
          <w:top w:w="0" w:type="dxa"/>
          <w:left w:w="0" w:type="dxa"/>
          <w:bottom w:w="0" w:type="dxa"/>
          <w:right w:w="0" w:type="dxa"/>
        </w:tblCellMar>
      </w:tblPr>
      <w:tr>
        <w:trPr>
          <w:trHeight w:val="391"/>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32"/>
                <w:szCs w:val="32"/>
                <w:b w:val="1"/>
                <w:bCs w:val="1"/>
                <w:color w:val="auto"/>
                <w:w w:val="98"/>
              </w:rPr>
              <w:t>ESSENT GROUP LTD.</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588"/>
        </w:trPr>
        <w:tc>
          <w:tcPr>
            <w:tcW w:w="40" w:type="dxa"/>
            <w:vAlign w:val="bottom"/>
          </w:tcPr>
          <w:p>
            <w:pPr>
              <w:spacing w:after="0"/>
              <w:rPr>
                <w:sz w:val="24"/>
                <w:szCs w:val="24"/>
                <w:color w:val="auto"/>
              </w:rPr>
            </w:pPr>
          </w:p>
        </w:tc>
        <w:tc>
          <w:tcPr>
            <w:tcW w:w="636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2"/>
              </w:rPr>
              <w:t>Bermuda</w:t>
            </w:r>
          </w:p>
        </w:tc>
        <w:tc>
          <w:tcPr>
            <w:tcW w:w="2700" w:type="dxa"/>
            <w:vAlign w:val="bottom"/>
            <w:gridSpan w:val="2"/>
          </w:tcPr>
          <w:p>
            <w:pPr>
              <w:jc w:val="center"/>
              <w:ind w:left="774"/>
              <w:spacing w:after="0"/>
              <w:rPr>
                <w:sz w:val="20"/>
                <w:szCs w:val="20"/>
                <w:color w:val="auto"/>
              </w:rPr>
            </w:pPr>
            <w:r>
              <w:rPr>
                <w:rFonts w:ascii="Arial" w:cs="Arial" w:eastAsia="Arial" w:hAnsi="Arial"/>
                <w:sz w:val="18"/>
                <w:szCs w:val="18"/>
                <w:b w:val="1"/>
                <w:bCs w:val="1"/>
                <w:color w:val="auto"/>
                <w:w w:val="92"/>
              </w:rPr>
              <w:t>Not Applicable</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(State or other jurisdiction of</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2"/>
              </w:rPr>
              <w:t>(I.R.S. Employer</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incorporation or organization)</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4"/>
              </w:rPr>
              <w:t>Identification Number)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89"/>
              </w:rPr>
              <w:t>Clarendon House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0"/>
              </w:rPr>
              <w:t>2 Church Street</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4"/>
              </w:rPr>
              <w:t>Hamilton HM11, Bermuda</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1"/>
              </w:rPr>
              <w:t>(Address of principal executive offices and zip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640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w w:val="90"/>
              </w:rPr>
              <w:t>(441) 297-9901</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0"/>
              </w:rPr>
              <w:t>(Registrant’s telephone number, including area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84"/>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64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6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360" w:type="dxa"/>
            <w:vAlign w:val="bottom"/>
            <w:gridSpan w:val="4"/>
          </w:tcPr>
          <w:p>
            <w:pPr>
              <w:jc w:val="center"/>
              <w:ind w:right="1480"/>
              <w:spacing w:after="0"/>
              <w:rPr>
                <w:sz w:val="20"/>
                <w:szCs w:val="20"/>
                <w:color w:val="auto"/>
              </w:rPr>
            </w:pPr>
            <w:r>
              <w:rPr>
                <w:rFonts w:ascii="Arial" w:cs="Arial" w:eastAsia="Arial" w:hAnsi="Arial"/>
                <w:sz w:val="18"/>
                <w:szCs w:val="18"/>
                <w:color w:val="auto"/>
                <w:w w:val="88"/>
              </w:rPr>
              <w:t>Common Shares, $0.015 par value</w:t>
            </w:r>
          </w:p>
        </w:tc>
        <w:tc>
          <w:tcPr>
            <w:tcW w:w="270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New York Stock Exchange</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400" w:type="dxa"/>
            <w:vAlign w:val="bottom"/>
            <w:gridSpan w:val="5"/>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2740" w:type="dxa"/>
            <w:vAlign w:val="bottom"/>
            <w:gridSpan w:val="2"/>
          </w:tcPr>
          <w:p>
            <w:pPr>
              <w:spacing w:after="0"/>
              <w:rPr>
                <w:sz w:val="22"/>
                <w:szCs w:val="22"/>
                <w:color w:val="auto"/>
              </w:rPr>
            </w:pPr>
          </w:p>
        </w:tc>
        <w:tc>
          <w:tcPr>
            <w:tcW w:w="4960" w:type="dxa"/>
            <w:vAlign w:val="bottom"/>
            <w:tcBorders>
              <w:bottom w:val="single" w:sz="8" w:color="auto"/>
            </w:tcBorders>
            <w:gridSpan w:val="4"/>
          </w:tcPr>
          <w:p>
            <w:pPr>
              <w:spacing w:after="0"/>
              <w:rPr>
                <w:sz w:val="22"/>
                <w:szCs w:val="22"/>
                <w:color w:val="auto"/>
              </w:rPr>
            </w:pPr>
          </w:p>
        </w:tc>
        <w:tc>
          <w:tcPr>
            <w:tcW w:w="140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r>
      <w:tr>
        <w:trPr>
          <w:trHeight w:val="379"/>
        </w:trPr>
        <w:tc>
          <w:tcPr>
            <w:tcW w:w="910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 o</w:t>
            </w:r>
          </w:p>
        </w:tc>
      </w:tr>
      <w:tr>
        <w:trPr>
          <w:trHeight w:val="249"/>
        </w:trPr>
        <w:tc>
          <w:tcPr>
            <w:tcW w:w="910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14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054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w:t>
            </w:r>
          </w:p>
        </w:tc>
      </w:tr>
    </w:tbl>
    <w:p>
      <w:pPr>
        <w:ind w:right="120"/>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right="12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jc w:val="both"/>
        <w:ind w:firstLine="486"/>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684" w:right="359" w:bottom="1440" w:gutter="0" w:footer="0" w:header="0"/>
        </w:sectPr>
      </w:pPr>
    </w:p>
    <w:bookmarkStart w:id="1" w:name="page2"/>
    <w:bookmarkEnd w:id="1"/>
    <w:p>
      <w:pPr>
        <w:ind w:left="24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95" w:lineRule="exact"/>
        <w:rPr>
          <w:sz w:val="20"/>
          <w:szCs w:val="20"/>
          <w:color w:val="auto"/>
        </w:rPr>
      </w:pPr>
    </w:p>
    <w:p>
      <w:pPr>
        <w:sectPr>
          <w:pgSz w:w="11900" w:h="16838" w:orient="portrait"/>
          <w:cols w:equalWidth="0" w:num="4">
            <w:col w:w="3920" w:space="720"/>
            <w:col w:w="320" w:space="720"/>
            <w:col w:w="2300" w:space="720"/>
            <w:col w:w="2560"/>
          </w:cols>
          <w:pgMar w:left="240" w:top="751" w:right="399" w:bottom="1440" w:gutter="0" w:footer="0" w:header="0"/>
        </w:sectPr>
      </w:pPr>
    </w:p>
    <w:p>
      <w:pPr>
        <w:ind w:left="246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0"/>
          <w:szCs w:val="20"/>
          <w:color w:val="auto"/>
        </w:rPr>
      </w:pPr>
    </w:p>
    <w:p>
      <w:pPr>
        <w:sectPr>
          <w:pgSz w:w="11900" w:h="16838" w:orient="portrait"/>
          <w:cols w:equalWidth="0" w:num="3">
            <w:col w:w="3920" w:space="720"/>
            <w:col w:w="80" w:space="320"/>
            <w:col w:w="6220"/>
          </w:cols>
          <w:pgMar w:left="240" w:top="751" w:right="3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0"/>
          <w:szCs w:val="20"/>
          <w:color w:val="auto"/>
        </w:rPr>
      </w:pPr>
    </w:p>
    <w:p>
      <w:pPr>
        <w:sectPr>
          <w:pgSz w:w="11900" w:h="16838" w:orient="portrait"/>
          <w:cols w:equalWidth="0" w:num="2">
            <w:col w:w="7980" w:space="720"/>
            <w:col w:w="2560"/>
          </w:cols>
          <w:pgMar w:left="240" w:top="751" w:right="3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0"/>
          <w:szCs w:val="20"/>
          <w:color w:val="auto"/>
        </w:rPr>
      </w:pPr>
    </w:p>
    <w:p>
      <w:pPr>
        <w:sectPr>
          <w:pgSz w:w="11900" w:h="16838" w:orient="portrait"/>
          <w:cols w:equalWidth="0" w:num="2">
            <w:col w:w="7980" w:space="720"/>
            <w:col w:w="2560"/>
          </w:cols>
          <w:pgMar w:left="240" w:top="751" w:right="399" w:bottom="1440" w:gutter="0" w:footer="0" w:header="0"/>
          <w:type w:val="continuous"/>
        </w:sectPr>
      </w:pPr>
    </w:p>
    <w:p>
      <w:pPr>
        <w:spacing w:after="0" w:line="48" w:lineRule="exact"/>
        <w:rPr>
          <w:sz w:val="20"/>
          <w:szCs w:val="20"/>
          <w:color w:val="auto"/>
        </w:rPr>
      </w:pPr>
    </w:p>
    <w:p>
      <w:pPr>
        <w:ind w:left="500"/>
        <w:spacing w:after="0" w:line="196" w:lineRule="exact"/>
        <w:tabs>
          <w:tab w:leader="none" w:pos="9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9" w:lineRule="exact"/>
        <w:rPr>
          <w:sz w:val="20"/>
          <w:szCs w:val="20"/>
          <w:color w:val="auto"/>
        </w:rPr>
      </w:pPr>
    </w:p>
    <w:p>
      <w:pPr>
        <w:ind w:firstLine="486"/>
        <w:spacing w:after="0" w:line="249" w:lineRule="auto"/>
        <w:rPr>
          <w:sz w:val="20"/>
          <w:szCs w:val="20"/>
          <w:color w:val="auto"/>
        </w:rPr>
      </w:pPr>
      <w:r>
        <w:rPr>
          <w:rFonts w:ascii="Arial" w:cs="Arial" w:eastAsia="Arial" w:hAnsi="Arial"/>
          <w:sz w:val="18"/>
          <w:szCs w:val="18"/>
          <w:color w:val="auto"/>
        </w:rPr>
        <w:t>As of June 30, 2017, the last business day of the registrant's most recently completed second fiscal quarter, the aggregate market value of common shares held by non-affiliates of the registrant was approximately $3,059,519,774 (based upon the last reported sales price on The New York Stock Exchange on such date).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15, 2018 was 98,094,421.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right="200" w:firstLine="486"/>
        <w:spacing w:after="0" w:line="255" w:lineRule="auto"/>
        <w:rPr>
          <w:sz w:val="20"/>
          <w:szCs w:val="20"/>
          <w:color w:val="auto"/>
        </w:rPr>
      </w:pPr>
      <w:r>
        <w:rPr>
          <w:rFonts w:ascii="Arial" w:cs="Arial" w:eastAsia="Arial" w:hAnsi="Arial"/>
          <w:sz w:val="18"/>
          <w:szCs w:val="18"/>
          <w:color w:val="auto"/>
        </w:rPr>
        <w:t>Portions of the registrant's proxy statement for the 2018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2017.</w:t>
      </w:r>
    </w:p>
    <w:p>
      <w:pPr>
        <w:sectPr>
          <w:pgSz w:w="11900" w:h="16838" w:orient="portrait"/>
          <w:cols w:equalWidth="0" w:num="1">
            <w:col w:w="11260"/>
          </w:cols>
          <w:pgMar w:left="240" w:top="751" w:right="3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4"/>
          </w:tcPr>
          <w:p>
            <w:pPr>
              <w:jc w:val="center"/>
              <w:ind w:right="384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Borders>
              <w:top w:val="single" w:sz="8" w:color="0000EE"/>
            </w:tcBorders>
            <w:gridSpan w:val="3"/>
          </w:tcPr>
          <w:p>
            <w:pPr>
              <w:spacing w:after="0"/>
              <w:rPr>
                <w:sz w:val="21"/>
                <w:szCs w:val="21"/>
                <w:color w:val="auto"/>
              </w:rPr>
            </w:pPr>
          </w:p>
        </w:tc>
        <w:tc>
          <w:tcPr>
            <w:tcW w:w="3840" w:type="dxa"/>
            <w:vAlign w:val="bottom"/>
            <w:gridSpan w:val="11"/>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ITEM 1A.</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ITEM 1B.</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UNRESOLVED STAFF COMMENTS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7940" w:type="dxa"/>
            <w:vAlign w:val="bottom"/>
            <w:gridSpan w:val="3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3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7940" w:type="dxa"/>
            <w:vAlign w:val="bottom"/>
            <w:gridSpan w:val="3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3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PART II</w:t>
              </w:r>
            </w:hyperlink>
          </w:p>
        </w:tc>
        <w:tc>
          <w:tcPr>
            <w:tcW w:w="3800" w:type="dxa"/>
            <w:vAlign w:val="bottom"/>
            <w:gridSpan w:val="1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7940" w:type="dxa"/>
            <w:vAlign w:val="bottom"/>
            <w:gridSpan w:val="3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MARKET FOR THE COMPANY'S COMMON EQUITY, RELATED STOCKHOLDER MATTERS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AND ISSUER PURCHASES OF EQUITY SECURITIES</w:t>
              </w:r>
            </w:hyperlink>
          </w:p>
        </w:tc>
        <w:tc>
          <w:tcPr>
            <w:tcW w:w="66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49</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41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3780" w:type="dxa"/>
            <w:vAlign w:val="bottom"/>
            <w:gridSpan w:val="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7.</w:t>
              </w:r>
            </w:hyperlink>
          </w:p>
        </w:tc>
        <w:tc>
          <w:tcPr>
            <w:tcW w:w="7940" w:type="dxa"/>
            <w:vAlign w:val="bottom"/>
            <w:gridSpan w:val="3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OF OPERATIONS</w:t>
              </w:r>
            </w:hyperlink>
          </w:p>
        </w:tc>
        <w:tc>
          <w:tcPr>
            <w:tcW w:w="6100" w:type="dxa"/>
            <w:vAlign w:val="bottom"/>
            <w:tcBorders>
              <w:top w:val="single" w:sz="8" w:color="0000EE"/>
            </w:tcBorders>
            <w:gridSpan w:val="24"/>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ITEM 7A.</w:t>
              </w:r>
            </w:hyperlink>
          </w:p>
        </w:tc>
        <w:tc>
          <w:tcPr>
            <w:tcW w:w="14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w w:val="98"/>
              </w:rPr>
            </w:pPr>
            <w:hyperlink w:anchor="page87">
              <w:r>
                <w:rPr>
                  <w:rFonts w:ascii="Arial" w:cs="Arial" w:eastAsia="Arial" w:hAnsi="Arial"/>
                  <w:sz w:val="18"/>
                  <w:szCs w:val="18"/>
                  <w:color w:val="0000EE"/>
                  <w:w w:val="98"/>
                </w:rPr>
                <w:t>QUANTITATIVE AND QUALITATIVE DISCLOSURES ABOUT MARKET RISK</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r>
      <w:tr>
        <w:trPr>
          <w:trHeight w:val="20"/>
        </w:trPr>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8.</w:t>
              </w:r>
            </w:hyperlink>
          </w:p>
        </w:tc>
        <w:tc>
          <w:tcPr>
            <w:tcW w:w="14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83</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w:t>
              </w:r>
            </w:hyperlink>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CHANGES IN AND DISAGREEMENTS WITH ACCOUNTANTS ON ACCOUNTING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125">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8"/>
          </w:tcPr>
          <w:p>
            <w:pPr>
              <w:spacing w:after="0"/>
              <w:rPr>
                <w:sz w:val="17"/>
                <w:szCs w:val="17"/>
                <w:color w:val="auto"/>
              </w:rPr>
            </w:pPr>
          </w:p>
        </w:tc>
        <w:tc>
          <w:tcPr>
            <w:tcW w:w="10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5">
              <w:r>
                <w:rPr>
                  <w:rFonts w:ascii="Arial" w:cs="Arial" w:eastAsia="Arial" w:hAnsi="Arial"/>
                  <w:sz w:val="18"/>
                  <w:szCs w:val="18"/>
                  <w:color w:val="0000EE"/>
                  <w:w w:val="86"/>
                </w:rPr>
                <w:t>120</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ITEM 9A.</w:t>
              </w:r>
            </w:hyperlink>
          </w:p>
        </w:tc>
        <w:tc>
          <w:tcPr>
            <w:tcW w:w="140" w:type="dxa"/>
            <w:vAlign w:val="bottom"/>
          </w:tcPr>
          <w:p>
            <w:pPr>
              <w:spacing w:after="0"/>
              <w:rPr>
                <w:sz w:val="21"/>
                <w:szCs w:val="21"/>
                <w:color w:val="auto"/>
              </w:rPr>
            </w:pPr>
          </w:p>
        </w:tc>
        <w:tc>
          <w:tcPr>
            <w:tcW w:w="26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CONTROLS AND PROCEDURES</w:t>
              </w:r>
            </w:hyperlink>
          </w:p>
        </w:tc>
        <w:tc>
          <w:tcPr>
            <w:tcW w:w="5340" w:type="dxa"/>
            <w:vAlign w:val="bottom"/>
            <w:gridSpan w:val="19"/>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120</w:t>
              </w:r>
            </w:hyperlink>
          </w:p>
        </w:tc>
      </w:tr>
      <w:tr>
        <w:trPr>
          <w:trHeight w:val="250"/>
        </w:trPr>
        <w:tc>
          <w:tcPr>
            <w:tcW w:w="880" w:type="dxa"/>
            <w:vAlign w:val="bottom"/>
            <w:gridSpan w:val="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9B.</w:t>
              </w:r>
            </w:hyperlink>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360" w:type="dxa"/>
            <w:vAlign w:val="bottom"/>
            <w:gridSpan w:val="4"/>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PART III</w:t>
              </w:r>
            </w:hyperlink>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10.</w:t>
              </w:r>
            </w:hyperlink>
          </w:p>
        </w:tc>
        <w:tc>
          <w:tcPr>
            <w:tcW w:w="140" w:type="dxa"/>
            <w:vAlign w:val="bottom"/>
          </w:tcPr>
          <w:p>
            <w:pPr>
              <w:spacing w:after="0"/>
              <w:rPr>
                <w:sz w:val="21"/>
                <w:szCs w:val="21"/>
                <w:color w:val="auto"/>
              </w:rPr>
            </w:pPr>
          </w:p>
        </w:tc>
        <w:tc>
          <w:tcPr>
            <w:tcW w:w="580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DIRECTORS, EXECUTIVE OFFICERS AND CORPORATE GOVERNANCE</w:t>
              </w:r>
            </w:hyperlink>
          </w:p>
        </w:tc>
        <w:tc>
          <w:tcPr>
            <w:tcW w:w="214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11.</w:t>
              </w:r>
            </w:hyperlink>
          </w:p>
        </w:tc>
        <w:tc>
          <w:tcPr>
            <w:tcW w:w="140" w:type="dxa"/>
            <w:vAlign w:val="bottom"/>
          </w:tcPr>
          <w:p>
            <w:pPr>
              <w:spacing w:after="0"/>
              <w:rPr>
                <w:sz w:val="21"/>
                <w:szCs w:val="21"/>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EXECUTIVE COMPENSATION</w:t>
              </w:r>
            </w:hyperlink>
          </w:p>
        </w:tc>
        <w:tc>
          <w:tcPr>
            <w:tcW w:w="550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12.</w:t>
              </w:r>
            </w:hyperlink>
          </w:p>
        </w:tc>
        <w:tc>
          <w:tcPr>
            <w:tcW w:w="140" w:type="dxa"/>
            <w:vAlign w:val="bottom"/>
          </w:tcPr>
          <w:p>
            <w:pPr>
              <w:spacing w:after="0"/>
              <w:rPr>
                <w:sz w:val="21"/>
                <w:szCs w:val="21"/>
                <w:color w:val="auto"/>
              </w:rPr>
            </w:pPr>
          </w:p>
        </w:tc>
        <w:tc>
          <w:tcPr>
            <w:tcW w:w="716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SECURITY OWNERSHIP OF CERTAIN BENEFICIAL OWNERS AND MANAGEMENT AND</w:t>
              </w:r>
            </w:hyperlink>
          </w:p>
        </w:tc>
        <w:tc>
          <w:tcPr>
            <w:tcW w:w="7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RELATED STOCKHOLDER MATTERS</w:t>
              </w:r>
            </w:hyperlink>
          </w:p>
        </w:tc>
        <w:tc>
          <w:tcPr>
            <w:tcW w:w="492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13.</w:t>
              </w:r>
            </w:hyperlink>
          </w:p>
        </w:tc>
        <w:tc>
          <w:tcPr>
            <w:tcW w:w="140" w:type="dxa"/>
            <w:vAlign w:val="bottom"/>
          </w:tcPr>
          <w:p>
            <w:pPr>
              <w:spacing w:after="0"/>
              <w:rPr>
                <w:sz w:val="21"/>
                <w:szCs w:val="21"/>
                <w:color w:val="auto"/>
              </w:rPr>
            </w:pPr>
          </w:p>
        </w:tc>
        <w:tc>
          <w:tcPr>
            <w:tcW w:w="62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CERTAIN RELATIONSHIPS AND RELATED TRANSACTIONS, AND DIRECTOR</w:t>
              </w:r>
            </w:hyperlink>
          </w:p>
        </w:tc>
        <w:tc>
          <w:tcPr>
            <w:tcW w:w="166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INDEPENDENCE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14.</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PRINCIPAL ACCOUNTING FEES AND SERVICES</w:t>
              </w:r>
            </w:hyperlink>
          </w:p>
        </w:tc>
        <w:tc>
          <w:tcPr>
            <w:tcW w:w="360" w:type="dxa"/>
            <w:vAlign w:val="bottom"/>
            <w:gridSpan w:val="4"/>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PART IV</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ITEM 15.</w:t>
              </w:r>
            </w:hyperlink>
          </w:p>
        </w:tc>
        <w:tc>
          <w:tcPr>
            <w:tcW w:w="140" w:type="dxa"/>
            <w:vAlign w:val="bottom"/>
          </w:tcPr>
          <w:p>
            <w:pPr>
              <w:spacing w:after="0"/>
              <w:rPr>
                <w:sz w:val="21"/>
                <w:szCs w:val="21"/>
                <w:color w:val="auto"/>
              </w:rPr>
            </w:pPr>
          </w:p>
        </w:tc>
        <w:tc>
          <w:tcPr>
            <w:tcW w:w="4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27">
              <w:r>
                <w:rPr>
                  <w:rFonts w:ascii="Arial" w:cs="Arial" w:eastAsia="Arial" w:hAnsi="Arial"/>
                  <w:sz w:val="18"/>
                  <w:szCs w:val="18"/>
                  <w:color w:val="0000EE"/>
                  <w:w w:val="96"/>
                </w:rPr>
                <w:t>EXHIBITS, FINANCIAL STATEMENT SCHEDULES</w:t>
              </w:r>
            </w:hyperlink>
          </w:p>
        </w:tc>
        <w:tc>
          <w:tcPr>
            <w:tcW w:w="3900" w:type="dxa"/>
            <w:vAlign w:val="bottom"/>
            <w:gridSpan w:val="12"/>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122</w:t>
              </w:r>
            </w:hyperlink>
          </w:p>
        </w:tc>
      </w:tr>
      <w:tr>
        <w:trPr>
          <w:trHeight w:val="250"/>
        </w:trPr>
        <w:tc>
          <w:tcPr>
            <w:tcW w:w="8820" w:type="dxa"/>
            <w:vAlign w:val="bottom"/>
            <w:gridSpan w:val="3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SIGNATURES</w:t>
              </w:r>
            </w:hyperlink>
          </w:p>
        </w:tc>
        <w:tc>
          <w:tcPr>
            <w:tcW w:w="360" w:type="dxa"/>
            <w:vAlign w:val="bottom"/>
            <w:gridSpan w:val="4"/>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124</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180"/>
          </w:cols>
          <w:pgMar w:left="1360" w:top="580" w:right="1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89" w:lineRule="exact"/>
        <w:rPr>
          <w:sz w:val="20"/>
          <w:szCs w:val="20"/>
          <w:color w:val="auto"/>
        </w:rPr>
      </w:pPr>
    </w:p>
    <w:p>
      <w:pPr>
        <w:ind w:left="660" w:right="1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580" w:right="319" w:bottom="1440" w:gutter="0" w:footer="0" w:header="0"/>
        </w:sectPr>
      </w:pPr>
    </w:p>
    <w:bookmarkStart w:id="4" w:name="page5"/>
    <w:bookmarkEnd w:id="4"/>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800" w:right="379" w:bottom="1440" w:gutter="0" w:footer="0" w:header="0"/>
        </w:sectPr>
      </w:pPr>
    </w:p>
    <w:bookmarkStart w:id="5" w:name="page6"/>
    <w:bookmarkEnd w:id="5"/>
    <w:p>
      <w:pPr>
        <w:ind w:right="220"/>
        <w:spacing w:after="0" w:line="259"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Our primary U.S. mortgage insurance subsidiary, Essent Guaranty, Inc.,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by Fannie Mae and Freddie Mac, which we refer to collectively as the GSEs, since 1995. We are licensed to write coverage in all 50 states and the District of Columbia.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6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8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Private mortgage insurance helps extend affordable home ownership by facilitating the sale of low down payment loans into the secondary market. The GSEs purchase residential mortgages from banks and other lenders and guaranty mortgage-backed securities that are offered to investors in the secondary mortgage market. The GSEs, which are U.S. Federal government-sponsored enterprises,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5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had master policy relationships with approximately 1,420 customers as of December 31, 2017. Our top ten customers represented approximately 45.8%, 35.1% and 36.6% of our new insurance written, or NIW, on a flow basis for the years ended December 31, 2017, 2016 and 2015, respectively. We have a highly experienced, talented team of 397 employees as of December 31, 2017. Our holding company is domiciled in Bermuda and our U.S. insurance business is headquartered in Radnor, Pennsylvania. We operate additional underwriting and service centers in Winston-Salem, North Carolina and Irvine, California.</w:t>
      </w:r>
    </w:p>
    <w:p>
      <w:pPr>
        <w:spacing w:after="0" w:line="18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For the years ended December 31, 2017, 2016 and 2015, we generated NIW of approximately $43.9 billion, $34.9 billion and $26.2 billion, respectively. As of December 31, 2017, we had approximately $110.5 billion of insurance in force. The financial strength rating of Essent Guaranty, Inc. is Baa1 with a stable outlook by Moody's Investors Service and BBB+ with a stable outlook by S&amp;P Global Ratings.</w:t>
      </w:r>
    </w:p>
    <w:p>
      <w:pPr>
        <w:spacing w:after="0" w:line="18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2017, Essent Re provided insurance or reinsurance relating to the risk in force on loans in reference pools acquired by Freddie Mac and Fannie Mae covering approximately $538.9 million of risk, including in connection with Freddie Mac's Agency Credit Insurance Structure (ACIS) and Fannie Mae's Credit Insurance Risk Transfer (CIRT) programs. Essent Re has also reinsured 25% of Essent Guaranty, Inc.'s GSE-eligible mortgage insurance NIW originated since July 1, 2014 under a quota share reinsurance agreement. The insurer financial strength rating of Essent Re is BBB+ with a stable outlook by S&amp;P Global Ratings.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U.S. residential mortgage market is one of the largest in the world, with over $10.5 trillion of debt outstanding as of September 30, 2017,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$4.7 trillion, or 44.3%, of total U.S. residential mortgage debt as of September 30, 2017.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1998 through 2017, an average of 23.3% of total annual mortgage origination volume utilized mortgage insurance.</w:t>
      </w:r>
    </w:p>
    <w:p>
      <w:pPr>
        <w:spacing w:after="0" w:line="18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2017, total U.S. residential mortgage origination volume was estimated at $1.71 trillion, comprised of $1.11 trillion of purchase originations and $600 billion of refinancing originations. In the years following the financial crisis, historically low interest rates and special refinance programs, such as the Home Affordable Refinance Program, or HARP, have caused refinancing volume to significantly outpace purchase originations. Purchase originations, however, are expected to account for an increasing percentage of the overall mortgage market as the economic recovery and favorable housing market fundamentals stimulate growth in home buying activity, and a rising interest rate environment slows refinancing volume.</w:t>
      </w:r>
    </w:p>
    <w:p>
      <w:pPr>
        <w:spacing w:after="0" w:line="17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972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7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severe economic and housing market dislocation experienced during the recent financial crisis had a profound impact on our industry. Incumbent insurers experienced record high claims activity and sustained significant financial losses, resulting in depleted capital positions. Three private mortgage insurers who wrote more than $125 billion of NIW in 2007, accounting for approximately 36% of total private mortgage insurance market NIW that year, have since exited the market, and several other insurers were forced to raise capital to repair their balance sheets and remain in operation. Although certain remaining incumbent insurers continue to deal with legacy challenges, the ongoing improvement of housing market fundamentals and the high credit quality of post-crisis new business are expected to support improved growth and profitability in the private mortgage insurance sector post-crisis.</w:t>
      </w:r>
    </w:p>
    <w:p>
      <w:pPr>
        <w:spacing w:after="0" w:line="21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During the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20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private mortgage insurance industry, however, continues to recover, more than doubling its share of the total insured market since 2009 and thereby leading to higher private mortgage insurance penetration of the total mortgage origination market. In 2017, private mortgage insurance increased to an estimated 39% of the total insured market and covered 16% of the total mortgage origination volume. These gains have been driven in part by the improved financial position of incumbent insurers, the influx of private capital into the sector to support post-crisis entrants such as Essent, and aggregate increase since 2010 in the mortgage insurance premium rates and upfront fees charged for FHA insurance.</w:t>
      </w:r>
    </w:p>
    <w:p>
      <w:pPr>
        <w:spacing w:after="0" w:line="2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15" w:right="2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998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Source: Inside Mortgage Finance, except for total originations for the purpose of calculating private mortgage insurance penetration, which is based on Mortgage Bankers Association. For 2011 through 2017, private mortgage insurance penetration includes private mortgage insurance NIW originated under HARP.</w:t>
      </w:r>
    </w:p>
    <w:p>
      <w:pPr>
        <w:spacing w:after="0" w:line="11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view HARP as a modification of the coverage on existing insurance in force, and therefore when estimating our Market Share based on NIW, we exclude HARP NIW from total industry NIW. However, HARP is included as part of total industry NIW when showing private mortgage insurance penetration for the industry.</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The private mortgage insurance industry is highly competitive. Private mortgage insurers generally compete on the basis of underwriting guidelines, pricing, terms and conditions, financial strength, reputation, customer relationships, the strength of management and field organizations, the effective use of technology, and innovation in the delivery and servicing of insurance products. The private mortgage insurance industry currently consists of six active private mortgage insurers, including Essent and each of Arch Mortgage Insurance Company (which also acquired United Guaranty Corporation in 2016), Genworth Financial Inc., Mortgage Guaranty Insurance Corporation, National Mortgage Insurance Corporation and Radian Guaranty Inc.</w:t>
      </w:r>
    </w:p>
    <w:p>
      <w:pPr>
        <w:spacing w:after="0" w:line="21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and other private mortgage insurers compete directly with Federal and state governmental and quasi-governmental agencies that provide mortgage insurance, principally, the FHA and, to a lesser degree, the VA. As discussed above, the FHA's share of the mortgage insurance market increased as a result of the financial crisis and since 2009 has decreased as the private mortgage insurance industry has recovered and FHA premiums have increased in the aggregate. In addition to competition from the FHA and the VA, we and other private mortgage insurers currently face limited competition from state-sponsored</w:t>
      </w:r>
    </w:p>
    <w:p>
      <w:pPr>
        <w:sectPr>
          <w:pgSz w:w="11900" w:h="16838" w:orient="portrait"/>
          <w:cols w:equalWidth="0" w:num="1">
            <w:col w:w="11400"/>
          </w:cols>
          <w:pgMar w:left="240" w:top="715"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715" w:right="259" w:bottom="1440" w:gutter="0" w:footer="0" w:header="0"/>
          <w:type w:val="continuous"/>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mortgage insurance funds in several states, including California and New York. From time to time, other state legislatures and agencies consider expanding the authority of their state governments to insure residential mortgages.</w:t>
      </w:r>
    </w:p>
    <w:p>
      <w:pPr>
        <w:spacing w:after="0" w:line="2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27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22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25% of the underlying primary insurance in force, but may vary from policy to policy between 6% and 35% coverage.</w:t>
      </w:r>
    </w:p>
    <w:p>
      <w:pPr>
        <w:spacing w:after="0" w:line="24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Premium Rate."</w:t>
      </w:r>
    </w:p>
    <w:p>
      <w:pPr>
        <w:spacing w:after="0" w:line="24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65" w:lineRule="exact"/>
        <w:rPr>
          <w:rFonts w:ascii="Arial" w:cs="Arial" w:eastAsia="Arial" w:hAnsi="Arial"/>
          <w:sz w:val="18"/>
          <w:szCs w:val="18"/>
          <w:color w:val="auto"/>
        </w:rPr>
      </w:pPr>
    </w:p>
    <w:p>
      <w:pPr>
        <w:ind w:left="420" w:right="3360" w:hanging="7"/>
        <w:spacing w:after="0" w:line="536"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2017, substantially all of our policies are monthly or single premium policies.</w:t>
      </w:r>
    </w:p>
    <w:p>
      <w:pPr>
        <w:spacing w:after="0" w:line="2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In addition, some states impose their own mortgage insurance notice and cancellation requirements on mortgage loan servicers.</w:t>
      </w:r>
    </w:p>
    <w:p>
      <w:pPr>
        <w:sectPr>
          <w:pgSz w:w="11900" w:h="16838" w:orient="portrait"/>
          <w:cols w:equalWidth="0" w:num="1">
            <w:col w:w="11380"/>
          </w:cols>
          <w:pgMar w:left="240" w:top="503" w:right="279" w:bottom="1440" w:gutter="0" w:footer="0" w:header="0"/>
        </w:sect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503" w:right="279" w:bottom="1440" w:gutter="0" w:footer="0" w:header="0"/>
          <w:type w:val="continuous"/>
        </w:sectPr>
      </w:pPr>
    </w:p>
    <w:bookmarkStart w:id="10" w:name="page11"/>
    <w:bookmarkEnd w:id="10"/>
    <w:p>
      <w:pPr>
        <w:ind w:left="420"/>
        <w:spacing w:after="0"/>
        <w:rPr>
          <w:sz w:val="20"/>
          <w:szCs w:val="20"/>
          <w:color w:val="auto"/>
        </w:rPr>
      </w:pPr>
      <w:r>
        <w:rPr>
          <w:rFonts w:ascii="Arial" w:cs="Arial" w:eastAsia="Arial" w:hAnsi="Arial"/>
          <w:sz w:val="18"/>
          <w:szCs w:val="18"/>
          <w:i w:val="1"/>
          <w:iCs w:val="1"/>
          <w:color w:val="auto"/>
        </w:rPr>
        <w:t>Pool Insurance</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Mortgage insurance master policies generally protect mortgage insurers from the risk of material misrepresentations and fraud in the origination of an insured loan by establishing the right to rescind coverage in such event. Pursuant to minimum standards for mortgage insurer master policies instituted by the GSEs and the Federal Housing Finance Agency, or FHFA, for mortgage insurance applications received after October 10, 2014, master policies provide rescission relief for loans that remain current up to 36 months after origination and that have not experienced more than two late payments of 30 days or more and have never been 60 days late, and are permitted to provide rescission relief after 12 payments provided the mortgage insurer can independently validate the representations for which it intends to give rescission relief. The standards require that the master policies reserve rescission rights with respect to fraud committed by the insured or those under its control and certain patterns of fraud. Our master policy forms satisfy these standards. The GSEs have published revised rules for rescission relief with an implementation schedule extending through 2018 that will require us to submit new master policy forms to the GSEs for approval. See "Risk Factors—Risks Relating to Our Business—</w:t>
      </w:r>
      <w:r>
        <w:rPr>
          <w:rFonts w:ascii="Arial" w:cs="Arial" w:eastAsia="Arial" w:hAnsi="Arial"/>
          <w:sz w:val="17"/>
          <w:szCs w:val="17"/>
          <w:i w:val="1"/>
          <w:iCs w:val="1"/>
          <w:color w:val="auto"/>
        </w:rPr>
        <w:t>Changes in the business practices of the GSEs, including actions or decisions to decrease</w:t>
      </w:r>
      <w:r>
        <w:rPr>
          <w:rFonts w:ascii="Arial" w:cs="Arial" w:eastAsia="Arial" w:hAnsi="Arial"/>
          <w:sz w:val="17"/>
          <w:szCs w:val="17"/>
          <w:color w:val="auto"/>
        </w:rPr>
        <w:t xml:space="preserve"> </w:t>
      </w:r>
      <w:r>
        <w:rPr>
          <w:rFonts w:ascii="Arial" w:cs="Arial" w:eastAsia="Arial" w:hAnsi="Arial"/>
          <w:sz w:val="17"/>
          <w:szCs w:val="17"/>
          <w:i w:val="1"/>
          <w:iCs w:val="1"/>
          <w:color w:val="auto"/>
        </w:rPr>
        <w:t>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 Qualified Mortgage Insurer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below.</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279"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offer mortgage-related insurance and reinsurance through Essent Re, a Class 3A insurance company licensed pursuant to Section 4 of the Bermuda Insurance Act 1978. Essent Re provides insurance or reinsurance relating to the risk in force on loans in reference pools acquired by Freddie Mac and Fannie Mae, including in connection with ACIS and CIRT programs. Essent Re also reinsures 25% of Essent Guaranty, Inc.'s GSE-eligible mortgage insurance NIW originated since July 1, 2014 under a quota share reinsurance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primary mortgage insurance portfolio for policies written by Essent Guaranty,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03"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2017, by year of policy origination. IIF refers to the unpaid principal balance of mortgage loans that we insure.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6"/>
                <w:szCs w:val="16"/>
                <w:color w:val="auto"/>
              </w:rPr>
            </w:pPr>
          </w:p>
        </w:tc>
        <w:tc>
          <w:tcPr>
            <w:tcW w:w="1240" w:type="dxa"/>
            <w:vAlign w:val="bottom"/>
          </w:tcPr>
          <w:p>
            <w:pPr>
              <w:jc w:val="right"/>
              <w:ind w:right="6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50"/>
        </w:trPr>
        <w:tc>
          <w:tcPr>
            <w:tcW w:w="8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42,058,537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30,252,690</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27.4</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17,283,506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10,794,703</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9.8</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6,905,742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2012 and prior</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3,166,772</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w:t>
            </w:r>
          </w:p>
        </w:tc>
      </w:tr>
      <w:tr>
        <w:trPr>
          <w:trHeight w:val="27"/>
        </w:trPr>
        <w:tc>
          <w:tcPr>
            <w:tcW w:w="8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110,461,950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IIF by loan type and amortization, each as of December 31, 2017 and 2016. RIF refers to the product of the coverage percentage applied to the unpaid principal balance of mortgage loans that we insure.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FICO score</w:t>
            </w: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854"/>
              <w:spacing w:after="0"/>
              <w:rPr>
                <w:sz w:val="20"/>
                <w:szCs w:val="20"/>
                <w:color w:val="auto"/>
              </w:rPr>
            </w:pPr>
            <w:r>
              <w:rPr>
                <w:rFonts w:ascii="Arial" w:cs="Arial" w:eastAsia="Arial" w:hAnsi="Arial"/>
                <w:sz w:val="18"/>
                <w:szCs w:val="18"/>
                <w:color w:val="auto"/>
              </w:rPr>
              <w:t>&gt;=760</w:t>
            </w:r>
          </w:p>
        </w:tc>
        <w:tc>
          <w:tcPr>
            <w:tcW w:w="3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48,668,705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37,858,422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740-759</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17,939,206</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13,760,610</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720-739</w:t>
            </w:r>
          </w:p>
        </w:tc>
        <w:tc>
          <w:tcPr>
            <w:tcW w:w="2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15,761,787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11,855,648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700-719</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12,167,285</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8,712,971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680-699</w:t>
            </w:r>
          </w:p>
        </w:tc>
        <w:tc>
          <w:tcPr>
            <w:tcW w:w="2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9,156,196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6,611,166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620" w:type="dxa"/>
            <w:vAlign w:val="bottom"/>
          </w:tcPr>
          <w:p>
            <w:pPr>
              <w:jc w:val="right"/>
              <w:ind w:right="2854"/>
              <w:spacing w:after="0"/>
              <w:rPr>
                <w:sz w:val="20"/>
                <w:szCs w:val="20"/>
                <w:color w:val="auto"/>
              </w:rPr>
            </w:pPr>
            <w:r>
              <w:rPr>
                <w:rFonts w:ascii="Arial" w:cs="Arial" w:eastAsia="Arial" w:hAnsi="Arial"/>
                <w:sz w:val="18"/>
                <w:szCs w:val="18"/>
                <w:color w:val="auto"/>
              </w:rPr>
              <w:t>&lt;=679</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6,768,771</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4,466,705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110,461,950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83,265,522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RIF by FICO score</w:t>
            </w: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854"/>
              <w:spacing w:after="0"/>
              <w:rPr>
                <w:sz w:val="20"/>
                <w:szCs w:val="20"/>
                <w:color w:val="auto"/>
              </w:rPr>
            </w:pPr>
            <w:r>
              <w:rPr>
                <w:rFonts w:ascii="Arial" w:cs="Arial" w:eastAsia="Arial" w:hAnsi="Arial"/>
                <w:sz w:val="18"/>
                <w:szCs w:val="18"/>
                <w:color w:val="auto"/>
              </w:rPr>
              <w:t>&gt;=760</w:t>
            </w:r>
          </w:p>
        </w:tc>
        <w:tc>
          <w:tcPr>
            <w:tcW w:w="3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12,058,196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9,319,522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740-759</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4,485,439</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3,434,392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720-739</w:t>
            </w:r>
          </w:p>
        </w:tc>
        <w:tc>
          <w:tcPr>
            <w:tcW w:w="2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3,957,922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2,970,941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700-719</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3,018,341</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2,151,657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680-699</w:t>
            </w:r>
          </w:p>
        </w:tc>
        <w:tc>
          <w:tcPr>
            <w:tcW w:w="2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2,286,082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1,656,791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620" w:type="dxa"/>
            <w:vAlign w:val="bottom"/>
          </w:tcPr>
          <w:p>
            <w:pPr>
              <w:jc w:val="right"/>
              <w:ind w:right="2854"/>
              <w:spacing w:after="0"/>
              <w:rPr>
                <w:sz w:val="20"/>
                <w:szCs w:val="20"/>
                <w:color w:val="auto"/>
              </w:rPr>
            </w:pPr>
            <w:r>
              <w:rPr>
                <w:rFonts w:ascii="Arial" w:cs="Arial" w:eastAsia="Arial" w:hAnsi="Arial"/>
                <w:sz w:val="18"/>
                <w:szCs w:val="18"/>
                <w:color w:val="auto"/>
              </w:rPr>
              <w:t>&lt;=679</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1,638,005</w:t>
            </w:r>
          </w:p>
        </w:tc>
        <w:tc>
          <w:tcPr>
            <w:tcW w:w="1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1,094,014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27,443,985</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20,627,317</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LTV</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12,917,751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9,756,578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34,794,108</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w w:val="90"/>
              </w:rPr>
              <w:t>27,409,202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54,323,103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42,854,633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8,426,988</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3,245,109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6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110,461,950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83,265,522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RIF by LTV</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1,462,351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1,101,947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8,262,322</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6,512,613</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15,576,125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12,234,306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2,143,187</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778,451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6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27,443,985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20,627,317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8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i w:val="1"/>
                <w:iCs w:val="1"/>
                <w:color w:val="auto"/>
              </w:rPr>
              <w:t>Portfolio by Loan Amortization Period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Loan Amortization Period</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30 years and higher</w:t>
            </w:r>
          </w:p>
        </w:tc>
        <w:tc>
          <w:tcPr>
            <w:tcW w:w="3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100,592,946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75,428,964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FRM 20-25 years</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2,879,977</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2,113,529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15 years</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3,857,152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3,066,893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ARM 5 years and higher</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3,131,875</w:t>
            </w:r>
          </w:p>
        </w:tc>
        <w:tc>
          <w:tcPr>
            <w:tcW w:w="12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2,656,136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110,461,950</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83,265,522</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in force portfolio is geographically diverse. As of December 31, 2017, only three states accounted for greater than 5% of our portfolio and no single metropolitan statistical area accounted for greater than 3% of our portfolio, as measured by either IIF or RIF. The following tables provide detail of the IIF and RIF in our top ten most concentrated states and our top ten most concentrated U.S. metropolitan statistical areas as of December 31, 2017 and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i w:val="1"/>
          <w:iCs w:val="1"/>
          <w:color w:val="auto"/>
        </w:rPr>
        <w:t>Top Ten States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State</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CA</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NC</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OH</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50.1</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69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RIF by State</w:t>
            </w:r>
          </w:p>
        </w:tc>
        <w:tc>
          <w:tcPr>
            <w:tcW w:w="60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FL</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IL</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NC</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OH</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MN</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jc w:val="right"/>
              <w:ind w:right="3491"/>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New York-Jersey City-White Plains, NY-NJ</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Chicago-Naperville-Arlington Heights, IL</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Phoenix-Mesa-Scottsdale, 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Atlanta-Sandy Springs-Roswell, GA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Denver-Aurora-Lakewood, CO</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75.9</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New York-Jersey City-White Plains, NY-NJ</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Chicago-Naperville-Arlington Heights, 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Atlanta-Sandy Springs-Roswell, 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Phoenix-Mesa-Scottsdale, AZ</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Denver-Aurora-Lakewood, CO</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75.9</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181" w:lineRule="exact"/>
        <w:rPr>
          <w:sz w:val="20"/>
          <w:szCs w:val="20"/>
          <w:color w:val="auto"/>
        </w:rPr>
      </w:pPr>
    </w:p>
    <w:p>
      <w:pPr>
        <w:ind w:left="660" w:right="120" w:hanging="247"/>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Centralized</w:t>
      </w:r>
      <w:r>
        <w:rPr>
          <w:rFonts w:ascii="Arial" w:cs="Arial" w:eastAsia="Arial" w:hAnsi="Arial"/>
          <w:sz w:val="17"/>
          <w:szCs w:val="17"/>
          <w:color w:val="auto"/>
        </w:rPr>
        <w:t>—Centralized customers make decisions regarding the placement and allocation of mortgage insurance among their approved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5" w:lineRule="exact"/>
        <w:rPr>
          <w:rFonts w:ascii="Arial" w:cs="Arial" w:eastAsia="Arial" w:hAnsi="Arial"/>
          <w:sz w:val="17"/>
          <w:szCs w:val="17"/>
          <w:color w:val="auto"/>
        </w:rPr>
      </w:pPr>
    </w:p>
    <w:p>
      <w:pPr>
        <w:jc w:val="both"/>
        <w:ind w:left="660" w:right="100" w:hanging="24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 are</w:t>
      </w:r>
      <w:r>
        <w:rPr>
          <w:rFonts w:ascii="Arial" w:cs="Arial" w:eastAsia="Arial" w:hAnsi="Arial"/>
          <w:sz w:val="18"/>
          <w:szCs w:val="18"/>
          <w:i w:val="1"/>
          <w:iCs w:val="1"/>
          <w:color w:val="auto"/>
        </w:rPr>
        <w:t xml:space="preserve"> </w:t>
      </w:r>
      <w:r>
        <w:rPr>
          <w:rFonts w:ascii="Arial" w:cs="Arial" w:eastAsia="Arial" w:hAnsi="Arial"/>
          <w:sz w:val="18"/>
          <w:szCs w:val="18"/>
          <w:color w:val="auto"/>
        </w:rPr>
        <w:t>more prevalent with regional and mid-size lenders which originate mortgages in a smaller geographic footprint, but are also seen, on a limited basis, among some national lenders.</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5" w:name="page16"/>
    <w:bookmarkEnd w:id="15"/>
    <w:p>
      <w:pPr>
        <w:jc w:val="both"/>
        <w:ind w:right="280" w:firstLine="432"/>
        <w:spacing w:after="0" w:line="312"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provides detail on the percentage of our total NIW generated by centralized and decentralized customers, respectively, during the years ended December 31, 2017, 2016 and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6"/>
              </w:rPr>
              <w:t>Year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Centralized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Decentralized</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61.7</w:t>
            </w:r>
          </w:p>
        </w:tc>
      </w:tr>
      <w:tr>
        <w:trPr>
          <w:trHeight w:val="27"/>
        </w:trPr>
        <w:tc>
          <w:tcPr>
            <w:tcW w:w="8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had master policy relationships with approximately 1,420 customers as of December 31, 2017. Our top ten customers generated 45.8% of our NIW on a flow basis during the year ended December 31, 2017, compared to 35.1% and 36.6% for the years ended December 31, 2016 and 2015, respectively. For the year ended December 31, 2017, no customer exceeded 10% of our consolidated revenue. The loss of any of our larger customers could have a material adverse impact on us and our business. See "Risk Factors—Risks Relating to Our Business—</w:t>
      </w:r>
      <w:r>
        <w:rPr>
          <w:rFonts w:ascii="Arial" w:cs="Arial" w:eastAsia="Arial" w:hAnsi="Arial"/>
          <w:sz w:val="18"/>
          <w:szCs w:val="18"/>
          <w:i w:val="1"/>
          <w:iCs w:val="1"/>
          <w:color w:val="auto"/>
        </w:rPr>
        <w:t>Our revenues, profitability and returns would decline if we lose</w:t>
      </w:r>
      <w:r>
        <w:rPr>
          <w:rFonts w:ascii="Arial" w:cs="Arial" w:eastAsia="Arial" w:hAnsi="Arial"/>
          <w:sz w:val="18"/>
          <w:szCs w:val="18"/>
          <w:color w:val="auto"/>
        </w:rPr>
        <w:t xml:space="preserve"> </w:t>
      </w:r>
      <w:r>
        <w:rPr>
          <w:rFonts w:ascii="Arial" w:cs="Arial" w:eastAsia="Arial" w:hAnsi="Arial"/>
          <w:sz w:val="18"/>
          <w:szCs w:val="18"/>
          <w:i w:val="1"/>
          <w:iCs w:val="1"/>
          <w:color w:val="auto"/>
        </w:rPr>
        <w:t>a significant customer</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8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We emphasize a collaborative approach with our customers that includes a number of educational offerings and joint product development and marketing initiatives:</w:t>
      </w:r>
    </w:p>
    <w:p>
      <w:pPr>
        <w:spacing w:after="0" w:line="170" w:lineRule="exact"/>
        <w:rPr>
          <w:sz w:val="20"/>
          <w:szCs w:val="20"/>
          <w:color w:val="auto"/>
        </w:rPr>
      </w:pPr>
    </w:p>
    <w:p>
      <w:pPr>
        <w:ind w:left="660" w:right="12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w:t>
      </w:r>
    </w:p>
    <w:p>
      <w:pPr>
        <w:spacing w:after="0" w:line="170" w:lineRule="exact"/>
        <w:rPr>
          <w:rFonts w:ascii="Arial" w:cs="Arial" w:eastAsia="Arial" w:hAnsi="Arial"/>
          <w:sz w:val="18"/>
          <w:szCs w:val="18"/>
          <w:color w:val="auto"/>
        </w:rPr>
      </w:pPr>
    </w:p>
    <w:p>
      <w:pPr>
        <w:ind w:left="660" w:right="140" w:hanging="247"/>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Joint Product Development and Marketing Initiatives. </w:t>
      </w:r>
      <w:r>
        <w:rPr>
          <w:rFonts w:ascii="Arial" w:cs="Arial" w:eastAsia="Arial" w:hAnsi="Arial"/>
          <w:sz w:val="18"/>
          <w:szCs w:val="18"/>
          <w:color w:val="auto"/>
        </w:rPr>
        <w:t>We emphasize the development of specialized products and programs that provide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6" w:lineRule="exact"/>
        <w:rPr>
          <w:rFonts w:ascii="Arial" w:cs="Arial" w:eastAsia="Arial" w:hAnsi="Arial"/>
          <w:sz w:val="18"/>
          <w:szCs w:val="18"/>
          <w:color w:val="auto"/>
        </w:rPr>
      </w:pPr>
    </w:p>
    <w:p>
      <w:pPr>
        <w:ind w:left="660" w:right="80" w:hanging="247"/>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Support and Trainings. </w:t>
      </w:r>
      <w:r>
        <w:rPr>
          <w:rFonts w:ascii="Arial" w:cs="Arial" w:eastAsia="Arial" w:hAnsi="Arial"/>
          <w:sz w:val="18"/>
          <w:szCs w:val="18"/>
          <w:color w:val="auto"/>
        </w:rPr>
        <w:t>We have an experienced and knowledgeable customer services team that strives to provide premier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8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7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6" w:name="page17"/>
    <w:bookmarkEnd w:id="16"/>
    <w:p>
      <w:pPr>
        <w:ind w:right="100" w:firstLine="432"/>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71"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2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continue to build our sales force by hiring qualified mortgage professionals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25" w:lineRule="exact"/>
        <w:rPr>
          <w:sz w:val="20"/>
          <w:szCs w:val="20"/>
          <w:color w:val="auto"/>
        </w:rPr>
      </w:pPr>
    </w:p>
    <w:p>
      <w:pPr>
        <w:ind w:left="660" w:right="24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70"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implementing a business rules engine that automatically enforces our eligibility guidelines and pricing rules at the time the mortgage insurance application is submitted; and</w:t>
      </w:r>
    </w:p>
    <w:p>
      <w:pPr>
        <w:spacing w:after="0" w:line="170"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This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policies within a risk-adjusted return framework. See "—Risk Management" below. We have adopted a balanced underwriting approach, which considers our risk analysis, return objectives and market factors.</w:t>
      </w:r>
    </w:p>
    <w:p>
      <w:pPr>
        <w:spacing w:after="0" w:line="17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25" w:lineRule="exact"/>
        <w:rPr>
          <w:sz w:val="20"/>
          <w:szCs w:val="20"/>
          <w:color w:val="auto"/>
        </w:rPr>
      </w:pPr>
    </w:p>
    <w:p>
      <w:pPr>
        <w:ind w:left="660" w:right="8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Delegated Underwriting. </w:t>
      </w:r>
      <w:r>
        <w:rPr>
          <w:rFonts w:ascii="Arial" w:cs="Arial" w:eastAsia="Arial" w:hAnsi="Arial"/>
          <w:sz w:val="17"/>
          <w:szCs w:val="17"/>
          <w:color w:val="auto"/>
        </w:rPr>
        <w:t>We delegate to eligible customers the ability to underwrite the loans based on agreed-upon underwriting guidelines.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2017, approximately 60% of our insurance in force had been originated on a delegated basis, compared to 59% as of December 31, 2016. See "Risk Factors—Risks Relating to Our Business—</w:t>
      </w:r>
      <w:r>
        <w:rPr>
          <w:rFonts w:ascii="Arial" w:cs="Arial" w:eastAsia="Arial" w:hAnsi="Arial"/>
          <w:sz w:val="17"/>
          <w:szCs w:val="17"/>
          <w:i w:val="1"/>
          <w:iCs w:val="1"/>
          <w:color w:val="auto"/>
        </w:rPr>
        <w:t>Our delegated 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may subject our mortgage insurance business to unanticipated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2017, approximately 40% of our insurance in force had been originated on a non-delegated basis, compared to 41% as of December 31, 2016.</w:t>
      </w:r>
    </w:p>
    <w:p>
      <w:pPr>
        <w:spacing w:after="0" w:line="17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all senior members of our executive management team.</w:t>
      </w:r>
    </w:p>
    <w:p>
      <w:pPr>
        <w:spacing w:after="0" w:line="18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25"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8" w:name="page19"/>
    <w:bookmarkEnd w:id="18"/>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Portfolio management</w:t>
      </w:r>
      <w:r>
        <w:rPr>
          <w:rFonts w:ascii="Arial" w:cs="Arial" w:eastAsia="Arial" w:hAnsi="Arial"/>
          <w:sz w:val="16"/>
          <w:szCs w:val="16"/>
          <w:color w:val="auto"/>
        </w:rPr>
        <w:t>—loan performance and lender monitoring with continuous oversight through the settlement of a claim.</w:t>
      </w:r>
    </w:p>
    <w:p>
      <w:pPr>
        <w:spacing w:after="0" w:line="225"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8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87"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limited authority to the GSEs and their servicers to exercise some of these alternatives. Among other requirements, servicers operate under protocols established by the GSEs. See "Risk Factors—Risks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ind w:right="560"/>
        <w:spacing w:after="0" w:line="277" w:lineRule="auto"/>
        <w:rPr>
          <w:sz w:val="20"/>
          <w:szCs w:val="20"/>
          <w:color w:val="auto"/>
        </w:rPr>
      </w:pPr>
      <w:r>
        <w:rPr>
          <w:rFonts w:ascii="Arial" w:cs="Arial" w:eastAsia="Arial" w:hAnsi="Arial"/>
          <w:sz w:val="18"/>
          <w:szCs w:val="18"/>
          <w:color w:val="auto"/>
        </w:rPr>
        <w:t>Relating to Our Business—</w:t>
      </w:r>
      <w:r>
        <w:rPr>
          <w:rFonts w:ascii="Arial" w:cs="Arial" w:eastAsia="Arial" w:hAnsi="Arial"/>
          <w:sz w:val="18"/>
          <w:szCs w:val="18"/>
          <w:i w:val="1"/>
          <w:iCs w:val="1"/>
          <w:color w:val="auto"/>
        </w:rPr>
        <w:t>If servicers fail to adhere to appropriate servicing standards or experience disruptions to their businesses, our losses could</w:t>
      </w:r>
      <w:r>
        <w:rPr>
          <w:rFonts w:ascii="Arial" w:cs="Arial" w:eastAsia="Arial" w:hAnsi="Arial"/>
          <w:sz w:val="18"/>
          <w:szCs w:val="18"/>
          <w:color w:val="auto"/>
        </w:rPr>
        <w:t xml:space="preserve"> </w:t>
      </w:r>
      <w:r>
        <w:rPr>
          <w:rFonts w:ascii="Arial" w:cs="Arial" w:eastAsia="Arial" w:hAnsi="Arial"/>
          <w:sz w:val="18"/>
          <w:szCs w:val="18"/>
          <w:i w:val="1"/>
          <w:iCs w:val="1"/>
          <w:color w:val="auto"/>
        </w:rPr>
        <w:t>unexpectedly increase</w:t>
      </w:r>
      <w:r>
        <w:rPr>
          <w:rFonts w:ascii="Arial" w:cs="Arial" w:eastAsia="Arial" w:hAnsi="Arial"/>
          <w:sz w:val="18"/>
          <w:szCs w:val="18"/>
          <w:color w:val="auto"/>
        </w:rPr>
        <w:t>."</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2017 and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policies in force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496,477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375,898</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Loans in default</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gridSpan w:val="3"/>
          </w:tcPr>
          <w:p>
            <w:pPr>
              <w:jc w:val="right"/>
              <w:ind w:right="65"/>
              <w:spacing w:after="0"/>
              <w:rPr>
                <w:sz w:val="20"/>
                <w:szCs w:val="20"/>
                <w:color w:val="auto"/>
              </w:rPr>
            </w:pPr>
            <w:r>
              <w:rPr>
                <w:rFonts w:ascii="Arial" w:cs="Arial" w:eastAsia="Arial" w:hAnsi="Arial"/>
                <w:sz w:val="18"/>
                <w:szCs w:val="18"/>
                <w:color w:val="auto"/>
              </w:rPr>
              <w:t>4,783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ind w:left="220"/>
              <w:spacing w:after="0"/>
              <w:rPr>
                <w:sz w:val="20"/>
                <w:szCs w:val="20"/>
                <w:color w:val="auto"/>
              </w:rPr>
            </w:pPr>
            <w:r>
              <w:rPr>
                <w:rFonts w:ascii="Arial" w:cs="Arial" w:eastAsia="Arial" w:hAnsi="Arial"/>
                <w:sz w:val="18"/>
                <w:szCs w:val="18"/>
                <w:i w:val="1"/>
                <w:iCs w:val="1"/>
                <w:color w:val="auto"/>
                <w:w w:val="94"/>
              </w:rPr>
              <w:t>Loan Defaults by Originating Year</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5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2016</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Defaulted</w:t>
            </w: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0"/>
              </w:rPr>
              <w:t>Loans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Loans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Originating Year</w:t>
            </w: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RIF</w:t>
            </w:r>
          </w:p>
        </w:tc>
        <w:tc>
          <w:tcPr>
            <w:tcW w:w="1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written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Default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Default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w w:val="92"/>
              </w:rPr>
              <w:t>0.1%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2013</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23,464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362</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49,788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37,740</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1,023</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60,052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394</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22,101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1,164</w:t>
            </w:r>
          </w:p>
        </w:tc>
        <w:tc>
          <w:tcPr>
            <w:tcW w:w="13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69,270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1,065</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62,132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4,783</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274,204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95,417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have experienced a low level of defaults to date. This is due, in part, to the weighted average life of our mortgage insurance portfolio being 20.1 months as of December 31, 2017,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experienced by the mortgage insurers that wrote business in 2006 through 2009. 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increased by 3,026 in the year ended December 31, 2017, including 2,288 defaults we identified as hurricane-related defaults. Based on prior industry experience, we expect the ultimate number of hurricane-related defaults that result in claims will be less than the default-to-claim experience of non-hurricane-related defaults.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25" w:lineRule="exact"/>
        <w:rPr>
          <w:sz w:val="20"/>
          <w:szCs w:val="20"/>
          <w:color w:val="auto"/>
        </w:rPr>
      </w:pPr>
    </w:p>
    <w:p>
      <w:pPr>
        <w:jc w:val="both"/>
        <w:ind w:left="660" w:right="440" w:hanging="247"/>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18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Our investment portfolio, including cash, comprises the largest single component of our balance sheet, representing 87.8% of our total assets at December 31, 2017. Our primary objectives with respect to our investment portfolio are to preserve capital, generate investment income and maintain sufficient liquidity to cover operating expenses and pay future insurance claims. As of December 31, 2017, predominantly all of our investment securities were rated investment-grade.</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81"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88.1% of our investment assets, excluding cash, were managed by external managers as of December 31, 2017.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1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Insurance—Master Policy" above.</w:t>
      </w:r>
    </w:p>
    <w:p>
      <w:pPr>
        <w:spacing w:after="0" w:line="18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2017, Essent Guaranty, Inc., our GSE-approved mortgage insurance company, was in compliance with the PMIERs.</w:t>
      </w:r>
    </w:p>
    <w:p>
      <w:pPr>
        <w:spacing w:after="0" w:line="17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Based on a confidential draft proposal that we received from the GSEs, we believe that updated PMIERs may be finalized in the first half of 2018 and become effective no sooner than the second half of 2018, 180 days after their release.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25" w:lineRule="exact"/>
        <w:rPr>
          <w:sz w:val="20"/>
          <w:szCs w:val="20"/>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2" w:name="page23"/>
    <w:bookmarkEnd w:id="22"/>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protocols maintained, and may be the subject of examination, by state regulators. See "Management's Discussion and Analysis— Liquidity and Capital Resources" for information about regulations governing our capital adequacy, information about our current capital and our expectations regarding our future capital position.</w:t>
      </w:r>
    </w:p>
    <w:p>
      <w:pPr>
        <w:spacing w:after="0" w:line="19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6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NAIC has engaged an independent firm to perform validation exercises on this capital model. The MGIWG is continuing its work in 2018.</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17 to our consolidated financial statements entitled "Statutory Accounting" included elsewhere in this Annual Report.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the Fair Credit Reporting Act of 1970 and the Fair Debt Collection Practices Act.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define the manner in which companies may pursue collection activities, and provide for other consumer protections.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Dodd-Frank Act established the CFPB to regulate the offering and provision of consumer financial products and services under Federal law, including residential mortgages. Under the Dodd-Frank Act, the CFPB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89"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70"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debt-to-income ratio does not exceed 43%.</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160" w:firstLine="432"/>
        <w:spacing w:after="0" w:line="268"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have developed their own definitions of a qualified mortgage in consultation with the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making a QM loan through these agencies, even if the same loan could be made at the same or lower cost to the borrower using private mortgage insurance, which could adversely impact our business. To the extent that the other government agencies adopt their own</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definitions of a QM which are more favorable to lenders and mortgage holders than those applicable to the market in which we operate, our business may be adversely affected.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24" w:name="page25"/>
    <w:bookmarkEnd w:id="24"/>
    <w:p>
      <w:pPr>
        <w:ind w:right="180" w:firstLine="432"/>
        <w:spacing w:after="0" w:line="257" w:lineRule="auto"/>
        <w:rPr>
          <w:sz w:val="20"/>
          <w:szCs w:val="20"/>
          <w:color w:val="auto"/>
        </w:rPr>
      </w:pPr>
      <w:r>
        <w:rPr>
          <w:rFonts w:ascii="Arial" w:cs="Arial" w:eastAsia="Arial" w:hAnsi="Arial"/>
          <w:sz w:val="18"/>
          <w:szCs w:val="18"/>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FHFA conservatorship), the FHA, the VA, and the U.S. Department of Agriculture Rural Development program. This temporary QM category expires on January 10, 2021, or earlier if the Federal agencies issue their own qualified mortgage rules or, with respect to GSEs, if the FHFA's conservatorship ends.</w:t>
      </w:r>
    </w:p>
    <w:p>
      <w:pPr>
        <w:spacing w:after="0" w:line="188" w:lineRule="exact"/>
        <w:rPr>
          <w:sz w:val="20"/>
          <w:szCs w:val="20"/>
          <w:color w:val="auto"/>
        </w:rPr>
      </w:pPr>
    </w:p>
    <w:p>
      <w:pPr>
        <w:ind w:right="280" w:firstLine="432"/>
        <w:spacing w:after="0" w:line="291" w:lineRule="auto"/>
        <w:rPr>
          <w:sz w:val="20"/>
          <w:szCs w:val="20"/>
          <w:color w:val="auto"/>
        </w:rPr>
      </w:pPr>
      <w:r>
        <w:rPr>
          <w:rFonts w:ascii="Arial" w:cs="Arial" w:eastAsia="Arial" w:hAnsi="Arial"/>
          <w:sz w:val="16"/>
          <w:szCs w:val="16"/>
          <w:color w:val="auto"/>
        </w:rPr>
        <w:t>Under the QM Rule, mortgage insurance premiums that are payable by the consumer at or prior to consummation of the loan are includible in the calculation of points and fees unless, and to the extent that the up-front premiums, or UFPs, are (i) less than or equal to the UFPs charged by the FHA, and</w:t>
      </w:r>
    </w:p>
    <w:p>
      <w:pPr>
        <w:ind w:firstLine="8"/>
        <w:spacing w:after="0" w:line="267"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are automatically refundable on a pro rata basis upon satisfaction of the loan. Our borrower-paid single premium products, both refundable and non-refundable, may be includible within the points and fees calculation under the QM Rule. As noted above, the QM Rule includes a limitation on points and fees in excess of 3% of the total loan amount. Because inclusion of mortgage insurance premiums in the calculation of points and fees will reduce the capacity for other points and fees in order for lenders to comply with the cap, mortgage originators may be less likely to utilize borrower-paid single premium mortgage insurance products. Even where the mortgage insurance premium is not directly included in the calculation of points and fees, it may limit the ability of the lender to charge other points and fees. The treatment of mortgage insurance premiums as a component of the points and fees calculation, or the potential indirect impact of mortgage insurance premiums on the total points and fees, may be a key determinant of whether a loan is in the safe harbor, receives a rebuttable presumption of ability to repay, or receives no presumption. As a result, the QM Rule may decrease demand for certain of our single premium products and may increase demand for monthly, annual and "split" premium mortgage insurance products that do not impact or have a smaller impact on the points and fees. See "Management's Discussion and Analysis of Financial Condition and Results of Operations—Factors Affecting Our Results of Operations—Persistency and Business Mix."</w:t>
      </w:r>
    </w:p>
    <w:p>
      <w:pPr>
        <w:spacing w:after="0" w:line="1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Our Business—</w:t>
      </w:r>
      <w:r>
        <w:rPr>
          <w:rFonts w:ascii="Arial" w:cs="Arial" w:eastAsia="Arial" w:hAnsi="Arial"/>
          <w:sz w:val="17"/>
          <w:szCs w:val="17"/>
          <w:i w:val="1"/>
          <w:iCs w:val="1"/>
          <w:color w:val="auto"/>
        </w:rPr>
        <w:t>Our business prospects and operating results could be adversely impacted</w:t>
      </w:r>
      <w:r>
        <w:rPr>
          <w:rFonts w:ascii="Arial" w:cs="Arial" w:eastAsia="Arial" w:hAnsi="Arial"/>
          <w:sz w:val="17"/>
          <w:szCs w:val="17"/>
          <w:color w:val="auto"/>
        </w:rPr>
        <w:t xml:space="preserve"> </w:t>
      </w:r>
      <w:r>
        <w:rPr>
          <w:rFonts w:ascii="Arial" w:cs="Arial" w:eastAsia="Arial" w:hAnsi="Arial"/>
          <w:sz w:val="17"/>
          <w:szCs w:val="17"/>
          <w:i w:val="1"/>
          <w:iCs w:val="1"/>
          <w:color w:val="auto"/>
        </w:rPr>
        <w:t>if, and to the extent that, the Consumer Financial Protection Bureau's ("CFPB") final rule defining a qualified mortgage ("QM") reduces the size of the origination market or creates incentives to use government mortgage insurance programs."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18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Our Business—</w:t>
      </w:r>
      <w:r>
        <w:rPr>
          <w:rFonts w:ascii="Arial" w:cs="Arial" w:eastAsia="Arial" w:hAnsi="Arial"/>
          <w:sz w:val="16"/>
          <w:szCs w:val="16"/>
          <w:i w:val="1"/>
          <w:iCs w:val="1"/>
          <w:color w:val="auto"/>
        </w:rPr>
        <w:t>The amount of insurance we write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by the implementation of the Dodd-Frank Act's risk retention requirements and the definition of Qualified Residential Mortgage ("QRM").</w:t>
      </w:r>
      <w:r>
        <w:rPr>
          <w:rFonts w:ascii="Arial" w:cs="Arial" w:eastAsia="Arial" w:hAnsi="Arial"/>
          <w:sz w:val="16"/>
          <w:szCs w:val="16"/>
          <w:color w:val="auto"/>
        </w:rPr>
        <w: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Dodd-Frank Act amended and expanded upon mortgage servicing requirements under TILA and RESPA, and in 2014 the CFPB amended Regulation Z (promulgated pursuant to TILA) and Regulation X (promulgated pursuant to RESPA)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implementation of these rules. As to servicing of mortgage loans covered by our insurance policies, these rules could contribute to delays in realization upon collateral and have an adverse impact on resolution of claims.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240" w:firstLine="432"/>
        <w:spacing w:after="0" w:line="288"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D.C. Circuit Court, a decision affirmed in January 2018 by the full D.C. Circuit Court of Appeals.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6" w:name="page27"/>
    <w:bookmarkEnd w:id="26"/>
    <w:p>
      <w:pPr>
        <w:ind w:right="40"/>
        <w:spacing w:after="0" w:line="254" w:lineRule="auto"/>
        <w:rPr>
          <w:sz w:val="20"/>
          <w:szCs w:val="20"/>
          <w:color w:val="auto"/>
        </w:rPr>
      </w:pPr>
      <w:r>
        <w:rPr>
          <w:rFonts w:ascii="Arial" w:cs="Arial" w:eastAsia="Arial" w:hAnsi="Arial"/>
          <w:sz w:val="18"/>
          <w:szCs w:val="18"/>
          <w:color w:val="auto"/>
        </w:rPr>
        <w:t>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206"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New York Department of Financial Services, or NYDFS, adopted a Cybersecurity Regulation effective March 1, 2017 that applies to all individuals and entities licensed by the NYDFS. Licensees must file for exemption or submit an annual compliance certification by February 15 of each year. In February 2018, we submitted timely and unqualified certificates of compliance to the NYDFS with respect to its Cybersecurity Regulation.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 On January 16, 2018, the FHFA offered its own perspectives on housing finance reform in a communication to Congressional leaders, including a proposal to privatize the GSEs with an explicit guarantee from the U.S. Government for catastrophic losses on their mortgage-backed securities in return for fees paid into a reserve fund.</w:t>
      </w:r>
    </w:p>
    <w:p>
      <w:pPr>
        <w:spacing w:after="0" w:line="16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placement of the GSEs into the conservatorship of the FHFA increases the likelihood that the U.S. Congress will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8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6"/>
          <w:szCs w:val="16"/>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22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 2006, Congress enacted the private mortgage insurance tax deduction in order to foster homeownership. The deduction was enacted on a temporary basis and it expired at the end of 2011. Since 2011, the private mortgage insurance tax deduction has been extended four times, most recently through December 31, 2017. Legislation has been introduced in Congress from time to time to extend the deduction for mortgage insurance premiums permanently, however, we cannot predict whether the tax deduction will be made permanent and if not, whether it will be extended for tax years after 2017.</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compete with the single-family mortgage insurance programs of the FHA, which is part of HUD. The most recent FHA report to Congress dated November 15, 2017 on the financial status of the FHA Mutual Mortgage Insurance Fund, or MMIF, showed the capital reserve ratio of the MMIF at 2.09%,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Lobbying Disclosure Act of 1995</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employ an in-house lobbyist in order to engage in the public policy debates that have been referred to herein, and accordingly have registered with the Secretary of the Senate and the Clerk of the House of Representatives as required by the Lobbying Disclosure Act. The Lobbying Disclosure Act requires initial registration and periodic reports relative to an organization's Federal lobbying activities and expenditures.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was January 1, 2014 for advanced approaches banking organizations that are not savings and loan holding companies.</w:t>
      </w:r>
    </w:p>
    <w:p>
      <w:pPr>
        <w:spacing w:after="0" w:line="16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 are prudently underwritten and that are performing according to their original terms receive a 50% risk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color w:val="auto"/>
        </w:rPr>
        <w:t>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1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w:t>
      </w:r>
    </w:p>
    <w:p>
      <w:pPr>
        <w:spacing w:after="0" w:line="18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6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9" w:name="page30"/>
    <w:bookmarkEnd w:id="29"/>
    <w:p>
      <w:pPr>
        <w:ind w:right="40"/>
        <w:spacing w:after="0" w:line="255" w:lineRule="auto"/>
        <w:rPr>
          <w:sz w:val="20"/>
          <w:szCs w:val="20"/>
          <w:color w:val="auto"/>
        </w:rPr>
      </w:pPr>
      <w:r>
        <w:rPr>
          <w:rFonts w:ascii="Arial" w:cs="Arial" w:eastAsia="Arial" w:hAnsi="Arial"/>
          <w:sz w:val="18"/>
          <w:szCs w:val="18"/>
          <w:color w:val="auto"/>
        </w:rPr>
        <w:t>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7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4" w:right="279" w:bottom="1440" w:gutter="0" w:footer="0" w:header="0"/>
        </w:sectPr>
      </w:pPr>
    </w:p>
    <w:bookmarkStart w:id="30" w:name="page31"/>
    <w:bookmarkEnd w:id="30"/>
    <w:p>
      <w:pPr>
        <w:ind w:right="80"/>
        <w:spacing w:after="0" w:line="257" w:lineRule="auto"/>
        <w:rPr>
          <w:sz w:val="20"/>
          <w:szCs w:val="20"/>
          <w:color w:val="auto"/>
        </w:rPr>
      </w:pPr>
      <w:r>
        <w:rPr>
          <w:rFonts w:ascii="Arial" w:cs="Arial" w:eastAsia="Arial" w:hAnsi="Arial"/>
          <w:sz w:val="18"/>
          <w:szCs w:val="18"/>
          <w:color w:val="auto"/>
        </w:rPr>
        <w:t>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7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December 31, 2017, we had 397 employees, including 392 employees based in the United States and 5 employees in Bermuda. None of our employees are represented by a labor union and we consider our employee relations to be good. We also periodically engage contractors who provide services to us on a temporary basis.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right="760" w:firstLine="432"/>
        <w:spacing w:after="0" w:line="312"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4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Members of the public may read and copy materials that we file with the SEC at the SEC's Public Reference Room at 100 F Street, N.E., Washington, D.C. 20549. Members of the public may also obtain information on the Public Reference Room by calling the SEC at 1-800-732-0330. The SEC also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8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Since 2008, the Federal government has assumed an expanded role in many key aspects of the U.S. housing finance system. In particular, 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nine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Since 2011, a number of comprehensive GSE/secondary market legislative reform bills have also been introduced or announced, differing widely with regard to the future role of the GSEs, the overall structure of the secondary market and the role of the Federal government within the mortgage market.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6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8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70"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36" w:lineRule="exact"/>
        <w:rPr>
          <w:rFonts w:ascii="Arial" w:cs="Arial" w:eastAsia="Arial" w:hAnsi="Arial"/>
          <w:sz w:val="17"/>
          <w:szCs w:val="17"/>
          <w:color w:val="auto"/>
        </w:rPr>
      </w:pPr>
    </w:p>
    <w:p>
      <w:pPr>
        <w:ind w:left="660" w:right="140" w:hanging="247"/>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3" w:name="page34"/>
    <w:bookmarkEnd w:id="33"/>
    <w:p>
      <w:pPr>
        <w:ind w:left="660" w:right="44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on which mortgage insurance coverage can be cancelled before reaching the cancellation thresholds established by law;</w:t>
      </w:r>
    </w:p>
    <w:p>
      <w:pPr>
        <w:spacing w:after="0" w:line="225"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extent to which the GSEs establish requirements for mortgage insurers' rescission practices or rescission settlement practices with lenders;</w:t>
      </w:r>
    </w:p>
    <w:p>
      <w:pPr>
        <w:spacing w:after="0" w:line="236" w:lineRule="exact"/>
        <w:rPr>
          <w:rFonts w:ascii="Arial" w:cs="Arial" w:eastAsia="Arial" w:hAnsi="Arial"/>
          <w:sz w:val="17"/>
          <w:szCs w:val="17"/>
          <w:color w:val="auto"/>
        </w:rPr>
      </w:pPr>
    </w:p>
    <w:p>
      <w:pPr>
        <w:ind w:left="660" w:right="580" w:hanging="247"/>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46" w:lineRule="exact"/>
        <w:rPr>
          <w:rFonts w:ascii="Arial" w:cs="Arial" w:eastAsia="Arial" w:hAnsi="Arial"/>
          <w:sz w:val="17"/>
          <w:szCs w:val="17"/>
          <w:color w:val="auto"/>
        </w:rPr>
      </w:pPr>
    </w:p>
    <w:p>
      <w:pPr>
        <w:ind w:left="660" w:right="340" w:hanging="247"/>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and the terms that the GSEs require to be included in mortgage insurance master policies for loans that they purchase or guaranty.</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Effective for insurance applications received after October 1, 2014, the GSEs, in coordination with the FHFA, instituted minimum standards for mortgage insurer master policies, including standards relating to rescission rights. The GSEs have published revised rules for rescission relief with an implementation schedule extending through 2018. As a result of these revised standards, we, along with the other private mortgage insurers, will be required to make additional changes to our master policy, some of which may not be favorable to us and which could result in us paying more claims than required under our prior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 Master Policy" above.</w:t>
      </w:r>
    </w:p>
    <w:p>
      <w:pPr>
        <w:spacing w:after="0" w:line="18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Based on a confidential draft proposal that we received from the GSEs, we believe that updated PMIERs may be finalized in the first half of 2018 and become effective no sooner than the second half of 2018, 180 days after their release.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0" w:right="259" w:bottom="1440" w:gutter="0" w:footer="0" w:header="0"/>
        </w:sectPr>
      </w:pPr>
    </w:p>
    <w:bookmarkStart w:id="34" w:name="page35"/>
    <w:bookmarkEnd w:id="34"/>
    <w:p>
      <w:pPr>
        <w:ind w:right="100" w:firstLine="432"/>
        <w:spacing w:after="0" w:line="259" w:lineRule="auto"/>
        <w:rPr>
          <w:sz w:val="20"/>
          <w:szCs w:val="20"/>
          <w:color w:val="auto"/>
        </w:rPr>
      </w:pPr>
      <w:r>
        <w:rPr>
          <w:rFonts w:ascii="Arial" w:cs="Arial" w:eastAsia="Arial" w:hAnsi="Arial"/>
          <w:sz w:val="18"/>
          <w:szCs w:val="18"/>
          <w:color w:val="auto"/>
        </w:rPr>
        <w:t>We believe that our financial strength has been a reason that some customers have done business with us. However, this competitive advantage may be mitigated if our competitors continue to improve their capital positions, profitability and financial strength ratings, or if we incur losses which weaken our financial position. Our customers may choose to diversify the mortgage insurers with which they do business due to weakness in our relative financial strength or other reasons, which could negatively affect our level of NIW and our market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Our mortgage insurance business depends on our relationships with our customers, and in particular, our relationships with our largest lending customers. Our top ten customers generated 45.8% of our new insurance written, or NIW, during year ended December 31, 2017, compared to 35.1% and</w:t>
      </w:r>
    </w:p>
    <w:p>
      <w:pPr>
        <w:jc w:val="both"/>
        <w:ind w:right="20"/>
        <w:spacing w:after="0" w:line="255" w:lineRule="auto"/>
        <w:rPr>
          <w:sz w:val="20"/>
          <w:szCs w:val="20"/>
          <w:color w:val="auto"/>
        </w:rPr>
      </w:pPr>
      <w:r>
        <w:rPr>
          <w:rFonts w:ascii="Arial" w:cs="Arial" w:eastAsia="Arial" w:hAnsi="Arial"/>
          <w:sz w:val="18"/>
          <w:szCs w:val="18"/>
          <w:color w:val="auto"/>
        </w:rPr>
        <w:t>36.6% for the years ended December 31, 2016 and 2015, respectively. For the year ended December 31, 2017, no customer represented more than 10% of our consolidated revenues. Maintaining our business relationships and business volumes with our largest lending customers remains critical to the success of our business.</w:t>
      </w:r>
    </w:p>
    <w:p>
      <w:pPr>
        <w:spacing w:after="0" w:line="1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In addition, the economic downturn and challenging market conditions of the recent past adversely affected the financial condition of a number of our largest customers. If the U.S. economy enters into another recessionary period, these customers could again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25"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25" w:lineRule="exact"/>
        <w:rPr>
          <w:rFonts w:ascii="Arial" w:cs="Arial" w:eastAsia="Arial" w:hAnsi="Arial"/>
          <w:sz w:val="18"/>
          <w:szCs w:val="18"/>
          <w:color w:val="auto"/>
        </w:rPr>
      </w:pPr>
    </w:p>
    <w:p>
      <w:pPr>
        <w:ind w:left="440" w:right="920" w:hanging="27"/>
        <w:spacing w:after="0" w:line="501"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70"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5" w:name="page36"/>
    <w:bookmarkEnd w:id="35"/>
    <w:p>
      <w:pPr>
        <w:ind w:firstLine="432"/>
        <w:spacing w:after="0" w:line="254" w:lineRule="auto"/>
        <w:rPr>
          <w:sz w:val="20"/>
          <w:szCs w:val="20"/>
          <w:color w:val="auto"/>
        </w:rPr>
      </w:pPr>
      <w:r>
        <w:rPr>
          <w:rFonts w:ascii="Arial" w:cs="Arial" w:eastAsia="Arial" w:hAnsi="Arial"/>
          <w:sz w:val="18"/>
          <w:szCs w:val="18"/>
          <w:color w:val="auto"/>
        </w:rPr>
        <w:t>Any of these alternatives to private mortgage insurance could reduce or eliminate the demand for our product, cause us to lose business or limit our ability to attract the business that we would prefer to insure. In particular, there has been substantial competition from government-sponsored mortgage insurance programs in the wake of the recent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92"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181"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25" w:lineRule="exact"/>
        <w:rPr>
          <w:rFonts w:ascii="Arial" w:cs="Arial" w:eastAsia="Arial" w:hAnsi="Arial"/>
          <w:sz w:val="18"/>
          <w:szCs w:val="18"/>
          <w:color w:val="auto"/>
        </w:rPr>
      </w:pPr>
    </w:p>
    <w:p>
      <w:pPr>
        <w:ind w:left="660" w:right="5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70" w:lineRule="exact"/>
        <w:rPr>
          <w:rFonts w:ascii="Arial" w:cs="Arial" w:eastAsia="Arial" w:hAnsi="Arial"/>
          <w:sz w:val="18"/>
          <w:szCs w:val="18"/>
          <w:color w:val="auto"/>
        </w:rPr>
      </w:pPr>
    </w:p>
    <w:p>
      <w:pPr>
        <w:ind w:left="660" w:right="7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25" w:lineRule="exact"/>
        <w:rPr>
          <w:rFonts w:ascii="Arial" w:cs="Arial" w:eastAsia="Arial" w:hAnsi="Arial"/>
          <w:sz w:val="18"/>
          <w:szCs w:val="18"/>
          <w:color w:val="auto"/>
        </w:rPr>
      </w:pPr>
    </w:p>
    <w:p>
      <w:pPr>
        <w:ind w:left="660" w:right="100" w:hanging="247"/>
        <w:spacing w:after="0" w:line="29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implementation of new or the amendment of current regulations under the Dodd-Frank Act (particularly with respect to the Qualified Mortgage and Qualified Residential Mortgage rules) and the Basel III Rules, which may be more favorable to the FHA than to private mortgage insurers (see "</w:t>
      </w:r>
      <w:r>
        <w:rPr>
          <w:rFonts w:ascii="Arial" w:cs="Arial" w:eastAsia="Arial" w:hAnsi="Arial"/>
          <w:sz w:val="16"/>
          <w:szCs w:val="16"/>
          <w:i w:val="1"/>
          <w:iCs w:val="1"/>
          <w:color w:val="auto"/>
        </w:rPr>
        <w:t>—Our business prospects and operating results could be adversely impacted if, and to the extent that, the Consumer Financial Protection Bureau's</w:t>
      </w:r>
      <w:r>
        <w:rPr>
          <w:rFonts w:ascii="Arial" w:cs="Arial" w:eastAsia="Arial" w:hAnsi="Arial"/>
          <w:sz w:val="16"/>
          <w:szCs w:val="16"/>
          <w:color w:val="auto"/>
        </w:rPr>
        <w:t xml:space="preserve"> </w:t>
      </w:r>
      <w:r>
        <w:rPr>
          <w:rFonts w:ascii="Arial" w:cs="Arial" w:eastAsia="Arial" w:hAnsi="Arial"/>
          <w:sz w:val="16"/>
          <w:szCs w:val="16"/>
          <w:i w:val="1"/>
          <w:iCs w:val="1"/>
          <w:color w:val="auto"/>
        </w:rPr>
        <w:t>("CFPB") final rule defining a qualified mortgage ("QM") reduces the size of the origination market or creates incentives to use government mortgage insurance programs</w:t>
      </w:r>
      <w:r>
        <w:rPr>
          <w:rFonts w:ascii="Arial" w:cs="Arial" w:eastAsia="Arial" w:hAnsi="Arial"/>
          <w:sz w:val="16"/>
          <w:szCs w:val="16"/>
          <w:color w:val="auto"/>
        </w:rPr>
        <w:t>", "—</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 "—</w:t>
      </w:r>
      <w:r>
        <w:rPr>
          <w:rFonts w:ascii="Arial" w:cs="Arial" w:eastAsia="Arial" w:hAnsi="Arial"/>
          <w:sz w:val="16"/>
          <w:szCs w:val="16"/>
          <w:i w:val="1"/>
          <w:iCs w:val="1"/>
          <w:color w:val="auto"/>
        </w:rPr>
        <w:t>The implementation of the Basel III Capital Accord, or other changes to our customers' capital requirements, may discourage the use of mortgage insurance</w:t>
      </w:r>
      <w:r>
        <w:rPr>
          <w:rFonts w:ascii="Arial" w:cs="Arial" w:eastAsia="Arial" w:hAnsi="Arial"/>
          <w:sz w:val="16"/>
          <w:szCs w:val="16"/>
          <w:color w:val="auto"/>
        </w:rPr>
        <w:t>"); and</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Further, at the direction of the FHFA, the GSEs have significantly expanded their credit risk sharing programs. These programs have included the use of structured finance vehicles and off-shore reinsurance. The growing success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The GSEs have also shown an interest in directly placing mortgage insurance rather than having lenders place the mortgage insurance as part of their expanded risk sharing programs. No assurances can be given that these practices may not expand to loans traditionally insured by lenders with private mortgage insurance prior to sale to the GSEs, which could impact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6" w:name="page37"/>
    <w:bookmarkEnd w:id="36"/>
    <w:p>
      <w:pPr>
        <w:jc w:val="both"/>
        <w:ind w:right="80" w:firstLine="432"/>
        <w:spacing w:after="0" w:line="312"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70"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home mortgage interest rates and the deductibility of mortgage interest and mortgage insurance for income tax purposes;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36" w:lineRule="exact"/>
        <w:rPr>
          <w:rFonts w:ascii="Arial" w:cs="Arial" w:eastAsia="Arial" w:hAnsi="Arial"/>
          <w:sz w:val="17"/>
          <w:szCs w:val="17"/>
          <w:color w:val="auto"/>
        </w:rPr>
      </w:pPr>
    </w:p>
    <w:p>
      <w:pPr>
        <w:ind w:left="660" w:right="26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25"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Although the claims experience on new insurance written by us since we began to write coverage in 2010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 accordance with industry practice and statutory accounting rules applicable to mortgage guaranty insurance companies, we establish loss reserves only for loans in default. Reserves are established for reported insurance losses and loss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7" w:name="page38"/>
    <w:bookmarkEnd w:id="37"/>
    <w:p>
      <w:pPr>
        <w:ind w:right="80"/>
        <w:spacing w:after="0" w:line="297" w:lineRule="auto"/>
        <w:rPr>
          <w:sz w:val="20"/>
          <w:szCs w:val="20"/>
          <w:color w:val="auto"/>
        </w:rPr>
      </w:pPr>
      <w:r>
        <w:rPr>
          <w:rFonts w:ascii="Arial" w:cs="Arial" w:eastAsia="Arial" w:hAnsi="Arial"/>
          <w:sz w:val="16"/>
          <w:szCs w:val="16"/>
          <w:color w:val="auto"/>
        </w:rPr>
        <w:t>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15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4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The residential mortgage market in the United States has for some time experienced a variety of worsening economic conditions and housing values that have recently begun to stabilize but may not continue to do so.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8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Dodd-Frank, however, provides a statutory presumption of eligibility of loans that satisfy the QM definition. The CFPB's final rule defining what constitutes a QM, which we refer to as the "QM Rule", a loan is deemed to be a QM if, among other factors:</w:t>
      </w:r>
    </w:p>
    <w:p>
      <w:pPr>
        <w:spacing w:after="0" w:line="173"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8" w:name="page39"/>
    <w:bookmarkEnd w:id="38"/>
    <w:p>
      <w:pPr>
        <w:ind w:right="80" w:firstLine="432"/>
        <w:spacing w:after="0" w:line="272"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to develop their own definitions of a qualified mortgage in consultation with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7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 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Qualified Residential Mortgage ("QRM").</w:t>
      </w:r>
    </w:p>
    <w:p>
      <w:pPr>
        <w:spacing w:after="0" w:line="17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implementation of the Basel III Capital Accord, or other changes to our customers' capital requirements, may discourage the use of mortgage insurance.</w:t>
      </w:r>
    </w:p>
    <w:p>
      <w:pPr>
        <w:spacing w:after="0" w:line="170"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9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9" w:name="page40"/>
    <w:bookmarkEnd w:id="39"/>
    <w:p>
      <w:pPr>
        <w:ind w:right="360"/>
        <w:spacing w:after="0" w:line="342" w:lineRule="auto"/>
        <w:rPr>
          <w:sz w:val="20"/>
          <w:szCs w:val="20"/>
          <w:color w:val="auto"/>
        </w:rPr>
      </w:pPr>
      <w:r>
        <w:rPr>
          <w:rFonts w:ascii="Arial" w:cs="Arial" w:eastAsia="Arial" w:hAnsi="Arial"/>
          <w:sz w:val="16"/>
          <w:szCs w:val="16"/>
          <w:color w:val="auto"/>
        </w:rPr>
        <w:t>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investment portfolio consists predominantly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87" w:lineRule="exact"/>
        <w:rPr>
          <w:sz w:val="20"/>
          <w:szCs w:val="20"/>
          <w:color w:val="auto"/>
        </w:rPr>
      </w:pPr>
    </w:p>
    <w:p>
      <w:pPr>
        <w:jc w:val="both"/>
        <w:ind w:right="200" w:firstLine="432"/>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83.9%, 77.7% and 80.2% at December 31, 2017, 2016 and 2015, respectively. The factors affecting the persistency of our insurance portfolio include:</w:t>
      </w:r>
    </w:p>
    <w:p>
      <w:pPr>
        <w:spacing w:after="0" w:line="187" w:lineRule="exact"/>
        <w:rPr>
          <w:sz w:val="20"/>
          <w:szCs w:val="20"/>
          <w:color w:val="auto"/>
        </w:rPr>
      </w:pPr>
    </w:p>
    <w:p>
      <w:pPr>
        <w:ind w:left="660" w:right="70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70" w:lineRule="exact"/>
        <w:rPr>
          <w:rFonts w:ascii="Arial" w:cs="Arial" w:eastAsia="Arial" w:hAnsi="Arial"/>
          <w:sz w:val="18"/>
          <w:szCs w:val="18"/>
          <w:color w:val="auto"/>
        </w:rPr>
      </w:pPr>
    </w:p>
    <w:p>
      <w:pPr>
        <w:ind w:left="660" w:right="24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70" w:lineRule="exact"/>
        <w:rPr>
          <w:rFonts w:ascii="Arial" w:cs="Arial" w:eastAsia="Arial" w:hAnsi="Arial"/>
          <w:sz w:val="18"/>
          <w:szCs w:val="18"/>
          <w:color w:val="auto"/>
        </w:rPr>
      </w:pPr>
    </w:p>
    <w:p>
      <w:pPr>
        <w:ind w:left="660" w:right="56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40" w:name="page41"/>
    <w:bookmarkEnd w:id="40"/>
    <w:p>
      <w:pPr>
        <w:ind w:left="660" w:right="50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70"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Mortgage interest rates have remained at near historic lows since the financial crisis, but may rise in response to expected future changes in monetary policy by the Federal Reserve. Some portion of our insured portfolio may still be able to refinance at the current level of mortgage rates, which may reduce our future revenues. If interest rates rise, persistency is likely to increase, which may extend the average life of our insured portfolio and result in higher levels of future claims as more loans remain outstanding.</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7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jc w:val="both"/>
        <w:ind w:right="380" w:firstLine="432"/>
        <w:spacing w:after="0" w:line="28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spacing w:after="0"/>
        <w:rPr>
          <w:sz w:val="20"/>
          <w:szCs w:val="20"/>
          <w:color w:val="auto"/>
        </w:rPr>
      </w:pPr>
      <w:r>
        <w:rPr>
          <w:rFonts w:ascii="Arial" w:cs="Arial" w:eastAsia="Arial" w:hAnsi="Arial"/>
          <w:sz w:val="16"/>
          <w:szCs w:val="16"/>
          <w:color w:val="auto"/>
        </w:rPr>
        <w:t>Accordingly, we have assumed some risk in connection with providing these services. We also face regulatory and litigation risk in providing these services.</w:t>
      </w:r>
    </w:p>
    <w:p>
      <w:pPr>
        <w:spacing w:after="0" w:line="2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7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environment, and there can be no assurance that actual claims paid by us will not be substantially different than our loss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ind w:right="160" w:firstLine="8"/>
        <w:spacing w:after="0" w:line="254"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Our business is highly dependent on the effective operation of our information technology systems, which are vulnerable to damage or interruption from power outages, computer and telecommunications failures, computer viruses, cyber-attacks,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2" w:name="page43"/>
    <w:bookmarkEnd w:id="42"/>
    <w:p>
      <w:pPr>
        <w:ind w:right="20"/>
        <w:spacing w:after="0" w:line="297" w:lineRule="auto"/>
        <w:rPr>
          <w:sz w:val="20"/>
          <w:szCs w:val="20"/>
          <w:color w:val="auto"/>
        </w:rPr>
      </w:pPr>
      <w:r>
        <w:rPr>
          <w:rFonts w:ascii="Arial" w:cs="Arial" w:eastAsia="Arial" w:hAnsi="Arial"/>
          <w:sz w:val="16"/>
          <w:szCs w:val="16"/>
          <w:color w:val="auto"/>
        </w:rPr>
        <w:t>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$70.7 million as of December 31, 2017. In addition, Essent Guaranty of PA, Inc. had unassigned surplus of approximately $6.5 million as of December 31, 2017. For further information, see Note 11 to our consolidated financial statements entitled "Dividends Restrictions" included elsewhere in this Annual Report. As a result of these dividend limitations, we likely will not receive dividend income from our subsidiaries for several years and, consequently, Essent Group Ltd. may have limited liquidity and may be required to raise additional capital.</w:t>
      </w:r>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Potential investors or lenders may be unable to provide us with financing that is attractive to us. Our access to such financing will depend, in part, on:</w:t>
      </w:r>
    </w:p>
    <w:p>
      <w:pPr>
        <w:spacing w:after="0" w:line="181"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584" w:right="299" w:bottom="1440" w:gutter="0" w:footer="0" w:header="0"/>
        </w:sectPr>
      </w:pPr>
    </w:p>
    <w:bookmarkStart w:id="43" w:name="page44"/>
    <w:bookmarkEnd w:id="43"/>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market price of our common shares.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1" w:right="259" w:bottom="1440" w:gutter="0" w:footer="0" w:header="0"/>
        </w:sectPr>
      </w:pPr>
    </w:p>
    <w:bookmarkStart w:id="44" w:name="page45"/>
    <w:bookmarkEnd w:id="44"/>
    <w:p>
      <w:pPr>
        <w:ind w:right="100"/>
        <w:spacing w:after="0" w:line="276" w:lineRule="auto"/>
        <w:rPr>
          <w:sz w:val="20"/>
          <w:szCs w:val="20"/>
          <w:color w:val="auto"/>
        </w:rPr>
      </w:pPr>
      <w:r>
        <w:rPr>
          <w:rFonts w:ascii="Arial" w:cs="Arial" w:eastAsia="Arial" w:hAnsi="Arial"/>
          <w:sz w:val="17"/>
          <w:szCs w:val="17"/>
          <w:color w:val="auto"/>
        </w:rPr>
        <w:t>Corporation for alleged RESPA violations stemming from captive mortgage insurance arrangements was overturned on appeal by a panel of the D.C. Circuit Court, a decision affirmed in January 2018 by the full D.C. Circuit Court of Appeals.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70"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5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The NAIC examines existing state insurance laws and regulations in the United States. 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NAIC has engaged an independent firm to perform validation exercises on this capital model. The MGIWG is continuing its work in 2018.</w:t>
      </w:r>
    </w:p>
    <w:p>
      <w:pPr>
        <w:spacing w:after="0" w:line="15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If the NAIC were to adopt a revised Mortgage Guaranty Insurance Model Act,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reinsurance subsidiary, Essent Reinsurance Ltd., is a registered Bermuda Class 3A insurer pursuant to Section 4 of the Insurance Act 1978. As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 is subject to regulation and supervision in Bermuda and is not licensed or admitted to do business in any jurisdiction except Bermuda. Generally, 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statutes and regulations applicable to Essent Reinsurance Ltd. are less restrictive than those that would be applicable if they were governed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of any state in the United States. We do not presently intend for Essent Reinsurance Ltd. to be admitted to do business in the United States, the U.K.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jurisdiction other than Bermuda. However, recent scrutiny of the insurance and reinsurance industry in the United States and other countries could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Essent Reinsurance Ltd. to additional regulation in the future that may make it unprofitable or illegal to operate a reinsurance business through our 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We cannot assure you that insurance regulators in the United States, the U.K. or elsewhere will not review the activities of Essent Reinsurance Ltd.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its subsidiaries or agents and assert that Essent Reinsurance Ltd. is subject to such jurisdiction's licensing requirements. If in the future Essent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Reinsurance Ltd. becomes subject to any insurance laws of the United States or any state thereof or of any other jurisdiction, we cannot assure you that Essent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Reinsurance Ltd. would be in compliance with such laws or that complying with such laws would not have a significant and negative effect on our business.</w:t>
      </w:r>
    </w:p>
    <w:p>
      <w:pPr>
        <w:spacing w:after="0" w:line="23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5" w:name="page46"/>
    <w:bookmarkEnd w:id="45"/>
    <w:p>
      <w:pPr>
        <w:ind w:firstLine="432"/>
        <w:spacing w:after="0" w:line="264"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181"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144"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16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Tax Cuts and Jobs Act of 2017 (“TCJA”) contains substantial law changes to the CFC rules, and such changes could impact our shareholders under certain circumstances summarized below.</w:t>
      </w:r>
    </w:p>
    <w:p>
      <w:pPr>
        <w:spacing w:after="0" w:line="8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If you are a "10% U.S. Shareholder" of a non-U.S. corporation defined to be a "U.S. Person" (as defined below) who owns (directly, indirectly through non-U.S. entities) or ("constructively," as defined below) at least 10% of the total combined value or voting power of all classes of stock, and such non-U.S. corporation is a CFC at any time during a taxable year, you must include in your gross income for U.S. Federal income tax purposes your pro rata share of the CFC's "subpart F income," even if the subpart F income is not distributed. Also, due to attribution rule changes contained in TCJA, the Company believes that, based upon ownership of its U.S. subsidiaries, its foreign reinsurer (Essent Reinsurance Ltd.), and foreign intermediate holding company (Essent Irish Intermediate Holdings Ltd.) will both be deemed CFC’s. Accordingly, any shareholder who becomes a “10% U.S. Shareholder” at any time during the calendar year, may be subject to a "Subpart F income" inclusion on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6" w:name="page47"/>
    <w:bookmarkEnd w:id="46"/>
    <w:p>
      <w:pPr>
        <w:ind w:right="540"/>
        <w:spacing w:after="0" w:line="342" w:lineRule="auto"/>
        <w:rPr>
          <w:sz w:val="20"/>
          <w:szCs w:val="20"/>
          <w:color w:val="auto"/>
        </w:rPr>
      </w:pPr>
      <w:r>
        <w:rPr>
          <w:rFonts w:ascii="Arial" w:cs="Arial" w:eastAsia="Arial" w:hAnsi="Arial"/>
          <w:sz w:val="16"/>
          <w:szCs w:val="16"/>
          <w:color w:val="auto"/>
        </w:rPr>
        <w:t>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4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8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9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8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and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TCJA contains substantial law changes to the PFIC rules, and such changes could impact our shareholders under certain circumstances summarized below.</w:t>
      </w:r>
    </w:p>
    <w:p>
      <w:pPr>
        <w:spacing w:after="0" w:line="8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Due to changes to the PFIC rules contained in the TCJA, we believe that Essent Reinsurance Ltd. will be deemed a PFIC, and any U.S. Person owning shares in the company could be subject to adverse tax consequences.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Also, if future tax law changes re-define whom may be considered a</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84" w:right="279" w:bottom="1440" w:gutter="0" w:footer="0" w:header="0"/>
        </w:sectPr>
      </w:pPr>
    </w:p>
    <w:bookmarkStart w:id="47" w:name="page48"/>
    <w:bookmarkEnd w:id="47"/>
    <w:p>
      <w:pPr>
        <w:ind w:right="80"/>
        <w:spacing w:after="0" w:line="257" w:lineRule="auto"/>
        <w:rPr>
          <w:sz w:val="20"/>
          <w:szCs w:val="20"/>
          <w:color w:val="auto"/>
        </w:rPr>
      </w:pPr>
      <w:r>
        <w:rPr>
          <w:rFonts w:ascii="Arial" w:cs="Arial" w:eastAsia="Arial" w:hAnsi="Arial"/>
          <w:sz w:val="18"/>
          <w:szCs w:val="18"/>
          <w:color w:val="auto"/>
        </w:rPr>
        <w:t>“U.S. Person” subject to PFIC income inclusion,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10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believe that Essent Group Ltd. is not, has not been, and currently does not expect to become, a PFIC for U.S. Federal income tax purposes. We cannot assure you, however, that Essent Group Ltd. will not be deemed a PFIC by the IRS in the future. If Essent Group Ltd. were considered a PFIC, it could have material adverse tax consequences for an investor that is subject to U.S. Federal income taxation. New regulations or pronouncements interpreting or clarifying these rules contained in TCJA may be forthcoming, which may include changes to the definition of “U.S. Person” subject to PFIC income inclusions to include “indirect” or “downstream” foreign subsidiaries, in which case, investors in Essent Group Ltd. would be adversely affected due to the indirect ownership of Essent Reinsurance Ltd., which will be deemed a PFIC under the rule changes contained in TCJA.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4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14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4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14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It is possible that legislation could be introduced and enacted by the current Congress or future Congresses that could have an adverse impact on us or holders of our common shares. It is also possible that Treasury Regulations, and/or IRS administrative rulings could be written under the TCJA that could have an adverse impact on the Company or the holders of our common shares. Specifically, as discussed above, new Treasury Regulations addressing TCJA changes to the PFIC rules could cause a U.S. Person to be subject to PFIC income inclusion from an indirectly owned foreign subsidiary.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9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TCJA contains provisions intended to eliminate certain perceived tax advantages of companies (including insurance companies) that have legal domiciles outside the United States but have certain affiliate transactions, U.S. connections, and/or United States persons investing in such companies. For example, the TCJA includes a base erosion anti-abuse tax or “BEAT” that could make certain levels of affiliate reinsurance between United States and non-U.S. members of our group economically unfeasible. Further, it is possible that other legislation could be introduced and enacted by the current Congress or future Congresses that could have an adverse impact on us.</w:t>
      </w:r>
    </w:p>
    <w:p>
      <w:pPr>
        <w:spacing w:after="0" w:line="10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U.S. federal income tax laws and interpretations regarding whether a company is engaged in a trade or business within the U.S. is a PFIC, or whether U.S. Persons would be required to include in their gross income the "subpart F income" of a CFC or RPII are subject to change, possibly on a retroactive basis. There currently are only recently proposed regulations regarding the application of the PFIC rules to insurance companies, and the regulations regarding RPII have been in proposed form since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8" w:name="page49"/>
    <w:bookmarkEnd w:id="48"/>
    <w:p>
      <w:pPr>
        <w:ind w:right="420"/>
        <w:spacing w:after="0" w:line="277" w:lineRule="auto"/>
        <w:rPr>
          <w:sz w:val="20"/>
          <w:szCs w:val="20"/>
          <w:color w:val="auto"/>
        </w:rPr>
      </w:pPr>
      <w:r>
        <w:rPr>
          <w:rFonts w:ascii="Arial" w:cs="Arial" w:eastAsia="Arial" w:hAnsi="Arial"/>
          <w:sz w:val="18"/>
          <w:szCs w:val="18"/>
          <w:color w:val="auto"/>
        </w:rPr>
        <w:t>1991. New regulations or pronouncements interpreting or clarifying such rules may be forthcoming. We cannot be certain if, when, or in what form such regulations or pronouncements may be implemented or made, or whether such guidance will have a retroactive effect.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70"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15, 2018, we had 98,094,421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9" w:name="page50"/>
    <w:bookmarkEnd w:id="49"/>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170"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We do not intend to declare and pay dividends on our share capital for the foreseeable future. We currently intend to retain all our future earnings, if any, to fund our growth. Therefore, you are not likely to receive any dividends on your common shares for the foreseeable future and the success of an investment in our common shares will depend upon any future appreciation in their value. There is no guarantee that our common shares will appreciate in value or even maintain the price at which our shareholders have purchased their shares. Furthermore, our subsidiaries are restricted by state insurance laws and regulations from declaring dividends to us. See "—</w:t>
      </w:r>
      <w:r>
        <w:rPr>
          <w:rFonts w:ascii="Arial" w:cs="Arial" w:eastAsia="Arial" w:hAnsi="Arial"/>
          <w:sz w:val="17"/>
          <w:szCs w:val="17"/>
          <w:i w:val="1"/>
          <w:iCs w:val="1"/>
          <w:color w:val="auto"/>
        </w:rPr>
        <w:t>Our holding company structure and certain regulatory and other constraints, including adverse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performance, could negatively impact our liquidity and potentially require us to raise more capital.</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persons who own our shares may have more difficulty in protecting their interests than U.S. persons who are shareholders of a U.S. corporation.</w:t>
      </w:r>
    </w:p>
    <w:p>
      <w:pPr>
        <w:spacing w:after="0" w:line="2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8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Interested Directors: </w:t>
      </w:r>
      <w:r>
        <w:rPr>
          <w:rFonts w:ascii="Arial" w:cs="Arial" w:eastAsia="Arial" w:hAnsi="Arial"/>
          <w:sz w:val="17"/>
          <w:szCs w:val="17"/>
          <w:color w:val="auto"/>
        </w:rPr>
        <w:t>Bermuda law provides that if a director has an interest in a material contract or proposed material contract with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66" w:lineRule="exact"/>
        <w:rPr>
          <w:sz w:val="20"/>
          <w:szCs w:val="20"/>
          <w:color w:val="auto"/>
        </w:rPr>
      </w:pPr>
    </w:p>
    <w:p>
      <w:pPr>
        <w:ind w:left="660" w:right="340" w:hanging="247"/>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46" w:lineRule="exact"/>
        <w:rPr>
          <w:rFonts w:ascii="Arial" w:cs="Arial" w:eastAsia="Arial" w:hAnsi="Arial"/>
          <w:sz w:val="17"/>
          <w:szCs w:val="17"/>
          <w:color w:val="auto"/>
        </w:rPr>
      </w:pPr>
    </w:p>
    <w:p>
      <w:pPr>
        <w:ind w:left="660" w:right="52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50" w:name="page51"/>
    <w:bookmarkEnd w:id="50"/>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18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tax, legal or regulatory consequences to us, any of our subsidiaries or any direct or indirect shareholder or its affiliates. "Controlled shares" include, among other things, all shares that a U.S. Person is deemed to own directly, indirectly or constructively (within the meaning of section 958 of the Code).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4" w:right="259" w:bottom="1440" w:gutter="0" w:footer="0" w:header="0"/>
        </w:sectPr>
      </w:pPr>
    </w:p>
    <w:bookmarkStart w:id="51" w:name="page52"/>
    <w:bookmarkEnd w:id="51"/>
    <w:p>
      <w:pPr>
        <w:ind w:right="20" w:firstLine="432"/>
        <w:spacing w:after="0" w:line="264"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7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52" w:name="page53"/>
    <w:bookmarkEnd w:id="52"/>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0" w:right="27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66" w:lineRule="exact"/>
        <w:rPr>
          <w:sz w:val="20"/>
          <w:szCs w:val="20"/>
          <w:color w:val="auto"/>
        </w:rPr>
      </w:pPr>
    </w:p>
    <w:p>
      <w:pPr>
        <w:jc w:val="both"/>
        <w:ind w:right="720" w:firstLine="432"/>
        <w:spacing w:after="0" w:line="342" w:lineRule="auto"/>
        <w:rPr>
          <w:sz w:val="20"/>
          <w:szCs w:val="20"/>
          <w:color w:val="auto"/>
        </w:rPr>
      </w:pPr>
      <w:r>
        <w:rPr>
          <w:rFonts w:ascii="Arial" w:cs="Arial" w:eastAsia="Arial" w:hAnsi="Arial"/>
          <w:sz w:val="16"/>
          <w:szCs w:val="16"/>
          <w:color w:val="auto"/>
        </w:rPr>
        <w:t>Our common shares trade on the New York Stock Exchange (NYSE) under the symbol "ESNT." The following table sets forth, for the periods indicated, the high and low intra-day sales prices of our common shares as reported by the NYSE for the years ended December 31, 2017 and 2016:</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16.48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39.50</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22.33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19.30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47.29</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33.94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25.84</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15, 2018, we had approximately 11 holders of record of our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2017,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5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117475</wp:posOffset>
            </wp:positionV>
            <wp:extent cx="5848985" cy="2667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10/31/2013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12/31/2014</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12/31/2015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12/31/2016</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152.21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Peer Index</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133.32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166.77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173.37</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206.76</w:t>
            </w:r>
          </w:p>
        </w:tc>
      </w:tr>
      <w:tr>
        <w:trPr>
          <w:trHeight w:val="675"/>
        </w:trPr>
        <w:tc>
          <w:tcPr>
            <w:tcW w:w="5380" w:type="dxa"/>
            <w:vAlign w:val="bottom"/>
          </w:tcPr>
          <w:p>
            <w:pPr>
              <w:spacing w:after="0"/>
              <w:rPr>
                <w:sz w:val="24"/>
                <w:szCs w:val="24"/>
                <w:color w:val="auto"/>
              </w:rPr>
            </w:pPr>
          </w:p>
        </w:tc>
        <w:tc>
          <w:tcPr>
            <w:tcW w:w="920" w:type="dxa"/>
            <w:vAlign w:val="bottom"/>
          </w:tcPr>
          <w:p>
            <w:pPr>
              <w:jc w:val="right"/>
              <w:ind w:right="4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ind w:right="40" w:firstLine="432"/>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have not declared or paid any dividends during the past two fiscal years, and we do not currently expect to declare or pay dividends on our Common Shares for the foreseeable future. Instead, we intend to retain earnings to finance the growth and development of our business and general corporate purposes. Any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 In addition, the ability of our insurance subsidiaries to pay dividends to Essent Group Ltd. is limited by state insurance laws and under certain agreements with counterparties. See "Management's Discussion and Analysis of Financial Condition and Results of Operations—Liquidity and Capital Resources" and "Risk Factors—Risks Relating to Our Business—</w:t>
      </w:r>
      <w:r>
        <w:rPr>
          <w:rFonts w:ascii="Arial" w:cs="Arial" w:eastAsia="Arial" w:hAnsi="Arial"/>
          <w:sz w:val="16"/>
          <w:szCs w:val="16"/>
          <w:i w:val="1"/>
          <w:iCs w:val="1"/>
          <w:color w:val="auto"/>
        </w:rPr>
        <w:t>Our holding company structure and certain regulatory and other constraints, including adverse business performance, could negatively impact</w:t>
      </w:r>
      <w:r>
        <w:rPr>
          <w:rFonts w:ascii="Arial" w:cs="Arial" w:eastAsia="Arial" w:hAnsi="Arial"/>
          <w:sz w:val="16"/>
          <w:szCs w:val="16"/>
          <w:color w:val="auto"/>
        </w:rPr>
        <w:t xml:space="preserve"> </w:t>
      </w:r>
      <w:r>
        <w:rPr>
          <w:rFonts w:ascii="Arial" w:cs="Arial" w:eastAsia="Arial" w:hAnsi="Arial"/>
          <w:sz w:val="16"/>
          <w:szCs w:val="16"/>
          <w:i w:val="1"/>
          <w:iCs w:val="1"/>
          <w:color w:val="auto"/>
        </w:rPr>
        <w:t>our liquidity and potentially require us to raise more capital.</w:t>
      </w:r>
      <w:r>
        <w:rPr>
          <w:rFonts w:ascii="Arial" w:cs="Arial" w:eastAsia="Arial" w:hAnsi="Arial"/>
          <w:sz w:val="16"/>
          <w:szCs w:val="16"/>
          <w:color w:val="auto"/>
        </w:rPr>
        <w:t>" In addition, under the Bermuda Companies Act, we may only declare or pay a dividend if,</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matters, there are reasonable grounds for believing that we are, and would after the payment be, able to pay our respective liabilities as they become due and that the realizable value of our assets will, and after the payment would, exceed our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2017</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as of December 31, 2017, information concerning equity compensation plans under which our securities are authorized for issuance. The table does not reflect grants, awards, exercises, terminations or expirations since that date.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6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0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4"/>
              </w:rPr>
              <w:t>Warrants and Rights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2260" w:type="dxa"/>
            <w:vAlign w:val="bottom"/>
          </w:tcPr>
          <w:p>
            <w:pPr>
              <w:jc w:val="center"/>
              <w:ind w:right="38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535,698  (1)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4,934,173  (3)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535,698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4,934,173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-98425</wp:posOffset>
            </wp:positionV>
            <wp:extent cx="404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 w:lineRule="exact"/>
        <w:rPr>
          <w:sz w:val="20"/>
          <w:szCs w:val="20"/>
          <w:color w:val="auto"/>
        </w:rPr>
      </w:pPr>
    </w:p>
    <w:p>
      <w:pPr>
        <w:ind w:left="420" w:right="120" w:hanging="412"/>
        <w:spacing w:after="0" w:line="254"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common share unit awards. This number does not include 2,005,407 shares that are subject to then-outstanding, but unvested, restricted common share awards because those securities have been subtracted from the number of securities remaining available for future issuance under column (c).</w:t>
      </w:r>
    </w:p>
    <w:p>
      <w:pPr>
        <w:spacing w:after="0" w:line="191"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48" w:lineRule="exact"/>
        <w:rPr>
          <w:rFonts w:ascii="Arial" w:cs="Arial" w:eastAsia="Arial" w:hAnsi="Arial"/>
          <w:sz w:val="16"/>
          <w:szCs w:val="16"/>
          <w:color w:val="auto"/>
        </w:rPr>
      </w:pPr>
    </w:p>
    <w:p>
      <w:pPr>
        <w:ind w:left="420" w:hanging="412"/>
        <w:spacing w:after="0" w:line="271"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of the shares that remained available for future issuance as of December 31, 2017 were available under the 2013 Essent Group Ltd. Long-Term Incentive Plan, as amended and restated effective May 3, 2017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7,500,000 common shares are reserved and available for delivery under the amended and restated 2013 Plan.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fourth quarter of 2017.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89"/>
              </w:rPr>
              <w:t>Total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Average Price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2"/>
              </w:rPr>
              <w:t>Purchased</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Paid Per Share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2017</w:t>
            </w: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2017</w:t>
            </w:r>
          </w:p>
        </w:tc>
        <w:tc>
          <w:tcPr>
            <w:tcW w:w="13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60" w:type="dxa"/>
            <w:vAlign w:val="bottom"/>
            <w:gridSpan w:val="3"/>
          </w:tcPr>
          <w:p>
            <w:pPr>
              <w:jc w:val="right"/>
              <w:ind w:right="1548"/>
              <w:spacing w:after="0"/>
              <w:rPr>
                <w:sz w:val="20"/>
                <w:szCs w:val="20"/>
                <w:color w:val="auto"/>
              </w:rPr>
            </w:pPr>
            <w:r>
              <w:rPr>
                <w:rFonts w:ascii="Arial" w:cs="Arial" w:eastAsia="Arial" w:hAnsi="Arial"/>
                <w:sz w:val="18"/>
                <w:szCs w:val="18"/>
                <w:color w:val="auto"/>
              </w:rPr>
              <w:t>N/A</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2017</w:t>
            </w:r>
          </w:p>
        </w:tc>
        <w:tc>
          <w:tcPr>
            <w:tcW w:w="1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548"/>
              <w:spacing w:after="0"/>
              <w:rPr>
                <w:sz w:val="20"/>
                <w:szCs w:val="20"/>
                <w:color w:val="auto"/>
              </w:rPr>
            </w:pPr>
            <w:r>
              <w:rPr>
                <w:rFonts w:ascii="Arial" w:cs="Arial" w:eastAsia="Arial" w:hAnsi="Arial"/>
                <w:sz w:val="18"/>
                <w:szCs w:val="18"/>
                <w:color w:val="auto"/>
              </w:rPr>
              <w:t>N/A</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2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56" w:name="page57"/>
    <w:bookmarkEnd w:id="56"/>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0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8"/>
        </w:trPr>
        <w:tc>
          <w:tcPr>
            <w:tcW w:w="30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8"/>
              <w:spacing w:after="0"/>
              <w:rPr>
                <w:sz w:val="20"/>
                <w:szCs w:val="20"/>
                <w:color w:val="auto"/>
              </w:rPr>
            </w:pPr>
            <w:r>
              <w:rPr>
                <w:rFonts w:ascii="Arial" w:cs="Arial" w:eastAsia="Arial" w:hAnsi="Arial"/>
                <w:sz w:val="18"/>
                <w:szCs w:val="18"/>
                <w:color w:val="auto"/>
              </w:rPr>
              <w:t>570,186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441,278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370,568</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10"/>
              <w:spacing w:after="0"/>
              <w:rPr>
                <w:sz w:val="20"/>
                <w:szCs w:val="20"/>
                <w:color w:val="auto"/>
              </w:rPr>
            </w:pPr>
            <w:r>
              <w:rPr>
                <w:rFonts w:ascii="Arial" w:cs="Arial" w:eastAsia="Arial" w:hAnsi="Arial"/>
                <w:sz w:val="18"/>
                <w:szCs w:val="18"/>
                <w:color w:val="auto"/>
              </w:rPr>
              <w:t>276,778</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186,200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Increase in unearned premiums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(40,056)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(53,549)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(62,829)</w:t>
            </w:r>
          </w:p>
        </w:tc>
        <w:tc>
          <w:tcPr>
            <w:tcW w:w="0" w:type="dxa"/>
            <w:vAlign w:val="bottom"/>
          </w:tcPr>
          <w:p>
            <w:pPr>
              <w:spacing w:after="0"/>
              <w:rPr>
                <w:sz w:val="1"/>
                <w:szCs w:val="1"/>
                <w:color w:val="auto"/>
              </w:rPr>
            </w:pPr>
          </w:p>
        </w:tc>
      </w:tr>
      <w:tr>
        <w:trPr>
          <w:trHeight w:val="237"/>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8"/>
                <w:szCs w:val="18"/>
                <w:color w:val="auto"/>
              </w:rPr>
              <w:t>530,130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422,707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223,229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8"/>
              </w:rPr>
              <w:t>40,226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12,285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gridSpan w:val="3"/>
          </w:tcPr>
          <w:p>
            <w:pPr>
              <w:ind w:left="140"/>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8"/>
                <w:szCs w:val="18"/>
                <w:color w:val="auto"/>
              </w:rPr>
              <w:t>576,511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458,258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239,467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131,403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Provision for losses and LAE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98"/>
              </w:rPr>
              <w:t>27,232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15,525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6"/>
              </w:rPr>
              <w:t>Other underwriting and 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145,533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97,232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71,055</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5,178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177,943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124,892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103,540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73,376</w:t>
            </w:r>
          </w:p>
        </w:tc>
        <w:tc>
          <w:tcPr>
            <w:tcW w:w="0" w:type="dxa"/>
            <w:vAlign w:val="bottom"/>
          </w:tcPr>
          <w:p>
            <w:pPr>
              <w:spacing w:after="0"/>
              <w:rPr>
                <w:sz w:val="1"/>
                <w:szCs w:val="1"/>
                <w:color w:val="auto"/>
              </w:rPr>
            </w:pPr>
          </w:p>
        </w:tc>
      </w:tr>
      <w:tr>
        <w:trPr>
          <w:trHeight w:val="237"/>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8"/>
                <w:szCs w:val="18"/>
                <w:color w:val="auto"/>
              </w:rPr>
              <w:t>398,568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311,882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228,398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135,927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8"/>
              </w:rPr>
              <w:t>18,821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47,430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gridSpan w:val="4"/>
          </w:tcPr>
          <w:p>
            <w:pPr>
              <w:jc w:val="right"/>
              <w:ind w:right="28"/>
              <w:spacing w:after="0"/>
              <w:rPr>
                <w:sz w:val="20"/>
                <w:szCs w:val="20"/>
                <w:color w:val="auto"/>
              </w:rPr>
            </w:pPr>
            <w:r>
              <w:rPr>
                <w:rFonts w:ascii="Arial" w:cs="Arial" w:eastAsia="Arial" w:hAnsi="Arial"/>
                <w:sz w:val="18"/>
                <w:szCs w:val="18"/>
                <w:b w:val="1"/>
                <w:bCs w:val="1"/>
                <w:color w:val="auto"/>
              </w:rPr>
              <w:t>379,747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222,606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157,331</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8"/>
              </w:rPr>
              <w:t>88,497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65,413</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(EPS)(1):</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gridSpan w:val="3"/>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4720" w:type="dxa"/>
            <w:vAlign w:val="bottom"/>
            <w:gridSpan w:val="7"/>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Common Shares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98"/>
              </w:rPr>
              <w:t>93,330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90,351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83,986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Common Shares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98"/>
              </w:rPr>
              <w:t>95,211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85,602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00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rPr>
              <w:t>Balance sheet data</w:t>
            </w:r>
          </w:p>
        </w:tc>
        <w:tc>
          <w:tcPr>
            <w:tcW w:w="400" w:type="dxa"/>
            <w:vAlign w:val="bottom"/>
          </w:tcPr>
          <w:p>
            <w:pPr>
              <w:spacing w:after="0"/>
              <w:rPr>
                <w:sz w:val="12"/>
                <w:szCs w:val="12"/>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8"/>
        </w:trPr>
        <w:tc>
          <w:tcPr>
            <w:tcW w:w="3000" w:type="dxa"/>
            <w:vAlign w:val="bottom"/>
            <w:gridSpan w:val="4"/>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2,305,065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1,615,102</w:t>
            </w:r>
          </w:p>
        </w:tc>
        <w:tc>
          <w:tcPr>
            <w:tcW w:w="66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1,276,634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1,057,613</w:t>
            </w:r>
          </w:p>
        </w:tc>
        <w:tc>
          <w:tcPr>
            <w:tcW w:w="6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332,555</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Cash</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27,531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24,411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477,655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2,674,368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1,882,998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1,469,099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1,181,461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853,970</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Reserve for losses and LAE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46,850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28,142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Unearned premium reserve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259,672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219,616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156,948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103,399</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Credit facility borrowings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248,591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Amounts due under Asset Purchase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1,940,436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1,343,773</w:t>
            </w:r>
          </w:p>
        </w:tc>
        <w:tc>
          <w:tcPr>
            <w:tcW w:w="66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w w:val="92"/>
              </w:rPr>
              <w:t>1,119,241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955,738</w:t>
            </w:r>
          </w:p>
        </w:tc>
        <w:tc>
          <w:tcPr>
            <w:tcW w:w="66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722,141</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Selected additional data</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insurance written(2)</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43,858,322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34,949,319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26,193,656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24,799,434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21,152,638</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Loss ratio(3)</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 ratio(4)</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Combined ratio</w:t>
            </w: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Insurance portfolio</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in force</w:t>
            </w: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110,461,950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83,265,522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65,242,453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50,762,594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32,028,196</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Risk in force</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27,443,985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20,627,317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16,073,174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12,227,270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7,768,605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Policies in force</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496,477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375,898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297,437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229,721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141,417</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Loans in default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4,783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0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Insurance company capital</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0" w:type="dxa"/>
            <w:vAlign w:val="bottom"/>
            <w:gridSpan w:val="3"/>
            <w:shd w:val="clear" w:color="auto" w:fill="CCEEFF"/>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i w:val="1"/>
                <w:iCs w:val="1"/>
                <w:color w:val="auto"/>
              </w:rPr>
              <w:t>U.S. Mortgage Insurance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Subsidiaries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Combined statutory capital(5)</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1,528,869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1,144,279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913,182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705,890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469,424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Risk-to-capital ratios: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Essent Guaranty, Inc.</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15.3:1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of PA, Inc.</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Combined(6)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i w:val="1"/>
                <w:iCs w:val="1"/>
                <w:color w:val="auto"/>
              </w:rPr>
              <w:t>Essent Reinsurance Ltd.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Stockholder's equity (GAAP basis)</w:t>
            </w: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662,819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401,273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220,178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155,123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Net risk in force(7)</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6,299,437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4,181,737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2,364,692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835,976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hanging="412"/>
        <w:spacing w:after="0" w:line="285"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Prior to the initial public offering ("IPO") which was completed on November 5, 2013, the Company had two classes of common shares outstanding: Class A common shares and Class B-2 common shares. The Class A common shares accrued a 10% cumulative dividend and the Class B-2 common shares had no stated dividend rate with any dividends being declared at the discretion of the Company's Board of Directors. Accordingly, earnings (loss) per common share was calculated using the "two-class" method which provides that earnings and losses be allocated to each class of common shares according to dividends declared and their respective participation rights. Substantially all of the net income for the periods prior to the IPO was allocated to the Class A common shares for purposes of determining earnings per share. Upon the completion of the IPO, all of the Class A common shares and the Class B-2 common shares converted into a single class of common shares (the "Common Shares"). The weighted average Common Shares outstanding for 2013 in the table above includes: (a) the weighted average Common Shares outstanding for the period from November 5, 2013 until December 31, 2013, and (b) the weighted average Class B-2 common shares outstanding (adjusted for the 2 for 3 share split) for the period from January 1, 2013 until the date of the conversion to Common Shares at the IPO. For purposes of determining EPS in 2013, the net income allocated to the Class B-2 common shares and all net income of the Company for the period following the IPO are allocated to the Common Shares.</w:t>
      </w:r>
    </w:p>
    <w:p>
      <w:pPr>
        <w:spacing w:after="0" w:line="173" w:lineRule="exact"/>
        <w:rPr>
          <w:rFonts w:ascii="Arial" w:cs="Arial" w:eastAsia="Arial" w:hAnsi="Arial"/>
          <w:sz w:val="16"/>
          <w:szCs w:val="16"/>
          <w:color w:val="auto"/>
        </w:rPr>
      </w:pPr>
    </w:p>
    <w:p>
      <w:pPr>
        <w:ind w:left="420" w:right="20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losses and loss adjustment expenses ("LAE") by net premiums earned.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6" w:right="239" w:bottom="1440" w:gutter="0" w:footer="0" w:header="0"/>
        </w:sectPr>
      </w:pPr>
    </w:p>
    <w:bookmarkStart w:id="58" w:name="page59"/>
    <w:bookmarkEnd w:id="58"/>
    <w:p>
      <w:pPr>
        <w:ind w:left="412" w:hanging="412"/>
        <w:spacing w:after="0"/>
        <w:tabs>
          <w:tab w:leader="none" w:pos="4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25" w:lineRule="exact"/>
        <w:rPr>
          <w:rFonts w:ascii="Arial" w:cs="Arial" w:eastAsia="Arial" w:hAnsi="Arial"/>
          <w:sz w:val="18"/>
          <w:szCs w:val="18"/>
          <w:color w:val="auto"/>
        </w:rPr>
      </w:pPr>
    </w:p>
    <w:p>
      <w:pPr>
        <w:ind w:left="412" w:hanging="412"/>
        <w:spacing w:after="0" w:line="277" w:lineRule="auto"/>
        <w:tabs>
          <w:tab w:leader="none" w:pos="4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Combined statutory capital equals the sum of statutory capital of Essent Guaranty, Inc. plus Essent Guaranty of PA, Inc., after eliminating the impact of intercompany transactions.</w:t>
      </w:r>
    </w:p>
    <w:p>
      <w:pPr>
        <w:spacing w:after="0" w:line="170" w:lineRule="exact"/>
        <w:rPr>
          <w:rFonts w:ascii="Arial" w:cs="Arial" w:eastAsia="Arial" w:hAnsi="Arial"/>
          <w:sz w:val="18"/>
          <w:szCs w:val="18"/>
          <w:color w:val="auto"/>
        </w:rPr>
      </w:pPr>
    </w:p>
    <w:p>
      <w:pPr>
        <w:ind w:left="412" w:right="540" w:hanging="412"/>
        <w:spacing w:after="0" w:line="277" w:lineRule="auto"/>
        <w:tabs>
          <w:tab w:leader="none" w:pos="4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Combined risk-to-capital ratio equals the sum of net risk in force of Essent Guaranty, Inc. and Essent Guaranty of PA, Inc. divided by combined statutory capital.</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risk in force represents total risk in force, net of reinsurance ceded and net of exposures on policies for which loss reserves have been established.</w:t>
      </w:r>
    </w:p>
    <w:p>
      <w:pPr>
        <w:spacing w:after="0" w:line="275"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54</w:t>
      </w:r>
    </w:p>
    <w:p>
      <w:pPr>
        <w:sectPr>
          <w:pgSz w:w="11900" w:h="16838" w:orient="portrait"/>
          <w:cols w:equalWidth="0" w:num="1">
            <w:col w:w="11312"/>
          </w:cols>
          <w:pgMar w:left="248" w:top="800" w:right="339" w:bottom="1440" w:gutter="0" w:footer="0" w:header="0"/>
        </w:sectPr>
      </w:pPr>
    </w:p>
    <w:bookmarkStart w:id="59" w:name="page60"/>
    <w:bookmarkEnd w:id="59"/>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 Essent Guaranty, Inc., our wholly-owned insurance subsidiary, is licensed to write coverage in all 50 states and the District of Columbia. The financial strength of Essent Guaranty, Inc. is rated Baa1 with a stable outlook by Moody's Investors Service ("Moody's") and BBB+ with a stable outlook by S&amp;P Global Ratings ("S&amp;P").</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had master policy relationships with approximately 1,420 customers as of December 31, 2017. Our top ten customers represented approximately 45.8%, 35.1% and 36.6% of our new insurance written, or NIW, on a flow basis for the years ended December 31, 2017, 2016 and 2015, respectively. Our holding company is domiciled in Bermuda and our U.S. insurance business is headquartered in Radnor, Pennsylvania. We operate additional underwriting and service centers in Winston-Salem, North Carolina and Irvine, California. We have a highly experienced, talented team with 397 employees as of December 31, 2017. For the years ended December 31, 2017, 2016 and 2015, we generated NIW of approximately $43.9 billion, $34.9 billion and $26.2 billion, respectively. As of December 31, 2017, we had approximately $110.5 billion of insurance in force.</w:t>
      </w:r>
    </w:p>
    <w:p>
      <w:pPr>
        <w:spacing w:after="0" w:line="1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2017, Essent Re provided insurance or reinsurance relating to the risk in force on loans in reference pools acquired by Freddie Mac and Fannie Mae covering approximately $538.9 million of risk, including in connection with Freddie Mac's Agency Credit Insurance Structure ("ACIS") and Fannie Mae's Credit Insurance Risk Transfer ("CIRT") programs. Essent Re has also reinsured 25% of Essent Guaranty, Inc.'s GSE-eligible mortgage insurance NIW originated since July 1, 2014 under a quota share reinsurance agreement. The insurer financial strength rating of Essent Re is BBB+ with a stable outlook by S&amp;P.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Because a substantial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 On January 16, 2018, the FHFA offered its own perspectives on housing finance reform in a communication to Congressional leaders, including a proposal to privatize the GSEs with an explicit guarantee from the U.S. Government for catastrophic losses on their mortgage-backed securities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60" w:name="page61"/>
    <w:bookmarkEnd w:id="60"/>
    <w:p>
      <w:pPr>
        <w:ind w:right="40"/>
        <w:spacing w:after="0" w:line="255" w:lineRule="auto"/>
        <w:rPr>
          <w:sz w:val="20"/>
          <w:szCs w:val="20"/>
          <w:color w:val="auto"/>
        </w:rPr>
      </w:pPr>
      <w:r>
        <w:rPr>
          <w:rFonts w:ascii="Arial" w:cs="Arial" w:eastAsia="Arial" w:hAnsi="Arial"/>
          <w:sz w:val="18"/>
          <w:szCs w:val="18"/>
          <w:color w:val="auto"/>
        </w:rPr>
        <w:t>return for fees paid into a reserve fund. See "Business—Regulation—Federal Mortgage-Related Laws and Regulations—Housing Finance Reform," "Risk Factors—Risks Relating to Our Business—</w:t>
      </w:r>
      <w:r>
        <w:rPr>
          <w:rFonts w:ascii="Arial" w:cs="Arial" w:eastAsia="Arial" w:hAnsi="Arial"/>
          <w:sz w:val="18"/>
          <w:szCs w:val="18"/>
          <w:i w:val="1"/>
          <w:iCs w:val="1"/>
          <w:color w:val="auto"/>
        </w:rPr>
        <w:t>Legislative or regulatory actions or decisions to change the role of the GSEs in the U.S. housing market 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8"/>
          <w:szCs w:val="18"/>
          <w:color w:val="auto"/>
        </w:rPr>
        <w:t>" and "—</w:t>
      </w:r>
      <w:r>
        <w:rPr>
          <w:rFonts w:ascii="Arial" w:cs="Arial" w:eastAsia="Arial" w:hAnsi="Arial"/>
          <w:sz w:val="18"/>
          <w:szCs w:val="18"/>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w:t>
      </w:r>
    </w:p>
    <w:p>
      <w:pPr>
        <w:spacing w:after="0" w:line="19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2017, Essent Guaranty, Inc., our GSE-approved mortgage insurance company, was in compliance with the PMIERs.</w:t>
      </w:r>
    </w:p>
    <w:p>
      <w:pPr>
        <w:spacing w:after="0" w:line="16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Based on a confidential draft proposal that we received from the GSEs, we believe that updated PMIERs may be finalized in the first half of 2018 and become effective no sooner than the second half of 2018, 180 days after their release.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Dodd-Frank Act, the Consumer Financial Protection Bureau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Under the CFPB's final rule regarding QMs, which we refer to as the "QM Rule", a loan is deemed to be a QM if it has certain loan features, satisfies extensive documentation requirements and meets limitations on fees and points and APRs. 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 Persistency and Business Mix" and "Risk Factors—Risks Relating to Our Business—</w:t>
      </w:r>
      <w:r>
        <w:rPr>
          <w:rFonts w:ascii="Arial" w:cs="Arial" w:eastAsia="Arial" w:hAnsi="Arial"/>
          <w:sz w:val="16"/>
          <w:szCs w:val="16"/>
          <w:i w:val="1"/>
          <w:iCs w:val="1"/>
          <w:color w:val="auto"/>
        </w:rPr>
        <w:t>Our business prospects and operating results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if, and to the extent that, the Consumer Financial Protection Bureau's ("CFPB") final rule defining a qualified mortgage ("QM") reduces the size of the origination market or creates incentives to use government mortgage insurance programs."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Dodd-Frank Act provides for an originator or issuer risk retention requirement on securitized mortgage loans that do not meet the definition of a QRM. 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"Business—Regulation—Federal Mortgage-Related Laws and Regulation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61" w:name="page62"/>
    <w:bookmarkEnd w:id="61"/>
    <w:p>
      <w:pPr>
        <w:ind w:right="100"/>
        <w:spacing w:after="0" w:line="264" w:lineRule="auto"/>
        <w:rPr>
          <w:sz w:val="20"/>
          <w:szCs w:val="20"/>
          <w:color w:val="auto"/>
        </w:rPr>
      </w:pPr>
      <w:r>
        <w:rPr>
          <w:rFonts w:ascii="Arial" w:cs="Arial" w:eastAsia="Arial" w:hAnsi="Arial"/>
          <w:sz w:val="18"/>
          <w:szCs w:val="18"/>
          <w:color w:val="auto"/>
        </w:rPr>
        <w:t>—Dodd-Frank Act—Qualified Residential Mortgage Regulations—Risk Retention Requirements" and "Risk Factors—Risks Relating to Our Business—</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insurance we write could be adversely affected by the implementation of the Dodd-Frank Act's risk retention requirements and the definition of Qualified Residential Mortgage ("QRM")</w:t>
      </w:r>
      <w:r>
        <w:rPr>
          <w:rFonts w:ascii="Arial" w:cs="Arial" w:eastAsia="Arial" w:hAnsi="Arial"/>
          <w:sz w:val="18"/>
          <w:szCs w:val="18"/>
          <w:color w:val="auto"/>
        </w:rPr>
        <w: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compete with the single-family mortgage insurance programs of the FHA, which is part of the Department of Housing and Urban Development. The most recent FHA report to Congress dated November 15, 2017 on the financial status of the FHA's Mutual Mortgage Insurance Fund, or MMIF, showed the capital reserve ratio of the MMIF at 2.09%,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 See "Risk Factors—Risks Relating to Our Business—</w:t>
      </w:r>
      <w:r>
        <w:rPr>
          <w:rFonts w:ascii="Arial" w:cs="Arial" w:eastAsia="Arial" w:hAnsi="Arial"/>
          <w:sz w:val="17"/>
          <w:szCs w:val="17"/>
          <w:i w:val="1"/>
          <w:iCs w:val="1"/>
          <w:color w:val="auto"/>
        </w:rPr>
        <w:t>The amount of insurance we may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write could be adversely affected if lenders and investors select alternatives to private mortgage insurance.</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December 22, 2017, the “Tax Cuts and Jobs Act” (“TCJA”) was enacted. The provisions of TCJA include broad tax reforms that are applicable to the Company, including a reduction in the U.S. corporate tax rate from 35% to 21% effective January 1, 2018. This change in tax rates required us to remeasure our deferred tax assets and liabilities as of the enactment date resulting in a one-time $85.1 million income tax benefit in the accompanying consolidated statement of comprehensive income for the year ended December 31, 2017. In addition, TCJA includes a base erosion and anti-abuse tax (“BEAT”). The BEAT is an alternative tax which must be paid if it is greater than the Company's regular tax liability. This alternative base erosion tax, if applicable, may limit or eliminate the tax benefit associated with certain base erosion payments. Premiums ceded by Essent Guaranty, Inc. under the quota share reinsurance agreement to Essent Re are considered base erosion payments under TCJA. The Company may be subject to the BEAT tax in future periods depending on the earnings of the Company’s U.S. insurance companies and the level of premiums ceded to Essent Re. See "Risk Factors—Risks Relating to Taxes—</w:t>
      </w:r>
      <w:r>
        <w:rPr>
          <w:rFonts w:ascii="Arial" w:cs="Arial" w:eastAsia="Arial" w:hAnsi="Arial"/>
          <w:sz w:val="17"/>
          <w:szCs w:val="17"/>
          <w:i w:val="1"/>
          <w:iCs w:val="1"/>
          <w:color w:val="auto"/>
        </w:rPr>
        <w:t>Proposed U.S. tax legislation could have an adverse impact on us or holders of our common shares.</w:t>
      </w:r>
      <w:r>
        <w:rPr>
          <w:rFonts w:ascii="Arial" w:cs="Arial" w:eastAsia="Arial" w:hAnsi="Arial"/>
          <w:sz w:val="17"/>
          <w:szCs w:val="17"/>
          <w:color w:val="auto"/>
        </w:rPr>
        <w:t>"</w:t>
      </w:r>
    </w:p>
    <w:p>
      <w:pPr>
        <w:spacing w:after="0" w:line="394" w:lineRule="exact"/>
        <w:rPr>
          <w:sz w:val="20"/>
          <w:szCs w:val="20"/>
          <w:color w:val="auto"/>
        </w:rPr>
      </w:pPr>
    </w:p>
    <w:p>
      <w:pPr>
        <w:jc w:val="center"/>
        <w:ind w:right="800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20" w:hanging="247"/>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60" w:hanging="247"/>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400" w:hanging="247"/>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jc w:val="both"/>
        <w:ind w:right="360" w:firstLine="432"/>
        <w:spacing w:after="0" w:line="256" w:lineRule="auto"/>
        <w:rPr>
          <w:sz w:val="20"/>
          <w:szCs w:val="20"/>
          <w:color w:val="auto"/>
        </w:rPr>
      </w:pPr>
      <w:r>
        <w:rPr>
          <w:rFonts w:ascii="Arial" w:cs="Arial" w:eastAsia="Arial" w:hAnsi="Arial"/>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w:t>
      </w:r>
    </w:p>
    <w:p>
      <w:pPr>
        <w:spacing w:after="0" w:line="261" w:lineRule="auto"/>
        <w:rPr>
          <w:sz w:val="20"/>
          <w:szCs w:val="20"/>
          <w:color w:val="auto"/>
        </w:rPr>
      </w:pPr>
      <w:r>
        <w:rPr>
          <w:rFonts w:ascii="Arial" w:cs="Arial" w:eastAsia="Arial" w:hAnsi="Arial"/>
          <w:sz w:val="18"/>
          <w:szCs w:val="18"/>
          <w:color w:val="auto"/>
        </w:rPr>
        <w:t>original mortgage amount rather than the amortized loan balance. Net premiums written may be in excess of net premiums earned due to single premium policies. For single premiums, we receive a single premium payment at origination, which is recorded as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2017 were non-refundable. Premiums collected on annual policies are recognized as net premiums earned on a straight-line basis over the year of coverage. For the year ended December 31, 2017, monthly and single premium policies comprised 83.7% and 16.3% of our NIW, respectively.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83.9% at December 31, 2017. Generally, higher prepayment speeds lead to lower persistency.</w:t>
      </w:r>
    </w:p>
    <w:p>
      <w:pPr>
        <w:spacing w:after="0" w:line="18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December 31, 2017.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2018 and provides for one subsequent one-year renewal at Triad’s option. See Note 5 to our consolidated financial statements.</w:t>
      </w:r>
    </w:p>
    <w:p>
      <w:pPr>
        <w:spacing w:after="0" w:line="19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Through June 30, 2016, the insurance and certain of the reinsurance policies issued by Essent Re in connection with the ACIS program were previously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In the quarter ended September 30, 2016, these policies were amended and are now accounted for as insurance rather than as derivatives. See Note 16 to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3" w:name="page64"/>
    <w:bookmarkEnd w:id="63"/>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400" w:hanging="247"/>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400" w:hanging="247"/>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247"/>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60" w:hanging="247"/>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81% of our IIF as of December 31, 2017 having been originated since January 1, 2015. As a result, based on historical industry performance, we expect the number of defaults and claims we experience, as well as our provision for losses and loss adjustment expenses, to increase as our portfolio seasons. See "—Mortgage Insurance Earnings and Cash Flow Cycle" below.</w:t>
      </w:r>
    </w:p>
    <w:p>
      <w:pPr>
        <w:spacing w:after="0" w:line="18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18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December 31, 2017, 81% of our IIF relates to business written since January 1, 2015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increased by 3,026 in the year ended December 31, 2017, including 2,288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4" w:name="page65"/>
    <w:bookmarkEnd w:id="64"/>
    <w:p>
      <w:pPr>
        <w:ind w:right="120"/>
        <w:spacing w:after="0" w:line="255" w:lineRule="auto"/>
        <w:rPr>
          <w:sz w:val="20"/>
          <w:szCs w:val="20"/>
          <w:color w:val="auto"/>
        </w:rPr>
      </w:pPr>
      <w:r>
        <w:rPr>
          <w:rFonts w:ascii="Arial" w:cs="Arial" w:eastAsia="Arial" w:hAnsi="Arial"/>
          <w:sz w:val="18"/>
          <w:szCs w:val="18"/>
          <w:color w:val="auto"/>
        </w:rPr>
        <w:t>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2017, we applied a lower estimated claim rate to new default notices received in the fourth quarter of 2017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most significant expense is compensation and benefits for our employees, which represented 63%, 64% and 64% of other underwriting and operating expenses for the years ended December 31, 2017, 2016 and 2015, respectively. Compensation and benefits expense includes base and incentive cash compensation, stock compensation expense, benefits and payroll taxes. Compensation and benefits expense has steadily increased as we have increased our staffing from 332 employees at January 1, 2015 to 397 at December 31, 2017,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2018 as compared to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is incurred as a result of borrowings under our amended and restated four-year, secured credit facility with a committed capacity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$375 million (the “Credit Facility”). Borrowings under the Credit Facility may be used for working capital and general corporate purposes,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capital contributions to Essent’s insurance and reinsurance subsidiaries. Borrowings accrue interest at a floating rate tied to a standard short-term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 index, selected at the Company’s option, plus an applicable margin.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Inc., an affiliate. Essent Re also provides insurance and reinsurance to Freddie Mac and Fannie Mae.</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84"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From 2010, when we first began writing policies, through December 31, 2017, we have increased our NIW annually. We have also grown the number of customers who have approved us to provide mortgage insurance over this period, as well as increased our NIW from certain customers. The following table includes a summary of the change in our IIF for the years ended December 31, 2017, 2016 and 2015 for our U.S. mortgage insurance portfolio. In addition, this table includes our risk in force ("RIF") at the end of each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83,265,522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50,762,594</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NIW</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43,858,322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34,949,319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26,193,656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(16,661,894)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(16,926,250)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(11,713,797)</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IIF,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110,461,950</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83,265,522</w:t>
            </w: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65,242,453</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IIF during the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96,039,418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72,970,600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57,754,846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RIF,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27,443,985</w:t>
            </w:r>
          </w:p>
        </w:tc>
        <w:tc>
          <w:tcPr>
            <w:tcW w:w="80" w:type="dxa"/>
            <w:vAlign w:val="bottom"/>
          </w:tcPr>
          <w:p>
            <w:pPr>
              <w:spacing w:after="0"/>
              <w:rPr>
                <w:sz w:val="21"/>
                <w:szCs w:val="21"/>
                <w:color w:val="auto"/>
              </w:rPr>
            </w:pPr>
          </w:p>
        </w:tc>
        <w:tc>
          <w:tcPr>
            <w:tcW w:w="48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20,627,317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16,073,174</w:t>
            </w:r>
          </w:p>
        </w:tc>
      </w:tr>
      <w:tr>
        <w:trPr>
          <w:trHeight w:val="459"/>
        </w:trPr>
        <w:tc>
          <w:tcPr>
            <w:tcW w:w="6080" w:type="dxa"/>
            <w:vAlign w:val="bottom"/>
            <w:gridSpan w:val="2"/>
          </w:tcPr>
          <w:p>
            <w:pPr>
              <w:ind w:left="440"/>
              <w:spacing w:after="0"/>
              <w:rPr>
                <w:sz w:val="20"/>
                <w:szCs w:val="20"/>
                <w:color w:val="auto"/>
              </w:rPr>
            </w:pPr>
            <w:r>
              <w:rPr>
                <w:rFonts w:ascii="Arial" w:cs="Arial" w:eastAsia="Arial" w:hAnsi="Arial"/>
                <w:sz w:val="18"/>
                <w:szCs w:val="18"/>
                <w:color w:val="auto"/>
                <w:w w:val="98"/>
              </w:rPr>
              <w:t>The following is a summary of our IIF at December 31, 2017 by vintage:</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15"/>
        </w:trPr>
        <w:tc>
          <w:tcPr>
            <w:tcW w:w="6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42,058,537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30,252,690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27.4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17,283,506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10,794,703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6,905,742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2012 and prior</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3,166,772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2.9</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110,461,950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w:t>
      </w:r>
    </w:p>
    <w:p>
      <w:pPr>
        <w:spacing w:after="0" w:line="4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mix of monthly premiums compared to single premiums in our portfolio; (3) cancellations of non-refundable single premiums during the period;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to our pricing. For the years ended December 31, 2017, 2016 and 2015, our average premium rate was 0.53%, 0.57% and 0.56%, respectively.</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5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December 31, 2017, our combined net risk in force for our U.S. insurance companies was $21.6 billion and our combined statutory capital was $1.5 billion, resulting in a risk-to-capital ratio of 14.2:1. The amount of capital required varies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6" w:name="page67"/>
    <w:bookmarkEnd w:id="66"/>
    <w:p>
      <w:pPr>
        <w:ind w:right="40"/>
        <w:spacing w:after="0" w:line="276" w:lineRule="auto"/>
        <w:rPr>
          <w:sz w:val="20"/>
          <w:szCs w:val="20"/>
          <w:color w:val="auto"/>
        </w:rPr>
      </w:pPr>
      <w:r>
        <w:rPr>
          <w:rFonts w:ascii="Arial" w:cs="Arial" w:eastAsia="Arial" w:hAnsi="Arial"/>
          <w:sz w:val="17"/>
          <w:szCs w:val="17"/>
          <w:color w:val="auto"/>
        </w:rPr>
        <w:t>in each jurisdiction in which we operate; however, generally, the maximum permitted risk-to-capital ratio is 25.0 to 1. State insurance regulators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570,186</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441,278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370,568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530,130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576,511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145,533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130,425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112,987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146,376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124,892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89,276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71,067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379,747</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222,606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157,331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For the year ended December 31, 2017, we reported net income of $379.7 million, compared to net income of $222.6 million for the year ended December 31, 2016. The increase in our operating results in 2017 over 2016 was primarily due to the increase in net premiums earned associated with the growth of our IIF, the increase in net investment income and the decrease in income taxes due largely to an $85.1 million income tax benefit associated with the one-time impact of the reduced U.S. corporate income tax rate on the company's net deferred tax liability position. These increases were partially offset by increases in other underwriting and operating expenses, the provision for losses and loss adjustment expenses and interest expense.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Net premiums earned increased in the year ended December 31, 2017 by 25% compared to the year ended December 31, 2016 primarily due to the increase in our average IIF from $73.0 billion in 2016 to $96.0 billion in 2017, partially offset by the decrease in average premium rate from 0.57% for the year ended December 31, 2016 to 0.53% for the year ended December 31, 2017. The decrease in the average premium rate during the year ended December 31, 2017 is due primarily to the decrease in premium earned on the cancellation of non-refundable single premium policies.</w:t>
      </w:r>
    </w:p>
    <w:p>
      <w:pPr>
        <w:spacing w:after="0" w:line="15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Net premiums written increased in the year ended December 31, 2017 by 29% over the prior year. The increase was due primarily to the increase in average IIF of 32% for the year ended December 31, 2017 as compared to the year ended December 31,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7" w:name="page68"/>
    <w:bookmarkEnd w:id="67"/>
    <w:p>
      <w:pPr>
        <w:ind w:right="60" w:firstLine="432"/>
        <w:spacing w:after="0" w:line="276" w:lineRule="auto"/>
        <w:rPr>
          <w:sz w:val="20"/>
          <w:szCs w:val="20"/>
          <w:color w:val="auto"/>
        </w:rPr>
      </w:pPr>
      <w:r>
        <w:rPr>
          <w:rFonts w:ascii="Arial" w:cs="Arial" w:eastAsia="Arial" w:hAnsi="Arial"/>
          <w:sz w:val="17"/>
          <w:szCs w:val="17"/>
          <w:color w:val="auto"/>
        </w:rPr>
        <w:t>In the year ended December 31, 2017, unearned premiums increased by $40.1 million as a result of net premiums written on single premium policies of $114.3 million which was partially offset by $74.2 million of unearned premium that was recognized in earnings during the year. In the year ended December 31, 2016, unearned premiums increased by $18.6 million as a result of net premiums written on single premium policies of $99.4 million which was partially offset by $80.8 million of unearned premium that was recognized in earnings during the year. Included in unearned premium recognized was $23.2 million and $36.9 million related to policy cancellations for the year ended December 31, 2017 and 2016,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29,865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42,954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27,890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increase in net investment income to $40.2 million for the year ended December 31, 2017 as compared to $27.9 million for the year ended December 31, 2016 was due to the increase in the weighted average balance of our investment portfolio and the increase in the pre-tax investment income yield. The average cash and investment portfolio balance increased to $1.9 billion during the year ended December 31, 2017 from $1.4 billion during the year ended December 31, 2016, primarily as a result of investing cash flows generated from operations, proceeds from the public offering of common shares completed in August and borrowings under our Credit Facility. The pre-tax investment income yield increased from 2.1% in the year ended December 31, 2016 to 2.2% in the year ended December 31, 2017 primarily due to the increase in the portion of our investment portfolio invested in spread and duration assets. The pre-tax investment income yields are calculated based on amortized cost and exclude investment expenses. See "—Liquidity and Capital Resources" for further details of our investment portfolio.</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and contract underwriting revenues. In 2016, other income also included changes in the fair value of the insurance and certain reinsurance policies issued by Essent Re under the ACIS program. These policies were amended in the three months ended September 30, 2016 and are accounted for as insurance rather than as derivatives subsequent to their amendment. The decrease in other income for the year ended December 31, 2017 as compared to the same period in 2016, was primarily due to the favorable net valuation adjustments recorded in 2016 associated with ACIS contracts formerly accounted for as insurance rather than as derivatives, and the decrease in Triad service fees associated with the reduction in the number of Triad's mortgage insurance policies in force. The fees earned from Triad will continue to decrease over time as Triad's existing policies are cancelled.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increase in the provision for losses and LAE in 2017 as compared to 2016 was primarily due to the increase in the number of insured loans in default, partially offset by previously identified defaults that cured.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gridSpan w:val="2"/>
          </w:tcPr>
          <w:p>
            <w:pPr>
              <w:ind w:left="8780"/>
              <w:spacing w:after="0"/>
              <w:rPr>
                <w:sz w:val="20"/>
                <w:szCs w:val="20"/>
                <w:color w:val="auto"/>
              </w:rPr>
            </w:pPr>
            <w:r>
              <w:rPr>
                <w:rFonts w:ascii="Arial" w:cs="Arial" w:eastAsia="Arial" w:hAnsi="Arial"/>
                <w:sz w:val="14"/>
                <w:szCs w:val="14"/>
                <w:b w:val="1"/>
                <w:bCs w:val="1"/>
                <w:color w:val="auto"/>
                <w:w w:val="96"/>
              </w:rPr>
              <w:t>2017</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3,746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1,757</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The increase in the number of defaults at December 31, 2017 compared to December 31, 2016 was primarily due to the increase in defaulted loans in the areas impacted by Hurricanes Harvey and Irma, as well as the increase in our IIF and policies in force, along with further seasoning of our insurance portfolio. In 2017, loans in default increased by a total of 3,026, including 2,288 defaults we identified as hurricane-related defaults.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42,868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25,758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46,850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28,142</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14.7</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decrease in the average total reserve per default was primarily due to a lower total reserve per hurricane-related default. Based on prior industry experience, we expect the ultimate number of hurricane-related defaults that result in claims will be less than the default-to-claim experience of non-hurricane-related defaults. Accordingly, when establishing our loss reserves as of December 31, 2017, we applied a lower estimated claim rate to new default notices received in the fourth quarter of 2017 from the affected areas than the claim rate we apply to other notices in our default inventory. The reserve for losses and LAE on hurricane-related defaults was $11.1 million at December 31, 2017. Also contributing to the decrease in the average case reserve per default were changes in the composition (such as mark-to-market loan-to-value ratios, risk in force, and number of months past due) of the underlying loans in default and improvements in economic fundamentals.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21,889</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4,216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46,850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28,142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84"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15,925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187,163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18,087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73,547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6,781</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11,139</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42,868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274,204</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6,615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50,737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11,505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32,833</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9,575</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2,272</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95,417</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year ended December 31, 2017, the provision for losses and LAE was $27.2 million, comprised of $38.2 million of current year losses partially offset by $10.9 million of favorable prior years' loss development. During the year ended December 31, 2016, the provision for losses and LAE was $15.5 million, comprised of $21.9 million of current year losses partially offset by $6.4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Amount of claims paid</w:t>
            </w:r>
          </w:p>
        </w:tc>
        <w:tc>
          <w:tcPr>
            <w:tcW w:w="4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5,028</w:t>
            </w:r>
          </w:p>
        </w:tc>
      </w:tr>
      <w:tr>
        <w:trPr>
          <w:trHeight w:val="27"/>
        </w:trPr>
        <w:tc>
          <w:tcPr>
            <w:tcW w:w="36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675"/>
        </w:trPr>
        <w:tc>
          <w:tcPr>
            <w:tcW w:w="3660" w:type="dxa"/>
            <w:vAlign w:val="bottom"/>
          </w:tcPr>
          <w:p>
            <w:pPr>
              <w:spacing w:after="0"/>
              <w:rPr>
                <w:sz w:val="24"/>
                <w:szCs w:val="24"/>
                <w:color w:val="auto"/>
              </w:rPr>
            </w:pPr>
          </w:p>
        </w:tc>
        <w:tc>
          <w:tcPr>
            <w:tcW w:w="4220" w:type="dxa"/>
            <w:vAlign w:val="bottom"/>
          </w:tcPr>
          <w:p>
            <w:pPr>
              <w:jc w:val="right"/>
              <w:ind w:right="19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90,964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84,044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54,569</w:t>
            </w:r>
          </w:p>
        </w:tc>
        <w:tc>
          <w:tcPr>
            <w:tcW w:w="10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46,381</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7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145,533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130,425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376</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20" w:hanging="247"/>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increases in the size of our workforce and stock compensation. Our workforce increased to 397 at December 31, 2017 from 366 at January 1, 2016, as additional employees were hired to support the growth in our business, primarily in our business development and operations functions.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 xml:space="preserve">Our subsidiaries in the United States file a consolidated U.S. Federal income tax return. Our income tax expense was $18.8 million for the year ended December 31, 2017 compared to $89.3 million for the year ended December 31, 2016. Income tax expense for the year ended December 31, 2017 was calculated using an effective tax rate of 26.9% and was reduced by $85.1 million of income tax benefits associated with the one-time impact of the reduced U.S. statutory corporate income tax rate on the company's net deferred tax liability position and $3.2 million of excess tax benefits associated with the vesting of common shares and common share units during the period as required by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(Topic 718), adopted on January 1, 2017. Prior to the adoption of ASU 2016-09, excess tax benefits were recognized in additional paid-in-capital. Our effective tax rate was 28.6% for the year ended 2016. During 2017, the proportion of our consolidated earnings generated in Bermuda increased as a result of insurance and reinsurance contracts executed with Freddie Mac and Fannie Mae and the quota share reinsurance agreement between Essent Guaranty, Inc. and Essent Re. Bermuda does not have a corporate income tax. In 2018, as a result of the reduction of the U.S. statutory corporate income tax rate to 21% and the expected portion of our consolidated earnings to be generated in Bermuda, we anticipate that our effective tax rate will be approximately 16%-17%.</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and 2016, we concluded that it was more likely than not that our deferred tax assets would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For the year ended December 31, 2016, we reported net income of $222.6 million, compared to net income of $157.3 million for the year ended December 31, 2015. The increase in our operating results in 2016 over 2015 was primarily due to an increase in net premiums earned associated with the growth of our IIF and increases in net investment income, partially offset by increases in other underwriting and operating expenses, the provision for losses and loss adjustment expenses and income taxes.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premiums earned increased in the year ended December 31, 2016 by 29% compared to the year ended December 31, 2015 primarily due to the increase in our average IIF from $57.8 billion in 2015 to $73.0 billion in 2016, as well as an increase in average premium rate from 0.56% for the year ended December 31, 2015 to 0.57% for the year ended December 31,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71" w:name="page72"/>
    <w:bookmarkEnd w:id="71"/>
    <w:p>
      <w:pPr>
        <w:ind w:right="120"/>
        <w:spacing w:after="0" w:line="277" w:lineRule="auto"/>
        <w:rPr>
          <w:sz w:val="20"/>
          <w:szCs w:val="20"/>
          <w:color w:val="auto"/>
        </w:rPr>
      </w:pPr>
      <w:r>
        <w:rPr>
          <w:rFonts w:ascii="Arial" w:cs="Arial" w:eastAsia="Arial" w:hAnsi="Arial"/>
          <w:sz w:val="18"/>
          <w:szCs w:val="18"/>
          <w:color w:val="auto"/>
        </w:rPr>
        <w:t>The increase in the average premium rate during the year ended December 31, 2016 is due primarily to an increase in premium earned on the cancellation of non-refundable single premium policies.</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premiums written increased in the year ended December 31, 2016 by 19% over the prior year. The increase was due primarily to the increase in average IIF of 26% for the year ended December 31, 2016 as compared to the year ended December 31, 2015.</w:t>
      </w:r>
    </w:p>
    <w:p>
      <w:pPr>
        <w:spacing w:after="0" w:line="1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year ended December 31, 2016, unearned premiums increased by $18.6 million as a result of net premiums written on single premium policies of $99.4 million which was partially offset by $80.8 million of unearned premium that was recognized in earnings during the year. In the year ended December 31, 2015, unearned premiums increased by $44.1 million as a result of net premiums written on single premium policies of $101.1 million which was partially offset by $57.0 million of unearned premium that was recognized in earnings during the year. Included in unearned premium recognized was $36.9 million and $21.8 million related to policy cancellations for the year ended December 31, 2016 and 2015,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21,693</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63</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21,756</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(1,871)</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19,885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increase in net investment income to $27.9 million for the year ended December 31, 2016 as compared to $19.9 million for the year ended December 31, 2015, was due to an increase in the weighted average balance of our investment portfolio and an increase in the pre-tax investment income yield. The average cash and investment portfolio balance increased to $1.4 billion during the year ended December 31, 2016 from $1.2 billion during the year ended December 31, 2015 primarily as a result of investing cash flows generated from operations. The pre-tax investment income yield increased from 1.9% in the year ended December 31, 2015 to 2.1% in the year ended December 31, 2016 primarily due to the increase in the portion of our investment portfolio invested in spread and duration assets. The pre-tax investment income yields are calculated based on amortized cost and exclude investment expenses. See "—Liquidity and Capital Resources" for further details of our investment portfolio.</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year ended December 31, 2016 compared to the same period in 2015 was primarily due to an increase in favorable net valuation adjustments associated with ACIS contracts formerly accounted for as insurance rather than as derivatives and an increase in contract underwriting revenue, partially offset by a decrease in Triad service fees associated with a reduction in the number of Triad's mortgage insurance policies in force. The fees earned from Triad will continue to decrease over time as Triad's existing policies are cancelled.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increase in the provision for losses and LAE in 2016 as compared to 2015 was primarily due to an increase in the number of insured loans in default, partially offset by previously identified defaults that cured.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84" w:right="25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3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60" w:type="dxa"/>
            <w:vAlign w:val="bottom"/>
            <w:gridSpan w:val="2"/>
          </w:tcPr>
          <w:p>
            <w:pPr>
              <w:ind w:left="872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2,034</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(2,857)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1,028</w:t>
            </w:r>
          </w:p>
        </w:tc>
      </w:tr>
      <w:tr>
        <w:trPr>
          <w:trHeight w:val="27"/>
        </w:trPr>
        <w:tc>
          <w:tcPr>
            <w:tcW w:w="8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increase in the number of defaults at December 31, 2016 compared to December 31, 2015 was primarily due to an increase in our IIF and policies in force, as well as further seasoning of our insurance portfolio.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16,272</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320" w:type="dxa"/>
            <w:vAlign w:val="bottom"/>
          </w:tcPr>
          <w:p>
            <w:pPr>
              <w:spacing w:after="0"/>
              <w:rPr>
                <w:sz w:val="21"/>
                <w:szCs w:val="21"/>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1,028</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8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 and improvements in economic fundamentals.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382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3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14,956</w:t>
            </w:r>
          </w:p>
        </w:tc>
        <w:tc>
          <w:tcPr>
            <w:tcW w:w="0" w:type="dxa"/>
            <w:vAlign w:val="bottom"/>
          </w:tcPr>
          <w:p>
            <w:pPr>
              <w:spacing w:after="0"/>
              <w:rPr>
                <w:sz w:val="1"/>
                <w:szCs w:val="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Incurred losses during the current year</w:t>
            </w:r>
          </w:p>
        </w:tc>
        <w:tc>
          <w:tcPr>
            <w:tcW w:w="3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3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year</w:t>
            </w:r>
          </w:p>
        </w:tc>
        <w:tc>
          <w:tcPr>
            <w:tcW w:w="3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57"/>
        </w:trPr>
        <w:tc>
          <w:tcPr>
            <w:tcW w:w="4640" w:type="dxa"/>
            <w:vAlign w:val="bottom"/>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344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28,142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300" w:type="dxa"/>
            <w:vAlign w:val="bottom"/>
            <w:vMerge w:val="restart"/>
          </w:tcPr>
          <w:p>
            <w:pPr>
              <w:jc w:val="right"/>
              <w:ind w:right="209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6,615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50,737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11,505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32,833</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9,575</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95,417</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2015</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29,003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8,283</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20,825</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4,299</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844</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54,971</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year ended December 31, 2016, the provision for losses and LAE was $15.5 million, comprised of $21.9 million of current year losses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$6.4 million of favorable prior years' loss development. During the year ended December 31, 2015, the provision for losses and LAE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 million, comprised of $15.0 million of current year losses partially offset by $3.1 million of favorable prior years' loss development. In both periods,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favorable prior years' loss development was the result of a re-estimation of amounts ultimately to be paid on prior year defaults in the default inventory,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including the impact of previously identified defaults that cured.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Amount of claims paid</w:t>
            </w:r>
          </w:p>
        </w:tc>
        <w:tc>
          <w:tcPr>
            <w:tcW w:w="4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2,498</w:t>
            </w:r>
          </w:p>
        </w:tc>
      </w:tr>
      <w:tr>
        <w:trPr>
          <w:trHeight w:val="27"/>
        </w:trPr>
        <w:tc>
          <w:tcPr>
            <w:tcW w:w="36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675"/>
        </w:trPr>
        <w:tc>
          <w:tcPr>
            <w:tcW w:w="3660" w:type="dxa"/>
            <w:vAlign w:val="bottom"/>
          </w:tcPr>
          <w:p>
            <w:pPr>
              <w:spacing w:after="0"/>
              <w:rPr>
                <w:sz w:val="24"/>
                <w:szCs w:val="24"/>
                <w:color w:val="auto"/>
              </w:rPr>
            </w:pPr>
          </w:p>
        </w:tc>
        <w:tc>
          <w:tcPr>
            <w:tcW w:w="4440" w:type="dxa"/>
            <w:vAlign w:val="bottom"/>
          </w:tcPr>
          <w:p>
            <w:pPr>
              <w:jc w:val="right"/>
              <w:ind w:right="22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022" w:right="23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84,044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72,229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46,381</w:t>
            </w:r>
          </w:p>
        </w:tc>
        <w:tc>
          <w:tcPr>
            <w:tcW w:w="120" w:type="dxa"/>
            <w:vAlign w:val="bottom"/>
          </w:tcPr>
          <w:p>
            <w:pPr>
              <w:spacing w:after="0"/>
              <w:rPr>
                <w:sz w:val="21"/>
                <w:szCs w:val="21"/>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40,758</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130,425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112,987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366</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0" w:hanging="247"/>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increases in incentive compensation, stock compensation and the size of our workforce, which increased to 376 at December 31, 2016 from 332 at January 1, 2015, as additional employees were hired to support the growth in our business, including in our sales organization.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was$89.3 million for the year ended December 31, 2016 compared to $71.1 million for the year ended December 31, 2015. Our effective tax rate was 28.6% and 31.1% for the years ended December 31, 2016 and 2015, respectively. During 2016, the proportion of our consolidated earnings generated in Bermuda increased as a result of insurance and reinsurance contracts executed with Freddie Mac and Fannie Mae and the quota share reinsurance agreement between Essent Guaranty, Inc. and Essent Re. Bermuda does not have a corporate income tax.</w:t>
      </w:r>
    </w:p>
    <w:p>
      <w:pPr>
        <w:spacing w:after="0" w:line="188" w:lineRule="exact"/>
        <w:rPr>
          <w:sz w:val="20"/>
          <w:szCs w:val="20"/>
          <w:color w:val="auto"/>
        </w:rPr>
      </w:pPr>
    </w:p>
    <w:p>
      <w:pPr>
        <w:ind w:right="2600" w:firstLine="405"/>
        <w:spacing w:after="0" w:line="277" w:lineRule="auto"/>
        <w:rPr>
          <w:sz w:val="20"/>
          <w:szCs w:val="20"/>
          <w:color w:val="auto"/>
        </w:rPr>
      </w:pPr>
      <w:r>
        <w:rPr>
          <w:rFonts w:ascii="Arial" w:cs="Arial" w:eastAsia="Arial" w:hAnsi="Arial"/>
          <w:sz w:val="18"/>
          <w:szCs w:val="18"/>
          <w:color w:val="auto"/>
        </w:rPr>
        <w:t>At December 31, 2016 and 2015, we concluded that it was more likely than not that our deferred tax assets would be realized.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4" w:right="239" w:bottom="1440" w:gutter="0" w:footer="0" w:header="0"/>
          <w:type w:val="continuous"/>
        </w:sectPr>
      </w:pPr>
    </w:p>
    <w:bookmarkStart w:id="75" w:name="page76"/>
    <w:bookmarkEnd w:id="75"/>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other costs and operating expenses of our business.</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As of December 31, 2017, we had substantial liquidity with cash of $43.5 million, short-term investments of $312.7 million and fixed maturity investments of $2.0 billion. We also had $125 million available under our Credit Facility, with $250 million of borrowings outstanding under our Credit Facility. Borrowings under the Credit Facility contractually mature on May 17, 2021 and accrue interest at a floating rate tied to a standard short-term borrowing index, selected at the Company’s option, plus an applicable margin and are paid monthly. Our cash and short term investment position increased during the year ended December 31, 2017 primarily as a result of net proceeds of $197.7 million from our public offering of 5.0 million common shares which was completed in August 2017, net borrowings under the Credit Facility plus cash flows from operations, net of amounts invested in our fixed income portfolio. At December 31, 2017, net cash and investments at the holding company were $104.2 million.</w:t>
      </w:r>
    </w:p>
    <w:p>
      <w:pPr>
        <w:spacing w:after="0" w:line="178" w:lineRule="exact"/>
        <w:rPr>
          <w:sz w:val="20"/>
          <w:szCs w:val="20"/>
          <w:color w:val="auto"/>
        </w:rPr>
      </w:pPr>
    </w:p>
    <w:p>
      <w:pPr>
        <w:ind w:right="700" w:firstLine="432"/>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2017, Essent Guaranty, Inc., had unassigned surplus of approximately $70.7 million and has paid no dividends since its inception. Essent Guaranty of PA, Inc. had unassigned surplus of approximately $6.5 million as of December 31, 2017. Essent Re is subject to certain dividend restrictions as prescribed by the Bermuda Monetary Authority and under certain agreements with counterparties. In connection with a quota share reinsurance agreement with Essent Guaranty, Inc., Essent Re has agreed to maintain a minimum total equity of $100 million. As of December 31, 2017, Essent Re had total equity of $662.8 million. In connection with its insurance and reinsurance activities, Essent Re is required to maintain assets in trusts for the benefit of its contractual counterparties. See Note 3 to our consolidated financial statements. At December 31, 2017, our insurance subsidiaries were in compliance with these rules, regulations and agreements.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584" w:right="27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368,573</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274,559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226,559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(690,142)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(365,316)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(220,712)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337,562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93,682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(5,652)</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in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15,993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Cash flow provided by operating activities totaled $368.6 million for the year ended December 31, 2017, as compared to $274.6 million for the year ended December 31, 2016 and $226.6 million for the year ended December 31, 2015. The increase in cash flow from operations of $94.0 million in 2017 and $48.0 million in 2016 was primarily a result of increases in premium collected and net investment income, partially offset by increases in expenses paid.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Cash flow used in investing activities totaled $690.1 million for the year ended December 31, 2017, as compared to cash used in investing activities of $365.3 million for the year ended December 31, 2016 and $220.7 million for the year ended December 31, 2015. The increase in cash flow used in investing activities primarily related to investing cash flows from the business, proceeds from the public offering of common shares in August 2017 and net increased borrowings under the Credit Facility in 2017 and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Cash flow provided by financing activities totaled $337.6 million for the year ended December 31, 2017, as compared to cash flow provided by financing activities of $93.7 million for the year ended December 31, 2016. The increase in cash flow provided by financing activities was primarily related to the completion of a public offering of common shares for $197.7 million in net proceeds, as well as $150 million of net increased borrowings under the Credit Facility. These cash inflows were partially offset by an increase in treasury stock acquired from employees to satisfy tax withholding obligations.</w:t>
      </w:r>
    </w:p>
    <w:p>
      <w:pPr>
        <w:spacing w:after="0" w:line="154"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Cash flow provided by financing activities totaled $93.7 million for the year ended December 31, 2016, as compared to cash flow used in financing activities of $5.7 million for the year ended December 31, 2015. The increase in cash flow provided by financing activities of $99.3 million was primarily related to the $100 million borrowing under the Credit Facility. The proceeds of this borrowing were contributed to Essent Re to support new business.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year ended December 31, 2017 Essent US Holdings, Inc. made capital contributions to Essent Guaranty, Inc. of $125 million to support new and existing business. During the year ended December 31, 2016, no capital contributions were made to our U.S. insurance subsidiaries.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t>Our combined risk-to-capital calculation for our U.S. insurance subsidiaries as of December 31, 2017 was as follows: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9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807,027</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Contingency reserves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721,842</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1,528,869</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Combined net risk in force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21,637,409</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additional information regarding regulatory capital see Note 17 to our consolidated financial statements. Our combined statutory capital equals the sum of statutory capital of Essent Guaranty, Inc. plus Essent Guaranty of PA, Inc., after eliminating the impact of intercompany transactions. The combined risk-to-capital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93"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Essent Re has entered into risk share insurance and reinsurance transactions with Freddie Mac and Fannie Mae. Essent Re also executed a quota share reinsurance transaction with Essent Guaranty, Inc. to reinsure 25% of Essent Guaranty, Inc.’s GSE-eligible NIW effective July 1, 2014. Essent Group Ltd. made capital contributions to Essent Re of $165.0 million and $130.0 million during the years ended December 31, 2017 and 2016, respectively, to support new business. As of December 31, 2017, Essent Re had total stockholders’ equity of $662.8 million and net risk in force of $6.3 billion.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The insurer financial strength rating of Essent Guaranty, Inc., our principal mortgage insurance subsidiary, is Baa1 with a stable outlook by Moody's and BBB+ with a stable outlook by S&amp;P. The insurer financial strength rating of Essent Re is BBB+ with a stable outlook by S&amp;P.</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December 31, 2017, Essent Guaranty, Inc., our GSE-approved mortgage insurance company, was in compliance with the PMIERs. As of December 31, 2017, Essent Guaranty, Inc.'s Available Assets were $1.59 billion and its Minimum Required Assets were $1.54 billion based on our interpretation of the PMIERs.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December 31, 2017, stockholders’ equity was $1.9 billion compared to $1.3 billion as of December 31, 2016. This increase was primarily due to net income generated in 2017 and the completion of a public offering of common shares in August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40" w:firstLine="432"/>
        <w:spacing w:after="0" w:line="254" w:lineRule="auto"/>
        <w:rPr>
          <w:sz w:val="20"/>
          <w:szCs w:val="20"/>
          <w:color w:val="auto"/>
        </w:rPr>
      </w:pPr>
      <w:r>
        <w:rPr>
          <w:rFonts w:ascii="Arial" w:cs="Arial" w:eastAsia="Arial" w:hAnsi="Arial"/>
          <w:sz w:val="18"/>
          <w:szCs w:val="18"/>
          <w:color w:val="auto"/>
        </w:rPr>
        <w:t>The total fair value of our investment portfolio was $2.3 billion as of December 31, 2017 and $1.6 billion as of December 31, 2016. In addition, our total cash was $43.5 million as of December 31, 2017, compared to $27.5 million as of December 31, 2016. The increase in investments and cash was primarily due to investing net cash flows from operations, the proceeds from the public offering of common shares and the net borrowings under the Credit Facility during the year ended December 31, 2017.</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1"/>
              </w:rPr>
              <w:t>December 31, 2017</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227,805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33,114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456,037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465,255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611,728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79,407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263,797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2,305,065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160" w:type="dxa"/>
            <w:vAlign w:val="bottom"/>
            <w:gridSpan w:val="4"/>
          </w:tcPr>
          <w:p>
            <w:pPr>
              <w:jc w:val="right"/>
              <w:ind w:right="373"/>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29.7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3"/>
              </w:rPr>
              <w:t>December 31, 2017</w:t>
            </w:r>
          </w:p>
        </w:tc>
        <w:tc>
          <w:tcPr>
            <w:tcW w:w="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2016</w:t>
            </w:r>
          </w:p>
        </w:tc>
        <w:tc>
          <w:tcPr>
            <w:tcW w:w="116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1,160,200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780,513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115,237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88,977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123,551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101,772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127,785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89,421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205,369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157,651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126,113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7.8</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148,246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95,926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115,178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85,864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5.3</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87,869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71,950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43,024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24,544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20,955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2,305,065</w:t>
            </w: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1,615,102</w:t>
            </w: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82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4682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05"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 2017</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December 31, 2016</w:t>
            </w:r>
          </w:p>
        </w:tc>
        <w:tc>
          <w:tcPr>
            <w:tcW w:w="1360" w:type="dxa"/>
            <w:vAlign w:val="bottom"/>
            <w:tcBorders>
              <w:bottom w:val="single" w:sz="8" w:color="auto"/>
            </w:tcBorders>
          </w:tcPr>
          <w:p>
            <w:pPr>
              <w:spacing w:after="0"/>
              <w:rPr>
                <w:sz w:val="16"/>
                <w:szCs w:val="16"/>
                <w:color w:val="auto"/>
              </w:rPr>
            </w:pPr>
          </w:p>
        </w:tc>
      </w:tr>
      <w:tr>
        <w:trPr>
          <w:trHeight w:val="264"/>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628,958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329,901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164,856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153,184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9.5</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280,177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263,799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176,896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11.0</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263,273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139,115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5 or more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704,002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659,386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40.8</w:t>
            </w: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2,305,065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2017</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400" w:type="dxa"/>
            <w:vAlign w:val="bottom"/>
            <w:gridSpan w:val="3"/>
            <w:vMerge w:val="restart"/>
          </w:tcPr>
          <w:p>
            <w:pPr>
              <w:ind w:left="1400"/>
              <w:spacing w:after="0"/>
              <w:rPr>
                <w:sz w:val="20"/>
                <w:szCs w:val="20"/>
                <w:color w:val="auto"/>
              </w:rPr>
            </w:pPr>
            <w:r>
              <w:rPr>
                <w:rFonts w:ascii="Arial" w:cs="Arial" w:eastAsia="Arial" w:hAnsi="Arial"/>
                <w:sz w:val="14"/>
                <w:szCs w:val="14"/>
                <w:b w:val="1"/>
                <w:bCs w:val="1"/>
                <w:color w:val="auto"/>
              </w:rPr>
              <w:t>Security</w:t>
            </w:r>
          </w:p>
        </w:tc>
        <w:tc>
          <w:tcPr>
            <w:tcW w:w="160" w:type="dxa"/>
            <w:vAlign w:val="bottom"/>
          </w:tcPr>
          <w:p>
            <w:pPr>
              <w:spacing w:after="0"/>
              <w:rPr>
                <w:sz w:val="13"/>
                <w:szCs w:val="13"/>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30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4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5.250%</w:t>
            </w:r>
          </w:p>
        </w:tc>
        <w:tc>
          <w:tcPr>
            <w:tcW w:w="1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1.500%</w:t>
            </w:r>
          </w:p>
        </w:tc>
        <w:tc>
          <w:tcPr>
            <w:tcW w:w="1620" w:type="dxa"/>
            <w:vAlign w:val="bottom"/>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19,067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0.000%</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Freddie Mac 4.000% 7/1/2037</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Fannie Mae 1.500% 6/22/2020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Ginnie Mae 4.000% 7/20/2045</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Freddie Mac 2.500% 10/1/2030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Ginnie Mae 4.000% 8/20/2045</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Freddie Mac 3.000% 9/1/2046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2.250%</w:t>
            </w:r>
          </w:p>
        </w:tc>
        <w:tc>
          <w:tcPr>
            <w:tcW w:w="1620" w:type="dxa"/>
            <w:vAlign w:val="bottom"/>
          </w:tcPr>
          <w:p>
            <w:pPr>
              <w:ind w:left="20"/>
              <w:spacing w:after="0"/>
              <w:rPr>
                <w:sz w:val="20"/>
                <w:szCs w:val="20"/>
                <w:color w:val="auto"/>
              </w:rPr>
            </w:pPr>
            <w:r>
              <w:rPr>
                <w:rFonts w:ascii="Arial" w:cs="Arial" w:eastAsia="Arial" w:hAnsi="Arial"/>
                <w:sz w:val="18"/>
                <w:szCs w:val="18"/>
                <w:color w:val="auto"/>
              </w:rPr>
              <w:t>11/15/2025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139,857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143,376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8890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-98425</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 w:lineRule="exact"/>
        <w:rPr>
          <w:sz w:val="20"/>
          <w:szCs w:val="20"/>
          <w:color w:val="auto"/>
        </w:rPr>
      </w:pPr>
    </w:p>
    <w:p>
      <w:pPr>
        <w:ind w:left="340" w:right="180" w:hanging="332"/>
        <w:spacing w:after="0" w:line="25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2017, for securities in unrealized loss positions, management believes decline in fair values is principally associated with the changes in the interest rate environment subsequent to their purchase. Also, see Note 3 to our consolidated financial statements, which summarizes the aggregate amount of gross unrealized losses by asset class in which the fair value of investments has been less than cost for less than 12 months and for 12 months or more.</w:t>
      </w:r>
    </w:p>
    <w:p>
      <w:pPr>
        <w:spacing w:after="0" w:line="191"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3"/>
          </w:tcPr>
          <w:p>
            <w:pPr>
              <w:jc w:val="right"/>
              <w:ind w:right="2260"/>
              <w:spacing w:after="0"/>
              <w:rPr>
                <w:sz w:val="20"/>
                <w:szCs w:val="20"/>
                <w:color w:val="auto"/>
              </w:rPr>
            </w:pPr>
            <w:r>
              <w:rPr>
                <w:rFonts w:ascii="Arial" w:cs="Arial" w:eastAsia="Arial" w:hAnsi="Arial"/>
                <w:sz w:val="14"/>
                <w:szCs w:val="14"/>
                <w:b w:val="1"/>
                <w:bCs w:val="1"/>
                <w:color w:val="auto"/>
              </w:rPr>
              <w:t>December 31, 2016</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2.125% 5/15/2025</w:t>
            </w:r>
          </w:p>
        </w:tc>
        <w:tc>
          <w:tcPr>
            <w:tcW w:w="4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19,687</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1.500%</w:t>
            </w:r>
          </w:p>
        </w:tc>
        <w:tc>
          <w:tcPr>
            <w:tcW w:w="110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18,833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2.250%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0.000%</w:t>
            </w:r>
          </w:p>
        </w:tc>
        <w:tc>
          <w:tcPr>
            <w:tcW w:w="1100" w:type="dxa"/>
            <w:vAlign w:val="bottom"/>
          </w:tcPr>
          <w:p>
            <w:pPr>
              <w:ind w:left="20"/>
              <w:spacing w:after="0"/>
              <w:rPr>
                <w:sz w:val="20"/>
                <w:szCs w:val="20"/>
                <w:color w:val="auto"/>
              </w:rPr>
            </w:pPr>
            <w:r>
              <w:rPr>
                <w:rFonts w:ascii="Arial" w:cs="Arial" w:eastAsia="Arial" w:hAnsi="Arial"/>
                <w:sz w:val="18"/>
                <w:szCs w:val="18"/>
                <w:color w:val="auto"/>
              </w:rPr>
              <w:t>1/12/2017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Ginnie Mae 4.000% 7/20/2045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5.250%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13,119</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Fannie Mae 3.000% 7/25/2045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Freddie Mac 3.000% 8/1/2046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146,443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Percent of Investment Portfolio</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vMerge w:val="restart"/>
          </w:tcPr>
          <w:p>
            <w:pPr>
              <w:ind w:left="680"/>
              <w:spacing w:after="0"/>
              <w:rPr>
                <w:sz w:val="20"/>
                <w:szCs w:val="20"/>
                <w:color w:val="auto"/>
              </w:rPr>
            </w:pPr>
            <w:r>
              <w:rPr>
                <w:rFonts w:ascii="Arial" w:cs="Arial" w:eastAsia="Arial" w:hAnsi="Arial"/>
                <w:sz w:val="18"/>
                <w:szCs w:val="18"/>
                <w:color w:val="auto"/>
              </w:rPr>
              <w:t>76</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7"/>
          <w:szCs w:val="17"/>
          <w:color w:val="auto"/>
        </w:rPr>
        <w:t>The following tables includes municipal securities for states that represent more than 10% of the total municipal bond position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4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State of Texas</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10,052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Texas A&amp;M University System</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Houston</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University of Houston System</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El Paso</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Austin</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Irving Independent School District</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North Texas Municipal Water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Harris County Cultural Education</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Alamo Community College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College Station</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Garland</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Bryan Independent School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San Antonio</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Spring Independent School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55,319</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JEA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The School District of Hillsborough County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County of Orange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Miami Beach</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County of Miami-Dade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Cape Coral</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Florida</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County of Hillsborough</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Jacksonville</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Solid Waste Authority of Palm Beach County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Jacksonville Transportation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School District of Palm Beach County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The Orange County Public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Duval County Public Schools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Lake County Schools</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 Lucie Public Schools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Hillsborough County Aviation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Hollywood</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Miami</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Citizens Property Insurance Corporation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Village Center Community Development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Florida State Board Education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County of Broward</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Leon County School Board</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48,542</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120" w:hanging="332"/>
        <w:spacing w:after="0" w:line="25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2017, the approximate future payments under our contractual obligations of the type described in the table below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1"/>
              </w:rPr>
              <w:t>Payments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1 - 3 years</w:t>
            </w: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Credit facility borrowings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Estimated loss and LAE payments(1)</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46,850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23,593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57"/>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314,450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26,072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255,361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40" w:hanging="332"/>
        <w:spacing w:after="0" w:line="25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26" w:right="239" w:bottom="1440" w:gutter="0" w:footer="0" w:header="0"/>
        </w:sectPr>
      </w:pPr>
    </w:p>
    <w:bookmarkStart w:id="83" w:name="page84"/>
    <w:bookmarkEnd w:id="83"/>
    <w:p>
      <w:pPr>
        <w:jc w:val="both"/>
        <w:ind w:right="120" w:firstLine="432"/>
        <w:spacing w:after="0" w:line="264"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2018 under the non-cancelable sublease.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800" w:right="299" w:bottom="1440" w:gutter="0" w:footer="0" w:header="0"/>
        </w:sectPr>
      </w:pPr>
    </w:p>
    <w:bookmarkStart w:id="84" w:name="page85"/>
    <w:bookmarkEnd w:id="84"/>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ASC No. 740 provides a recognition threshold and measurement attribute for the financial statement recognition and measurement of a tax position taken or expected to be taken in a tax return.</w:t>
      </w:r>
    </w:p>
    <w:p>
      <w:pPr>
        <w:spacing w:after="0" w:line="17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 Available for Sale</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entire investment portfolio is classified as available for sale and is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73" w:lineRule="exact"/>
        <w:rPr>
          <w:sz w:val="20"/>
          <w:szCs w:val="20"/>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25" w:lineRule="exact"/>
        <w:rPr>
          <w:rFonts w:ascii="Arial" w:cs="Arial" w:eastAsia="Arial" w:hAnsi="Arial"/>
          <w:sz w:val="18"/>
          <w:szCs w:val="18"/>
          <w:color w:val="auto"/>
        </w:rPr>
      </w:pPr>
    </w:p>
    <w:p>
      <w:pPr>
        <w:ind w:left="660" w:right="220" w:hanging="247"/>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2017, 2016 and 2015, the unrealized losses recorded in the investment portfolio principally resulted from fluctuations in market interest rates and credit spreads. Each issuer is current on its scheduled interest and principal payments. We recorded other-than-temporary impairments of $0.1 million, $0.1 million and $0.3 million in the years ended December 31, 2017, 2016 and 2015, respectively, for securities in an unrealized loss position. The impairments resulted from our intent to sell these securities subsequent to the reporting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240" w:top="800" w:right="55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0" w:lineRule="exact"/>
        <w:rPr>
          <w:sz w:val="20"/>
          <w:szCs w:val="20"/>
          <w:color w:val="auto"/>
        </w:rPr>
      </w:pPr>
    </w:p>
    <w:p>
      <w:pPr>
        <w:ind w:left="660" w:right="6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660" w:right="40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December 31, 2017, the effective duration of our investment portfolio, including cash, was 3.4 years, which means that an instantaneous parallel shift (movement up or down) in the yield curve of 100 basis points would result in a change of 3.4% in fair value of our investment portfolio. Excluding cash, our investment portfolio effective duration was 3.9 years, which means that an instantaneous parallel shift (movement up or down) in the yield curve of 100 basis points would result in a change of 3.9% in fair value of our investment portfolio.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580" w:right="279" w:bottom="1440" w:gutter="0" w:footer="0" w:header="0"/>
        </w:sectPr>
      </w:pPr>
    </w:p>
    <w:bookmarkStart w:id="87" w:name="page88"/>
    <w:bookmarkEnd w:id="87"/>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5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tcPr>
          <w:p>
            <w:pPr>
              <w:ind w:left="3400"/>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5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84</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88</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89</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gridSpan w:val="3"/>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90</w:t>
              </w:r>
            </w:hyperlink>
          </w:p>
        </w:tc>
        <w:tc>
          <w:tcPr>
            <w:tcW w:w="20" w:type="dxa"/>
            <w:vAlign w:val="bottom"/>
          </w:tcPr>
          <w:p>
            <w:pPr>
              <w:spacing w:after="0"/>
              <w:rPr>
                <w:sz w:val="21"/>
                <w:szCs w:val="21"/>
                <w:color w:val="auto"/>
              </w:rPr>
            </w:pPr>
          </w:p>
        </w:tc>
      </w:tr>
      <w:tr>
        <w:trPr>
          <w:trHeight w:val="291"/>
        </w:trPr>
        <w:tc>
          <w:tcPr>
            <w:tcW w:w="10580" w:type="dxa"/>
            <w:vAlign w:val="bottom"/>
          </w:tcPr>
          <w:p>
            <w:pPr>
              <w:ind w:left="3620"/>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580" w:type="dxa"/>
            <w:vAlign w:val="bottom"/>
          </w:tcPr>
          <w:p>
            <w:pPr>
              <w:spacing w:after="0"/>
              <w:rPr>
                <w:sz w:val="20"/>
                <w:szCs w:val="20"/>
                <w:color w:val="auto"/>
              </w:rPr>
            </w:pPr>
            <w:r>
              <w:rPr>
                <w:rFonts w:ascii="Arial" w:cs="Arial" w:eastAsia="Arial" w:hAnsi="Arial"/>
                <w:sz w:val="18"/>
                <w:szCs w:val="18"/>
                <w:color w:val="auto"/>
              </w:rPr>
              <w:t>Schedule I—Summary of Investments—Other Than Investments in Related Parties as of December 31, 2017</w:t>
            </w:r>
          </w:p>
        </w:tc>
        <w:tc>
          <w:tcPr>
            <w:tcW w:w="800" w:type="dxa"/>
            <w:vAlign w:val="bottom"/>
            <w:gridSpan w:val="4"/>
          </w:tcPr>
          <w:p>
            <w:pPr>
              <w:jc w:val="right"/>
              <w:ind w:right="20"/>
              <w:spacing w:after="0"/>
              <w:rPr>
                <w:rFonts w:ascii="Arial" w:cs="Arial" w:eastAsia="Arial" w:hAnsi="Arial"/>
                <w:sz w:val="18"/>
                <w:szCs w:val="18"/>
                <w:color w:val="0000EE"/>
              </w:rPr>
            </w:pPr>
            <w:hyperlink w:anchor="page120">
              <w:r>
                <w:rPr>
                  <w:rFonts w:ascii="Arial" w:cs="Arial" w:eastAsia="Arial" w:hAnsi="Arial"/>
                  <w:sz w:val="18"/>
                  <w:szCs w:val="18"/>
                  <w:color w:val="0000EE"/>
                </w:rPr>
                <w:t>115</w:t>
              </w:r>
            </w:hyperlink>
          </w:p>
        </w:tc>
      </w:tr>
      <w:tr>
        <w:trPr>
          <w:trHeight w:val="276"/>
        </w:trPr>
        <w:tc>
          <w:tcPr>
            <w:tcW w:w="10580" w:type="dxa"/>
            <w:vAlign w:val="bottom"/>
          </w:tcPr>
          <w:p>
            <w:pPr>
              <w:spacing w:after="0"/>
              <w:rPr>
                <w:sz w:val="20"/>
                <w:szCs w:val="20"/>
                <w:color w:val="auto"/>
              </w:rPr>
            </w:pPr>
            <w:r>
              <w:rPr>
                <w:rFonts w:ascii="Arial" w:cs="Arial" w:eastAsia="Arial" w:hAnsi="Arial"/>
                <w:sz w:val="18"/>
                <w:szCs w:val="18"/>
                <w:color w:val="auto"/>
                <w:w w:val="91"/>
              </w:rPr>
              <w:t>Schedule II—Condensed Financial Information of Registrant at December 31, 2017 and 2016 and for each of the three years in the period ended</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580" w:type="dxa"/>
            <w:vAlign w:val="bottom"/>
          </w:tcPr>
          <w:p>
            <w:pPr>
              <w:ind w:left="240"/>
              <w:spacing w:after="0" w:line="190" w:lineRule="exact"/>
              <w:rPr>
                <w:sz w:val="20"/>
                <w:szCs w:val="20"/>
                <w:color w:val="auto"/>
              </w:rPr>
            </w:pPr>
            <w:r>
              <w:rPr>
                <w:rFonts w:ascii="Arial" w:cs="Arial" w:eastAsia="Arial" w:hAnsi="Arial"/>
                <w:sz w:val="18"/>
                <w:szCs w:val="18"/>
                <w:color w:val="auto"/>
              </w:rPr>
              <w:t>December 31, 2017</w:t>
            </w:r>
          </w:p>
        </w:tc>
        <w:tc>
          <w:tcPr>
            <w:tcW w:w="800" w:type="dxa"/>
            <w:vAlign w:val="bottom"/>
            <w:gridSpan w:val="4"/>
          </w:tcPr>
          <w:p>
            <w:pPr>
              <w:jc w:val="right"/>
              <w:ind w:right="20"/>
              <w:spacing w:after="0" w:line="190" w:lineRule="exact"/>
              <w:rPr>
                <w:rFonts w:ascii="Arial" w:cs="Arial" w:eastAsia="Arial" w:hAnsi="Arial"/>
                <w:sz w:val="18"/>
                <w:szCs w:val="18"/>
                <w:color w:val="0000EE"/>
              </w:rPr>
            </w:pPr>
            <w:hyperlink w:anchor="page121">
              <w:r>
                <w:rPr>
                  <w:rFonts w:ascii="Arial" w:cs="Arial" w:eastAsia="Arial" w:hAnsi="Arial"/>
                  <w:sz w:val="18"/>
                  <w:szCs w:val="18"/>
                  <w:color w:val="0000EE"/>
                </w:rPr>
                <w:t>116</w:t>
              </w:r>
            </w:hyperlink>
          </w:p>
        </w:tc>
      </w:tr>
      <w:tr>
        <w:trPr>
          <w:trHeight w:val="723"/>
        </w:trPr>
        <w:tc>
          <w:tcPr>
            <w:tcW w:w="10580" w:type="dxa"/>
            <w:vAlign w:val="bottom"/>
          </w:tcPr>
          <w:p>
            <w:pPr>
              <w:ind w:left="558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8" w:name="page89"/>
    <w:bookmarkEnd w:id="8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Essent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Essent Group Ltd. and its subsidiaries as of December 31, 2017 and December 31, 2016, and the related consolidated statements of comprehensive income, changes in stockholders’ equity and cash flows for each of the three years in the period ended December 31, 2017, including the related notes and schedules listed in the accompanying index (collectively referred to as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80" w:right="259" w:bottom="1440" w:gutter="0" w:footer="0" w:header="0"/>
        </w:sectPr>
      </w:pPr>
    </w:p>
    <w:bookmarkStart w:id="89" w:name="page90"/>
    <w:bookmarkEnd w:id="89"/>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58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2017 — $1,994,200; 2016 — $1,497,186)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1,482,754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2017 — $312,714; 2016 — $132,352)</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312,694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132,348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2,305,065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1,615,102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43,524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27,531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29,752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21,632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w w:val="99"/>
              </w:rPr>
              <w:t>Property and equipment (at cost, less accumulated depreciation of $50,466 in 2017 and $46,543 in 2016)</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8,119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6,454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2,674,368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259,672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219,616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142,587</w:t>
            </w:r>
          </w:p>
        </w:tc>
      </w:tr>
      <w:tr>
        <w:trPr>
          <w:trHeight w:val="229"/>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7"/>
              </w:rPr>
              <w:t>Credit facility borrowings (at carrying value, less unamortized deferred costs of $1,409 in 2017 and $0 in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tcPr>
          <w:p>
            <w:pPr>
              <w:ind w:left="5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248,591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36,184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33,881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539,225</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8)</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- 98,434 shares in 2017 and 93,105 shares in 2016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1,127,137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918,296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815,075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436,335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1,940,436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1,343,773</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2,674,368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570,186</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441,278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370,568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530,130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576,511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145,533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130,425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112,987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146,376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124,892</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398,568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311,882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228,398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71,067</w:t>
            </w:r>
          </w:p>
        </w:tc>
      </w:tr>
      <w:tr>
        <w:trPr>
          <w:trHeight w:val="297"/>
        </w:trPr>
        <w:tc>
          <w:tcPr>
            <w:tcW w:w="71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379,747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222,606</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157,331</w:t>
            </w:r>
          </w:p>
        </w:tc>
      </w:tr>
      <w:tr>
        <w:trPr>
          <w:trHeight w:val="311"/>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90,351</w:t>
            </w: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92,245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91,738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379,747</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222,606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157,331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unrealized appreciation (depreciation) of investments, net of tax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(benefit) of $4,519 in 2017, ($2,941) in 2016 and ($1,285) in 2015</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387,815</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210,450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152,565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7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January 1, 2015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893,285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4,667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56,398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955,738</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157,331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157,331</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(4,766)</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13,633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13,633</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Excess tax benefits from 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2,420</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(5,168)</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Other equity transactions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904,221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213,729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1,119,241</w:t>
            </w: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222,606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222,606</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(12,156)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(12,156)</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16,881</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Excess tax benefits from 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1,083</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(4,024)</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(4,021)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equity transactions</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142</w:t>
            </w:r>
          </w:p>
        </w:tc>
      </w:tr>
      <w:tr>
        <w:trPr>
          <w:trHeight w:val="249"/>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Balance at December 31, 2016</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1,397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918,296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(12,255)</w:t>
            </w:r>
          </w:p>
        </w:tc>
        <w:tc>
          <w:tcPr>
            <w:tcW w:w="100" w:type="dxa"/>
            <w:vAlign w:val="bottom"/>
          </w:tcPr>
          <w:p>
            <w:pPr>
              <w:spacing w:after="0"/>
              <w:rPr>
                <w:sz w:val="21"/>
                <w:szCs w:val="21"/>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auto"/>
              </w:rPr>
              <w:t>436,335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1,343,773</w:t>
            </w:r>
          </w:p>
        </w:tc>
      </w:tr>
      <w:tr>
        <w:trPr>
          <w:trHeight w:val="278"/>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379,747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379,747</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8,068</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Common Shares, net of issuance cost of $1,802</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197,623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197,698</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18,688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18,688</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Cumulative effect of ASU 2016-09 adoption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(7,577)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(7,577)</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Reclassification of certain income tax effects resulting from tax reform</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1,127,137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815,075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1,940,436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0"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379,747</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222,606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157,331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3,219</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18,688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13,633</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10,004</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57,564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52,157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(70,885)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(59,739)</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9,333</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40,056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18,571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44,097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6,582</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368,573</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274,559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226,559</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(180,346)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124,692</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(833,298)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(656,768)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(798,891)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71,908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8,613</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254,377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313,780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449,834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(4,960)</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(690,142)</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(365,316)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(220,712)</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197,829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Credit facility repayments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(7,577)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Other financing activities</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337,562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(5,652)</w:t>
            </w:r>
          </w:p>
        </w:tc>
      </w:tr>
      <w:tr>
        <w:trPr>
          <w:trHeight w:val="115"/>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27,531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24,411</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43,524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24,606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9"/>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(40,300)</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(15,500)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22"/>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Repayment of borrowings with term loan proceeds (see Note 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580" w:right="239" w:bottom="1440" w:gutter="0" w:footer="0" w:header="0"/>
          <w:type w:val="continuous"/>
        </w:sectPr>
      </w:pPr>
    </w:p>
    <w:bookmarkStart w:id="94" w:name="page95"/>
    <w:bookmarkEnd w:id="94"/>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 Effective July 2014, Essent Guaranty began to reinsure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 domiciled in the state of Pennsylvania.</w:t>
      </w:r>
    </w:p>
    <w:p>
      <w:pPr>
        <w:spacing w:after="0" w:line="16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187" w:lineRule="exact"/>
        <w:rPr>
          <w:sz w:val="20"/>
          <w:szCs w:val="20"/>
          <w:color w:val="auto"/>
        </w:rPr>
      </w:pPr>
    </w:p>
    <w:p>
      <w:pPr>
        <w:ind w:right="280" w:firstLine="432"/>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0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Available for Sale</w:t>
      </w:r>
    </w:p>
    <w:p>
      <w:pPr>
        <w:spacing w:after="0" w:line="229"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Investments available for sale include securities that we sell from time to time to provide liquidity and in response to changes in the market. Debt and equity securities classified as available for sale are reported at fair value with unrealized gains and losses on these securities reported in other comprehensive income, net of deferred income taxes. See Note 16 for a description of the valuation methods for investments available for sale.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580" w:right="2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18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(33,304)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internal-use software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57,445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$8.0 million, $7.7 million and $6.6 million for the years ended December 31, 2017, 2016 and 2015, respectively. Amortization of deferred policy acquisition costs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37" w:right="239" w:bottom="1440" w:gutter="0" w:footer="0" w:header="0"/>
        </w:sectPr>
      </w:pPr>
    </w:p>
    <w:bookmarkStart w:id="96" w:name="page97"/>
    <w:bookmarkEnd w:id="96"/>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totaled $6.0 million, $5.8 million and $4.7 million for the years ended December 31, 2017, 2016 and 2015, respectively, and was included in other underwriting and operating expenses on the consolidated statements of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86% of earned premium in 2017.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$23.2 million and $36.9 million of earned premium related to policy cancellations for the years ended December 31, 2017 and 2016,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2017 and 2016, we concluded that no premium deficiency reserve was required to be recorded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Through June 30, 2016, insurance and certain reinsurance policies issued by Essent Re in connection with Freddie Mac's Agency Credit Insurance Structure ("ACIS") program were accounted for as derivatives under GAAP with the fair value of these policies reported as an asset or liability and changes in the fair value of these policies reported in earnings as a component of other income. During the quarter ended September 30, 2016, these contracts were amended and are accounted for as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337" w:right="29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insurance contracts rather than as derivatives subsequent to their amendment. As of December 31, 2017 and 2016, the Company had no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 We adopted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on January 1, 2017 and recorded a charge of $0.1 million to retained earnings as of that date representing a cumulative-effect adjustment associated with our election to recognize forfeitures as they occur rather than on an estimated basis. In connection with the adoption of this ASU, beginning in 2017, excess tax benefits and tax deficiencies associated with share-based payments are recognized as income tax expense or benefit in the income statement and treated as discrete items in the reporting period. Through December 31, 2016, excess tax benefits were recognized in additional paid-in-capital.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78"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our policy to classify interest and penalties as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37"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will not impact the recognition of revenue related to insurance premiums or investments, which represent a significant portion of our total revenues. The adoption of this ASU is not expected to have a material effect on the Company's consolidated operating results or financial position.</w:t>
      </w:r>
    </w:p>
    <w:p>
      <w:pPr>
        <w:spacing w:after="0" w:line="18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This update requires certain equity investments (except those accounted for under the equity method of accounting or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 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provisions of this update are effective for interim and annual periods beginning after December 15, 2017. The adoption of this ASU is not expected to have a material effect on the Company's consolidated operating results or financial position.</w:t>
      </w:r>
    </w:p>
    <w:p>
      <w:pPr>
        <w:spacing w:after="0" w:line="17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82"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Reporting Comprehensive Income (Topic 220)</w:t>
      </w:r>
      <w:r>
        <w:rPr>
          <w:rFonts w:ascii="Arial" w:cs="Arial" w:eastAsia="Arial" w:hAnsi="Arial"/>
          <w:sz w:val="18"/>
          <w:szCs w:val="18"/>
          <w:color w:val="auto"/>
        </w:rPr>
        <w:t>. This update permits entities to elect to reclassify the income tax effects of the Tax Cuts and Jobs Act (“TCJA”) on items within accumulated other comprehensive income to retained earnings. The provisions of this update are effective for annual and interim periods beginning after December 15, 2018 and early adoption is permitted. The Company adopted this ASU retrospective to 2017 and elected to reclassify the income tax effects of TCJA, totaling $0.9 million, from accumulated other comprehensive income to retained earnings. It is the Company’s policy to use the portfolio approach to release income tax effects from accumulated other comprehensive income.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37"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457,418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78,974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263,808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2,306,914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15,174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76"/>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6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Consumer, cyclical</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materials</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r>
      <w:tr>
        <w:trPr>
          <w:trHeight w:val="25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2017,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58,429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58,411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71,661</w:t>
            </w: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71,006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68,376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29,357</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231,905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33,038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32,998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97,831</w:t>
            </w: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179,245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183,610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147,498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150,816</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457,418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80,177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80,093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331,790</w:t>
            </w: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196,289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197,848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610,516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462,986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78,974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167,638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263,808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2,306,914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00"/>
          </w:cols>
          <w:pgMar w:left="240" w:top="337" w:right="25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29"/>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3,908</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Realized gross losses</w:t>
            </w:r>
          </w:p>
        </w:tc>
        <w:tc>
          <w:tcPr>
            <w:tcW w:w="28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1,073</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15,794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33,114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124,171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147,663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29,842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35,830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59,489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59,489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835,553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432,761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1,268,314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289,282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149,368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155,383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222,309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18,026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14,014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32,040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75,891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877,394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77,782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955,176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other-than-temporary impairments of $0.1 million, $0.1 million and $0.3 million in the years ended December 31, 2017, 2016 and 2015, respectively, on securities in an unrealized loss position. The impairments resulted from our intent to sell these securities subsequent to the reporting dates.</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$8.6 million at December 31, 2017 and $8.5 million at December 31, 2016. In connection with its insurance and reinsurance activities, Essent Re is required to maintain assets in trusts for the benefit of its contractual counterparties. The fair value of the investments on deposit in these trusts was $615.8 million at December 31, 2017 and $349.6 million at December 31, 2016.</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37"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 consists of:</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4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4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4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7400" w:type="dxa"/>
            <w:vAlign w:val="bottom"/>
            <w:gridSpan w:val="2"/>
          </w:tcPr>
          <w:p>
            <w:pPr>
              <w:ind w:left="400"/>
              <w:spacing w:after="0"/>
              <w:rPr>
                <w:sz w:val="20"/>
                <w:szCs w:val="20"/>
                <w:color w:val="auto"/>
              </w:rPr>
            </w:pPr>
            <w:r>
              <w:rPr>
                <w:rFonts w:ascii="Arial" w:cs="Arial" w:eastAsia="Arial" w:hAnsi="Arial"/>
                <w:sz w:val="18"/>
                <w:szCs w:val="18"/>
                <w:color w:val="auto"/>
              </w:rPr>
              <w:t>Accounts receivable consists of the following at December 31: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29,752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21,632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Triad Transaction</w:t>
      </w:r>
    </w:p>
    <w:p>
      <w:pPr>
        <w:spacing w:after="0" w:line="229"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On December 1, 2009, under the terms of an asset purchase agreement (the "Asset Purchase Agreement") dated October 7, 2009 between Essent Guaranty and Triad Guaranty, Inc. and Triad Guaranty Insurance Corporation (collectively referred to as "Triad"), we acquired all of Triad's proprietary mortgage insurance information technology and operating platform, certain software and substantially all of the supporting hardware, as well as furniture and fixtures, in exchange for fixed payments of $15 million, contingent payments of $15 million, and the assumption of certain contractual obligations. The final contingent payment was made in the year ended December 31, 2014 and no further amounts are due to Triad under the Asset Purchase Agreement.</w:t>
      </w:r>
    </w:p>
    <w:p>
      <w:pPr>
        <w:spacing w:after="0" w:line="158"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Effective with the completion of the transaction, Essent Guaranty began providing information systems maintenance and development services, customer service and policy administration support to Triad under the terms of a services agreement dated December 1, 2009. Triad retains the obligation for all risks insured under its existing insurance contracts and will continue to directly manage loss mitigation and claim activity on its insured business. Under the terms of the services agreement, we provide the following services to Triad in exchange for fees: (i) maintain and support the licensed technology and equipment and provide to Triad certain information and technology services; (ii) access to the Triad technology platform in order to support Triad's business pursuant to the license grant outlined in the services agreement; (iii) customer support-related services; and (iv) technology development services. Effective December 1, 2010, the fee is based principally on the number of Triad's insurance policies in force on a monthly basis. Accordingly, this fee is reduced as Triad's policies in force decline. We earned fees under the services agreement of $1.1 million, $1.4 million and $1.8 million for the years ended December 31, 2017, 2016 and 2015, respectively, which are included in other income in the accompanying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37"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4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21,889</w:t>
            </w:r>
          </w:p>
        </w:tc>
      </w:tr>
      <w:tr>
        <w:trPr>
          <w:trHeight w:val="24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(6,364)</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during the current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15,525</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w:t>
            </w:r>
          </w:p>
        </w:tc>
      </w:tr>
      <w:tr>
        <w:trPr>
          <w:trHeight w:val="24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4,216</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5,143</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46,850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28,142</w:t>
            </w: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46,850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28,142</w:t>
            </w:r>
          </w:p>
        </w:tc>
      </w:tr>
      <w:tr>
        <w:trPr>
          <w:trHeight w:val="67"/>
        </w:trPr>
        <w:tc>
          <w:tcPr>
            <w:tcW w:w="7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7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Loans in default at end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1,757</w:t>
            </w:r>
          </w:p>
        </w:tc>
      </w:tr>
    </w:tbl>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For the year ended December 31, 2017, $7.9 million was paid for incurred claims and claim adjustment expenses attributable to insured events of prior years. There has been a $10.9 million favorable prior year development during the year ended December 31, 2017. Reserves remaining as of December 31, 2017 for prior years are $9.3 million as a result of re-estimation of unpaid losses and loss adjustment expenses. For the year ended December 31, 2016, $4.2 million was paid for incurred claims and claim adjustment expenses attributable to insured events of prior years. There was a $6.4 million favorable prior year development during the year ended December 31, 2016. Reserves remaining as of December 31, 2016 for prior years were $7.2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increased by 3,026 in the year ended December 31, 2017, including 2,288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2017, we applied a lower estimated claim rate to new default notices received in the fourth quarter of 2017 from the affected areas than the claim rate we apply to other notices in our default inventory. The reserve for losses and LAE on hurricane-related defaults was $11.1 million at December 31, 2017. The impact on our reserves in future periods will be dependent upon the performance of the hurricane-related defaults and our expectations for the amount of ultimate losses on these delinquencies.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37"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summarizes incurred loss and allocated loss adjustment expense development, IBNR plus expected development on reported defaults and the cumulative number of reported defaults. The information about incurred loss development for the years ended December 31, 2010 to 2016 is presented as supplementary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760" w:type="dxa"/>
            <w:vAlign w:val="bottom"/>
            <w:gridSpan w:val="3"/>
          </w:tcPr>
          <w:p>
            <w:pPr>
              <w:jc w:val="right"/>
              <w:ind w:right="204"/>
              <w:spacing w:after="0"/>
              <w:rPr>
                <w:sz w:val="20"/>
                <w:szCs w:val="20"/>
                <w:color w:val="auto"/>
              </w:rPr>
            </w:pPr>
            <w:r>
              <w:rPr>
                <w:rFonts w:ascii="Arial" w:cs="Arial" w:eastAsia="Arial" w:hAnsi="Arial"/>
                <w:sz w:val="13"/>
                <w:szCs w:val="13"/>
                <w:b w:val="1"/>
                <w:bCs w:val="1"/>
                <w:color w:val="auto"/>
              </w:rPr>
              <w:t>Incurred Loss and Allocated LAE,</w:t>
            </w: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3"/>
                <w:szCs w:val="13"/>
                <w:b w:val="1"/>
                <w:bCs w:val="1"/>
                <w:color w:val="auto"/>
              </w:rPr>
              <w:t>For the Years Ended December 31,</w:t>
            </w: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3"/>
                <w:szCs w:val="13"/>
                <w:b w:val="1"/>
                <w:bCs w:val="1"/>
                <w:color w:val="auto"/>
              </w:rPr>
              <w:t>As of December 31, 2017</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Total of IBNR plus Expected</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470"/>
              <w:spacing w:after="0" w:line="135" w:lineRule="exact"/>
              <w:rPr>
                <w:sz w:val="20"/>
                <w:szCs w:val="20"/>
                <w:color w:val="auto"/>
              </w:rPr>
            </w:pPr>
            <w:r>
              <w:rPr>
                <w:rFonts w:ascii="Arial" w:cs="Arial" w:eastAsia="Arial" w:hAnsi="Arial"/>
                <w:sz w:val="13"/>
                <w:szCs w:val="13"/>
                <w:b w:val="1"/>
                <w:bCs w:val="1"/>
                <w:color w:val="auto"/>
              </w:rPr>
              <w:t>2010</w:t>
            </w:r>
          </w:p>
        </w:tc>
        <w:tc>
          <w:tcPr>
            <w:tcW w:w="940" w:type="dxa"/>
            <w:vAlign w:val="bottom"/>
          </w:tcPr>
          <w:p>
            <w:pPr>
              <w:jc w:val="right"/>
              <w:ind w:right="467"/>
              <w:spacing w:after="0" w:line="135" w:lineRule="exact"/>
              <w:rPr>
                <w:sz w:val="20"/>
                <w:szCs w:val="20"/>
                <w:color w:val="auto"/>
              </w:rPr>
            </w:pPr>
            <w:r>
              <w:rPr>
                <w:rFonts w:ascii="Arial" w:cs="Arial" w:eastAsia="Arial" w:hAnsi="Arial"/>
                <w:sz w:val="13"/>
                <w:szCs w:val="13"/>
                <w:b w:val="1"/>
                <w:bCs w:val="1"/>
                <w:color w:val="auto"/>
              </w:rPr>
              <w:t>2011</w:t>
            </w:r>
          </w:p>
        </w:tc>
        <w:tc>
          <w:tcPr>
            <w:tcW w:w="9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2012</w:t>
            </w:r>
          </w:p>
        </w:tc>
        <w:tc>
          <w:tcPr>
            <w:tcW w:w="920" w:type="dxa"/>
            <w:vAlign w:val="bottom"/>
          </w:tcPr>
          <w:p>
            <w:pPr>
              <w:jc w:val="right"/>
              <w:ind w:right="425"/>
              <w:spacing w:after="0" w:line="135" w:lineRule="exact"/>
              <w:rPr>
                <w:sz w:val="20"/>
                <w:szCs w:val="20"/>
                <w:color w:val="auto"/>
              </w:rPr>
            </w:pPr>
            <w:r>
              <w:rPr>
                <w:rFonts w:ascii="Arial" w:cs="Arial" w:eastAsia="Arial" w:hAnsi="Arial"/>
                <w:sz w:val="13"/>
                <w:szCs w:val="13"/>
                <w:b w:val="1"/>
                <w:bCs w:val="1"/>
                <w:color w:val="auto"/>
              </w:rPr>
              <w:t>2013</w:t>
            </w:r>
          </w:p>
        </w:tc>
        <w:tc>
          <w:tcPr>
            <w:tcW w:w="900" w:type="dxa"/>
            <w:vAlign w:val="bottom"/>
          </w:tcPr>
          <w:p>
            <w:pPr>
              <w:jc w:val="right"/>
              <w:ind w:right="424"/>
              <w:spacing w:after="0" w:line="135" w:lineRule="exact"/>
              <w:rPr>
                <w:sz w:val="20"/>
                <w:szCs w:val="20"/>
                <w:color w:val="auto"/>
              </w:rPr>
            </w:pPr>
            <w:r>
              <w:rPr>
                <w:rFonts w:ascii="Arial" w:cs="Arial" w:eastAsia="Arial" w:hAnsi="Arial"/>
                <w:sz w:val="13"/>
                <w:szCs w:val="13"/>
                <w:b w:val="1"/>
                <w:bCs w:val="1"/>
                <w:color w:val="auto"/>
              </w:rPr>
              <w:t>2014</w:t>
            </w:r>
          </w:p>
        </w:tc>
        <w:tc>
          <w:tcPr>
            <w:tcW w:w="880" w:type="dxa"/>
            <w:vAlign w:val="bottom"/>
          </w:tcPr>
          <w:p>
            <w:pPr>
              <w:jc w:val="right"/>
              <w:ind w:right="403"/>
              <w:spacing w:after="0" w:line="135" w:lineRule="exact"/>
              <w:rPr>
                <w:sz w:val="20"/>
                <w:szCs w:val="20"/>
                <w:color w:val="auto"/>
              </w:rPr>
            </w:pPr>
            <w:r>
              <w:rPr>
                <w:rFonts w:ascii="Arial" w:cs="Arial" w:eastAsia="Arial" w:hAnsi="Arial"/>
                <w:sz w:val="13"/>
                <w:szCs w:val="13"/>
                <w:b w:val="1"/>
                <w:bCs w:val="1"/>
                <w:color w:val="auto"/>
              </w:rPr>
              <w:t>2015</w:t>
            </w:r>
          </w:p>
        </w:tc>
        <w:tc>
          <w:tcPr>
            <w:tcW w:w="800" w:type="dxa"/>
            <w:vAlign w:val="bottom"/>
          </w:tcPr>
          <w:p>
            <w:pPr>
              <w:jc w:val="right"/>
              <w:ind w:right="322"/>
              <w:spacing w:after="0" w:line="135"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Development on Reported</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Reported Defaults</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Accident Year</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1"/>
              </w:rPr>
              <w:t>Unaudited</w:t>
            </w:r>
          </w:p>
        </w:tc>
        <w:tc>
          <w:tcPr>
            <w:tcW w:w="940" w:type="dxa"/>
            <w:vAlign w:val="bottom"/>
            <w:tcBorders>
              <w:bottom w:val="single" w:sz="8" w:color="auto"/>
            </w:tcBorders>
          </w:tcPr>
          <w:p>
            <w:pPr>
              <w:jc w:val="center"/>
              <w:ind w:right="287"/>
              <w:spacing w:after="0"/>
              <w:rPr>
                <w:sz w:val="20"/>
                <w:szCs w:val="20"/>
                <w:color w:val="auto"/>
              </w:rPr>
            </w:pPr>
            <w:r>
              <w:rPr>
                <w:rFonts w:ascii="Arial" w:cs="Arial" w:eastAsia="Arial" w:hAnsi="Arial"/>
                <w:sz w:val="13"/>
                <w:szCs w:val="13"/>
                <w:b w:val="1"/>
                <w:bCs w:val="1"/>
                <w:color w:val="auto"/>
                <w:w w:val="88"/>
              </w:rPr>
              <w:t>Unaudited</w:t>
            </w: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w w:val="88"/>
              </w:rPr>
              <w:t>Unaudited</w:t>
            </w: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w w:val="88"/>
              </w:rPr>
              <w:t>Unaudited</w:t>
            </w:r>
          </w:p>
        </w:tc>
        <w:tc>
          <w:tcPr>
            <w:tcW w:w="90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w w:val="88"/>
              </w:rPr>
              <w:t>Unaudited</w:t>
            </w: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w w:val="88"/>
              </w:rPr>
              <w:t>Unaudited</w:t>
            </w: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w w:val="88"/>
              </w:rPr>
              <w:t>Unaudited</w:t>
            </w: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Defaults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ind w:left="480"/>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ind w:left="460"/>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gridSpan w:val="3"/>
            <w:vMerge w:val="restart"/>
          </w:tcPr>
          <w:p>
            <w:pPr>
              <w:ind w:left="280"/>
              <w:spacing w:after="0"/>
              <w:rPr>
                <w:sz w:val="20"/>
                <w:szCs w:val="20"/>
                <w:color w:val="auto"/>
              </w:rPr>
            </w:pPr>
            <w:r>
              <w:rPr>
                <w:rFonts w:ascii="Arial" w:cs="Arial" w:eastAsia="Arial" w:hAnsi="Arial"/>
                <w:sz w:val="13"/>
                <w:szCs w:val="13"/>
                <w:color w:val="auto"/>
                <w:w w:val="82"/>
              </w:rPr>
              <w:t>—$</w:t>
            </w: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57</w:t>
            </w:r>
          </w:p>
        </w:tc>
        <w:tc>
          <w:tcPr>
            <w:tcW w:w="940" w:type="dxa"/>
            <w:vAlign w:val="bottom"/>
            <w:vMerge w:val="restart"/>
            <w:shd w:val="clear" w:color="auto" w:fill="CCEEFF"/>
          </w:tcPr>
          <w:p>
            <w:pPr>
              <w:jc w:val="right"/>
              <w:ind w:right="284"/>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265"/>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264"/>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243"/>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740" w:type="dxa"/>
            <w:vAlign w:val="bottom"/>
            <w:gridSpan w:val="3"/>
            <w:vMerge w:val="restart"/>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740" w:type="dxa"/>
            <w:vAlign w:val="bottom"/>
            <w:gridSpan w:val="3"/>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vMerge w:val="restart"/>
          </w:tcPr>
          <w:p>
            <w:pPr>
              <w:jc w:val="right"/>
              <w:ind w:right="284"/>
              <w:spacing w:after="0"/>
              <w:rPr>
                <w:sz w:val="20"/>
                <w:szCs w:val="20"/>
                <w:color w:val="auto"/>
              </w:rPr>
            </w:pPr>
            <w:r>
              <w:rPr>
                <w:rFonts w:ascii="Arial" w:cs="Arial" w:eastAsia="Arial" w:hAnsi="Arial"/>
                <w:sz w:val="13"/>
                <w:szCs w:val="13"/>
                <w:color w:val="auto"/>
              </w:rPr>
              <w:t>1,523</w:t>
            </w:r>
          </w:p>
        </w:tc>
        <w:tc>
          <w:tcPr>
            <w:tcW w:w="920" w:type="dxa"/>
            <w:vAlign w:val="bottom"/>
            <w:vMerge w:val="restart"/>
          </w:tcPr>
          <w:p>
            <w:pPr>
              <w:jc w:val="right"/>
              <w:ind w:right="265"/>
              <w:spacing w:after="0"/>
              <w:rPr>
                <w:sz w:val="20"/>
                <w:szCs w:val="20"/>
                <w:color w:val="auto"/>
              </w:rPr>
            </w:pPr>
            <w:r>
              <w:rPr>
                <w:rFonts w:ascii="Arial" w:cs="Arial" w:eastAsia="Arial" w:hAnsi="Arial"/>
                <w:sz w:val="13"/>
                <w:szCs w:val="13"/>
                <w:color w:val="auto"/>
              </w:rPr>
              <w:t>858</w:t>
            </w:r>
          </w:p>
        </w:tc>
        <w:tc>
          <w:tcPr>
            <w:tcW w:w="900" w:type="dxa"/>
            <w:vAlign w:val="bottom"/>
            <w:vMerge w:val="restart"/>
          </w:tcPr>
          <w:p>
            <w:pPr>
              <w:jc w:val="right"/>
              <w:ind w:right="264"/>
              <w:spacing w:after="0"/>
              <w:rPr>
                <w:sz w:val="20"/>
                <w:szCs w:val="20"/>
                <w:color w:val="auto"/>
              </w:rPr>
            </w:pPr>
            <w:r>
              <w:rPr>
                <w:rFonts w:ascii="Arial" w:cs="Arial" w:eastAsia="Arial" w:hAnsi="Arial"/>
                <w:sz w:val="13"/>
                <w:szCs w:val="13"/>
                <w:color w:val="auto"/>
              </w:rPr>
              <w:t>814</w:t>
            </w:r>
          </w:p>
        </w:tc>
        <w:tc>
          <w:tcPr>
            <w:tcW w:w="880" w:type="dxa"/>
            <w:vAlign w:val="bottom"/>
            <w:vMerge w:val="restart"/>
          </w:tcPr>
          <w:p>
            <w:pPr>
              <w:jc w:val="right"/>
              <w:ind w:right="243"/>
              <w:spacing w:after="0"/>
              <w:rPr>
                <w:sz w:val="20"/>
                <w:szCs w:val="20"/>
                <w:color w:val="auto"/>
              </w:rPr>
            </w:pPr>
            <w:r>
              <w:rPr>
                <w:rFonts w:ascii="Arial" w:cs="Arial" w:eastAsia="Arial" w:hAnsi="Arial"/>
                <w:sz w:val="13"/>
                <w:szCs w:val="13"/>
                <w:color w:val="auto"/>
              </w:rPr>
              <w:t>781</w:t>
            </w:r>
          </w:p>
        </w:tc>
        <w:tc>
          <w:tcPr>
            <w:tcW w:w="800" w:type="dxa"/>
            <w:vAlign w:val="bottom"/>
            <w:vMerge w:val="restart"/>
          </w:tcPr>
          <w:p>
            <w:pPr>
              <w:jc w:val="right"/>
              <w:ind w:right="162"/>
              <w:spacing w:after="0"/>
              <w:rPr>
                <w:sz w:val="20"/>
                <w:szCs w:val="20"/>
                <w:color w:val="auto"/>
              </w:rPr>
            </w:pPr>
            <w:r>
              <w:rPr>
                <w:rFonts w:ascii="Arial" w:cs="Arial" w:eastAsia="Arial" w:hAnsi="Arial"/>
                <w:sz w:val="13"/>
                <w:szCs w:val="13"/>
                <w:color w:val="auto"/>
              </w:rPr>
              <w:t>748</w:t>
            </w:r>
          </w:p>
        </w:tc>
        <w:tc>
          <w:tcPr>
            <w:tcW w:w="140" w:type="dxa"/>
            <w:vAlign w:val="bottom"/>
          </w:tcPr>
          <w:p>
            <w:pPr>
              <w:spacing w:after="0"/>
              <w:rPr>
                <w:sz w:val="15"/>
                <w:szCs w:val="15"/>
                <w:color w:val="auto"/>
              </w:rPr>
            </w:pP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65"/>
              <w:spacing w:after="0"/>
              <w:rPr>
                <w:sz w:val="20"/>
                <w:szCs w:val="20"/>
                <w:color w:val="auto"/>
              </w:rPr>
            </w:pPr>
            <w:r>
              <w:rPr>
                <w:rFonts w:ascii="Arial" w:cs="Arial" w:eastAsia="Arial" w:hAnsi="Arial"/>
                <w:sz w:val="13"/>
                <w:szCs w:val="13"/>
                <w:color w:val="auto"/>
              </w:rPr>
              <w:t>2,986</w:t>
            </w:r>
          </w:p>
        </w:tc>
        <w:tc>
          <w:tcPr>
            <w:tcW w:w="900" w:type="dxa"/>
            <w:vAlign w:val="bottom"/>
            <w:vMerge w:val="restart"/>
            <w:shd w:val="clear" w:color="auto" w:fill="CCEEFF"/>
          </w:tcPr>
          <w:p>
            <w:pPr>
              <w:jc w:val="right"/>
              <w:ind w:right="264"/>
              <w:spacing w:after="0"/>
              <w:rPr>
                <w:sz w:val="20"/>
                <w:szCs w:val="20"/>
                <w:color w:val="auto"/>
              </w:rPr>
            </w:pPr>
            <w:r>
              <w:rPr>
                <w:rFonts w:ascii="Arial" w:cs="Arial" w:eastAsia="Arial" w:hAnsi="Arial"/>
                <w:sz w:val="13"/>
                <w:szCs w:val="13"/>
                <w:color w:val="auto"/>
              </w:rPr>
              <w:t>2,461</w:t>
            </w:r>
          </w:p>
        </w:tc>
        <w:tc>
          <w:tcPr>
            <w:tcW w:w="880" w:type="dxa"/>
            <w:vAlign w:val="bottom"/>
            <w:vMerge w:val="restart"/>
            <w:shd w:val="clear" w:color="auto" w:fill="CCEEFF"/>
          </w:tcPr>
          <w:p>
            <w:pPr>
              <w:jc w:val="right"/>
              <w:ind w:right="243"/>
              <w:spacing w:after="0"/>
              <w:rPr>
                <w:sz w:val="20"/>
                <w:szCs w:val="20"/>
                <w:color w:val="auto"/>
              </w:rPr>
            </w:pPr>
            <w:r>
              <w:rPr>
                <w:rFonts w:ascii="Arial" w:cs="Arial" w:eastAsia="Arial" w:hAnsi="Arial"/>
                <w:sz w:val="13"/>
                <w:szCs w:val="13"/>
                <w:color w:val="auto"/>
              </w:rPr>
              <w:t>2,008</w:t>
            </w:r>
          </w:p>
        </w:tc>
        <w:tc>
          <w:tcPr>
            <w:tcW w:w="800" w:type="dxa"/>
            <w:vAlign w:val="bottom"/>
            <w:vMerge w:val="restart"/>
            <w:shd w:val="clear" w:color="auto" w:fill="CCEEFF"/>
          </w:tcPr>
          <w:p>
            <w:pPr>
              <w:jc w:val="right"/>
              <w:ind w:right="162"/>
              <w:spacing w:after="0"/>
              <w:rPr>
                <w:sz w:val="20"/>
                <w:szCs w:val="20"/>
                <w:color w:val="auto"/>
              </w:rPr>
            </w:pPr>
            <w:r>
              <w:rPr>
                <w:rFonts w:ascii="Arial" w:cs="Arial" w:eastAsia="Arial" w:hAnsi="Arial"/>
                <w:sz w:val="13"/>
                <w:szCs w:val="13"/>
                <w:color w:val="auto"/>
              </w:rPr>
              <w:t>1,997</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12</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vMerge w:val="restart"/>
          </w:tcPr>
          <w:p>
            <w:pPr>
              <w:jc w:val="right"/>
              <w:ind w:right="264"/>
              <w:spacing w:after="0"/>
              <w:rPr>
                <w:sz w:val="20"/>
                <w:szCs w:val="20"/>
                <w:color w:val="auto"/>
              </w:rPr>
            </w:pPr>
            <w:r>
              <w:rPr>
                <w:rFonts w:ascii="Arial" w:cs="Arial" w:eastAsia="Arial" w:hAnsi="Arial"/>
                <w:sz w:val="13"/>
                <w:szCs w:val="13"/>
                <w:color w:val="auto"/>
              </w:rPr>
              <w:t>6,877</w:t>
            </w:r>
          </w:p>
        </w:tc>
        <w:tc>
          <w:tcPr>
            <w:tcW w:w="880" w:type="dxa"/>
            <w:vAlign w:val="bottom"/>
            <w:vMerge w:val="restart"/>
          </w:tcPr>
          <w:p>
            <w:pPr>
              <w:jc w:val="right"/>
              <w:ind w:right="243"/>
              <w:spacing w:after="0"/>
              <w:rPr>
                <w:sz w:val="20"/>
                <w:szCs w:val="20"/>
                <w:color w:val="auto"/>
              </w:rPr>
            </w:pPr>
            <w:r>
              <w:rPr>
                <w:rFonts w:ascii="Arial" w:cs="Arial" w:eastAsia="Arial" w:hAnsi="Arial"/>
                <w:sz w:val="13"/>
                <w:szCs w:val="13"/>
                <w:color w:val="auto"/>
              </w:rPr>
              <w:t>4,312</w:t>
            </w:r>
          </w:p>
        </w:tc>
        <w:tc>
          <w:tcPr>
            <w:tcW w:w="800" w:type="dxa"/>
            <w:vAlign w:val="bottom"/>
            <w:vMerge w:val="restart"/>
          </w:tcPr>
          <w:p>
            <w:pPr>
              <w:jc w:val="right"/>
              <w:ind w:right="162"/>
              <w:spacing w:after="0"/>
              <w:rPr>
                <w:sz w:val="20"/>
                <w:szCs w:val="20"/>
                <w:color w:val="auto"/>
              </w:rPr>
            </w:pPr>
            <w:r>
              <w:rPr>
                <w:rFonts w:ascii="Arial" w:cs="Arial" w:eastAsia="Arial" w:hAnsi="Arial"/>
                <w:sz w:val="13"/>
                <w:szCs w:val="13"/>
                <w:color w:val="auto"/>
              </w:rPr>
              <w:t>3,323</w:t>
            </w:r>
          </w:p>
        </w:tc>
        <w:tc>
          <w:tcPr>
            <w:tcW w:w="140" w:type="dxa"/>
            <w:vAlign w:val="bottom"/>
          </w:tcPr>
          <w:p>
            <w:pPr>
              <w:spacing w:after="0"/>
              <w:rPr>
                <w:sz w:val="15"/>
                <w:szCs w:val="15"/>
                <w:color w:val="auto"/>
              </w:rPr>
            </w:pP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14</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43"/>
              <w:spacing w:after="0"/>
              <w:rPr>
                <w:sz w:val="20"/>
                <w:szCs w:val="20"/>
                <w:color w:val="auto"/>
              </w:rPr>
            </w:pPr>
            <w:r>
              <w:rPr>
                <w:rFonts w:ascii="Arial" w:cs="Arial" w:eastAsia="Arial" w:hAnsi="Arial"/>
                <w:sz w:val="13"/>
                <w:szCs w:val="13"/>
                <w:color w:val="auto"/>
              </w:rPr>
              <w:t>14,956</w:t>
            </w:r>
          </w:p>
        </w:tc>
        <w:tc>
          <w:tcPr>
            <w:tcW w:w="800" w:type="dxa"/>
            <w:vAlign w:val="bottom"/>
            <w:vMerge w:val="restart"/>
            <w:shd w:val="clear" w:color="auto" w:fill="CCEEFF"/>
          </w:tcPr>
          <w:p>
            <w:pPr>
              <w:jc w:val="right"/>
              <w:ind w:right="162"/>
              <w:spacing w:after="0"/>
              <w:rPr>
                <w:sz w:val="20"/>
                <w:szCs w:val="20"/>
                <w:color w:val="auto"/>
              </w:rPr>
            </w:pPr>
            <w:r>
              <w:rPr>
                <w:rFonts w:ascii="Arial" w:cs="Arial" w:eastAsia="Arial" w:hAnsi="Arial"/>
                <w:sz w:val="13"/>
                <w:szCs w:val="13"/>
                <w:color w:val="auto"/>
              </w:rPr>
              <w:t>9,625</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8,893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134</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vMerge w:val="restart"/>
          </w:tcPr>
          <w:p>
            <w:pPr>
              <w:jc w:val="right"/>
              <w:ind w:right="162"/>
              <w:spacing w:after="0"/>
              <w:rPr>
                <w:sz w:val="20"/>
                <w:szCs w:val="20"/>
                <w:color w:val="auto"/>
              </w:rPr>
            </w:pPr>
            <w:r>
              <w:rPr>
                <w:rFonts w:ascii="Arial" w:cs="Arial" w:eastAsia="Arial" w:hAnsi="Arial"/>
                <w:sz w:val="13"/>
                <w:szCs w:val="13"/>
                <w:color w:val="auto"/>
              </w:rPr>
              <w:t>21,889</w:t>
            </w:r>
          </w:p>
        </w:tc>
        <w:tc>
          <w:tcPr>
            <w:tcW w:w="140" w:type="dxa"/>
            <w:vAlign w:val="bottom"/>
          </w:tcPr>
          <w:p>
            <w:pPr>
              <w:spacing w:after="0"/>
              <w:rPr>
                <w:sz w:val="15"/>
                <w:szCs w:val="15"/>
                <w:color w:val="auto"/>
              </w:rPr>
            </w:pP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11,890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482</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38,178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2,573</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4,494</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ind w:left="4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42"/>
              <w:spacing w:after="0"/>
              <w:rPr>
                <w:sz w:val="20"/>
                <w:szCs w:val="20"/>
                <w:color w:val="auto"/>
              </w:rPr>
            </w:pPr>
            <w:r>
              <w:rPr>
                <w:rFonts w:ascii="Arial" w:cs="Arial" w:eastAsia="Arial" w:hAnsi="Arial"/>
                <w:sz w:val="13"/>
                <w:szCs w:val="13"/>
                <w:color w:val="auto"/>
              </w:rPr>
              <w:t>64,814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hanging="185"/>
        <w:spacing w:after="0"/>
        <w:tabs>
          <w:tab w:leader="none" w:pos="22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Cumulative number of reported defaults includes cumulative paid claims plus loans in default by accident year as of December 31, 2017.</w:t>
      </w:r>
    </w:p>
    <w:p>
      <w:pPr>
        <w:spacing w:after="0" w:line="200" w:lineRule="exact"/>
        <w:rPr>
          <w:sz w:val="20"/>
          <w:szCs w:val="20"/>
          <w:color w:val="auto"/>
        </w:rPr>
      </w:pPr>
    </w:p>
    <w:p>
      <w:pPr>
        <w:spacing w:after="0" w:line="24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summarizes cumulative paid losses and allocated loss adjustment expenses, net of reinsurance. The information about paid loss development for the years ended December 31, 2010 through 2016 is presented as supplementary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72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Cumulative Paid Losses and Allocated LAE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5"/>
        </w:trPr>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0"/>
              </w:rPr>
              <w:t>For the Years Ended December 31,</w:t>
            </w: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24"/>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Accident Year</w:t>
            </w:r>
          </w:p>
        </w:tc>
        <w:tc>
          <w:tcPr>
            <w:tcW w:w="16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Unaudited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Unaudited</w:t>
            </w:r>
          </w:p>
        </w:tc>
        <w:tc>
          <w:tcPr>
            <w:tcW w:w="34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Unaudited</w:t>
            </w: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Unaudited</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3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3"/>
              </w:rPr>
              <w:t>Unaudited</w:t>
            </w: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740"/>
              <w:spacing w:after="0"/>
              <w:rPr>
                <w:sz w:val="20"/>
                <w:szCs w:val="20"/>
                <w:color w:val="auto"/>
              </w:rPr>
            </w:pPr>
            <w:r>
              <w:rPr>
                <w:rFonts w:ascii="Arial" w:cs="Arial" w:eastAsia="Arial" w:hAnsi="Arial"/>
                <w:sz w:val="18"/>
                <w:szCs w:val="18"/>
                <w:color w:val="auto"/>
              </w:rPr>
              <w:t>—   $</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89"/>
              </w:rPr>
              <w:t>24</w:t>
            </w:r>
          </w:p>
        </w:tc>
        <w:tc>
          <w:tcPr>
            <w:tcW w:w="34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535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659</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239</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928</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1,775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1,587</w:t>
            </w:r>
          </w:p>
        </w:tc>
        <w:tc>
          <w:tcPr>
            <w:tcW w:w="2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2,463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2,787</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3,610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6,960</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4,896</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17,964</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2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6"/>
            <w:shd w:val="clear" w:color="auto" w:fill="CCEEFF"/>
          </w:tcPr>
          <w:p>
            <w:pPr>
              <w:jc w:val="right"/>
              <w:ind w:right="390"/>
              <w:spacing w:after="0"/>
              <w:rPr>
                <w:sz w:val="20"/>
                <w:szCs w:val="20"/>
                <w:color w:val="auto"/>
              </w:rPr>
            </w:pPr>
            <w:r>
              <w:rPr>
                <w:rFonts w:ascii="Arial" w:cs="Arial" w:eastAsia="Arial" w:hAnsi="Arial"/>
                <w:sz w:val="18"/>
                <w:szCs w:val="18"/>
                <w:color w:val="auto"/>
              </w:rPr>
              <w:t>All outstanding liabilities before 2010, net of reinsurance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60" w:type="dxa"/>
            <w:vAlign w:val="bottom"/>
            <w:gridSpan w:val="5"/>
          </w:tcPr>
          <w:p>
            <w:pPr>
              <w:jc w:val="right"/>
              <w:ind w:right="50"/>
              <w:spacing w:after="0"/>
              <w:rPr>
                <w:sz w:val="20"/>
                <w:szCs w:val="20"/>
                <w:color w:val="auto"/>
              </w:rPr>
            </w:pPr>
            <w:r>
              <w:rPr>
                <w:rFonts w:ascii="Arial" w:cs="Arial" w:eastAsia="Arial" w:hAnsi="Arial"/>
                <w:sz w:val="18"/>
                <w:szCs w:val="18"/>
                <w:color w:val="auto"/>
                <w:w w:val="91"/>
              </w:rPr>
              <w:t>Reserve for losses and LAE, net of reinsurance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46,850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our mortgage insurance portfolio, our average annual payout of losses as of December 31, 2017 is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Annual Percentage Payout of Incurred Losses and Allocated LAE by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96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w:t>
            </w:r>
          </w:p>
        </w:tc>
      </w:tr>
      <w:tr>
        <w:trPr>
          <w:trHeight w:val="277"/>
        </w:trPr>
        <w:tc>
          <w:tcPr>
            <w:tcW w:w="57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Payout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7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337" w:right="239"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On May 17, 2017, Essent Group and its subsidiaries, Essent Irish Intermediate Holdings Limited and Essent US Holdings, Inc. (collectively, the "Borrowers"), entered into an amended and restated four-year, secured credit facility with a committed capacity of $375 million (the “Credit Facility”). The Credit Facility amends and restates the three-year, secured revolving credit facility entered into on April 19, 2016, and provides for (i) an increase in the revolving credit facility from $200 million to $250 million, (ii) the issuance of term loans of $125 million, the proceeds of which were used at closing to pay down borrowings outstanding under the revolving credit facility, and (iii) a $75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will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17). The $125 million term loans contractually mature on May 17, 2021. This description is not intended to be complete in all respects and is qualified in its entirety by the terms of the Credit Facility, including its covenants. As of December 31, 2017, the Company was in compliance with the covenants and $250 million had been borrowed under the Credit Facility with a weighted average interest rate of 3.49%. As of December 31, 2016, $100 million had been borrowed with a weighted average interest rate of 2.73%.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the years ended December 31, 2017 and 2016, we paid $0.2 million and $0.1 million, respectively, related to remedies. As of December 31, 2017, management believes any potential claims for indemnification related to contract underwriting services through December 31, 2017 are not material to our consolidated financial position or results of operations.</w:t>
      </w:r>
    </w:p>
    <w:p>
      <w:pPr>
        <w:spacing w:after="0" w:line="18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2017,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37"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office space for use in our operations under leases accounted for as operating leases. Total rent expense was $2.1 million, $1.9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 million for the years ended December 31, 2017, 2016 and 2015, respectively. The future minimum lease payments of non-cancelable operating leases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 at December 31, 2017:</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2,479</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2,649</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2,594</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2,651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w:t>
            </w:r>
          </w:p>
        </w:tc>
      </w:tr>
      <w:tr>
        <w:trPr>
          <w:trHeight w:val="243"/>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2023 and thereafter</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4,517</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17,600</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2018 under the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authorized share capital consists of 233.3 million shares of a single class of common shares (the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82"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In August 2017, Essent Group completed the sale of 5.0 million Common Shares in a public offering at a price of $39.90 per share. The total net proceeds from this offering were approximately $197.7 million after deducting underwriting discounts, commissions and other offering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connection with the IPO 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Amendments to our 2013 Plan were approved by shareholders and effective as of May 3, 2017. These amendments included a reduction in the maximum number of shares and share units available for issuance to 7.5 million under the Amended and Restated 2013 Plan (inclusive of approximately 2.6 million nonvested shares and share units outstanding as of May 3, 2017), down from the approximately 14.7 million shares and share units originally available for issuance under the 2013 Plan. As of December 31, 2017, there were 4.9 million Common Shares available for future grant under the 2013 Plan.</w:t>
      </w:r>
    </w:p>
    <w:p>
      <w:pPr>
        <w:spacing w:after="0" w:line="19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September 2013 and February 2014, certain members of senior management were granted nonvested Common Shares under the 2013 Plan that were subject to time-based and performance-based vesting. The time-based share awards granted in September 2013 vest in four equal installments on January 1, 2015, 2016, 2017 and 2018. The time-based share awards granted in February 2014 vested in three equal installments on March 1, 2015, 2016 and 2017. The performance-based share awards vest based upon our compounded annual book value per share growth percentage during a three-year performance period that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337" w:right="259" w:bottom="1440" w:gutter="0" w:footer="0" w:header="0"/>
        </w:sectPr>
      </w:pPr>
    </w:p>
    <w:bookmarkStart w:id="107" w:name="page108"/>
    <w:bookmarkEnd w:id="107"/>
    <w:p>
      <w:pPr>
        <w:jc w:val="center"/>
        <w:ind w:right="10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commenced on January 1, 2014. The September 2013 performance-based share awards vest on the one-year anniversary of the completion of the performance period, and the February 2014 performance-based share awards vested on March 1, 2017.</w:t>
      </w:r>
    </w:p>
    <w:p>
      <w:pPr>
        <w:spacing w:after="0" w:line="170"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In February 2015, certain members of senior management were granted nonvested Common Shares under the 2013 Plan that were subject to time-based and performance-based vesting. The time-based share awards granted in February 2015 vest in three equal installments on March 1, 2016, 2017 and</w:t>
      </w:r>
    </w:p>
    <w:p>
      <w:pPr>
        <w:ind w:right="620"/>
        <w:spacing w:after="0" w:line="261" w:lineRule="auto"/>
        <w:rPr>
          <w:sz w:val="20"/>
          <w:szCs w:val="20"/>
          <w:color w:val="auto"/>
        </w:rPr>
      </w:pPr>
      <w:r>
        <w:rPr>
          <w:rFonts w:ascii="Arial" w:cs="Arial" w:eastAsia="Arial" w:hAnsi="Arial"/>
          <w:sz w:val="18"/>
          <w:szCs w:val="18"/>
          <w:color w:val="auto"/>
        </w:rPr>
        <w:t>2018. The performance-based share awards granted in February 2015 vest based upon our compounded annual book value per share growth percentage during a three-year performance period that commenced on January 1, 2015 and vest on March 1, 2018.</w:t>
      </w:r>
    </w:p>
    <w:p>
      <w:pPr>
        <w:spacing w:after="0" w:line="184"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are subject to time-based and performance-based vesting. The time-based share award vests in four equal installments on July 1, 2016, 2017, 2018 and 2019. The performance-based share award vests based upon our compounded annual book value per share growth percentage during a three-year performance period that commenced on January 1, 2015 and vests on July 1, 2019.</w:t>
      </w:r>
    </w:p>
    <w:p>
      <w:pPr>
        <w:spacing w:after="0" w:line="187"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In February 2016, certain members of senior management were granted nonvested common shares under the 2013 Plan that are subject to time-based and performance-based vesting. The time-based share awards granted in February 2016 vest in three equal installments on March 1, 2017, 2018 and</w:t>
      </w:r>
    </w:p>
    <w:p>
      <w:pPr>
        <w:ind w:right="620"/>
        <w:spacing w:after="0" w:line="261" w:lineRule="auto"/>
        <w:rPr>
          <w:sz w:val="20"/>
          <w:szCs w:val="20"/>
          <w:color w:val="auto"/>
        </w:rPr>
      </w:pPr>
      <w:r>
        <w:rPr>
          <w:rFonts w:ascii="Arial" w:cs="Arial" w:eastAsia="Arial" w:hAnsi="Arial"/>
          <w:sz w:val="18"/>
          <w:szCs w:val="18"/>
          <w:color w:val="auto"/>
        </w:rPr>
        <w:t>2019. The performance-based share awards granted in February 2016 vest based upon our compounded annual book value per share growth percentage during a three-year performance period that commenced on January 1, 2016 and vest on March 1, 2019.</w:t>
      </w:r>
    </w:p>
    <w:p>
      <w:pPr>
        <w:spacing w:after="0" w:line="184"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In February 2017, certain members of senior management were granted nonvested common shares under the 2013 Plan that were subject to time-based and performance-based vesting. The time-based share awards granted in February 2017 vest in three equal installments on March 1, 2018, 2019 and</w:t>
      </w:r>
    </w:p>
    <w:p>
      <w:pPr>
        <w:ind w:right="620"/>
        <w:spacing w:after="0" w:line="261" w:lineRule="auto"/>
        <w:rPr>
          <w:sz w:val="20"/>
          <w:szCs w:val="20"/>
          <w:color w:val="auto"/>
        </w:rPr>
      </w:pPr>
      <w:r>
        <w:rPr>
          <w:rFonts w:ascii="Arial" w:cs="Arial" w:eastAsia="Arial" w:hAnsi="Arial"/>
          <w:sz w:val="18"/>
          <w:szCs w:val="18"/>
          <w:color w:val="auto"/>
        </w:rPr>
        <w:t>2020. The performance-based share awards granted in February 2017 vest based upon our compounded annual book value per share growth percentage during a three-year performance period that commenced on January 1, 2017 and vest on March 1, 2020.</w:t>
      </w:r>
    </w:p>
    <w:p>
      <w:pPr>
        <w:spacing w:after="0" w:line="18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2017 Performance-Based Grants</w:t>
            </w:r>
          </w:p>
        </w:tc>
        <w:tc>
          <w:tcPr>
            <w:tcW w:w="12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2016 Performance-Based Grants</w:t>
            </w:r>
          </w:p>
        </w:tc>
        <w:tc>
          <w:tcPr>
            <w:tcW w:w="1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w w:val="98"/>
              </w:rPr>
              <w:t>2013, 2014 and 2015 Performance-Based Grants</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Compounded Annual Book Value</w:t>
            </w:r>
          </w:p>
        </w:tc>
        <w:tc>
          <w:tcPr>
            <w:tcW w:w="1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Nonvested</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Compounded Annual Book Value</w:t>
            </w:r>
          </w:p>
        </w:tc>
        <w:tc>
          <w:tcPr>
            <w:tcW w:w="1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Nonvested</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Compounded Annual Book Value</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Nonvested</w:t>
            </w:r>
          </w:p>
        </w:tc>
        <w:tc>
          <w:tcPr>
            <w:tcW w:w="0" w:type="dxa"/>
            <w:vAlign w:val="bottom"/>
          </w:tcPr>
          <w:p>
            <w:pPr>
              <w:spacing w:after="0"/>
              <w:rPr>
                <w:sz w:val="1"/>
                <w:szCs w:val="1"/>
                <w:color w:val="auto"/>
              </w:rPr>
            </w:pPr>
          </w:p>
        </w:tc>
      </w:tr>
      <w:tr>
        <w:trPr>
          <w:trHeight w:val="149"/>
        </w:trPr>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26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22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22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92"/>
        </w:trPr>
        <w:tc>
          <w:tcPr>
            <w:tcW w:w="1300" w:type="dxa"/>
            <w:vAlign w:val="bottom"/>
            <w:gridSpan w:val="2"/>
            <w:vMerge w:val="continue"/>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 Growth</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Shares Earned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 Growth</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Shares Earned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 Growth</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Shares Earned</w:t>
            </w:r>
          </w:p>
        </w:tc>
        <w:tc>
          <w:tcPr>
            <w:tcW w:w="0" w:type="dxa"/>
            <w:vAlign w:val="bottom"/>
          </w:tcPr>
          <w:p>
            <w:pPr>
              <w:spacing w:after="0"/>
              <w:rPr>
                <w:sz w:val="1"/>
                <w:szCs w:val="1"/>
                <w:color w:val="auto"/>
              </w:rPr>
            </w:pPr>
          </w:p>
        </w:tc>
      </w:tr>
      <w:tr>
        <w:trPr>
          <w:trHeight w:val="243"/>
        </w:trPr>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&lt;16%</w:t>
            </w:r>
          </w:p>
        </w:tc>
        <w:tc>
          <w:tcPr>
            <w:tcW w:w="100" w:type="dxa"/>
            <w:vAlign w:val="bottom"/>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w:t>
            </w:r>
          </w:p>
        </w:tc>
        <w:tc>
          <w:tcPr>
            <w:tcW w:w="10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&lt;11%</w:t>
            </w:r>
          </w:p>
        </w:tc>
        <w:tc>
          <w:tcPr>
            <w:tcW w:w="10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Threshold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2013, 2014 and 2015 performance-based grants exceeded the maximum performance level and have vested or will vest at 100%.</w:t>
      </w:r>
    </w:p>
    <w:p>
      <w:pPr>
        <w:spacing w:after="0" w:line="147"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In connection with our incentive program covering bonus awards for performance year 2013, in February 2014, time-based share awards and share units were issued to certain employees that vested in three equal installments on January 1, 2015, 2016 and 2017. In connection with our incentive program covering bonus awards for performance year 2014, in February 2015, time-based share awards and share units were issued to certain employees that vest in three equal installments on March 1, 2016, 2017 and 2018. In connection with our incentive program covering bonus awards for performance year 2015, in February 2016, time-based share awards and share units were issued to certain employees that vest in three equal installments on March 1, 2017, 2018 and 2019. In January 2017, time-based share units were issued to all vice president and staff level employees that vest in three equal installments in January 2018, 2019 and 2020. In connection with our incentive program</w:t>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520"/>
          </w:cols>
          <w:pgMar w:left="240" w:top="337" w:right="1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covering bonus awards for performance year 2016, in February 2017, time-based share awards and share units were issued to certain employees that vest in three equal installments on March 1, 2018, 2019 and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of each year, 2015 through 2017, time-based share units were granted to non-employee directors that vest one year from the date of grant.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nonvested Common Share and nonvested Common Share unit activity for the year ended December 31:</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(Shares 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beginning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(Shares 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beginning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(Shares in thousands)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Outstanding at beginning of year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Outstanding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4545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Time and Performance-</w:t>
            </w:r>
          </w:p>
        </w:tc>
        <w:tc>
          <w:tcPr>
            <w:tcW w:w="2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1,503</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605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rPr>
              <w:t>1,595</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2016</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0" w:type="dxa"/>
            <w:vAlign w:val="bottom"/>
            <w:gridSpan w:val="7"/>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1,294</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890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rPr>
              <w:t>1,503</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2015</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00" w:type="dxa"/>
            <w:vAlign w:val="bottom"/>
            <w:gridSpan w:val="7"/>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Time and Performance-</w:t>
            </w:r>
          </w:p>
        </w:tc>
        <w:tc>
          <w:tcPr>
            <w:tcW w:w="236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1,290</w:t>
            </w: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1,472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3"/>
                <w:szCs w:val="23"/>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gridSpan w:val="2"/>
          </w:tcPr>
          <w:p>
            <w:pPr>
              <w:jc w:val="right"/>
              <w:ind w:right="24"/>
              <w:spacing w:after="0"/>
              <w:rPr>
                <w:sz w:val="20"/>
                <w:szCs w:val="20"/>
                <w:color w:val="auto"/>
              </w:rPr>
            </w:pPr>
            <w:r>
              <w:rPr>
                <w:rFonts w:ascii="Arial" w:cs="Arial" w:eastAsia="Arial" w:hAnsi="Arial"/>
                <w:sz w:val="18"/>
                <w:szCs w:val="18"/>
                <w:color w:val="auto"/>
              </w:rPr>
              <w:t>1,294</w:t>
            </w: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2"/>
                <w:szCs w:val="22"/>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890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544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-4441825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-4098290</wp:posOffset>
            </wp:positionV>
            <wp:extent cx="72294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-4792980</wp:posOffset>
            </wp:positionV>
            <wp:extent cx="72294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-2494915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-2152015</wp:posOffset>
            </wp:positionV>
            <wp:extent cx="72294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72294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-548005</wp:posOffset>
            </wp:positionV>
            <wp:extent cx="72034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-205105</wp:posOffset>
            </wp:positionV>
            <wp:extent cx="720344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-899795</wp:posOffset>
            </wp:positionV>
            <wp:extent cx="720344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60"/>
          </w:cols>
          <w:pgMar w:left="240" w:top="337" w:right="259" w:bottom="1440" w:gutter="0" w:footer="0" w:header="0"/>
          <w:type w:val="continuous"/>
        </w:sectPr>
      </w:pPr>
    </w:p>
    <w:p>
      <w:pPr>
        <w:spacing w:after="0" w:line="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Quoted market prices are used for the valuation of Common Shares granted subsequent to our initial public offering. For nonvested Common Shares granted in September 2013, prior to our IPO,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337" w:right="259" w:bottom="1440" w:gutter="0" w:footer="0" w:header="0"/>
          <w:type w:val="continuous"/>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Company's business potential and earnings prospects, the Company's historical operating results, market valuations of companies deemed comparable to the Company and an assessment of risks and opportunities.</w:t>
      </w:r>
    </w:p>
    <w:p>
      <w:pPr>
        <w:spacing w:after="0" w:line="170"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total fair value of nonvested shares or share units that vested was $22.4 million, $15.6 million and $22.4 million for the years ended December 31, 2017, 2016 and 2015, respectively. As of December 31, 2017, there was $18.4 million of total unrecognized compensation expense related to nonvested shares or share units outstanding at December 31, 2017 and we expect to recognize the expense over a weighted average period of 1.8 years.</w:t>
      </w:r>
    </w:p>
    <w:p>
      <w:pPr>
        <w:spacing w:after="0" w:line="14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2017, in February 2018, 90,283 nonvested Common Share units were issued to certain employees and are subject to time-based vesting. In February 2018, 185,896 nonvested Common Shares were granted to certain members of senior management and are subject to time-based and performance-based vesting.</w:t>
      </w:r>
    </w:p>
    <w:p>
      <w:pPr>
        <w:spacing w:after="0" w:line="18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223,027, 184,583 and 201,553 in 2017, 2016 and 2015, respectively. The tendered shares were recorded at cost and included in treasury stock. All treasury stock has been cancelled as of December 31, 2017 and 2016.</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Compensation expense, net of forfeitures, and related tax effects recognized in connection with nonvested shares were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13,633</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4,378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29"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2017, Essent Guaranty had unassigned surplus of approximately $70.7 million. Essent Guaranty paid no dividends to Essent Group or any intermediate holding companies in the years ended December 31, 2017, 2016 or 2015. Essent PA had unassigned surplus of approximately $6.5 million as of December 31, 2017. In the years ended December 31, 2017 and 2016, Essent PA paid to its parent company, Essent US Holdings, Inc. ("Essent Holdings") a dividend of $5 million and $3.75 million, respectively. Essent PA did not pay a dividend in 2015.</w:t>
      </w:r>
    </w:p>
    <w:p>
      <w:pPr>
        <w:spacing w:after="0" w:line="16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2017, Essent Re had total equity of $662.8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our insurance subsidiaries were in compliance with these rules, regulations and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Through December 31, 2017, the statutory income tax rates of the countries where the Company does business are 35% in the United States and 0.0% in Bermuda. The statutory income tax rate of each country is applied against the taxable income from each country to calculate the income tax expense. On December 22, 2017, the “Tax Cuts and Jobs Act” (“TCJA”) was enacted. The provisions of TCJA include broad tax reforms that are applicable to the Company, including a reduction in the U.S. statutory corporate income tax rate from 35% to 21% effective January 1, 2018. This change in tax rates required us to remeasure our deferred tax assets and liabilities as of the enactment date resulting in a one-time $85.1 million income tax benefit for the year ended December 31, 2017.</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337" w:right="2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components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18,910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52,157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Remeasurement of net deferred tax liability for enacted changes in tax law</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18,821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89,276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71,067</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For the year ended December 31, 2017 pre-tax income attributable to Bermuda and U.S. operations was $86.3 million and $312.3 million, respectively, as compared to $51.6 million and $260.3 million, respectively, for the year ended December 31, 2016 and $21.4 million and $207.0 million, respectively, for the year ended December 31, 2015.</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U.S. 35%; Bermuda 0.0%). The reconciliation of the difference between income tax expense and the expected tax provision at the weighted average tax rate was as follows for the years ended December 31: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of pretax</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rPr>
              <w:t>% of pretax</w:t>
            </w:r>
          </w:p>
        </w:tc>
      </w:tr>
      <w:tr>
        <w:trPr>
          <w:trHeight w:val="21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6"/>
                <w:szCs w:val="16"/>
                <w:b w:val="1"/>
                <w:bCs w:val="1"/>
                <w:color w:val="auto"/>
              </w:rPr>
              <w:t>income</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109,309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91,092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Change in valuation of net deferred tax liability</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(85,091)</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Tax exempt interest, net of proration</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89,276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71,067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31.1 %</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43,291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(185,878)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5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(142,587)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net deferred tax liability were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Contingency reserves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(181,031)</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19,722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ceding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3,568</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4,702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Start-up expenditures,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2,181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Loss reserves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Organizational expenditures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(142,587)</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T&amp;L Bonds in an amount equal to the tax benefit derived from deducting any portion of our statutory contingency reserves. During the years ended December 31, 2017 and 2016, we had net purchases of T&amp;L Bonds in the amount of $70.9 million and $61.9 million, respectively, and held $252.2 million and $181.3 million of T&amp;L Bonds as of December 31, 2017 and 2016, respectively.</w:t>
      </w:r>
    </w:p>
    <w:p>
      <w:pPr>
        <w:spacing w:after="0" w:line="18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December 31, 2017 and 2016, after weighing all the evidence, management concluded that it was more likely than not that our deferred tax assets would be realized.</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4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Essent Holdings and its subsidiaries are subject to income taxes imposed by U.S. law and file a U.S. Consolidated Income Tax Return. Each subsidiary has executed a tax sharing agreement with its parent company, which provides that taxes are settled in cash between parent and subsidiary on a quarterly basis based on separate company pro-forma calculations.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$846.8 million. The associated withholding tax liability under the U.S./Ireland tax treaty would be approximately $42.3 million.</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37"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At December 31, 2017 and 2016, the Company had no unrecognized tax benefits. As of December 31, 2017, the U.S. federal income tax returns for the tax years 2014 through 2016 remain subject to examination. The Company has not recorded any uncertain tax positions as of December 31, 2017 or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is a party to an investment advisory agreement with Goldman Sachs Asset Management, L.P., a subsidiary of The Goldman Sachs Group, Inc. ("Goldman Sachs"), one of Essent Group's investors prior to 2017. Through the date of our IPO, Goldman Sachs beneficially owned 11.35% of our outstanding shares. Subsequent to the IPO and prior to 2017, Goldman Sachs directly held less than 10% of our outstanding shares. Investment expense incurred under the investment advisory agreement totaled $0.8 million and $0.7 million for the years ended December 31, 2016 and 2015, respectively. Goldman Sachs is also one of several lenders under our Credit Facility discussed in Note 7 and was paid an upfront fee of $0.1 million in 2016. Commitment fees and interest expense incurred under the Credit Facility allocable to Goldman Sachs totaled $0.1 million in 2016.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 (EPS)</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157,331</w:t>
            </w: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Less: Common Shares dividends declared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Undistributed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379,747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222,606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157,331</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Net income allocable to Common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379,747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222,606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157,331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1.74</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90,351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92,245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91,738</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44,540, 96,251 and 78,198 antidilutive shares for the years ended December 31, 2017, 2016 and 2015, respectively.</w:t>
      </w:r>
    </w:p>
    <w:p>
      <w:pPr>
        <w:spacing w:after="0" w:line="27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2017, 2016 and 2015, 100% of the performance-based share awards would be issuable under the terms of the arrangements at each date if December 31 was the end of the contingency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337" w:right="2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Before Tax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(losses)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14,602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9,363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7"/>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Net unrealized gains on investments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Reclassification of certain income tax effects resulting from tax reform</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Before Tax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(losses)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Unrealized holding losses arising during the period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7"/>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Net unrealized losses on investments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5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Included in net realized investments gains on our consolidated statements of comprehensive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247"/>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40" w:hanging="247"/>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247"/>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ectPr>
          <w:pgSz w:w="11900" w:h="16838" w:orient="portrait"/>
          <w:cols w:equalWidth="0" w:num="1">
            <w:col w:w="11400"/>
          </w:cols>
          <w:pgMar w:left="240" w:top="337"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337" w:right="259" w:bottom="1440" w:gutter="0" w:footer="0" w:header="0"/>
          <w:type w:val="continuous"/>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40" w:hanging="247"/>
        <w:spacing w:after="0" w:line="273"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residential and commercial mortgage securities and asset-backed securities are classified as Level 2 investments.</w:t>
      </w:r>
    </w:p>
    <w:p>
      <w:pPr>
        <w:spacing w:after="0" w:line="178" w:lineRule="exact"/>
        <w:rPr>
          <w:sz w:val="20"/>
          <w:szCs w:val="20"/>
          <w:color w:val="auto"/>
        </w:rPr>
      </w:pPr>
    </w:p>
    <w:p>
      <w:pPr>
        <w:ind w:left="660" w:right="60" w:firstLine="648"/>
        <w:spacing w:after="0" w:line="269" w:lineRule="auto"/>
        <w:rPr>
          <w:sz w:val="20"/>
          <w:szCs w:val="20"/>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80" w:lineRule="exact"/>
        <w:rPr>
          <w:sz w:val="20"/>
          <w:szCs w:val="20"/>
          <w:color w:val="auto"/>
        </w:rPr>
      </w:pPr>
    </w:p>
    <w:p>
      <w:pPr>
        <w:ind w:left="660" w:right="100" w:hanging="247"/>
        <w:spacing w:after="0" w:line="272"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Derivative liabilities—Through June 30, 2016, certain of our Freddie Mac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provided the most relevant information with respect to fair value estimates. These ACIS contracts were classified as Level 3 of the fair value hierarchy. During the quarter ended September 30, 2016, these contracts were amended and are now accounted for as insurance contracts rather than as derivatives. As of December 31, 2017 and 2016, the Company had no derivative instruments.</w:t>
      </w:r>
    </w:p>
    <w:p>
      <w:pPr>
        <w:spacing w:after="0" w:line="178" w:lineRule="exact"/>
        <w:rPr>
          <w:sz w:val="20"/>
          <w:szCs w:val="20"/>
          <w:color w:val="auto"/>
        </w:rPr>
      </w:pPr>
    </w:p>
    <w:p>
      <w:pPr>
        <w:ind w:left="660" w:firstLine="648"/>
        <w:spacing w:after="0" w:line="272" w:lineRule="auto"/>
        <w:rPr>
          <w:sz w:val="20"/>
          <w:szCs w:val="20"/>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337" w:right="27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263,797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1,813,463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1,321,124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97"/>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following table presents changes during the years ended December 31, 2017 and 2016 in Level 3 liabilities measured at fair value on a recurring basis, and the net realized and unrealized losses (gains) related to the Level 3 liabilities in the consolidated balance sheets at December 31, 2017 and 2016. During the years ended December 31, 2017 and 2016, we had no Level 3 assets.</w:t>
      </w:r>
    </w:p>
    <w:p>
      <w:pPr>
        <w:spacing w:after="0" w:line="335"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5"/>
                <w:szCs w:val="15"/>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1,232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included in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issues and settlements,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Gross transfers in</w:t>
            </w:r>
          </w:p>
        </w:tc>
        <w:tc>
          <w:tcPr>
            <w:tcW w:w="2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305"/>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Changes in net unrealized losses (gains) included in income on instruments held at 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459"/>
        </w:trPr>
        <w:tc>
          <w:tcPr>
            <w:tcW w:w="9020" w:type="dxa"/>
            <w:vAlign w:val="bottom"/>
          </w:tcPr>
          <w:p>
            <w:pPr>
              <w:spacing w:after="0"/>
              <w:rPr>
                <w:sz w:val="20"/>
                <w:szCs w:val="20"/>
                <w:color w:val="auto"/>
              </w:rPr>
            </w:pPr>
            <w:r>
              <w:rPr>
                <w:rFonts w:ascii="Arial" w:cs="Arial" w:eastAsia="Arial" w:hAnsi="Arial"/>
                <w:sz w:val="18"/>
                <w:szCs w:val="18"/>
                <w:b w:val="1"/>
                <w:bCs w:val="1"/>
                <w:color w:val="auto"/>
              </w:rPr>
              <w:t>Note 17. Statutory Accounting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261,811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215,951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172,688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761,006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522,172</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678,701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480,829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315,058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15,200</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45,509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47,387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47,139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43,141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36,401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27,502</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Net income determined in accordance with statutory accounting practices differs from GAAP. In 2017 and 2016,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337" w:right="239" w:bottom="1440" w:gutter="0" w:footer="0" w:header="0"/>
          <w:type w:val="continuous"/>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At December 31, 2017 and 2016,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2017, Essent Guaranty, our GSE-approved mortgage insurance company, was in compliance with the PMIERs.</w:t>
      </w:r>
    </w:p>
    <w:p>
      <w:pPr>
        <w:spacing w:after="0" w:line="1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2017, Essent Guaranty increased its contingency reserve by $197.9 million and Essent PA increased its contingency reserve by $6.7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2017, 2016 or 2015.</w:t>
      </w:r>
    </w:p>
    <w:p>
      <w:pPr>
        <w:spacing w:after="0" w:line="16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2017 and 2016, all such requirements were met.</w:t>
      </w:r>
    </w:p>
    <w:p>
      <w:pPr>
        <w:spacing w:after="0" w:line="17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Essent Re's statutory capital and surplus was $662.6 million and $401.1 million as of December 31, 2017 and 2016, respectively, and statutory net income was $96.9 million and $56.7 million, respectively. Statutory capital and surplus and net income determined in accordance with statutory accounting practices were not significantly different than the amounts determined under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Maintenance Agreement</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2017, Essent PA's risk-to-capital ratio was 5.4:1 and there were no amounts outstanding related to this agreement.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337"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following table summarizes the unaudited results of operations for each quarter of 2017 and 2016. We have prepared the consolidated quarterly information on a basis consistent with the audited consolidated financial statements. In the opinion of management, the financial information reflects all adjustments (which include normal recurring adjustments) required for a fair presentation of the financial information for the quarters presented. This information should be read in conjunction with our audited financial statements and the related notes. The results of interim periods are not necessarily indicative of the results for the full year.</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117,651</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9,941</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3,693</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36,480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35,686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36,332</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105,357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107,399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98,961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86,851</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66,598</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0.73</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96,429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94,185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91,381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91,258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93,023</w:t>
            </w:r>
          </w:p>
        </w:tc>
      </w:tr>
      <w:tr>
        <w:trPr>
          <w:trHeight w:val="615"/>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94,403</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8,063</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3,731</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34,836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32,792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31,388</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87,302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83,441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73,792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67,347</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47,951</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0.53</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90,991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90,961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90,785</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91,859</w:t>
            </w:r>
          </w:p>
        </w:tc>
      </w:tr>
      <w:tr>
        <w:trPr>
          <w:trHeight w:val="891"/>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95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337"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80" w:type="dxa"/>
            <w:vAlign w:val="bottom"/>
          </w:tcPr>
          <w:p>
            <w:pPr>
              <w:spacing w:after="0"/>
              <w:rPr>
                <w:sz w:val="14"/>
                <w:szCs w:val="14"/>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1740" w:type="dxa"/>
            <w:vAlign w:val="bottom"/>
          </w:tcPr>
          <w:p>
            <w:pPr>
              <w:jc w:val="center"/>
              <w:ind w:right="235"/>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49"/>
        </w:trPr>
        <w:tc>
          <w:tcPr>
            <w:tcW w:w="5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92"/>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74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50"/>
        </w:trPr>
        <w:tc>
          <w:tcPr>
            <w:tcW w:w="5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United States Government and government agencies and authorities</w:t>
            </w:r>
          </w:p>
        </w:tc>
        <w:tc>
          <w:tcPr>
            <w:tcW w:w="8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679,654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668,059</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States, municipalities and political subdivisions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457,418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167,638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167,922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 other corporate bonds</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610,516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Total fixed maturities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1,994,200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1,992,371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1,992,371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312,714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312,694</w:t>
            </w:r>
          </w:p>
        </w:tc>
        <w:tc>
          <w:tcPr>
            <w:tcW w:w="0" w:type="dxa"/>
            <w:vAlign w:val="bottom"/>
          </w:tcPr>
          <w:p>
            <w:pPr>
              <w:spacing w:after="0"/>
              <w:rPr>
                <w:sz w:val="1"/>
                <w:szCs w:val="1"/>
                <w:color w:val="auto"/>
              </w:rPr>
            </w:pP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Total investments</w:t>
            </w:r>
          </w:p>
        </w:tc>
        <w:tc>
          <w:tcPr>
            <w:tcW w:w="5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2,306,914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2,305,065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2017 — $0; 2016 — $10,002)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10,004</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2017 — $97,926; 2016 — $32,039)</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97,917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32,036</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42,040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4,521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from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 in consolidated subsidiaries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1,956,955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1,393,720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w:t>
            </w: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2,064,771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1,444,483</w:t>
            </w: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5"/>
              </w:rPr>
              <w:t>Credit facility borrowings (at carrying value, less unamortized deferred costs of $1,409 in 2017 and $0 in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123,591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124,335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100,710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1,127,137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918,296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815,075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436,335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1,940,436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1,343,773</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2,064,771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1,444,483</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50"/>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investment (losses) gains,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Administrative service fees from subsidiaries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437</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service fees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3,554</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5,316</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Loss before equity in undistributed net income of subsidiaries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(4,639)</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undistributed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161,970</w:t>
            </w: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379,747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222,606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157,331</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8020" w:type="dxa"/>
            <w:vAlign w:val="bottom"/>
            <w:gridSpan w:val="2"/>
          </w:tcPr>
          <w:p>
            <w:pPr>
              <w:ind w:left="180"/>
              <w:spacing w:after="0"/>
              <w:rPr>
                <w:sz w:val="20"/>
                <w:szCs w:val="20"/>
                <w:color w:val="auto"/>
              </w:rPr>
            </w:pPr>
            <w:r>
              <w:rPr>
                <w:rFonts w:ascii="Arial" w:cs="Arial" w:eastAsia="Arial" w:hAnsi="Arial"/>
                <w:sz w:val="18"/>
                <w:szCs w:val="18"/>
                <w:color w:val="auto"/>
                <w:w w:val="93"/>
              </w:rPr>
              <w:t>Change in unrealized appreciation (depreciation) of investments, net of tax expense (benefit) of $4,519 in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2017, ($2,941) in 2016 and ($1,285) in 2015</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(4,766)</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r>
      <w:tr>
        <w:trPr>
          <w:trHeight w:val="257"/>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387,815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210,450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152,565</w:t>
            </w: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379,747</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222,606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157,331</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Equity in net income of subsidiaries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(390,232)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(161,970)</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(gain) on the sale of investments, net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880</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860" w:type="dxa"/>
            <w:vAlign w:val="bottom"/>
            <w:gridSpan w:val="2"/>
          </w:tcPr>
          <w:p>
            <w:pPr>
              <w:ind w:left="38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18,236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15,153</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11,934</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91,119</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Investments in subsidiaries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(164,927)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(61,328)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(130,461)</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94,429</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Issuance of common shares, net of costs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197,829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facility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Credit facility repayments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Payment of issuance costs for credit facility</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212,562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Interest payments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(4,045)</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6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Repayment of borrowings with term loan proceeds (see Note 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580" w:right="239" w:bottom="1440" w:gutter="0" w:footer="0" w:header="0"/>
          <w:type w:val="continuous"/>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equity-method of accounting for its majority-owned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2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2017, Essent Guaranty had unassigned surplus of approximately $70.7 million. Essent PA had unassigned surplus of approximately $6.5 million as of December 31, 2017.</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years ending December 31, 2017, the Parent Company did not receive any dividends from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more fully discussed in Note 7 of our consolidated financial statements, during 2017, the Parent Company and its subsidiaries entered into 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four-year, secured credit facility with a committed capacity of $375 million (the “Credit Facility”). The Credit Facility amends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restates the three-year, secured revolving credit facility entered into on April 19, 2016, and provides for (i) an increase in the revolving credit facility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to $250 million, (ii) the issuance of term loans of $125 million, the proceeds of which were used at closing to pay down borrowings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revolving credit facility, and (iii) a $75 million uncommitted line that may be exercised at the Borrowers’ option so long as the Borrowers receive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commitments from the lenders. At December 31, 2017, the Parent Company's borrowings under the Credit Facility contractually mature in 2021.</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580" w:right="279" w:bottom="1440" w:gutter="0" w:footer="0" w:header="0"/>
        </w:sectPr>
      </w:pPr>
    </w:p>
    <w:bookmarkStart w:id="124" w:name="page125"/>
    <w:bookmarkEnd w:id="124"/>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2017, the end of the period covered by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2017.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2017,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an independent registered public accounting firm, as stated in their report, which is included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80" w:right="239" w:bottom="1440" w:gutter="0" w:footer="0" w:header="0"/>
        </w:sectPr>
      </w:pPr>
    </w:p>
    <w:bookmarkStart w:id="125" w:name="page126"/>
    <w:bookmarkEnd w:id="125"/>
    <w:p>
      <w:pPr>
        <w:ind w:left="5360"/>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right="40" w:firstLine="432"/>
        <w:spacing w:after="0" w:line="434" w:lineRule="auto"/>
        <w:rPr>
          <w:sz w:val="20"/>
          <w:szCs w:val="20"/>
          <w:color w:val="auto"/>
        </w:rPr>
      </w:pPr>
      <w:r>
        <w:rPr>
          <w:rFonts w:ascii="Arial" w:cs="Arial" w:eastAsia="Arial" w:hAnsi="Arial"/>
          <w:sz w:val="18"/>
          <w:szCs w:val="18"/>
          <w:color w:val="auto"/>
        </w:rPr>
        <w:t xml:space="preserve">Incorporated herein by reference to our definitive proxy statement to be filed with respect to our 2018 Annual General Meeting of Shareholders. </w:t>
      </w:r>
      <w:r>
        <w:rPr>
          <w:rFonts w:ascii="Arial" w:cs="Arial" w:eastAsia="Arial" w:hAnsi="Arial"/>
          <w:sz w:val="18"/>
          <w:szCs w:val="18"/>
          <w:b w:val="1"/>
          <w:bCs w:val="1"/>
          <w:color w:val="auto"/>
        </w:rPr>
        <w:t>ITEM 11. EXECUTIVE COMPENSATION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2018 Annual General Meeting of Shareholders.</w:t>
      </w:r>
    </w:p>
    <w:p>
      <w:pPr>
        <w:spacing w:after="0" w:line="244"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2018 Annual General Meeting of Shareholders.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2018 Annual General Meeting of Shareholders.</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2018 Annual General Meeting of Shareholders.</w:t>
      </w:r>
    </w:p>
    <w:p>
      <w:pPr>
        <w:spacing w:after="0" w:line="200" w:lineRule="exact"/>
        <w:rPr>
          <w:sz w:val="20"/>
          <w:szCs w:val="20"/>
          <w:color w:val="auto"/>
        </w:rPr>
      </w:pPr>
    </w:p>
    <w:p>
      <w:pPr>
        <w:spacing w:after="0" w:line="29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860"/>
          </w:cols>
          <w:pgMar w:left="240" w:top="580" w:right="79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ind w:left="1120" w:right="200" w:hanging="459"/>
        <w:spacing w:after="0" w:line="277" w:lineRule="auto"/>
        <w:rPr>
          <w:rFonts w:ascii="Arial" w:cs="Arial" w:eastAsia="Arial" w:hAnsi="Arial"/>
          <w:sz w:val="18"/>
          <w:szCs w:val="18"/>
          <w:color w:val="auto"/>
        </w:rPr>
      </w:pPr>
      <w:r>
        <w:rPr>
          <w:rFonts w:ascii="Arial" w:cs="Arial" w:eastAsia="Arial" w:hAnsi="Arial"/>
          <w:sz w:val="18"/>
          <w:szCs w:val="18"/>
          <w:color w:val="auto"/>
        </w:rPr>
        <w:t>1.Financial Statements. See the "Index to Financial Statements—Consolidated Financial Statements"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1120" w:right="300" w:hanging="459"/>
        <w:spacing w:after="0" w:line="277" w:lineRule="auto"/>
        <w:rPr>
          <w:rFonts w:ascii="Arial" w:cs="Arial" w:eastAsia="Arial" w:hAnsi="Arial"/>
          <w:sz w:val="18"/>
          <w:szCs w:val="18"/>
          <w:color w:val="auto"/>
        </w:rPr>
      </w:pPr>
      <w:r>
        <w:rPr>
          <w:rFonts w:ascii="Arial" w:cs="Arial" w:eastAsia="Arial" w:hAnsi="Arial"/>
          <w:sz w:val="18"/>
          <w:szCs w:val="18"/>
          <w:color w:val="auto"/>
        </w:rPr>
        <w:t>2.Financial Statements Schedules. See the "Index to Financial Statements—Financial Statement Schedules" included in Item 8 of Part II of this Annual Report for a list of the financial statements filed as a part of this Annual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1000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660" w:type="dxa"/>
            <w:vAlign w:val="bottom"/>
            <w:gridSpan w:val="6"/>
          </w:tcPr>
          <w:p>
            <w:pPr>
              <w:jc w:val="center"/>
              <w:ind w:left="271"/>
              <w:spacing w:after="0" w:line="202" w:lineRule="exact"/>
              <w:rPr>
                <w:rFonts w:ascii="Arial" w:cs="Arial" w:eastAsia="Arial" w:hAnsi="Arial"/>
                <w:sz w:val="18"/>
                <w:szCs w:val="18"/>
                <w:color w:val="0000FF"/>
                <w:w w:val="87"/>
              </w:rPr>
            </w:pPr>
            <w:hyperlink r:id="rId3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0" w:type="dxa"/>
            <w:vAlign w:val="bottom"/>
          </w:tcPr>
          <w:p>
            <w:pPr>
              <w:ind w:left="20"/>
              <w:spacing w:after="0" w:line="202" w:lineRule="exact"/>
              <w:rPr>
                <w:sz w:val="20"/>
                <w:szCs w:val="20"/>
                <w:color w:val="auto"/>
              </w:rPr>
            </w:pPr>
            <w:r>
              <w:rPr>
                <w:rFonts w:ascii="Arial" w:cs="Arial" w:eastAsia="Arial" w:hAnsi="Arial"/>
                <w:sz w:val="18"/>
                <w:szCs w:val="18"/>
                <w:color w:val="auto"/>
                <w:w w:val="93"/>
              </w:rPr>
              <w:t>Memorandum of Association (incorporated herein by reference to Exhibit 3.1 of the Registration Statement on Form S-1 (File No. 333-</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191193) filed on September 16,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 to</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Exhibit 3.2 of the Registration Statement on Form S-1 (File No. 333-191193) filed on September 16, 2013)</w:t>
            </w:r>
          </w:p>
        </w:tc>
      </w:tr>
      <w:tr>
        <w:trPr>
          <w:trHeight w:val="230"/>
        </w:trPr>
        <w:tc>
          <w:tcPr>
            <w:tcW w:w="680" w:type="dxa"/>
            <w:vAlign w:val="bottom"/>
            <w:gridSpan w:val="7"/>
          </w:tcPr>
          <w:p>
            <w:pPr>
              <w:jc w:val="center"/>
              <w:ind w:left="231"/>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3.</w:t>
              </w:r>
              <w:r>
                <w:rPr>
                  <w:rFonts w:ascii="Arial" w:cs="Arial" w:eastAsia="Arial" w:hAnsi="Arial"/>
                  <w:sz w:val="18"/>
                  <w:szCs w:val="18"/>
                  <w:u w:val="single" w:color="auto"/>
                  <w:color w:val="0000FF"/>
                  <w:w w:val="89"/>
                </w:rPr>
                <w:t>2.1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4"/>
              </w:rPr>
              <w:t>Certificate of Deposit of Memorandum of Increase of Share Capital, dated as of October 3, 2013 (incorporated herein by reference to</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Exhibit 3.2.1 of Amendment No.3 to the Registration Statement on Form S-1 (File No. 333-191193) filed on October 21,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7"/>
              </w:rPr>
              <w:t>Amended and Restated Bye-laws (incorporated herein by reference to Exhibit 3.3 of the Form 10-K (File No. 001-36157) filed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March 10, 2014)</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S-1 (File No. 333-191193) filed on October 21, 2013)</w:t>
            </w:r>
          </w:p>
        </w:tc>
      </w:tr>
      <w:tr>
        <w:trPr>
          <w:trHeight w:val="230"/>
        </w:trPr>
        <w:tc>
          <w:tcPr>
            <w:tcW w:w="660" w:type="dxa"/>
            <w:vAlign w:val="bottom"/>
            <w:gridSpan w:val="6"/>
          </w:tcPr>
          <w:p>
            <w:pPr>
              <w:jc w:val="center"/>
              <w:ind w:left="271"/>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Third Amended and Restated Registration Rights Agreement, dated as of November 11, 2014, among Essent Group Ltd. and the</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shareholders party thereto (incorporated herein by reference to Exhibit 4.1 of the Form 10-Q (File No. 001-36157) filed on November 14,</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40" w:type="dxa"/>
            <w:vAlign w:val="bottom"/>
            <w:gridSpan w:val="2"/>
          </w:tcPr>
          <w:p>
            <w:pPr>
              <w:ind w:left="360"/>
              <w:spacing w:after="0"/>
              <w:rPr>
                <w:sz w:val="20"/>
                <w:szCs w:val="20"/>
                <w:color w:val="auto"/>
              </w:rPr>
            </w:pPr>
            <w:r>
              <w:rPr>
                <w:rFonts w:ascii="Arial" w:cs="Arial" w:eastAsia="Arial" w:hAnsi="Arial"/>
                <w:sz w:val="18"/>
                <w:szCs w:val="18"/>
                <w:color w:val="auto"/>
              </w:rPr>
              <w:t>2014)</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3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4"/>
              </w:rPr>
              <w:t>Asset Purchase Agreement, dated as of October 7, 2009, between Essent Guaranty, Inc. and Triad Guaranty Insurance Corporation</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10.4 of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September 16,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3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4"/>
              </w:rPr>
              <w:t>†   Leadership Bonus Program (incorporated herein by reference to Exhibit 10.8 of the Annual Report on Form 10-K (File No. 001-36157)</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filed on February 29, 2016)</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8"/>
              </w:rPr>
              <w:t>†   2013 Long-Term Incentive Plan (incorporated herein by reference to Appendix B to the Company's Definitive Proxy Statement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Schedule 14A (File No. 333-191193) filed on April 3, 2017)</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9"/>
              </w:rPr>
              <w:t>†   Form of Time-Based Restricted Share Agreement (incorporated herein by reference to Exhibit 10.11 of Amendment No.1 to the</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Form of Performance-Based Restricted Share Agreement (incorporated herein by reference to Exhibit 10.11 of the Annual Report on</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10-K (File No. 001-36157) filed on February 27, 2015)</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2"/>
              </w:rPr>
              <w:t>†   Annual Incentive Plan (incorporated herein by reference to Exhibit 10.13 of Amendment No.1 to the Registration Statement on Form S-1</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 No. 333-191193) filed on September 26,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Employment Agreement, dated as of September 25, 2013, by and between Essent US Holdings, Inc. and Mark Casale (incorporated</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10.14 of Amendment No.2 to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October 4,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5"/>
              </w:rPr>
              <w:t>†   Employment Agreement, dated as of September 26, 2013, by and between Essent US Holdings, Inc. and Vijay Bhasin (incorporated</w:t>
            </w: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10.16 of Amendment No.2 to the Registration Statement on Form S-1 (File No. 333-191193)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October 4, 2013)</w:t>
            </w:r>
          </w:p>
        </w:tc>
      </w:tr>
      <w:tr>
        <w:trPr>
          <w:trHeight w:val="230"/>
        </w:trPr>
        <w:tc>
          <w:tcPr>
            <w:tcW w:w="680" w:type="dxa"/>
            <w:vAlign w:val="bottom"/>
            <w:gridSpan w:val="7"/>
          </w:tcPr>
          <w:p>
            <w:pPr>
              <w:jc w:val="center"/>
              <w:ind w:left="251"/>
              <w:spacing w:after="0"/>
              <w:rPr>
                <w:rFonts w:ascii="Arial" w:cs="Arial" w:eastAsia="Arial" w:hAnsi="Arial"/>
                <w:sz w:val="18"/>
                <w:szCs w:val="18"/>
                <w:color w:val="0000FF"/>
                <w:w w:val="85"/>
              </w:rPr>
            </w:pPr>
            <w:hyperlink r:id="rId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9"/>
              </w:rPr>
              <w:t>†   Employment Agreement, dated as of September 26, 2013, by and between Essent US Holdings, Inc. and Lawrence E. McAlee</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10.16 of the Annual Report on Form 10-K (File No. 001-36157) filed on February 27, 2015)</w:t>
            </w:r>
          </w:p>
        </w:tc>
      </w:tr>
      <w:tr>
        <w:trPr>
          <w:trHeight w:val="230"/>
        </w:trPr>
        <w:tc>
          <w:tcPr>
            <w:tcW w:w="720" w:type="dxa"/>
            <w:vAlign w:val="bottom"/>
            <w:gridSpan w:val="9"/>
          </w:tcPr>
          <w:p>
            <w:pPr>
              <w:jc w:val="center"/>
              <w:ind w:left="211"/>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10</w:t>
              </w:r>
            </w:hyperlink>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8"/>
              </w:rPr>
              <w:t>†   Employment Agreement, dated as of September 26, 2013, by and between Essent US Holdings, Inc. and Mary Lourdes Gibbons</w:t>
            </w: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10.17 of the Annual Report on Form 10-K (File No. 001-36157) filed on February 27, 2015)</w:t>
            </w:r>
          </w:p>
        </w:tc>
      </w:tr>
      <w:tr>
        <w:trPr>
          <w:trHeight w:val="230"/>
        </w:trPr>
        <w:tc>
          <w:tcPr>
            <w:tcW w:w="720" w:type="dxa"/>
            <w:vAlign w:val="bottom"/>
            <w:gridSpan w:val="9"/>
          </w:tcPr>
          <w:p>
            <w:pPr>
              <w:jc w:val="center"/>
              <w:ind w:left="191"/>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300" w:type="dxa"/>
            <w:vAlign w:val="bottom"/>
          </w:tcPr>
          <w:p>
            <w:pPr>
              <w:spacing w:after="0"/>
              <w:rPr>
                <w:sz w:val="19"/>
                <w:szCs w:val="19"/>
                <w:color w:val="auto"/>
              </w:rPr>
            </w:pPr>
          </w:p>
        </w:tc>
        <w:tc>
          <w:tcPr>
            <w:tcW w:w="10340" w:type="dxa"/>
            <w:vAlign w:val="bottom"/>
            <w:gridSpan w:val="2"/>
          </w:tcPr>
          <w:p>
            <w:pPr>
              <w:ind w:left="20"/>
              <w:spacing w:after="0"/>
              <w:rPr>
                <w:sz w:val="20"/>
                <w:szCs w:val="20"/>
                <w:color w:val="auto"/>
              </w:rPr>
            </w:pPr>
            <w:r>
              <w:rPr>
                <w:rFonts w:ascii="Arial" w:cs="Arial" w:eastAsia="Arial" w:hAnsi="Arial"/>
                <w:sz w:val="18"/>
                <w:szCs w:val="18"/>
                <w:color w:val="auto"/>
                <w:w w:val="91"/>
              </w:rPr>
              <w:t>†   Employment Agreement, dated as of March 13, 2015, by and between Essent Reinsurance Ltd. and Joseph Hissong (incorporated herein</w:t>
            </w: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by reference to Exhibit 10.18 of the Annual Report on Form 10-K (File No. 001-36157) filed on February 29, 2016)</w:t>
            </w:r>
          </w:p>
        </w:tc>
      </w:tr>
      <w:tr>
        <w:trPr>
          <w:trHeight w:val="48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2"/>
          </w:tcPr>
          <w:p>
            <w:pPr>
              <w:ind w:left="452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00"/>
          </w:cols>
          <w:pgMar w:left="240" w:top="580" w:right="25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12</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w w:val="92"/>
              </w:rPr>
              <w:t>†   Employment Agreement, dated as of September 26, 2013, by and between Essent Guaranty, Inc. and Jeff Cashmer (incorporated herein</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by reference to Exhibit 10.19 of the Annual Report on Form 10-K (File No. 001-36157) filed on February 16, 2017)</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rPr>
              <w:t>†   Form of Director and Officer Indemnification Agreement (incorporated herein by reference to Exhibit 10.17 of the Registration</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Statement on Form S-1 (File No. 333-191193) filed on September 16, 2013)</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10600" w:type="dxa"/>
            <w:vAlign w:val="bottom"/>
          </w:tcPr>
          <w:p>
            <w:pPr>
              <w:ind w:left="320"/>
              <w:spacing w:after="0"/>
              <w:rPr>
                <w:sz w:val="20"/>
                <w:szCs w:val="20"/>
                <w:color w:val="auto"/>
              </w:rPr>
            </w:pPr>
            <w:r>
              <w:rPr>
                <w:rFonts w:ascii="Arial" w:cs="Arial" w:eastAsia="Arial" w:hAnsi="Arial"/>
                <w:sz w:val="18"/>
                <w:szCs w:val="18"/>
                <w:color w:val="auto"/>
                <w:w w:val="96"/>
              </w:rPr>
              <w:t>†   Section 409A Specified Employee Policy (incorporated herein by reference to Exhibit 10.18 of Amendment No.2 to the Registration</w:t>
            </w:r>
          </w:p>
        </w:tc>
      </w:tr>
      <w:tr>
        <w:trPr>
          <w:trHeight w:val="237"/>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Statement on Form S-1 (File No. 333-191193) filed on October 4, 2013)</w:t>
            </w:r>
          </w:p>
        </w:tc>
      </w:tr>
      <w:tr>
        <w:trPr>
          <w:trHeight w:val="230"/>
        </w:trPr>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10600" w:type="dxa"/>
            <w:vAlign w:val="bottom"/>
          </w:tcPr>
          <w:p>
            <w:pPr>
              <w:ind w:left="660"/>
              <w:spacing w:after="0"/>
              <w:rPr>
                <w:sz w:val="20"/>
                <w:szCs w:val="20"/>
                <w:color w:val="auto"/>
              </w:rPr>
            </w:pPr>
            <w:r>
              <w:rPr>
                <w:rFonts w:ascii="Arial" w:cs="Arial" w:eastAsia="Arial" w:hAnsi="Arial"/>
                <w:sz w:val="18"/>
                <w:szCs w:val="18"/>
                <w:color w:val="auto"/>
                <w:w w:val="96"/>
              </w:rPr>
              <w:t>Amended and Restated Credit Agreement, dated as of May 17, 2017, by and among Essent Group Ltd., Essent Irish Intermediate</w:t>
            </w:r>
          </w:p>
        </w:tc>
      </w:tr>
      <w:tr>
        <w:trPr>
          <w:trHeight w:val="222"/>
        </w:trPr>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2"/>
              </w:rPr>
              <w:t>Holdings Limited, and Essent US Holdings, Inc., as borrowers, the several banks and other financial institutions or entities from time to</w:t>
            </w:r>
          </w:p>
        </w:tc>
      </w:t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0"/>
              </w:rPr>
              <w:t>time parties to this agreement, as lenders, and JPMorgan Chase Bank, N.A., as administrative agent (incorporated herein by reference to</w:t>
            </w:r>
          </w:p>
        </w:tc>
      </w:tr>
      <w:tr>
        <w:trPr>
          <w:trHeight w:val="230"/>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Exhibit 1.1 of the Current Report on Form 8-K (File No. 001-36157) filed on May 18, 2017)</w:t>
            </w:r>
          </w:p>
        </w:tc>
      </w:tr>
      <w:tr>
        <w:trPr>
          <w:trHeight w:val="230"/>
        </w:trPr>
        <w:tc>
          <w:tcPr>
            <w:tcW w:w="360" w:type="dxa"/>
            <w:vAlign w:val="bottom"/>
            <w:gridSpan w:val="2"/>
          </w:tcPr>
          <w:p>
            <w:pPr>
              <w:jc w:val="center"/>
              <w:spacing w:after="0"/>
              <w:rPr>
                <w:rFonts w:ascii="Arial" w:cs="Arial" w:eastAsia="Arial" w:hAnsi="Arial"/>
                <w:sz w:val="18"/>
                <w:szCs w:val="18"/>
                <w:color w:val="0000FF"/>
                <w:w w:val="85"/>
              </w:rPr>
            </w:pPr>
            <w:hyperlink w:anchor="page133">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List of Subsidiaries (filed herewith)</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250"/>
        </w:trPr>
        <w:tc>
          <w:tcPr>
            <w:tcW w:w="360" w:type="dxa"/>
            <w:vAlign w:val="bottom"/>
            <w:gridSpan w:val="2"/>
          </w:tcPr>
          <w:p>
            <w:pPr>
              <w:jc w:val="center"/>
              <w:spacing w:after="0"/>
              <w:rPr>
                <w:rFonts w:ascii="Arial" w:cs="Arial" w:eastAsia="Arial" w:hAnsi="Arial"/>
                <w:sz w:val="18"/>
                <w:szCs w:val="18"/>
                <w:color w:val="0000FF"/>
                <w:w w:val="85"/>
              </w:rPr>
            </w:pPr>
            <w:hyperlink w:anchor="page134">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60" w:type="dxa"/>
            <w:vAlign w:val="bottom"/>
          </w:tcPr>
          <w:p>
            <w:pPr>
              <w:spacing w:after="0"/>
              <w:rPr>
                <w:sz w:val="21"/>
                <w:szCs w:val="21"/>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Consent of PricewaterhouseCoopers LLP (filed herewith)</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250"/>
        </w:trPr>
        <w:tc>
          <w:tcPr>
            <w:tcW w:w="360" w:type="dxa"/>
            <w:vAlign w:val="bottom"/>
            <w:gridSpan w:val="2"/>
          </w:tcPr>
          <w:p>
            <w:pPr>
              <w:jc w:val="center"/>
              <w:spacing w:after="0"/>
              <w:rPr>
                <w:rFonts w:ascii="Arial" w:cs="Arial" w:eastAsia="Arial" w:hAnsi="Arial"/>
                <w:sz w:val="18"/>
                <w:szCs w:val="18"/>
                <w:color w:val="0000FF"/>
                <w:w w:val="85"/>
              </w:rPr>
            </w:pPr>
            <w:hyperlink w:anchor="page13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0" w:type="dxa"/>
            <w:vAlign w:val="bottom"/>
          </w:tcPr>
          <w:p>
            <w:pPr>
              <w:spacing w:after="0"/>
              <w:rPr>
                <w:sz w:val="21"/>
                <w:szCs w:val="21"/>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1"/>
              </w:rPr>
              <w:t>Certification of Chief Executive Officer required by Rule 13a-14(a) or Rule 15d-14(a) of the Securities Exchange Act of 1934, as adopted</w:t>
            </w:r>
          </w:p>
        </w:tc>
      </w:tr>
      <w:tr>
        <w:trPr>
          <w:trHeight w:val="237"/>
        </w:trPr>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30"/>
        </w:trPr>
        <w:tc>
          <w:tcPr>
            <w:tcW w:w="360" w:type="dxa"/>
            <w:vAlign w:val="bottom"/>
            <w:gridSpan w:val="2"/>
          </w:tcPr>
          <w:p>
            <w:pPr>
              <w:jc w:val="center"/>
              <w:spacing w:after="0"/>
              <w:rPr>
                <w:rFonts w:ascii="Arial" w:cs="Arial" w:eastAsia="Arial" w:hAnsi="Arial"/>
                <w:sz w:val="18"/>
                <w:szCs w:val="18"/>
                <w:color w:val="0000FF"/>
                <w:w w:val="85"/>
              </w:rPr>
            </w:pPr>
            <w:hyperlink w:anchor="page13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2"/>
              </w:rPr>
              <w:t>Certification of Chief Financial Officer required by Rule 13a-14(a) or Rule 15d-14(a) of the Securities Exchange Act of 1934, as adopted</w:t>
            </w:r>
          </w:p>
        </w:tc>
      </w:tr>
      <w:tr>
        <w:trPr>
          <w:trHeight w:val="237"/>
        </w:trPr>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30"/>
        </w:trPr>
        <w:tc>
          <w:tcPr>
            <w:tcW w:w="360" w:type="dxa"/>
            <w:vAlign w:val="bottom"/>
            <w:gridSpan w:val="2"/>
          </w:tcPr>
          <w:p>
            <w:pPr>
              <w:jc w:val="center"/>
              <w:spacing w:after="0"/>
              <w:rPr>
                <w:rFonts w:ascii="Arial" w:cs="Arial" w:eastAsia="Arial" w:hAnsi="Arial"/>
                <w:sz w:val="18"/>
                <w:szCs w:val="18"/>
                <w:color w:val="0000FF"/>
                <w:w w:val="85"/>
              </w:rPr>
            </w:pPr>
            <w:hyperlink w:anchor="page13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0" w:type="dxa"/>
            <w:vAlign w:val="bottom"/>
          </w:tcPr>
          <w:p>
            <w:pPr>
              <w:spacing w:after="0"/>
              <w:rPr>
                <w:sz w:val="19"/>
                <w:szCs w:val="19"/>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w:t>
            </w:r>
          </w:p>
        </w:tc>
      </w:tr>
      <w:tr>
        <w:trPr>
          <w:trHeight w:val="237"/>
        </w:trPr>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660"/>
              <w:spacing w:after="0"/>
              <w:rPr>
                <w:sz w:val="20"/>
                <w:szCs w:val="20"/>
                <w:color w:val="auto"/>
              </w:rPr>
            </w:pPr>
            <w:r>
              <w:rPr>
                <w:rFonts w:ascii="Arial" w:cs="Arial" w:eastAsia="Arial" w:hAnsi="Arial"/>
                <w:sz w:val="18"/>
                <w:szCs w:val="18"/>
                <w:color w:val="auto"/>
              </w:rPr>
              <w:t>the Sarbanes-Oxley Act of 2002 (filed herewith)</w:t>
            </w:r>
          </w:p>
        </w:tc>
      </w:tr>
    </w:tbl>
    <w:p>
      <w:pPr>
        <w:spacing w:after="0" w:line="40" w:lineRule="exact"/>
        <w:rPr>
          <w:sz w:val="20"/>
          <w:szCs w:val="20"/>
          <w:color w:val="auto"/>
        </w:rPr>
      </w:pPr>
    </w:p>
    <w:p>
      <w:pPr>
        <w:ind w:left="1080" w:right="120" w:hanging="1007"/>
        <w:spacing w:after="0" w:line="255" w:lineRule="auto"/>
        <w:tabs>
          <w:tab w:leader="none" w:pos="7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The following financial information from this Annual Report on Form 10-K for the year ended December 31, 2017, formatted in XBRL (Extensible Business Reporting Language) and filed electronically herewith: (i) the Consolidated Balance Sheets as of December 31, 2017 and December 31, 2016; (ii) the Consolidated Statements of Comprehensive Income for the years ended December 31, 2017, 2016 and 2015; (iii) the Consolidated Statements of Changes in Stockholders' Equity for the years ended December 31, 2017, 2016 and 2015; (iv) the Consolidated Statements of Cash Flows for the years ended December 31, 2017, 2016 and 2015; and (v) the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191770</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08" w:lineRule="exact"/>
        <w:rPr>
          <w:sz w:val="20"/>
          <w:szCs w:val="20"/>
          <w:color w:val="auto"/>
        </w:rPr>
      </w:pPr>
    </w:p>
    <w:p>
      <w:pPr>
        <w:ind w:left="740" w:hanging="577"/>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79" w:lineRule="exact"/>
        <w:rPr>
          <w:sz w:val="20"/>
          <w:szCs w:val="20"/>
          <w:color w:val="auto"/>
        </w:rPr>
      </w:pPr>
    </w:p>
    <w:p>
      <w:pPr>
        <w:ind w:left="740" w:right="160" w:hanging="577"/>
        <w:spacing w:after="0" w:line="286" w:lineRule="auto"/>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0" w:lineRule="exact"/>
        <w:rPr>
          <w:sz w:val="20"/>
          <w:szCs w:val="20"/>
          <w:color w:val="auto"/>
        </w:rPr>
      </w:pPr>
    </w:p>
    <w:p>
      <w:pPr>
        <w:spacing w:after="0" w:line="23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580" w:top="729" w:right="2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20th day of February, 2018.</w:t>
      </w:r>
    </w:p>
    <w:p>
      <w:pPr>
        <w:spacing w:after="0" w:line="200" w:lineRule="exact"/>
        <w:rPr>
          <w:sz w:val="20"/>
          <w:szCs w:val="20"/>
          <w:color w:val="auto"/>
        </w:rPr>
      </w:pPr>
    </w:p>
    <w:p>
      <w:pPr>
        <w:spacing w:after="0" w:line="268"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6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7"/>
        </w:trPr>
        <w:tc>
          <w:tcPr>
            <w:tcW w:w="1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Name:</w:t>
            </w:r>
          </w:p>
        </w:tc>
        <w:tc>
          <w:tcPr>
            <w:tcW w:w="4060" w:type="dxa"/>
            <w:vAlign w:val="bottom"/>
          </w:tcPr>
          <w:p>
            <w:pPr>
              <w:ind w:left="340"/>
              <w:spacing w:after="0"/>
              <w:rPr>
                <w:sz w:val="20"/>
                <w:szCs w:val="20"/>
                <w:color w:val="auto"/>
              </w:rPr>
            </w:pPr>
            <w:r>
              <w:rPr>
                <w:rFonts w:ascii="Arial" w:cs="Arial" w:eastAsia="Arial" w:hAnsi="Arial"/>
                <w:sz w:val="18"/>
                <w:szCs w:val="18"/>
                <w:color w:val="auto"/>
              </w:rPr>
              <w:t>Mark A. Casale</w:t>
            </w:r>
          </w:p>
        </w:tc>
      </w:tr>
    </w:tbl>
    <w:p>
      <w:pPr>
        <w:spacing w:after="0" w:line="40" w:lineRule="exact"/>
        <w:rPr>
          <w:sz w:val="20"/>
          <w:szCs w:val="20"/>
          <w:color w:val="auto"/>
        </w:rPr>
      </w:pPr>
    </w:p>
    <w:p>
      <w:pPr>
        <w:ind w:left="632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Chief</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Executive Officer and President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Mark A. Casale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Lawrence E. McAlee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David B. Weinstock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Aditya Dutt</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Robert Glanville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Roy J. Kasmar</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Allan Levine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6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Chairman of the Board of Directors,</w:t>
            </w:r>
          </w:p>
        </w:tc>
        <w:tc>
          <w:tcPr>
            <w:tcW w:w="19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r>
        <w:trPr>
          <w:trHeight w:val="122"/>
        </w:trPr>
        <w:tc>
          <w:tcPr>
            <w:tcW w:w="39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2"/>
              </w:rPr>
              <w:t>Chief Executive Officer and President</w:t>
            </w:r>
          </w:p>
        </w:tc>
        <w:tc>
          <w:tcPr>
            <w:tcW w:w="1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3"/>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Senior Vice President, Chief Financial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Vice President, Chief Accounting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20, 2018</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260" w:space="720"/>
            <w:col w:w="6440"/>
          </w:cols>
          <w:pgMar w:left="240" w:top="7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715" w:right="239" w:bottom="1440" w:gutter="0" w:footer="0" w:header="0"/>
          <w:type w:val="continuous"/>
        </w:sectPr>
      </w:pPr>
    </w:p>
    <w:bookmarkStart w:id="129" w:name="page130"/>
    <w:bookmarkEnd w:id="129"/>
    <w:p>
      <w:pPr>
        <w:spacing w:after="0" w:line="3"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Douglas J. Pauls</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William Spiegel</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7"/>
          <w:szCs w:val="17"/>
          <w:color w:val="auto"/>
        </w:rPr>
        <w:t>/s/ ANDREW TURNBULL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39370</wp:posOffset>
            </wp:positionV>
            <wp:extent cx="261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Andrew Turnbull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7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7"/>
              </w:rPr>
              <w:t>Title</w:t>
            </w:r>
          </w:p>
        </w:tc>
        <w:tc>
          <w:tcPr>
            <w:tcW w:w="2660" w:type="dxa"/>
            <w:vAlign w:val="bottom"/>
            <w:gridSpan w:val="3"/>
          </w:tcPr>
          <w:p>
            <w:pPr>
              <w:jc w:val="center"/>
              <w:ind w:left="1254"/>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69"/>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20, 2018</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20, 2018</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20, 2018</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125</w:t>
      </w:r>
    </w:p>
    <w:p>
      <w:pPr>
        <w:sectPr>
          <w:pgSz w:w="11900" w:h="16838" w:orient="portrait"/>
          <w:cols w:equalWidth="0" w:num="2">
            <w:col w:w="3800" w:space="720"/>
            <w:col w:w="5360"/>
          </w:cols>
          <w:pgMar w:left="1300" w:top="1059" w:right="7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QuickLinks</w:t>
      </w:r>
    </w:p>
    <w:p>
      <w:pPr>
        <w:spacing w:after="0" w:line="360"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Residential Purchase vs. Refinancing Mortgage Originations ($ in billions)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Loan Defaults by Originating Year</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1B. UNRESOLVED STAFF COMMENTS</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 MINE SAFETY DISCLOSURES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right="360" w:firstLine="351"/>
        <w:spacing w:after="0" w:line="277"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5. MARKET FOR THE COMPANY'S COMMON EQUITY, RELATED STOCKHOLDER MATTERS AND ISSUER PURCHASES OF</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EQUITY SECURITIES</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Investment Portfolio by Asset Class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Top Ten Portfolio Holdings</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INDEX TO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Essent Group Ltd. and Subsidiaries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Essent Group Ltd. and Subsidiaries Consolidated Statements of Comprehensive Income</w:t>
        </w:r>
      </w:hyperlink>
    </w:p>
    <w:p>
      <w:pPr>
        <w:spacing w:after="0" w:line="9" w:lineRule="exact"/>
        <w:rPr>
          <w:sz w:val="20"/>
          <w:szCs w:val="20"/>
          <w:color w:val="auto"/>
        </w:rPr>
      </w:pPr>
    </w:p>
    <w:p>
      <w:pPr>
        <w:ind w:right="4180"/>
        <w:spacing w:after="0" w:line="265" w:lineRule="auto"/>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Essent Group Ltd. and Subsidiaries Consolidated Statements of Changes in Stockholders' Equity</w:t>
        </w:r>
      </w:hyperlink>
      <w:r>
        <w:rPr>
          <w:rFonts w:ascii="Arial" w:cs="Arial" w:eastAsia="Arial" w:hAnsi="Arial"/>
          <w:sz w:val="17"/>
          <w:szCs w:val="17"/>
          <w:u w:val="single" w:color="auto"/>
          <w:color w:val="0000EE"/>
        </w:rPr>
        <w:t xml:space="preserve"> </w:t>
      </w:r>
      <w:hyperlink w:anchor="page94">
        <w:r>
          <w:rPr>
            <w:rFonts w:ascii="Arial" w:cs="Arial" w:eastAsia="Arial" w:hAnsi="Arial"/>
            <w:sz w:val="17"/>
            <w:szCs w:val="17"/>
            <w:u w:val="single" w:color="auto"/>
            <w:color w:val="0000EE"/>
          </w:rPr>
          <w:t>Essent Group Ltd. and Subsidiaries Consolidated Statements of Cash Flows</w:t>
        </w:r>
      </w:hyperlink>
      <w:r>
        <w:rPr>
          <w:rFonts w:ascii="Arial" w:cs="Arial" w:eastAsia="Arial" w:hAnsi="Arial"/>
          <w:sz w:val="17"/>
          <w:szCs w:val="17"/>
          <w:u w:val="single" w:color="auto"/>
          <w:color w:val="0000EE"/>
        </w:rPr>
        <w:t xml:space="preserve"> </w:t>
      </w:r>
      <w:hyperlink w:anchor="page95">
        <w:r>
          <w:rPr>
            <w:rFonts w:ascii="Arial" w:cs="Arial" w:eastAsia="Arial" w:hAnsi="Arial"/>
            <w:sz w:val="17"/>
            <w:szCs w:val="17"/>
            <w:u w:val="single" w:color="auto"/>
            <w:color w:val="0000EE"/>
          </w:rPr>
          <w:t>Essent Group Ltd. and Subsidiaries Notes to Consolidated Financial Statements</w:t>
        </w:r>
      </w:hyperlink>
    </w:p>
    <w:p>
      <w:pPr>
        <w:spacing w:after="0" w:line="1" w:lineRule="exact"/>
        <w:rPr>
          <w:rFonts w:ascii="Arial" w:cs="Arial" w:eastAsia="Arial" w:hAnsi="Arial"/>
          <w:sz w:val="17"/>
          <w:szCs w:val="17"/>
          <w:u w:val="single" w:color="auto"/>
          <w:color w:val="0000EE"/>
        </w:rPr>
      </w:pPr>
    </w:p>
    <w:p>
      <w:pPr>
        <w:ind w:right="2180"/>
        <w:spacing w:after="0" w:line="281" w:lineRule="auto"/>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Essent Group Ltd. and Subsidiaries Schedule I—Summary of Investments—Other Than Investments in Related Parties</w:t>
        </w:r>
      </w:hyperlink>
      <w:r>
        <w:rPr>
          <w:rFonts w:ascii="Arial" w:cs="Arial" w:eastAsia="Arial" w:hAnsi="Arial"/>
          <w:sz w:val="16"/>
          <w:szCs w:val="16"/>
          <w:u w:val="single" w:color="auto"/>
          <w:color w:val="0000EE"/>
        </w:rPr>
        <w:t xml:space="preserve"> </w:t>
      </w:r>
      <w:hyperlink w:anchor="page121">
        <w:r>
          <w:rPr>
            <w:rFonts w:ascii="Arial" w:cs="Arial" w:eastAsia="Arial" w:hAnsi="Arial"/>
            <w:sz w:val="16"/>
            <w:szCs w:val="16"/>
            <w:u w:val="single" w:color="auto"/>
            <w:color w:val="0000EE"/>
          </w:rPr>
          <w:t>Essent Group Ltd. and Subsidiaries Schedule II—Financial Information of Registrant Balance Sheets Parent Company Only</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Essent Group Ltd. and Subsidiaries Schedule II—Condensed Financial Information of Registrant Condensed Statements of Comprehensive Income Parent</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Company Only</w:t>
        </w:r>
      </w:hyperlink>
    </w:p>
    <w:p>
      <w:pPr>
        <w:spacing w:after="0" w:line="1" w:lineRule="exact"/>
        <w:rPr>
          <w:sz w:val="20"/>
          <w:szCs w:val="20"/>
          <w:color w:val="auto"/>
        </w:rPr>
      </w:pPr>
    </w:p>
    <w:p>
      <w:pPr>
        <w:ind w:right="120"/>
        <w:spacing w:after="0" w:line="261" w:lineRule="auto"/>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Essent Group Ltd. and Subsidiaries Schedule II—Condensed Financial Information of Registrant Condensed Statements of Cash Flows Parent Company</w:t>
        </w:r>
      </w:hyperlink>
      <w:r>
        <w:rPr>
          <w:rFonts w:ascii="Arial" w:cs="Arial" w:eastAsia="Arial" w:hAnsi="Arial"/>
          <w:sz w:val="18"/>
          <w:szCs w:val="18"/>
          <w:u w:val="single" w:color="auto"/>
          <w:color w:val="0000EE"/>
        </w:rPr>
        <w:t xml:space="preserve"> </w:t>
      </w:r>
      <w:hyperlink w:anchor="page123">
        <w:r>
          <w:rPr>
            <w:rFonts w:ascii="Arial" w:cs="Arial" w:eastAsia="Arial" w:hAnsi="Arial"/>
            <w:sz w:val="18"/>
            <w:szCs w:val="18"/>
            <w:u w:val="single" w:color="auto"/>
            <w:color w:val="0000EE"/>
          </w:rPr>
          <w:t>Only</w:t>
        </w:r>
      </w:hyperlink>
    </w:p>
    <w:p>
      <w:pPr>
        <w:sectPr>
          <w:pgSz w:w="11900" w:h="16838" w:orient="portrait"/>
          <w:cols w:equalWidth="0" w:num="1">
            <w:col w:w="11140"/>
          </w:cols>
          <w:pgMar w:left="240" w:top="719" w:right="519" w:bottom="1440" w:gutter="0" w:footer="0" w:header="0"/>
        </w:sect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140"/>
          </w:cols>
          <w:pgMar w:left="240" w:top="719" w:right="51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Essent Group Ltd. and Subsidiaries Schedule II—Condensed Financial Information of Registrant Parent Company Only Supplementary Notes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9B. OTHER INFORMATION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360" w:right="4440"/>
        <w:spacing w:after="0" w:line="258"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left="360"/>
        <w:spacing w:after="0" w:line="255"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14. PRINCIPAL ACCOUNTING FEES AND SERVICES</w:t>
        </w:r>
      </w:hyperlink>
    </w:p>
    <w:p>
      <w:pPr>
        <w:spacing w:after="0" w:line="190"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3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15. EXHIBITS, FINANCIAL STATEMENT SCHEDULES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SIGNATURES</w:t>
        </w:r>
      </w:hyperlink>
    </w:p>
    <w:p>
      <w:pPr>
        <w:spacing w:after="0" w:line="252"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584" w:right="2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Essent Group Ltd.</w:t>
            </w:r>
          </w:p>
        </w:tc>
      </w:tr>
      <w:tr>
        <w:trPr>
          <w:trHeight w:val="4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List of Subsidiaries</w:t>
            </w:r>
          </w:p>
        </w:tc>
        <w:tc>
          <w:tcPr>
            <w:tcW w:w="4520" w:type="dxa"/>
            <w:vAlign w:val="bottom"/>
            <w:gridSpan w:val="3"/>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2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1"/>
              </w:rPr>
              <w:t>Jurisdiction of Incorporation/Formation</w:t>
            </w: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 Reinsurance Ltd. (1)</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0"/>
              </w:rPr>
              <w:t>Bermuda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Agency (Bermuda) Ltd. (2)</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Bermuda</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 Irish Intermediate Holdings Ltd. (1)</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80"/>
              <w:spacing w:after="0"/>
              <w:rPr>
                <w:sz w:val="20"/>
                <w:szCs w:val="20"/>
                <w:color w:val="auto"/>
              </w:rPr>
            </w:pPr>
            <w:r>
              <w:rPr>
                <w:rFonts w:ascii="Arial" w:cs="Arial" w:eastAsia="Arial" w:hAnsi="Arial"/>
                <w:sz w:val="18"/>
                <w:szCs w:val="18"/>
                <w:color w:val="auto"/>
                <w:w w:val="91"/>
              </w:rPr>
              <w:t>Republic of Ireland</w:t>
            </w:r>
          </w:p>
        </w:tc>
      </w:tr>
      <w:tr>
        <w:trPr>
          <w:trHeight w:val="243"/>
        </w:trPr>
        <w:tc>
          <w:tcPr>
            <w:tcW w:w="2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Essent US Holdings, Inc. (3)</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of PA, Inc. (4)</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89"/>
              </w:rPr>
              <w:t>Pennsylvania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CUW Solutions, LLC (4)</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Inc. (4)</w:t>
            </w:r>
          </w:p>
        </w:tc>
        <w:tc>
          <w:tcPr>
            <w:tcW w:w="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1360"/>
              <w:spacing w:after="0"/>
              <w:rPr>
                <w:sz w:val="20"/>
                <w:szCs w:val="20"/>
                <w:color w:val="auto"/>
              </w:rPr>
            </w:pPr>
            <w:r>
              <w:rPr>
                <w:rFonts w:ascii="Arial" w:cs="Arial" w:eastAsia="Arial" w:hAnsi="Arial"/>
                <w:sz w:val="18"/>
                <w:szCs w:val="18"/>
                <w:color w:val="auto"/>
                <w:w w:val="89"/>
              </w:rPr>
              <w:t>Pennsylvania</w:t>
            </w:r>
          </w:p>
        </w:tc>
      </w:tr>
      <w:tr>
        <w:trPr>
          <w:trHeight w:val="243"/>
        </w:trPr>
        <w:tc>
          <w:tcPr>
            <w:tcW w:w="20" w:type="dxa"/>
            <w:vAlign w:val="bottom"/>
          </w:tcPr>
          <w:p>
            <w:pPr>
              <w:spacing w:after="0"/>
              <w:rPr>
                <w:sz w:val="21"/>
                <w:szCs w:val="21"/>
                <w:color w:val="auto"/>
              </w:rPr>
            </w:pP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rPr>
              <w:t>Essent Solutions, LLC (5)</w:t>
            </w: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128905</wp:posOffset>
            </wp:positionV>
            <wp:extent cx="571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left="246" w:hanging="246"/>
        <w:spacing w:after="0"/>
        <w:tabs>
          <w:tab w:leader="none" w:pos="2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common shares held by Essent Reinsurance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ectPr>
          <w:pgSz w:w="11900" w:h="16838" w:orient="portrait"/>
          <w:cols w:equalWidth="0" w:num="1">
            <w:col w:w="10926"/>
          </w:cols>
          <w:pgMar w:left="734" w:top="5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S-3 (333-202386) and Form S-8 (No. 333-192092) of Essent Group Ltd. of our report dated February 20, 2018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ectPr>
          <w:pgSz w:w="11900" w:h="16838" w:orient="portrait"/>
          <w:cols w:equalWidth="0" w:num="1">
            <w:col w:w="11380"/>
          </w:cols>
          <w:pgMar w:left="240" w:top="580" w:right="2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36" w:name="page137"/>
    <w:bookmarkEnd w:id="136"/>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40" w:firstLine="8"/>
        <w:spacing w:after="0" w:line="324" w:lineRule="auto"/>
        <w:tabs>
          <w:tab w:leader="none" w:pos="6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20, 2018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Roman"/>
      <w:start w:val="2"/>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lowerRoman"/>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4"/>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2"/>
    </w:lvl>
  </w:abstractNum>
  <w:abstractNum w:abstractNumId="35">
    <w:nsid w:val="12E685FB"/>
    <w:multiLevelType w:val="hybridMultilevel"/>
    <w:lvl w:ilvl="0">
      <w:lvlJc w:val="left"/>
      <w:lvlText w:val="(%1)"/>
      <w:numFmt w:val="decimal"/>
      <w:start w:val="4"/>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decimal"/>
      <w:start w:val="10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3"/>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1)"/>
      <w:numFmt w:val="lowerLetter"/>
      <w:start w:val="3"/>
    </w:lvl>
  </w:abstractNum>
  <w:abstractNum w:abstractNumId="61">
    <w:nsid w:val="25A70BF7"/>
    <w:multiLevelType w:val="hybridMultilevel"/>
    <w:lvl w:ilvl="0">
      <w:lvlJc w:val="left"/>
      <w:lvlText w:val="%1."/>
      <w:numFmt w:val="decimal"/>
      <w:start w:val="5"/>
    </w:lvl>
    <w:lvl w:ilvl="1">
      <w:lvlJc w:val="left"/>
      <w:lvlText w:val="(%2)"/>
      <w:numFmt w:val="lowerLetter"/>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3"/>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2"/>
    </w:lvl>
  </w:abstractNum>
  <w:abstractNum w:abstractNumId="66">
    <w:nsid w:val="5DB70AE5"/>
    <w:multiLevelType w:val="hybridMultilevel"/>
    <w:lvl w:ilvl="0">
      <w:lvlJc w:val="left"/>
      <w:lvlText w:val="(%1)"/>
      <w:numFmt w:val="lowerLetter"/>
      <w:start w:val="3"/>
    </w:lvl>
  </w:abstractNum>
  <w:abstractNum w:abstractNumId="67">
    <w:nsid w:val="100F8FCA"/>
    <w:multiLevelType w:val="hybridMultilevel"/>
    <w:lvl w:ilvl="0">
      <w:lvlJc w:val="left"/>
      <w:lvlText w:val="%1."/>
      <w:numFmt w:val="decimal"/>
      <w:start w:val="5"/>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32" Type="http://schemas.openxmlformats.org/officeDocument/2006/relationships/hyperlink" Target="http://www.sec.gov/Archives/edgar/data/1448893/000104746913009103/a2216665zex-3_1.htm" TargetMode="External"/><Relationship Id="rId33" Type="http://schemas.openxmlformats.org/officeDocument/2006/relationships/hyperlink" Target="http://www.sec.gov/Archives/edgar/data/1448893/000104746913009103/a2216665zex-3_2.htm" TargetMode="External"/><Relationship Id="rId34" Type="http://schemas.openxmlformats.org/officeDocument/2006/relationships/hyperlink" Target="http://www.sec.gov/Archives/edgar/data/1448893/000104746913009786/a2216918zex-3_21.htm" TargetMode="External"/><Relationship Id="rId35" Type="http://schemas.openxmlformats.org/officeDocument/2006/relationships/hyperlink" Target="http://www.sec.gov/Archives/edgar/data/1448893/000104746914002063/a2218772zex-3_3.htm" TargetMode="External"/><Relationship Id="rId36" Type="http://schemas.openxmlformats.org/officeDocument/2006/relationships/hyperlink" Target="http://www.sec.gov/Archives/edgar/data/1448893/000104746913009786/a2216918zex-4_1.htm" TargetMode="External"/><Relationship Id="rId37" Type="http://schemas.openxmlformats.org/officeDocument/2006/relationships/hyperlink" Target="http://www.sec.gov/Archives/edgar/data/1448893/000110465914080985/a14-19645_1ex4d1.htm" TargetMode="External"/><Relationship Id="rId38" Type="http://schemas.openxmlformats.org/officeDocument/2006/relationships/hyperlink" Target="http://www.sec.gov/Archives/edgar/data/1448893/000104746913009103/a2216665zex-10_4.htm" TargetMode="External"/><Relationship Id="rId39" Type="http://schemas.openxmlformats.org/officeDocument/2006/relationships/hyperlink" Target="http://www.sec.gov/Archives/edgar/data/1448893/000162828016011882/a12311510kex108.htm" TargetMode="External"/><Relationship Id="rId40" Type="http://schemas.openxmlformats.org/officeDocument/2006/relationships/hyperlink" Target="http://www.sec.gov/Archives/edgar/data/1448893/000162828017003281/a2017def14aproxystatement.htm" TargetMode="External"/><Relationship Id="rId41" Type="http://schemas.openxmlformats.org/officeDocument/2006/relationships/hyperlink" Target="http://www.sec.gov/Archives/edgar/data/1448893/000104746913009304/a2216729zex-10_11.htm" TargetMode="External"/><Relationship Id="rId42" Type="http://schemas.openxmlformats.org/officeDocument/2006/relationships/hyperlink" Target="http://www.sec.gov/Archives/edgar/data/1448893/000104746915001414/a2223199zex-10_11.htm" TargetMode="External"/><Relationship Id="rId43" Type="http://schemas.openxmlformats.org/officeDocument/2006/relationships/hyperlink" Target="http://www.sec.gov/Archives/edgar/data/1448893/000104746913009304/a2216729zex-10_13.htm" TargetMode="External"/><Relationship Id="rId44" Type="http://schemas.openxmlformats.org/officeDocument/2006/relationships/hyperlink" Target="http://www.sec.gov/Archives/edgar/data/1448893/000104746913009496/a2216887zex-10_14.htm" TargetMode="External"/><Relationship Id="rId45" Type="http://schemas.openxmlformats.org/officeDocument/2006/relationships/hyperlink" Target="http://www.sec.gov/Archives/edgar/data/1448893/000104746913009496/a2216887zex-10_16.htm" TargetMode="External"/><Relationship Id="rId46" Type="http://schemas.openxmlformats.org/officeDocument/2006/relationships/hyperlink" Target="http://www.sec.gov/Archives/edgar/data/1448893/000104746915001414/a2223199zex-10_16.htm" TargetMode="External"/><Relationship Id="rId47" Type="http://schemas.openxmlformats.org/officeDocument/2006/relationships/hyperlink" Target="http://www.sec.gov/Archives/edgar/data/1448893/000104746915001414/a2223199zex-10_17.htm" TargetMode="External"/><Relationship Id="rId48" Type="http://schemas.openxmlformats.org/officeDocument/2006/relationships/hyperlink" Target="http://www.sec.gov/Archives/edgar/data/1448893/000162828016011882/a12311510kex1018.htm" TargetMode="External"/><Relationship Id="rId49" Type="http://schemas.openxmlformats.org/officeDocument/2006/relationships/hyperlink" Target="http://www.sec.gov/Archives/edgar/data/1448893/000162828017001400/a123116ex1019.htm" TargetMode="External"/><Relationship Id="rId50" Type="http://schemas.openxmlformats.org/officeDocument/2006/relationships/hyperlink" Target="http://www.sec.gov/Archives/edgar/data/1448893/000104746913009103/a2216665zex-10_17.htm" TargetMode="External"/><Relationship Id="rId51" Type="http://schemas.openxmlformats.org/officeDocument/2006/relationships/hyperlink" Target="http://www.sec.gov/Archives/edgar/data/1448893/000104746913009496/a2216887zex-10_18.htm" TargetMode="External"/><Relationship Id="rId52" Type="http://schemas.openxmlformats.org/officeDocument/2006/relationships/hyperlink" Target="http://www.sec.gov/Archives/edgar/data/1448893/000162828017005684/essent-arcreditagreement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2020-01-14T09:36:13Z</dcterms:created>
  <dcterms:modified xsi:type="dcterms:W3CDTF">2020-01-14T09:36:13Z</dcterms:modified>
</cp:coreProperties>
</file>