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period ended March 31, 2015</w:t>
      </w:r>
    </w:p>
    <w:p>
      <w:pPr>
        <w:spacing w:after="0" w:line="216" w:lineRule="exact"/>
        <w:rPr>
          <w:sz w:val="24"/>
          <w:szCs w:val="24"/>
          <w:color w:val="auto"/>
        </w:rPr>
      </w:pPr>
    </w:p>
    <w:p>
      <w:pPr>
        <w:ind w:left="660" w:right="1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60"/>
          </w:cols>
          <w:pgMar w:left="240" w:top="233" w:right="399" w:bottom="0" w:gutter="0" w:footer="0" w:header="0"/>
        </w:sectPr>
      </w:pPr>
    </w:p>
    <w:p>
      <w:pPr>
        <w:spacing w:after="0" w:line="17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200" w:space="620"/>
            <w:col w:w="4440"/>
          </w:cols>
          <w:pgMar w:left="240" w:top="233" w:right="399" w:bottom="0" w:gutter="0" w:footer="0" w:header="0"/>
          <w:type w:val="continuous"/>
        </w:sectPr>
      </w:pP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ESSENT GROUP LTD.</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60"/>
          </w:cols>
          <w:pgMar w:left="24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80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80" w:space="720"/>
            <w:col w:w="3460"/>
          </w:cols>
          <w:pgMar w:left="240" w:top="233" w:right="399" w:bottom="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Hamilton HM11, Bermuda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of principal executive offices and zip code)</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(441) 297-9901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60"/>
          </w:cols>
          <w:pgMar w:left="240" w:top="233" w:right="399" w:bottom="0" w:gutter="0" w:footer="0" w:header="0"/>
          <w:type w:val="continuous"/>
        </w:sectPr>
      </w:pPr>
    </w:p>
    <w:p>
      <w:pPr>
        <w:spacing w:after="0" w:line="234" w:lineRule="exact"/>
        <w:rPr>
          <w:sz w:val="24"/>
          <w:szCs w:val="24"/>
          <w:color w:val="auto"/>
        </w:rPr>
      </w:pPr>
    </w:p>
    <w:p>
      <w:pPr>
        <w:ind w:left="80" w:firstLine="47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left="80" w:right="20" w:firstLine="47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ind w:left="80"/>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60"/>
          </w:cols>
          <w:pgMar w:left="240" w:top="233" w:right="399" w:bottom="0" w:gutter="0" w:footer="0" w:header="0"/>
          <w:type w:val="continuous"/>
        </w:sectPr>
      </w:pPr>
    </w:p>
    <w:p>
      <w:pPr>
        <w:spacing w:after="0" w:line="21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00"/>
          </w:cols>
          <w:pgMar w:left="240" w:top="233" w:right="39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60" w:space="720"/>
            <w:col w:w="3680"/>
          </w:cols>
          <w:pgMar w:left="240" w:top="233" w:right="399" w:bottom="0" w:gutter="0" w:footer="0" w:header="0"/>
          <w:type w:val="continuous"/>
        </w:sectPr>
      </w:pPr>
    </w:p>
    <w:p>
      <w:pPr>
        <w:spacing w:after="0" w:line="4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The number of the registrant’s common shares outstanding as of May 7, 2015 was 92,659,724.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60"/>
          </w:cols>
          <w:pgMar w:left="240" w:top="233" w:right="3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9"/>
          </w:tcPr>
          <w:p>
            <w:pPr>
              <w:jc w:val="center"/>
              <w:ind w:right="1940"/>
              <w:spacing w:after="0"/>
              <w:rPr>
                <w:sz w:val="20"/>
                <w:szCs w:val="20"/>
                <w:color w:val="auto"/>
              </w:rPr>
            </w:pPr>
            <w:r>
              <w:rPr>
                <w:rFonts w:ascii="Arial" w:cs="Arial" w:eastAsia="Arial" w:hAnsi="Arial"/>
                <w:sz w:val="18"/>
                <w:szCs w:val="18"/>
                <w:b w:val="1"/>
                <w:bCs w:val="1"/>
                <w:color w:val="auto"/>
                <w:w w:val="89"/>
              </w:rPr>
              <w:t>Essent Group Ltd. and Subsidiaries</w:t>
            </w:r>
          </w:p>
        </w:tc>
        <w:tc>
          <w:tcPr>
            <w:tcW w:w="18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w w:val="95"/>
              </w:rPr>
              <w:t>Form 10-Q</w:t>
            </w:r>
          </w:p>
        </w:tc>
        <w:tc>
          <w:tcPr>
            <w:tcW w:w="184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0" w:type="dxa"/>
            <w:vAlign w:val="bottom"/>
            <w:gridSpan w:val="8"/>
          </w:tcPr>
          <w:p>
            <w:pPr>
              <w:jc w:val="center"/>
              <w:ind w:right="3400"/>
              <w:spacing w:after="0"/>
              <w:rPr>
                <w:sz w:val="20"/>
                <w:szCs w:val="20"/>
                <w:color w:val="auto"/>
              </w:rPr>
            </w:pPr>
            <w:r>
              <w:rPr>
                <w:rFonts w:ascii="Arial" w:cs="Arial" w:eastAsia="Arial" w:hAnsi="Arial"/>
                <w:sz w:val="18"/>
                <w:szCs w:val="18"/>
                <w:b w:val="1"/>
                <w:bCs w:val="1"/>
                <w:color w:val="auto"/>
                <w:w w:val="93"/>
              </w:rPr>
              <w:t>Index</w:t>
            </w:r>
          </w:p>
        </w:tc>
        <w:tc>
          <w:tcPr>
            <w:tcW w:w="1840" w:type="dxa"/>
            <w:vAlign w:val="bottom"/>
          </w:tcPr>
          <w:p>
            <w:pPr>
              <w:spacing w:after="0"/>
              <w:rPr>
                <w:sz w:val="24"/>
                <w:szCs w:val="24"/>
                <w:color w:val="auto"/>
              </w:rPr>
            </w:pPr>
          </w:p>
        </w:tc>
      </w:tr>
      <w:tr>
        <w:trPr>
          <w:trHeight w:val="392"/>
        </w:trPr>
        <w:tc>
          <w:tcPr>
            <w:tcW w:w="64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540" w:type="dxa"/>
            <w:vAlign w:val="bottom"/>
            <w:gridSpan w:val="3"/>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080" w:type="dxa"/>
            <w:vAlign w:val="bottom"/>
            <w:gridSpan w:val="10"/>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4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Condensed Consolidated Balance Sheets (Unaudited)</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Condensed Consolidated Statements of Comprehensive Income (Unaudited)</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2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Statements of Changes in Stockholders’ Equity (Unaudited)</w:t>
              </w:r>
            </w:hyperlink>
          </w:p>
        </w:tc>
        <w:tc>
          <w:tcPr>
            <w:tcW w:w="1920" w:type="dxa"/>
            <w:vAlign w:val="bottom"/>
            <w:gridSpan w:val="2"/>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80" w:type="dxa"/>
            <w:vAlign w:val="bottom"/>
            <w:tcBorders>
              <w:bottom w:val="single" w:sz="8" w:color="0000EE"/>
            </w:tcBorders>
            <w:gridSpan w:val="13"/>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Condensed Consolidated Statements of Cash Flows (Unaudited)</w:t>
              </w:r>
            </w:hyperlink>
          </w:p>
        </w:tc>
        <w:tc>
          <w:tcPr>
            <w:tcW w:w="3560" w:type="dxa"/>
            <w:vAlign w:val="bottom"/>
            <w:gridSpan w:val="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gridSpan w:val="1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 (Unaudited)</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Item 2.</w:t>
              </w:r>
            </w:hyperlink>
          </w:p>
        </w:tc>
        <w:tc>
          <w:tcPr>
            <w:tcW w:w="8440" w:type="dxa"/>
            <w:vAlign w:val="bottom"/>
            <w:gridSpan w:val="18"/>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Management’s Discussion and Analysis of Financial Condition and Results of Operations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3.</w:t>
              </w:r>
            </w:hyperlink>
          </w:p>
        </w:tc>
        <w:tc>
          <w:tcPr>
            <w:tcW w:w="500" w:type="dxa"/>
            <w:vAlign w:val="bottom"/>
            <w:gridSpan w:val="2"/>
          </w:tcPr>
          <w:p>
            <w:pPr>
              <w:spacing w:after="0"/>
              <w:rPr>
                <w:sz w:val="24"/>
                <w:szCs w:val="24"/>
                <w:color w:val="auto"/>
              </w:rPr>
            </w:pPr>
          </w:p>
        </w:tc>
        <w:tc>
          <w:tcPr>
            <w:tcW w:w="844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Quantitative and Qualitative Disclosures About Market Risk</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68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4.</w:t>
              </w:r>
            </w:hyperlink>
          </w:p>
        </w:tc>
        <w:tc>
          <w:tcPr>
            <w:tcW w:w="500" w:type="dxa"/>
            <w:vAlign w:val="bottom"/>
            <w:gridSpan w:val="2"/>
          </w:tcPr>
          <w:p>
            <w:pPr>
              <w:spacing w:after="0"/>
              <w:rPr>
                <w:sz w:val="24"/>
                <w:szCs w:val="24"/>
                <w:color w:val="auto"/>
              </w:rPr>
            </w:pPr>
          </w:p>
        </w:tc>
        <w:tc>
          <w:tcPr>
            <w:tcW w:w="464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Controls and Procedures</w:t>
              </w:r>
            </w:hyperlink>
          </w:p>
        </w:tc>
        <w:tc>
          <w:tcPr>
            <w:tcW w:w="3800" w:type="dxa"/>
            <w:vAlign w:val="bottom"/>
            <w:gridSpan w:val="6"/>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844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1.</w:t>
              </w:r>
            </w:hyperlink>
          </w:p>
        </w:tc>
        <w:tc>
          <w:tcPr>
            <w:tcW w:w="480" w:type="dxa"/>
            <w:vAlign w:val="bottom"/>
          </w:tcPr>
          <w:p>
            <w:pPr>
              <w:spacing w:after="0"/>
              <w:rPr>
                <w:sz w:val="24"/>
                <w:szCs w:val="24"/>
                <w:color w:val="auto"/>
              </w:rPr>
            </w:pPr>
          </w:p>
        </w:tc>
        <w:tc>
          <w:tcPr>
            <w:tcW w:w="200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Legal Proceedings</w:t>
              </w:r>
            </w:hyperlink>
          </w:p>
        </w:tc>
        <w:tc>
          <w:tcPr>
            <w:tcW w:w="6440" w:type="dxa"/>
            <w:vAlign w:val="bottom"/>
            <w:gridSpan w:val="11"/>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26">
              <w:r>
                <w:rPr>
                  <w:rFonts w:ascii="Arial" w:cs="Arial" w:eastAsia="Arial" w:hAnsi="Arial"/>
                  <w:sz w:val="18"/>
                  <w:szCs w:val="18"/>
                  <w:b w:val="1"/>
                  <w:bCs w:val="1"/>
                  <w:color w:val="0000EE"/>
                  <w:w w:val="94"/>
                </w:rPr>
                <w:t>Item 1A.</w:t>
              </w:r>
            </w:hyperlink>
          </w:p>
        </w:tc>
        <w:tc>
          <w:tcPr>
            <w:tcW w:w="500" w:type="dxa"/>
            <w:vAlign w:val="bottom"/>
            <w:gridSpan w:val="2"/>
          </w:tcPr>
          <w:p>
            <w:pPr>
              <w:spacing w:after="0"/>
              <w:rPr>
                <w:sz w:val="24"/>
                <w:szCs w:val="24"/>
                <w:color w:val="auto"/>
              </w:rPr>
            </w:pP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Risk Factors</w:t>
              </w:r>
            </w:hyperlink>
          </w:p>
        </w:tc>
        <w:tc>
          <w:tcPr>
            <w:tcW w:w="7480" w:type="dxa"/>
            <w:vAlign w:val="bottom"/>
            <w:gridSpan w:val="15"/>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2.</w:t>
              </w:r>
            </w:hyperlink>
          </w:p>
        </w:tc>
        <w:tc>
          <w:tcPr>
            <w:tcW w:w="8440" w:type="dxa"/>
            <w:vAlign w:val="bottom"/>
            <w:gridSpan w:val="1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Unregistered Sales of Equity Securities and Use of Proceeds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5.</w:t>
              </w:r>
            </w:hyperlink>
          </w:p>
        </w:tc>
        <w:tc>
          <w:tcPr>
            <w:tcW w:w="844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20" w:type="dxa"/>
            <w:vAlign w:val="bottom"/>
            <w:gridSpan w:val="1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180" w:type="dxa"/>
            <w:vAlign w:val="bottom"/>
            <w:gridSpan w:val="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w:t>
              </w:r>
            </w:hyperlink>
          </w:p>
        </w:tc>
        <w:tc>
          <w:tcPr>
            <w:tcW w:w="844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Exhibits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20" w:type="dxa"/>
            <w:vAlign w:val="bottom"/>
            <w:gridSpan w:val="16"/>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2"/>
        </w:trPr>
        <w:tc>
          <w:tcPr>
            <w:tcW w:w="118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SIGNATURES</w:t>
              </w:r>
            </w:hyperlink>
          </w:p>
        </w:tc>
        <w:tc>
          <w:tcPr>
            <w:tcW w:w="8440" w:type="dxa"/>
            <w:vAlign w:val="bottom"/>
            <w:gridSpan w:val="18"/>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962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EXHIBIT INDEX</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3"/>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0" w:type="dxa"/>
            <w:vAlign w:val="bottom"/>
            <w:gridSpan w:val="8"/>
          </w:tcPr>
          <w:p>
            <w:pPr>
              <w:jc w:val="center"/>
              <w:ind w:right="3420"/>
              <w:spacing w:after="0"/>
              <w:rPr>
                <w:sz w:val="20"/>
                <w:szCs w:val="20"/>
                <w:color w:val="auto"/>
              </w:rPr>
            </w:pPr>
            <w:r>
              <w:rPr>
                <w:rFonts w:ascii="Arial" w:cs="Arial" w:eastAsia="Arial" w:hAnsi="Arial"/>
                <w:sz w:val="18"/>
                <w:szCs w:val="18"/>
                <w:color w:val="auto"/>
              </w:rPr>
              <w:t>i</w:t>
            </w:r>
          </w:p>
        </w:tc>
        <w:tc>
          <w:tcPr>
            <w:tcW w:w="184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Quarterly Report on</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i w:val="1"/>
          <w:iCs w:val="1"/>
          <w:color w:val="auto"/>
        </w:rPr>
        <w:t>Form 10-Q, refer to Essent Group Ltd. and its directly and indirectly owned subsidiaries, including our primary operating subsidiary, Essent Guaranty, Inc., as a combined entity, except where otherwise stated or where it is clear that the terms mean only Essent Group Ltd. exclusive of its subsidiaries.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factors described in Part I, Item 2 “Management’s Discussion and Analysis of Financial Condition and Results of Operations” of this Quarterly Report, and factors described in Part I, Item 1A “Risk Factors” of our Annual Report on Form 10-K for the year ended December 31, 2014 filed with the Securities and Exchange Commission. These factors include, without limitation, the following:</w:t>
      </w:r>
    </w:p>
    <w:p>
      <w:pPr>
        <w:spacing w:after="0" w:line="179" w:lineRule="exact"/>
        <w:rPr>
          <w:sz w:val="20"/>
          <w:szCs w:val="20"/>
          <w:color w:val="auto"/>
        </w:rPr>
      </w:pPr>
    </w:p>
    <w:p>
      <w:pPr>
        <w:ind w:left="980" w:right="12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w:t>
      </w:r>
    </w:p>
    <w:p>
      <w:pPr>
        <w:sectPr>
          <w:pgSz w:w="11900" w:h="16838" w:orient="portrait"/>
          <w:cols w:equalWidth="0" w:num="1">
            <w:col w:w="11460"/>
          </w:cols>
          <w:pgMar w:left="240" w:top="121" w:right="199" w:bottom="0" w:gutter="0" w:footer="0" w:header="0"/>
        </w:sectPr>
      </w:pPr>
    </w:p>
    <w:bookmarkStart w:id="2" w:name="page3"/>
    <w:bookmarkEnd w:id="2"/>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new insurance written, or NIW, and franchise value due to loss of a significant customer;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of recently enacted legislation is uncertain;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 FINANCIAL INFORMATION</w:t>
      </w:r>
    </w:p>
    <w:p>
      <w:pPr>
        <w:sectPr>
          <w:pgSz w:w="11900" w:h="16838" w:orient="portrait"/>
          <w:cols w:equalWidth="0" w:num="1">
            <w:col w:w="11400"/>
          </w:cols>
          <w:pgMar w:left="240" w:top="341" w:right="259" w:bottom="0" w:gutter="0" w:footer="0" w:header="0"/>
        </w:sectPr>
      </w:pPr>
    </w:p>
    <w:bookmarkStart w:id="3" w:name="page4"/>
    <w:bookmarkEnd w:id="3"/>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0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Investments available for sale, at fair value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maturities (amortized cost: 2015 — $994,598; 2014 — $840,213)</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1,008,309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Short-term investments (amortized cost: 2015 — $111,922; 2014 — $210,688)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111,922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21,902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15,763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Property and equipment (at cost, less accumulated depreciation of $39,994 in 2015 and $39,260 in 2014)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8,073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federal income tax</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Stockholders’ Equity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for losses and LAE</w:t>
            </w: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Unearned premium reserve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164,167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bonuses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deferred tax liability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53,482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254,069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$0.015 par value: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Authorized - 233,333; issued — 92,574 shares in 2015 and 92,546 shares in 2014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893,836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9,556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996,017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955,738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1,250,086</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1,181,461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premiums written</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82,257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75,038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Realized investment gains,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Losses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underwriting and operating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27,498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15,676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3" w:orient="portrait"/>
          <w:cols w:equalWidth="0" w:num="1">
            <w:col w:w="11420"/>
          </w:cols>
          <w:pgMar w:left="240" w:top="121" w:right="2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90,185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91,514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34,838</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18"/>
          </w:tcPr>
          <w:p>
            <w:pPr>
              <w:ind w:left="160"/>
              <w:spacing w:after="0"/>
              <w:rPr>
                <w:sz w:val="20"/>
                <w:szCs w:val="20"/>
                <w:color w:val="auto"/>
              </w:rPr>
            </w:pPr>
            <w:r>
              <w:rPr>
                <w:rFonts w:ascii="Arial" w:cs="Arial" w:eastAsia="Arial" w:hAnsi="Arial"/>
                <w:sz w:val="18"/>
                <w:szCs w:val="18"/>
                <w:color w:val="auto"/>
              </w:rPr>
              <w:t>Change in unrealized appreciation of investments, net of tax expense of $2,110 in 2015 and $370 in 2014</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4,889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760" w:type="dxa"/>
            <w:vAlign w:val="bottom"/>
            <w:gridSpan w:val="16"/>
          </w:tcPr>
          <w:p>
            <w:pPr>
              <w:jc w:val="center"/>
              <w:ind w:right="5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left="593"/>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30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gridSpan w:val="9"/>
          </w:tcPr>
          <w:p>
            <w:pPr>
              <w:jc w:val="center"/>
              <w:ind w:left="353"/>
              <w:spacing w:after="0"/>
              <w:rPr>
                <w:sz w:val="20"/>
                <w:szCs w:val="20"/>
                <w:color w:val="auto"/>
              </w:rPr>
            </w:pPr>
            <w:r>
              <w:rPr>
                <w:rFonts w:ascii="Arial" w:cs="Arial" w:eastAsia="Arial" w:hAnsi="Arial"/>
                <w:sz w:val="18"/>
                <w:szCs w:val="18"/>
                <w:b w:val="1"/>
                <w:bCs w:val="1"/>
                <w:color w:val="auto"/>
                <w:w w:val="89"/>
              </w:rPr>
              <w:t>Essent Group Ltd. and Subsidiaries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780" w:type="dxa"/>
            <w:vAlign w:val="bottom"/>
            <w:gridSpan w:val="18"/>
          </w:tcPr>
          <w:p>
            <w:pPr>
              <w:jc w:val="center"/>
              <w:ind w:left="990"/>
              <w:spacing w:after="0"/>
              <w:rPr>
                <w:sz w:val="20"/>
                <w:szCs w:val="20"/>
                <w:color w:val="auto"/>
              </w:rPr>
            </w:pPr>
            <w:r>
              <w:rPr>
                <w:rFonts w:ascii="Arial" w:cs="Arial" w:eastAsia="Arial" w:hAnsi="Arial"/>
                <w:sz w:val="18"/>
                <w:szCs w:val="18"/>
                <w:b w:val="1"/>
                <w:bCs w:val="1"/>
                <w:color w:val="auto"/>
                <w:w w:val="89"/>
              </w:rPr>
              <w:t>Condensed Consolidated Statements of Changes in Stockholders’ Equity (Unaudited)</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2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Deficit)</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754,390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(32,099)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722,141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88,497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shares net of</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cost of $6,761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0"/>
              </w:rPr>
              <w:t>Issuance of management incentive 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Forfeiture of management incentive shares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12,520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Excess tax benefits from stock-based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 expense</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Treasury stock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Cancellation of treasury stock</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893,285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4,667</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56,398</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955,738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34,838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0"/>
              </w:rPr>
              <w:t>Issuance of management incentive shares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Forfeiture of management incentive shares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Excess tax benefits from stock-based</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compensation expense</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Treasury stock acquired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Cancellation of treasury stock</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equity transactions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893,836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996,017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-5207000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-5207000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34,838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Gain on the sale of investments, net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(649)</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Amortization of discount on payments due under Asset Purchase Agreement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Amortization of premium on investment securities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provision</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14,280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7,107</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(2,280)</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5" w:name="page6"/>
    <w:bookmarkEnd w:id="5"/>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Accrued investment income</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Deferred policy acquisition costs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federal income tax</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(1,584)</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 for losses and LAE</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Unearned premium reserve</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7,219</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47,180</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short-term investments</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98,766</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Purchase of investments available for sale</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(220,284)</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maturity of investments available for sale</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Proceeds from sales of investments available for sale</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71,077</w:t>
            </w: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(1,527)</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(46,443)</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(479,930)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acquired</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(5,023)</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Payment of offering costs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(537)</w:t>
            </w:r>
          </w:p>
        </w:tc>
        <w:tc>
          <w:tcPr>
            <w:tcW w:w="4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Other financing activities</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(2,509)</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24,411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477,655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Transactions</w:t>
            </w:r>
          </w:p>
        </w:tc>
        <w:tc>
          <w:tcPr>
            <w:tcW w:w="1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Issuance of management incentive shares (see Note 6)</w:t>
            </w:r>
          </w:p>
        </w:tc>
        <w:tc>
          <w:tcPr>
            <w:tcW w:w="23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these notes to condensed consolidated financial statements, “Essent”, “Company”, “we”, “us”, and “our” refer to Essent Group Ltd. and its subsidiaries, unless the context otherwise requires.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low-down payment (generally less than 20%) mortgage loans into the secondary mortgage market, primarily to the government sponsored enterprises (“GSEs”), Fannie Mae and Freddie Mac. Essent Group was incorporated in Bermuda in July 2008. In March 2014, Essent Group formed Essent Irish Intermediate Holdings Limited (“Essent Irish Intermediate”) as a wholly-owned subsidiary. In April 2014, Essent Group contributed all of the outstanding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Group also has a wholly-owned Bermuda domiciled Class 3A Insurer licensed pursuant to Section 4 of the Bermuda Insurance Act 1978, Essent Reinsurance, Ltd. (“Essent Re”), which offers mortgage-related insurance and reinsurance.</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2014,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March 31, 2015 prior to the issuance of these condensed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Available for Sale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available for sale consist of the following:</w:t>
      </w:r>
    </w:p>
    <w:p>
      <w:pPr>
        <w:sectPr>
          <w:pgSz w:w="11900" w:h="16887" w:orient="portrait"/>
          <w:cols w:equalWidth="0" w:num="1">
            <w:col w:w="11420"/>
          </w:cols>
          <w:pgMar w:left="240" w:top="140" w:right="239" w:bottom="0" w:gutter="0" w:footer="0" w:header="0"/>
        </w:sectPr>
      </w:pPr>
    </w:p>
    <w:p>
      <w:pPr>
        <w:spacing w:after="0" w:line="217" w:lineRule="exact"/>
        <w:rPr>
          <w:sz w:val="20"/>
          <w:szCs w:val="20"/>
          <w:color w:val="auto"/>
        </w:rPr>
      </w:pPr>
    </w:p>
    <w:p>
      <w:pPr>
        <w:spacing w:after="0"/>
        <w:tabs>
          <w:tab w:leader="none" w:pos="4880" w:val="left"/>
          <w:tab w:leader="none" w:pos="6640" w:val="left"/>
          <w:tab w:leader="none" w:pos="8420" w:val="left"/>
          <w:tab w:leader="none" w:pos="10380" w:val="left"/>
        </w:tabs>
        <w:rPr>
          <w:sz w:val="20"/>
          <w:szCs w:val="20"/>
          <w:color w:val="auto"/>
        </w:rPr>
      </w:pPr>
      <w:r>
        <w:rPr>
          <w:rFonts w:ascii="Arial" w:cs="Arial" w:eastAsia="Arial" w:hAnsi="Arial"/>
          <w:sz w:val="14"/>
          <w:szCs w:val="14"/>
          <w:b w:val="1"/>
          <w:bCs w:val="1"/>
          <w:color w:val="auto"/>
        </w:rPr>
        <w:t>March 31, 2015 (In thousands)</w:t>
      </w:r>
      <w:r>
        <w:rPr>
          <w:sz w:val="20"/>
          <w:szCs w:val="20"/>
          <w:color w:val="auto"/>
        </w:rPr>
        <w:tab/>
      </w:r>
      <w:r>
        <w:rPr>
          <w:rFonts w:ascii="Arial" w:cs="Arial" w:eastAsia="Arial" w:hAnsi="Arial"/>
          <w:sz w:val="14"/>
          <w:szCs w:val="14"/>
          <w:b w:val="1"/>
          <w:bCs w:val="1"/>
          <w:color w:val="auto"/>
        </w:rPr>
        <w:t>Amortized</w:t>
      </w:r>
      <w:r>
        <w:rPr>
          <w:sz w:val="20"/>
          <w:szCs w:val="20"/>
          <w:color w:val="auto"/>
        </w:rPr>
        <w:tab/>
      </w:r>
      <w:r>
        <w:rPr>
          <w:rFonts w:ascii="Arial" w:cs="Arial" w:eastAsia="Arial" w:hAnsi="Arial"/>
          <w:sz w:val="14"/>
          <w:szCs w:val="14"/>
          <w:b w:val="1"/>
          <w:bCs w:val="1"/>
          <w:color w:val="auto"/>
        </w:rPr>
        <w:t>Unrealized</w:t>
      </w:r>
      <w:r>
        <w:rPr>
          <w:sz w:val="20"/>
          <w:szCs w:val="20"/>
          <w:color w:val="auto"/>
        </w:rPr>
        <w:tab/>
      </w:r>
      <w:r>
        <w:rPr>
          <w:rFonts w:ascii="Arial" w:cs="Arial" w:eastAsia="Arial" w:hAnsi="Arial"/>
          <w:sz w:val="14"/>
          <w:szCs w:val="14"/>
          <w:b w:val="1"/>
          <w:bCs w:val="1"/>
          <w:color w:val="auto"/>
        </w:rPr>
        <w:t>Unrealized</w:t>
      </w:r>
      <w:r>
        <w:rPr>
          <w:sz w:val="20"/>
          <w:szCs w:val="20"/>
          <w:color w:val="auto"/>
        </w:rPr>
        <w:tab/>
      </w:r>
      <w:r>
        <w:rPr>
          <w:rFonts w:ascii="Arial" w:cs="Arial" w:eastAsia="Arial" w:hAnsi="Arial"/>
          <w:sz w:val="14"/>
          <w:szCs w:val="14"/>
          <w:b w:val="1"/>
          <w:bCs w:val="1"/>
          <w:color w:val="auto"/>
        </w:rPr>
        <w:t>Fair</w:t>
      </w:r>
    </w:p>
    <w:p>
      <w:pPr>
        <w:sectPr>
          <w:pgSz w:w="11900" w:h="16887" w:orient="portrait"/>
          <w:cols w:equalWidth="0" w:num="1">
            <w:col w:w="11420"/>
          </w:cols>
          <w:pgMar w:left="240" w:top="140" w:right="239" w:bottom="0" w:gutter="0" w:footer="0" w:header="0"/>
          <w:type w:val="continuous"/>
        </w:sectPr>
      </w:pPr>
    </w:p>
    <w:bookmarkStart w:id="6" w:name="page7"/>
    <w:bookmarkEnd w:id="6"/>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126,093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3,182</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U.S. agency mortgage-backed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83,952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Municipal debt securities(1)</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241,653</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5,076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246,271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339,954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64,041</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137,377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111,922</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111,922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1,106,520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left="632"/>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2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89"/>
              </w:rPr>
              <w:t>Essent Group Ltd. and Subsidiaries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3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9"/>
              </w:rPr>
              <w:t>Notes to Condensed Consolidated Financial Statements (Unaudited)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 (In thousands)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24"/>
                <w:szCs w:val="2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74,216</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4,491</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U.S. agency mortgage-backed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82,190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Municipal debt securities(1)</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191,723</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195,546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295,507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66,396</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(884)</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126,474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210,688</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210,688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14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328"/>
        <w:spacing w:after="0" w:line="259"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March 31, 2015, approximately 65.7% of municipal debt securities were special revenue bonds, 30.4% were general obligation bonds, 1.2% were tax allocation bonds and 2.7% were certification of participation bonds. At December 31, 2014, approximately 59.7% of municipal debt securities were special revenue bonds, 37.5% were general obligation bonds, 1.5% were tax allocation bonds, 0.8% were certification of participation bonds and 0.5% were special assessment bonds.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amortized cost and fair value of investments available for sale at March 31, 2015, by contractual maturity, are shown below. Expected maturities will differ from contractual maturities because borrowers may have the right to call or prepay obligations with or without call or prepayment penalties. Because most mortgage-backed securities and asset-backed securities provide for periodic payments throughout their lives, they are listed below in separate categories.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4"/>
                <w:szCs w:val="14"/>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U.S. Treasury securities:</w:t>
            </w:r>
          </w:p>
        </w:tc>
        <w:tc>
          <w:tcPr>
            <w:tcW w:w="19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Due in 1 year</w:t>
            </w:r>
          </w:p>
        </w:tc>
        <w:tc>
          <w:tcPr>
            <w:tcW w:w="1900" w:type="dxa"/>
            <w:vAlign w:val="bottom"/>
          </w:tcPr>
          <w:p>
            <w:pPr>
              <w:spacing w:after="0"/>
              <w:rPr>
                <w:sz w:val="18"/>
                <w:szCs w:val="18"/>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21,905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21,931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Due after 1 but within</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years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44,542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44,669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w w:val="92"/>
              </w:rPr>
              <w:t>Due after 5 but within</w:t>
            </w:r>
          </w:p>
        </w:tc>
        <w:tc>
          <w:tcPr>
            <w:tcW w:w="1900" w:type="dxa"/>
            <w:vAlign w:val="bottom"/>
          </w:tcPr>
          <w:p>
            <w:pPr>
              <w:ind w:left="20"/>
              <w:spacing w:after="0"/>
              <w:rPr>
                <w:sz w:val="20"/>
                <w:szCs w:val="20"/>
                <w:color w:val="auto"/>
              </w:rPr>
            </w:pPr>
            <w:r>
              <w:rPr>
                <w:rFonts w:ascii="Arial" w:cs="Arial" w:eastAsia="Arial" w:hAnsi="Arial"/>
                <w:sz w:val="18"/>
                <w:szCs w:val="18"/>
                <w:color w:val="auto"/>
              </w:rPr>
              <w:t>10 years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57,992</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59,493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9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124,439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126,093</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800" w:type="dxa"/>
            <w:vAlign w:val="bottom"/>
          </w:tcPr>
          <w:p>
            <w:pPr>
              <w:ind w:left="20"/>
              <w:spacing w:after="0" w:line="196" w:lineRule="exact"/>
              <w:rPr>
                <w:sz w:val="20"/>
                <w:szCs w:val="20"/>
                <w:color w:val="auto"/>
              </w:rPr>
            </w:pPr>
            <w:r>
              <w:rPr>
                <w:rFonts w:ascii="Arial" w:cs="Arial" w:eastAsia="Arial" w:hAnsi="Arial"/>
                <w:sz w:val="18"/>
                <w:szCs w:val="18"/>
                <w:color w:val="auto"/>
                <w:w w:val="95"/>
              </w:rPr>
              <w:t>U.S. agency securities:</w:t>
            </w:r>
          </w:p>
        </w:tc>
        <w:tc>
          <w:tcPr>
            <w:tcW w:w="1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in 1 year</w:t>
            </w: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w w:val="92"/>
              </w:rPr>
              <w:t>Due after 1 but within</w:t>
            </w:r>
          </w:p>
        </w:tc>
        <w:tc>
          <w:tcPr>
            <w:tcW w:w="1900" w:type="dxa"/>
            <w:vAlign w:val="bottom"/>
          </w:tcPr>
          <w:p>
            <w:pPr>
              <w:ind w:left="20"/>
              <w:spacing w:after="0"/>
              <w:rPr>
                <w:sz w:val="20"/>
                <w:szCs w:val="20"/>
                <w:color w:val="auto"/>
              </w:rPr>
            </w:pPr>
            <w:r>
              <w:rPr>
                <w:rFonts w:ascii="Arial" w:cs="Arial" w:eastAsia="Arial" w:hAnsi="Arial"/>
                <w:sz w:val="18"/>
                <w:szCs w:val="18"/>
                <w:color w:val="auto"/>
              </w:rPr>
              <w:t>5 years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2,434</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2,452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9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Municipal debt securities: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in 1 year</w:t>
            </w: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w w:val="92"/>
              </w:rPr>
              <w:t>Due after 1 but within</w:t>
            </w:r>
          </w:p>
        </w:tc>
        <w:tc>
          <w:tcPr>
            <w:tcW w:w="1900" w:type="dxa"/>
            <w:vAlign w:val="bottom"/>
          </w:tcPr>
          <w:p>
            <w:pPr>
              <w:ind w:left="20"/>
              <w:spacing w:after="0"/>
              <w:rPr>
                <w:sz w:val="20"/>
                <w:szCs w:val="20"/>
                <w:color w:val="auto"/>
              </w:rPr>
            </w:pPr>
            <w:r>
              <w:rPr>
                <w:rFonts w:ascii="Arial" w:cs="Arial" w:eastAsia="Arial" w:hAnsi="Arial"/>
                <w:sz w:val="18"/>
                <w:szCs w:val="18"/>
                <w:color w:val="auto"/>
              </w:rPr>
              <w:t>5 years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74,064</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74,393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Due after 5 but within</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85,930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88,529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Due after 10 years</w:t>
            </w: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81,659</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83,349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9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246,271</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Corporate debt securities:</w:t>
            </w: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in 1 year</w:t>
            </w: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19,281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w w:val="92"/>
              </w:rPr>
              <w:t>Due after 1 but within</w:t>
            </w:r>
          </w:p>
        </w:tc>
        <w:tc>
          <w:tcPr>
            <w:tcW w:w="1900" w:type="dxa"/>
            <w:vAlign w:val="bottom"/>
          </w:tcPr>
          <w:p>
            <w:pPr>
              <w:ind w:left="20"/>
              <w:spacing w:after="0"/>
              <w:rPr>
                <w:sz w:val="20"/>
                <w:szCs w:val="20"/>
                <w:color w:val="auto"/>
              </w:rPr>
            </w:pPr>
            <w:r>
              <w:rPr>
                <w:rFonts w:ascii="Arial" w:cs="Arial" w:eastAsia="Arial" w:hAnsi="Arial"/>
                <w:sz w:val="18"/>
                <w:szCs w:val="18"/>
                <w:color w:val="auto"/>
              </w:rPr>
              <w:t>5 years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213,360</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214,853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Due after 5 but within</w:t>
            </w: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107,032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110,602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Due after 10 years</w:t>
            </w: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9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339,954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345,081</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agency mortgage-backed securities</w:t>
            </w:r>
          </w:p>
        </w:tc>
        <w:tc>
          <w:tcPr>
            <w:tcW w:w="15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85,958</w:t>
            </w:r>
          </w:p>
        </w:tc>
        <w:tc>
          <w:tcPr>
            <w:tcW w:w="160" w:type="dxa"/>
            <w:vAlign w:val="bottom"/>
            <w:tcBorders>
              <w:bottom w:val="single" w:sz="8" w:color="CCEEFF"/>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64,041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16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Asset-backed securities</w:t>
            </w:r>
          </w:p>
        </w:tc>
        <w:tc>
          <w:tcPr>
            <w:tcW w:w="19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137,377</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137,539</w:t>
            </w:r>
          </w:p>
        </w:tc>
        <w:tc>
          <w:tcPr>
            <w:tcW w:w="160" w:type="dxa"/>
            <w:vAlign w:val="bottom"/>
            <w:tcBorders>
              <w:bottom w:val="single" w:sz="8" w:color="CCEEFF"/>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111,922</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111,922</w:t>
            </w:r>
          </w:p>
        </w:tc>
        <w:tc>
          <w:tcPr>
            <w:tcW w:w="160" w:type="dxa"/>
            <w:vAlign w:val="bottom"/>
            <w:shd w:val="clear" w:color="auto" w:fill="CCEEFF"/>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 investments available for sale</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1,106,520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1,120,231</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64" w:orient="portrait"/>
          <w:cols w:equalWidth="0" w:num="1">
            <w:col w:w="11460"/>
          </w:cols>
          <w:pgMar w:left="240" w:top="118" w:right="199" w:bottom="0" w:gutter="0" w:footer="0" w:header="0"/>
        </w:sectPr>
      </w:pPr>
    </w:p>
    <w:p>
      <w:pPr>
        <w:spacing w:after="0" w:line="334"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64" w:orient="portrait"/>
          <w:cols w:equalWidth="0" w:num="1">
            <w:col w:w="11460"/>
          </w:cols>
          <w:pgMar w:left="240" w:top="118" w:right="199" w:bottom="0" w:gutter="0" w:footer="0" w:header="0"/>
          <w:type w:val="continuous"/>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Essent Group realized gross gains and losses on the sale of investments available for sale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30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Realized gross gains</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Realized gross losses</w:t>
            </w:r>
          </w:p>
        </w:tc>
        <w:tc>
          <w:tcPr>
            <w:tcW w:w="34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1"/>
              </w:rPr>
              <w:t>Less than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14"/>
                <w:szCs w:val="14"/>
                <w:color w:val="auto"/>
              </w:rPr>
            </w:pPr>
          </w:p>
        </w:tc>
        <w:tc>
          <w:tcPr>
            <w:tcW w:w="1200" w:type="dxa"/>
            <w:vAlign w:val="bottom"/>
            <w:gridSpan w:val="3"/>
            <w:vMerge w:val="restart"/>
          </w:tcPr>
          <w:p>
            <w:pPr>
              <w:jc w:val="right"/>
              <w:ind w:right="25"/>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1"/>
              </w:rPr>
              <w:t>12 months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March 31, 2015 (In thousands)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23,005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7,576</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65,337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69,969</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37,780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73,182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241,034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1"/>
              </w:rPr>
              <w:t>Less than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vMerge w:val="restart"/>
          </w:tcPr>
          <w:p>
            <w:pPr>
              <w:jc w:val="right"/>
              <w:ind w:right="25"/>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1"/>
              </w:rPr>
              <w:t>12 months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2014 (In thousands)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16,543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21,698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39,902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48,586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126,376</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44,183</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102,449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354,192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other-than-temporary. There were no other-than-temporary impairments of investments in the three months ended March 31, 2015 or year ended December 31, 2014.</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fair value of investments deposited with insurance regulatory authorities to meet statutory requirements was $8.5 million as of March 31, 2015 and as of December 31, 2014. In connection with its insurance and reinsurance activities, Essent Re is required to maintain assets in trusts for the benefit of its contractual counterparties. The fair value of the required investments on deposit in these trusts were $117.8 million at March 31, 2015 and $66.7 million at December 31, 2014.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consists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637"/>
              <w:spacing w:after="0"/>
              <w:rPr>
                <w:sz w:val="20"/>
                <w:szCs w:val="20"/>
                <w:color w:val="auto"/>
              </w:rPr>
            </w:pPr>
            <w:r>
              <w:rPr>
                <w:rFonts w:ascii="Arial" w:cs="Arial" w:eastAsia="Arial" w:hAnsi="Arial"/>
                <w:sz w:val="14"/>
                <w:szCs w:val="14"/>
                <w:b w:val="1"/>
                <w:bCs w:val="1"/>
                <w:color w:val="auto"/>
                <w:w w:val="95"/>
              </w:rPr>
              <w:t>March 31,</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52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Investment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3. Accounts Receivable</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ind w:left="660"/>
              <w:spacing w:after="0"/>
              <w:rPr>
                <w:sz w:val="20"/>
                <w:szCs w:val="20"/>
                <w:color w:val="auto"/>
              </w:rPr>
            </w:pPr>
            <w:r>
              <w:rPr>
                <w:rFonts w:ascii="Arial" w:cs="Arial" w:eastAsia="Arial" w:hAnsi="Arial"/>
                <w:sz w:val="18"/>
                <w:szCs w:val="18"/>
                <w:color w:val="auto"/>
              </w:rPr>
              <w:t>Accounts receivable consist of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4"/>
                <w:szCs w:val="24"/>
                <w:color w:val="auto"/>
              </w:rPr>
            </w:pPr>
          </w:p>
        </w:tc>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52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2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receivables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52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37" w:right="239" w:bottom="0" w:gutter="0" w:footer="0" w:header="0"/>
        </w:sectPr>
      </w:pPr>
    </w:p>
    <w:bookmarkStart w:id="8" w:name="page9"/>
    <w:bookmarkEnd w:id="8"/>
    <w:p>
      <w:pPr>
        <w:spacing w:after="0" w:line="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16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Premiums receivable consist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Reserve for Losses and Loss Adjustment Expenses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three months ended March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gridSpan w:val="2"/>
          </w:tcPr>
          <w:p>
            <w:pPr>
              <w:ind w:left="66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Reserve for losses and LAE at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Reinsurance recoverables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reserve for losses and LAE at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460" w:type="dxa"/>
            <w:vAlign w:val="bottom"/>
          </w:tcPr>
          <w:p>
            <w:pPr>
              <w:spacing w:after="0" w:line="196" w:lineRule="exact"/>
              <w:rPr>
                <w:sz w:val="20"/>
                <w:szCs w:val="20"/>
                <w:color w:val="auto"/>
              </w:rPr>
            </w:pPr>
            <w:r>
              <w:rPr>
                <w:rFonts w:ascii="Arial" w:cs="Arial" w:eastAsia="Arial" w:hAnsi="Arial"/>
                <w:sz w:val="18"/>
                <w:szCs w:val="18"/>
                <w:color w:val="auto"/>
              </w:rPr>
              <w:t>Add provision for losses and LAE, net of reinsurance, occurring in: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incurred losses during the current period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460" w:type="dxa"/>
            <w:vAlign w:val="bottom"/>
          </w:tcPr>
          <w:p>
            <w:pPr>
              <w:spacing w:after="0" w:line="196" w:lineRule="exact"/>
              <w:rPr>
                <w:sz w:val="20"/>
                <w:szCs w:val="20"/>
                <w:color w:val="auto"/>
              </w:rPr>
            </w:pPr>
            <w:r>
              <w:rPr>
                <w:rFonts w:ascii="Arial" w:cs="Arial" w:eastAsia="Arial" w:hAnsi="Arial"/>
                <w:sz w:val="18"/>
                <w:szCs w:val="18"/>
                <w:color w:val="auto"/>
              </w:rPr>
              <w:t>Deduct payments for losses and LAE, net of reinsurance, occurring in: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LAE payments during the current period</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reserve for losses and LAE at end of period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Reserve for losses and LAE at end of period</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Borders>
              <w:bottom w:val="single" w:sz="8" w:color="CCEEFF"/>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Loans in default at end of period</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20" w:type="dxa"/>
            <w:vAlign w:val="bottom"/>
            <w:gridSpan w:val="2"/>
          </w:tcPr>
          <w:p>
            <w:pPr>
              <w:jc w:val="right"/>
              <w:ind w:right="127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6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For the three months ended March 31, 2015, $0.4 million was paid for incurred claims and claim adjustment expenses attributable to insured events of prior years. There has been a $0.7 million favorable prior-year development during the three months ended March 31, 2015. Reserves remaining as of March 31, 2015 for prior years are $7.4 million as a result of re-estimation of unpaid losses and loss adjustment expenses. For the three months ended March 31, 2014, $0.2 million was paid for incurred claims and claim adjustment expenses attributable to insured events of prior years. There has been a $0.4 million favorable prior-year development during the three months ended March 31, 2014. Reserves remaining as of March 31, 2014 for prior years were $2.5 million as a result of re-estimation of unpaid losses and loss adjustment expenses. The decreases in both periods are generally the result of ongoing analysis of recent loss development trends. Original estimates are increased or decreased as additional information becomes known regarding individual claims.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terms of CUW Solutions LLC’s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have not paid any amounts related to remedies for the three months ended March 31, 2015 or 2014. As of March 31, 2015, management believes any potential claims for indemnification related to contract underwriting services through March 31, 2015 are not material to our financial position or results of operations.</w:t>
      </w:r>
    </w:p>
    <w:p>
      <w:pPr>
        <w:spacing w:after="0" w:line="17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2015,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Stock-Based Compensation</w:t>
      </w:r>
    </w:p>
    <w:p>
      <w:pPr>
        <w:sectPr>
          <w:pgSz w:w="11900" w:h="16838" w:orient="portrait"/>
          <w:cols w:equalWidth="0" w:num="1">
            <w:col w:w="11460"/>
          </w:cols>
          <w:pgMar w:left="240" w:top="140" w:right="199" w:bottom="0" w:gutter="0" w:footer="0" w:header="0"/>
        </w:sectPr>
      </w:pPr>
    </w:p>
    <w:bookmarkStart w:id="9" w:name="page10"/>
    <w:bookmarkEnd w:id="9"/>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nonvested common share and nonvested common share unit activity for the three months ended March 31, 2015: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Time and Performance-</w:t>
            </w:r>
          </w:p>
        </w:tc>
        <w:tc>
          <w:tcPr>
            <w:tcW w:w="2640" w:type="dxa"/>
            <w:vAlign w:val="bottom"/>
            <w:gridSpan w:val="6"/>
          </w:tcPr>
          <w:p>
            <w:pPr>
              <w:ind w:left="680"/>
              <w:spacing w:after="0"/>
              <w:rPr>
                <w:sz w:val="20"/>
                <w:szCs w:val="20"/>
                <w:color w:val="auto"/>
              </w:rPr>
            </w:pPr>
            <w:r>
              <w:rPr>
                <w:rFonts w:ascii="Arial" w:cs="Arial" w:eastAsia="Arial" w:hAnsi="Arial"/>
                <w:sz w:val="14"/>
                <w:szCs w:val="14"/>
                <w:b w:val="1"/>
                <w:bCs w:val="1"/>
                <w:color w:val="auto"/>
              </w:rPr>
              <w:t>Time-Based Share</w:t>
            </w:r>
          </w:p>
        </w:tc>
        <w:tc>
          <w:tcPr>
            <w:tcW w:w="2520" w:type="dxa"/>
            <w:vAlign w:val="bottom"/>
            <w:gridSpan w:val="5"/>
            <w:vMerge w:val="restart"/>
          </w:tcPr>
          <w:p>
            <w:pPr>
              <w:ind w:left="840"/>
              <w:spacing w:after="0"/>
              <w:rPr>
                <w:sz w:val="20"/>
                <w:szCs w:val="20"/>
                <w:color w:val="auto"/>
              </w:rPr>
            </w:pPr>
            <w:r>
              <w:rPr>
                <w:rFonts w:ascii="Arial" w:cs="Arial" w:eastAsia="Arial" w:hAnsi="Arial"/>
                <w:sz w:val="14"/>
                <w:szCs w:val="14"/>
                <w:b w:val="1"/>
                <w:bCs w:val="1"/>
                <w:color w:val="auto"/>
              </w:rPr>
              <w:t>Share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Based Share Awards</w:t>
            </w: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40"/>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130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Grant</w:t>
            </w: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Date Fair</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Date 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664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17.61</w:t>
            </w: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2015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8"/>
                <w:szCs w:val="18"/>
                <w:color w:val="auto"/>
              </w:rPr>
              <w:t>9</w:t>
            </w: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February 2015, certain members of senior management were granted nonvested common shares under the Essent Group Ltd. 2013 Long-Term Incentive Plan that were subject to time-based and performance-based vesting. The time-based share awards granted in February 2015 vest in three equal installments on March 1, 2016, 2017 and 2018. The performance-based share awards granted in February 2015 vest based upon our compounded annual book value per share growth percentage during a three-year performance period that commenced on January 1, 2015 and vest on March 1, 2018. The portion of the nonvested common shares that will be earned based upon the achievement of compounded annual book value per share growth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level</w:t>
            </w:r>
          </w:p>
        </w:tc>
        <w:tc>
          <w:tcPr>
            <w:tcW w:w="160" w:type="dxa"/>
            <w:vAlign w:val="bottom"/>
            <w:vMerge w:val="restart"/>
          </w:tcPr>
          <w:p>
            <w:pPr>
              <w:spacing w:after="0"/>
              <w:rPr>
                <w:sz w:val="13"/>
                <w:szCs w:val="13"/>
                <w:color w:val="auto"/>
              </w:rPr>
            </w:pPr>
          </w:p>
        </w:tc>
        <w:tc>
          <w:tcPr>
            <w:tcW w:w="29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Compounded Annual Book Value</w:t>
            </w:r>
          </w:p>
        </w:tc>
        <w:tc>
          <w:tcPr>
            <w:tcW w:w="2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Nonvested Common</w:t>
            </w:r>
          </w:p>
        </w:tc>
        <w:tc>
          <w:tcPr>
            <w:tcW w:w="0" w:type="dxa"/>
            <w:vAlign w:val="bottom"/>
          </w:tcPr>
          <w:p>
            <w:pPr>
              <w:spacing w:after="0"/>
              <w:rPr>
                <w:sz w:val="1"/>
                <w:szCs w:val="1"/>
                <w:color w:val="auto"/>
              </w:rPr>
            </w:pPr>
          </w:p>
        </w:tc>
      </w:tr>
      <w:tr>
        <w:trPr>
          <w:trHeight w:val="171"/>
        </w:trPr>
        <w:tc>
          <w:tcPr>
            <w:tcW w:w="6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Share Growth</w:t>
            </w:r>
          </w:p>
        </w:tc>
        <w:tc>
          <w:tcPr>
            <w:tcW w:w="30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Shares Earned</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&lt; 11%</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Threshold</w:t>
            </w:r>
          </w:p>
        </w:tc>
        <w:tc>
          <w:tcPr>
            <w:tcW w:w="2920" w:type="dxa"/>
            <w:vAlign w:val="bottom"/>
            <w:gridSpan w:val="4"/>
          </w:tcPr>
          <w:p>
            <w:pPr>
              <w:jc w:val="right"/>
              <w:ind w:right="140"/>
              <w:spacing w:after="0"/>
              <w:rPr>
                <w:sz w:val="20"/>
                <w:szCs w:val="20"/>
                <w:color w:val="auto"/>
              </w:rPr>
            </w:pPr>
            <w:r>
              <w:rPr>
                <w:rFonts w:ascii="Arial" w:cs="Arial" w:eastAsia="Arial" w:hAnsi="Arial"/>
                <w:sz w:val="18"/>
                <w:szCs w:val="18"/>
                <w:color w:val="auto"/>
              </w:rPr>
              <w:t>11%</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40"/>
              <w:spacing w:after="0"/>
              <w:rPr>
                <w:sz w:val="20"/>
                <w:szCs w:val="20"/>
                <w:color w:val="auto"/>
              </w:rPr>
            </w:pPr>
            <w:r>
              <w:rPr>
                <w:rFonts w:ascii="Arial" w:cs="Arial" w:eastAsia="Arial" w:hAnsi="Arial"/>
                <w:sz w:val="18"/>
                <w:szCs w:val="18"/>
                <w:color w:val="auto"/>
              </w:rPr>
              <w:t>13%</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6"/>
        </w:trPr>
        <w:tc>
          <w:tcPr>
            <w:tcW w:w="62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Maximum</w:t>
            </w:r>
          </w:p>
        </w:tc>
        <w:tc>
          <w:tcPr>
            <w:tcW w:w="2300" w:type="dxa"/>
            <w:vAlign w:val="bottom"/>
          </w:tcPr>
          <w:p>
            <w:pPr>
              <w:spacing w:after="0"/>
              <w:rPr>
                <w:sz w:val="15"/>
                <w:szCs w:val="15"/>
                <w:color w:val="auto"/>
              </w:rPr>
            </w:pPr>
          </w:p>
        </w:tc>
        <w:tc>
          <w:tcPr>
            <w:tcW w:w="620" w:type="dxa"/>
            <w:vAlign w:val="bottom"/>
            <w:gridSpan w:val="3"/>
          </w:tcPr>
          <w:p>
            <w:pPr>
              <w:jc w:val="right"/>
              <w:ind w:right="140"/>
              <w:spacing w:after="0" w:line="176" w:lineRule="exact"/>
              <w:rPr>
                <w:sz w:val="20"/>
                <w:szCs w:val="20"/>
                <w:color w:val="auto"/>
              </w:rPr>
            </w:pPr>
            <w:r>
              <w:rPr>
                <w:rFonts w:ascii="Arial" w:cs="Arial" w:eastAsia="Arial" w:hAnsi="Arial"/>
                <w:sz w:val="18"/>
                <w:szCs w:val="18"/>
                <w:color w:val="auto"/>
                <w:w w:val="89"/>
              </w:rPr>
              <w:t>&gt; 15%</w:t>
            </w:r>
          </w:p>
        </w:tc>
        <w:tc>
          <w:tcPr>
            <w:tcW w:w="23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connection with our incentive program covering bonus awards for performance year 2014, in February 2015, time-based share awards and share units were issued to certain employees that vest in three equal installments on March 1, 2016, 2017 and 2018.</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total fair value of nonvested shares that vested was $16.4 million and $17.5 million, for the three months ended March 31, 2015 and 2014, respectively. As of March 31, 2015, there was $29.0 million of total unrecognized compensation expense related to nonvested shares outstanding at March 31, 2015 and we expect to recognize the expense over a weighted average period of 2.5 years.</w:t>
      </w:r>
    </w:p>
    <w:p>
      <w:pPr>
        <w:spacing w:after="0" w:line="18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May 2015, 35,896 time-based share units were granted to non-employee directors that vest one year from the date of grant and 40,406 nonvested common shares were granted to an employee in connection with an employment agreement that are subject to time-based and performance-based vesting.</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195,884 in the three months ended March 31, 2015. The tendered shares were recorded at cost, included in treasury stock and have been cancelled as of March 31, 2015.</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Compensation expense, net of forfeitures, and related tax effects recognized in connection with nonvested shares were as follows for the three months ended March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1800" w:type="dxa"/>
            <w:vAlign w:val="bottom"/>
          </w:tcPr>
          <w:p>
            <w:pPr>
              <w:spacing w:after="0"/>
              <w:rPr>
                <w:sz w:val="14"/>
                <w:szCs w:val="14"/>
                <w:color w:val="auto"/>
              </w:rPr>
            </w:pPr>
          </w:p>
        </w:tc>
      </w:tr>
      <w:tr>
        <w:trPr>
          <w:trHeight w:val="210"/>
        </w:trPr>
        <w:tc>
          <w:tcPr>
            <w:tcW w:w="1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2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Income tax benefit</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c>
          <w:tcPr>
            <w:tcW w:w="4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180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(EPS)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reconciles the net income and the weighted average common shares outstanding used in the computations of basic and diluted earnings per common share for the three months ended March 31:</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260" w:type="dxa"/>
            <w:vAlign w:val="bottom"/>
          </w:tcPr>
          <w:p>
            <w:pPr>
              <w:jc w:val="right"/>
              <w:ind w:right="708"/>
              <w:spacing w:after="0"/>
              <w:rPr>
                <w:sz w:val="20"/>
                <w:szCs w:val="20"/>
                <w:color w:val="auto"/>
              </w:rPr>
            </w:pPr>
            <w:r>
              <w:rPr>
                <w:rFonts w:ascii="Arial" w:cs="Arial" w:eastAsia="Arial" w:hAnsi="Arial"/>
                <w:sz w:val="14"/>
                <w:szCs w:val="14"/>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bl>
    <w:p>
      <w:pPr>
        <w:sectPr>
          <w:pgSz w:w="11900" w:h="16926" w:orient="portrait"/>
          <w:cols w:equalWidth="0" w:num="1">
            <w:col w:w="11460"/>
          </w:cols>
          <w:pgMar w:left="240" w:top="341" w:right="199" w:bottom="0" w:gutter="0" w:footer="0" w:header="0"/>
        </w:sectPr>
      </w:pPr>
    </w:p>
    <w:bookmarkStart w:id="10" w:name="page11"/>
    <w:bookmarkEnd w:id="10"/>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1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Less: dividends declared</w:t>
            </w:r>
          </w:p>
        </w:tc>
        <w:tc>
          <w:tcPr>
            <w:tcW w:w="6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2"/>
            <w:vMerge w:val="continue"/>
          </w:tcPr>
          <w:p>
            <w:pPr>
              <w:spacing w:after="0"/>
              <w:rPr>
                <w:sz w:val="17"/>
                <w:szCs w:val="17"/>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vMerge w:val="continue"/>
          </w:tcPr>
          <w:p>
            <w:pPr>
              <w:spacing w:after="0"/>
              <w:rPr>
                <w:sz w:val="17"/>
                <w:szCs w:val="17"/>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90,185</w:t>
            </w:r>
          </w:p>
        </w:tc>
        <w:tc>
          <w:tcPr>
            <w:tcW w:w="6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82,864</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nonvested shares:</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1,329</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91,514</w:t>
            </w:r>
          </w:p>
        </w:tc>
        <w:tc>
          <w:tcPr>
            <w:tcW w:w="6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84,696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252,180 and 64,469 antidilutive shares for the three months ended March 31, 2015 and 2014, respectively.</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nonvested performance-based share awards are considered contingently issuable for purposes of the EPS calculation. Based on the compounded annual book value per share growth as of March 31, 2015, 100% of the performance-based share awards would be issuable under the terms of the arrangements if March 31, 2015 was the end of the contingency period. Based on the compounded annual book value per share growth as of March 31, 2014, 0% of the performance-based share awards would be issuable under the terms of the arrangements if March 31, 2014 was the end of the contingency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rollforward of accumulated other comprehensive income for the three months ended March 31, 2015 and 2014:</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7"/>
          </w:tcPr>
          <w:p>
            <w:pPr>
              <w:jc w:val="center"/>
              <w:ind w:left="994"/>
              <w:spacing w:after="0"/>
              <w:rPr>
                <w:sz w:val="20"/>
                <w:szCs w:val="20"/>
                <w:color w:val="auto"/>
              </w:rPr>
            </w:pPr>
            <w:r>
              <w:rPr>
                <w:rFonts w:ascii="Arial" w:cs="Arial" w:eastAsia="Arial" w:hAnsi="Arial"/>
                <w:sz w:val="14"/>
                <w:szCs w:val="14"/>
                <w:b w:val="1"/>
                <w:bCs w:val="1"/>
                <w:color w:val="auto"/>
                <w:w w:val="93"/>
              </w:rPr>
              <w:t>Three months ended March 31, 2015</w:t>
            </w: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Tax Effect</w:t>
            </w:r>
          </w:p>
        </w:tc>
        <w:tc>
          <w:tcPr>
            <w:tcW w:w="320" w:type="dxa"/>
            <w:vAlign w:val="bottom"/>
          </w:tcPr>
          <w:p>
            <w:pPr>
              <w:spacing w:after="0"/>
              <w:rPr>
                <w:sz w:val="12"/>
                <w:szCs w:val="12"/>
                <w:color w:val="auto"/>
              </w:rPr>
            </w:pPr>
          </w:p>
        </w:tc>
        <w:tc>
          <w:tcPr>
            <w:tcW w:w="140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6,712</w:t>
            </w:r>
          </w:p>
        </w:tc>
        <w:tc>
          <w:tcPr>
            <w:tcW w:w="3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Other comprehensive income:</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(2,337)</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02"/>
        </w:trPr>
        <w:tc>
          <w:tcPr>
            <w:tcW w:w="50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Less: Reclassification adjustment for gains included in</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net income (1)</w:t>
            </w:r>
          </w:p>
        </w:tc>
        <w:tc>
          <w:tcPr>
            <w:tcW w:w="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center"/>
              <w:ind w:left="994"/>
              <w:spacing w:after="0"/>
              <w:rPr>
                <w:sz w:val="20"/>
                <w:szCs w:val="20"/>
                <w:color w:val="auto"/>
              </w:rPr>
            </w:pPr>
            <w:r>
              <w:rPr>
                <w:rFonts w:ascii="Arial" w:cs="Arial" w:eastAsia="Arial" w:hAnsi="Arial"/>
                <w:sz w:val="14"/>
                <w:szCs w:val="14"/>
                <w:b w:val="1"/>
                <w:bCs w:val="1"/>
                <w:color w:val="auto"/>
                <w:w w:val="93"/>
              </w:rPr>
              <w:t>Three months ended March 31, 2014</w:t>
            </w:r>
          </w:p>
        </w:tc>
        <w:tc>
          <w:tcPr>
            <w:tcW w:w="1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Before Tax</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Tax Effect</w:t>
            </w:r>
          </w:p>
        </w:tc>
        <w:tc>
          <w:tcPr>
            <w:tcW w:w="320" w:type="dxa"/>
            <w:vAlign w:val="bottom"/>
          </w:tcPr>
          <w:p>
            <w:pPr>
              <w:spacing w:after="0"/>
              <w:rPr>
                <w:sz w:val="12"/>
                <w:szCs w:val="12"/>
                <w:color w:val="auto"/>
              </w:rPr>
            </w:pPr>
          </w:p>
        </w:tc>
        <w:tc>
          <w:tcPr>
            <w:tcW w:w="140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line="196" w:lineRule="exact"/>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2"/>
        </w:trPr>
        <w:tc>
          <w:tcPr>
            <w:tcW w:w="50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Less: Reclassification adjustment for gains included in</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net income (1)</w:t>
            </w:r>
          </w:p>
        </w:tc>
        <w:tc>
          <w:tcPr>
            <w:tcW w:w="3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840" w:hanging="5288"/>
        <w:spacing w:after="0" w:line="52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net realized investment gains on our condensed consolidated statements of comprehensive income.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March 31, 2015 (In thousands)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126,093</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126,093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U.S. agency mortgage-backed securities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85,958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85,958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246,271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246,271</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345,081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345,081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137,539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137,539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111,922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111,922</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1,120,231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1,120,231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1,959</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328"/>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2014 (In thousands)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6"/>
        </w:trPr>
        <w:tc>
          <w:tcPr>
            <w:tcW w:w="6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27761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77610" cy="146050"/>
                    </a:xfrm>
                    <a:prstGeom prst="rect">
                      <a:avLst/>
                    </a:prstGeom>
                    <a:noFill/>
                  </pic:spPr>
                </pic:pic>
              </a:graphicData>
            </a:graphic>
          </wp:anchor>
        </w:drawing>
      </w:r>
    </w:p>
    <w:p>
      <w:pPr>
        <w:sectPr>
          <w:pgSz w:w="11900" w:h="16853" w:orient="portrait"/>
          <w:cols w:equalWidth="0" w:num="1">
            <w:col w:w="11400"/>
          </w:cols>
          <w:pgMar w:left="240" w:top="120" w:right="259" w:bottom="0" w:gutter="0" w:footer="0" w:header="0"/>
        </w:sectPr>
      </w:pPr>
    </w:p>
    <w:p>
      <w:pPr>
        <w:ind w:left="660"/>
        <w:spacing w:after="0"/>
        <w:rPr>
          <w:sz w:val="20"/>
          <w:szCs w:val="20"/>
          <w:color w:val="auto"/>
        </w:rPr>
      </w:pPr>
      <w:r>
        <w:rPr>
          <w:rFonts w:ascii="Arial" w:cs="Arial" w:eastAsia="Arial" w:hAnsi="Arial"/>
          <w:sz w:val="16"/>
          <w:szCs w:val="16"/>
          <w:color w:val="auto"/>
        </w:rPr>
        <w:t>Financial Assets:</w:t>
      </w:r>
    </w:p>
    <w:p>
      <w:pPr>
        <w:sectPr>
          <w:pgSz w:w="11900" w:h="16853" w:orient="portrait"/>
          <w:cols w:equalWidth="0" w:num="1">
            <w:col w:w="11400"/>
          </w:cols>
          <w:pgMar w:left="240" w:top="120" w:right="259" w:bottom="0" w:gutter="0" w:footer="0" w:header="0"/>
          <w:type w:val="continuous"/>
        </w:sectPr>
      </w:pPr>
    </w:p>
    <w:bookmarkStart w:id="11" w:name="page12"/>
    <w:bookmarkEnd w:id="11"/>
    <w:tbl>
      <w:tblPr>
        <w:tblLayout w:type="fixed"/>
        <w:tblInd w:w="660" w:type="dxa"/>
        <w:tblCellMar>
          <w:top w:w="0" w:type="dxa"/>
          <w:left w:w="0" w:type="dxa"/>
          <w:bottom w:w="0" w:type="dxa"/>
          <w:right w:w="0" w:type="dxa"/>
        </w:tblCellMar>
      </w:tblP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74,216</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74,216</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U.S. agency mortgage-backed securities</w:t>
            </w:r>
          </w:p>
        </w:tc>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83,540</w:t>
            </w:r>
          </w:p>
        </w:tc>
        <w:tc>
          <w:tcPr>
            <w:tcW w:w="5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83,540</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195,546</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195,546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296,829</w:t>
            </w:r>
          </w:p>
        </w:tc>
        <w:tc>
          <w:tcPr>
            <w:tcW w:w="5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296,829</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66,086</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126,188</w:t>
            </w:r>
          </w:p>
        </w:tc>
        <w:tc>
          <w:tcPr>
            <w:tcW w:w="5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126,188</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210,688</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210,688</w:t>
            </w:r>
          </w:p>
        </w:tc>
      </w:tr>
      <w:tr>
        <w:trPr>
          <w:trHeight w:val="250"/>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investments</w:t>
            </w: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1,057,613</w:t>
            </w:r>
          </w:p>
        </w:tc>
        <w:tc>
          <w:tcPr>
            <w:tcW w:w="16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1,057,613</w:t>
            </w:r>
          </w:p>
        </w:tc>
        <w:tc>
          <w:tcPr>
            <w:tcW w:w="100" w:type="dxa"/>
            <w:vAlign w:val="bottom"/>
            <w:tcBorders>
              <w:bottom w:val="single" w:sz="8" w:color="CCEEFF"/>
            </w:tcBorders>
          </w:tcPr>
          <w:p>
            <w:pPr>
              <w:spacing w:after="0"/>
              <w:rPr>
                <w:sz w:val="21"/>
                <w:szCs w:val="21"/>
                <w:color w:val="auto"/>
              </w:rPr>
            </w:pPr>
          </w:p>
        </w:tc>
      </w:tr>
      <w:tr>
        <w:trPr>
          <w:trHeight w:val="170"/>
        </w:trPr>
        <w:tc>
          <w:tcPr>
            <w:tcW w:w="62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Financial Liabilities:</w:t>
            </w: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87"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 accessible at the measurement date.</w:t>
      </w:r>
    </w:p>
    <w:p>
      <w:pPr>
        <w:spacing w:after="0" w:line="225"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25" w:lineRule="exact"/>
        <w:rPr>
          <w:sz w:val="20"/>
          <w:szCs w:val="20"/>
          <w:color w:val="auto"/>
        </w:rPr>
      </w:pPr>
    </w:p>
    <w:p>
      <w:pPr>
        <w:ind w:left="980" w:right="40" w:hanging="324"/>
        <w:spacing w:after="0" w:line="293"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certain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debt securities, corporate debt securities, certain mortgage-backed securities and asset-backed securities are classified as Level 2 investments.</w:t>
      </w:r>
    </w:p>
    <w:p>
      <w:pPr>
        <w:spacing w:after="0" w:line="165" w:lineRule="exact"/>
        <w:rPr>
          <w:sz w:val="20"/>
          <w:szCs w:val="20"/>
          <w:color w:val="auto"/>
        </w:rPr>
      </w:pPr>
    </w:p>
    <w:p>
      <w:pPr>
        <w:ind w:left="980" w:right="60"/>
        <w:spacing w:after="0" w:line="272" w:lineRule="auto"/>
        <w:rPr>
          <w:sz w:val="20"/>
          <w:szCs w:val="20"/>
          <w:color w:val="auto"/>
        </w:rPr>
      </w:pPr>
      <w:r>
        <w:rPr>
          <w:rFonts w:ascii="Arial" w:cs="Arial" w:eastAsia="Arial" w:hAnsi="Arial"/>
          <w:sz w:val="17"/>
          <w:szCs w:val="17"/>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78" w:lineRule="exact"/>
        <w:rPr>
          <w:sz w:val="20"/>
          <w:szCs w:val="20"/>
          <w:color w:val="auto"/>
        </w:rPr>
      </w:pPr>
    </w:p>
    <w:p>
      <w:pPr>
        <w:ind w:left="980" w:right="60" w:hanging="324"/>
        <w:spacing w:after="0" w:line="276"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Derivative liabilities — We define fair value as the current amount that would be exchanged to sell an asset or transfer a liability, other than in a forced liquidation. In determining an exit market, we consider the fact that there is not a principal market for these contracts. In the absence of a principal market, we value our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w:t>
      </w:r>
    </w:p>
    <w:p>
      <w:pPr>
        <w:spacing w:after="0" w:line="173"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ectPr>
          <w:pgSz w:w="11900" w:h="16838" w:orient="portrait"/>
          <w:cols w:equalWidth="0" w:num="1">
            <w:col w:w="11400"/>
          </w:cols>
          <w:pgMar w:left="240" w:top="125" w:right="25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0" w:gutter="0" w:footer="0" w:header="0"/>
          <w:type w:val="continuous"/>
        </w:sectPr>
      </w:pPr>
    </w:p>
    <w:bookmarkStart w:id="12" w:name="page13"/>
    <w:bookmarkEnd w:id="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for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2015 (In thousands)</w:t>
            </w: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126,093</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3,208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246,271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246,271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345,081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59,359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111,922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for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2014 (In thousands)</w:t>
            </w:r>
          </w:p>
        </w:tc>
        <w:tc>
          <w:tcPr>
            <w:tcW w:w="20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Instruments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74,216</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4,520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195,546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195,546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296,829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4,882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61,204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210,688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210,688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gridSpan w:val="2"/>
          </w:tcPr>
          <w:p>
            <w:pPr>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 presents changes during the three months ended March 31, 2015 in Level 3 liabilities measured at fair value on a recurring basis, and the realized and unrealized gains (losses) related to the Level 3 liabilities in the condensed consolidated balance sheets at March 31, 2015. For the three months ended March 31, 2014, we had no Level 3 liabilities. During the three months ended March 31, 2015, and in the year ended December 31, 2014, we had no Level 3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Fair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Net Realized and</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Changes in Unrealized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Value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Unrealized Gains</w:t>
            </w: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150"/>
              <w:spacing w:after="0" w:line="135" w:lineRule="exact"/>
              <w:rPr>
                <w:sz w:val="20"/>
                <w:szCs w:val="20"/>
                <w:color w:val="auto"/>
              </w:rPr>
            </w:pPr>
            <w:r>
              <w:rPr>
                <w:rFonts w:ascii="Arial" w:cs="Arial" w:eastAsia="Arial" w:hAnsi="Arial"/>
                <w:sz w:val="12"/>
                <w:szCs w:val="12"/>
                <w:b w:val="1"/>
                <w:bCs w:val="1"/>
                <w:color w:val="auto"/>
                <w:w w:val="82"/>
              </w:rPr>
              <w:t>Purchases, Sales,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Gains (Losses) Included 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5"/>
              </w:rPr>
              <w:t>Beginning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6"/>
              </w:rPr>
              <w:t>(Losses) Included</w:t>
            </w:r>
          </w:p>
        </w:tc>
        <w:tc>
          <w:tcPr>
            <w:tcW w:w="60" w:type="dxa"/>
            <w:vAlign w:val="bottom"/>
          </w:tcPr>
          <w:p>
            <w:pPr>
              <w:spacing w:after="0"/>
              <w:rPr>
                <w:sz w:val="11"/>
                <w:szCs w:val="11"/>
                <w:color w:val="auto"/>
              </w:rPr>
            </w:pPr>
          </w:p>
        </w:tc>
        <w:tc>
          <w:tcPr>
            <w:tcW w:w="12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98"/>
              </w:rPr>
              <w:t>Other Comprehensive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left="150"/>
              <w:spacing w:after="0" w:line="135" w:lineRule="exact"/>
              <w:rPr>
                <w:sz w:val="20"/>
                <w:szCs w:val="20"/>
                <w:color w:val="auto"/>
              </w:rPr>
            </w:pPr>
            <w:r>
              <w:rPr>
                <w:rFonts w:ascii="Arial" w:cs="Arial" w:eastAsia="Arial" w:hAnsi="Arial"/>
                <w:sz w:val="12"/>
                <w:szCs w:val="12"/>
                <w:b w:val="1"/>
                <w:bCs w:val="1"/>
                <w:color w:val="auto"/>
                <w:w w:val="83"/>
              </w:rPr>
              <w:t>Issues and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0"/>
              </w:rPr>
              <w:t>Gross</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6"/>
              </w:rPr>
              <w:t>Gross</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Fair Value End</w:t>
            </w:r>
          </w:p>
        </w:tc>
        <w:tc>
          <w:tcPr>
            <w:tcW w:w="140" w:type="dxa"/>
            <w:vAlign w:val="bottom"/>
          </w:tcPr>
          <w:p>
            <w:pPr>
              <w:spacing w:after="0"/>
              <w:rPr>
                <w:sz w:val="11"/>
                <w:szCs w:val="11"/>
                <w:color w:val="auto"/>
              </w:rPr>
            </w:pPr>
          </w:p>
        </w:tc>
        <w:tc>
          <w:tcPr>
            <w:tcW w:w="16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Income on Instruments</w:t>
            </w:r>
          </w:p>
        </w:tc>
        <w:tc>
          <w:tcPr>
            <w:tcW w:w="0" w:type="dxa"/>
            <w:vAlign w:val="bottom"/>
          </w:tcPr>
          <w:p>
            <w:pPr>
              <w:spacing w:after="0"/>
              <w:rPr>
                <w:sz w:val="1"/>
                <w:szCs w:val="1"/>
                <w:color w:val="auto"/>
              </w:rPr>
            </w:pPr>
          </w:p>
        </w:tc>
      </w:tr>
      <w:tr>
        <w:trPr>
          <w:trHeight w:val="143"/>
        </w:trPr>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3"/>
              </w:rPr>
              <w:t>of Year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in Income</w:t>
            </w:r>
          </w:p>
        </w:tc>
        <w:tc>
          <w:tcPr>
            <w:tcW w:w="60" w:type="dxa"/>
            <w:vAlign w:val="bottom"/>
          </w:tcPr>
          <w:p>
            <w:pPr>
              <w:spacing w:after="0"/>
              <w:rPr>
                <w:sz w:val="12"/>
                <w:szCs w:val="12"/>
                <w:color w:val="auto"/>
              </w:rPr>
            </w:pPr>
          </w:p>
        </w:tc>
        <w:tc>
          <w:tcPr>
            <w:tcW w:w="1280" w:type="dxa"/>
            <w:vAlign w:val="bottom"/>
          </w:tcPr>
          <w:p>
            <w:pPr>
              <w:jc w:val="right"/>
              <w:ind w:right="173"/>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150"/>
              <w:spacing w:after="0"/>
              <w:rPr>
                <w:sz w:val="20"/>
                <w:szCs w:val="20"/>
                <w:color w:val="auto"/>
              </w:rPr>
            </w:pPr>
            <w:r>
              <w:rPr>
                <w:rFonts w:ascii="Arial" w:cs="Arial" w:eastAsia="Arial" w:hAnsi="Arial"/>
                <w:sz w:val="12"/>
                <w:szCs w:val="12"/>
                <w:b w:val="1"/>
                <w:bCs w:val="1"/>
                <w:color w:val="auto"/>
                <w:w w:val="85"/>
              </w:rPr>
              <w:t>Settlements, Net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Transfers In</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8"/>
              </w:rPr>
              <w:t>Transfers Out</w:t>
            </w:r>
          </w:p>
        </w:tc>
        <w:tc>
          <w:tcPr>
            <w:tcW w:w="6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of Period</w:t>
            </w:r>
          </w:p>
        </w:tc>
        <w:tc>
          <w:tcPr>
            <w:tcW w:w="140" w:type="dxa"/>
            <w:vAlign w:val="bottom"/>
          </w:tcPr>
          <w:p>
            <w:pPr>
              <w:spacing w:after="0"/>
              <w:rPr>
                <w:sz w:val="12"/>
                <w:szCs w:val="12"/>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Held at End of Period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98"/>
              </w:rPr>
              <w:t>Derivative Liabilities</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9"/>
                <w:szCs w:val="9"/>
                <w:color w:val="auto"/>
                <w:w w:val="85"/>
              </w:rPr>
              <w:t>(749)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ind w:right="1193"/>
              <w:spacing w:after="0"/>
              <w:rPr>
                <w:sz w:val="20"/>
                <w:szCs w:val="20"/>
                <w:color w:val="auto"/>
              </w:rPr>
            </w:pPr>
            <w:r>
              <w:rPr>
                <w:rFonts w:ascii="Arial" w:cs="Arial" w:eastAsia="Arial" w:hAnsi="Arial"/>
                <w:sz w:val="5"/>
                <w:szCs w:val="5"/>
                <w:color w:val="auto"/>
                <w:w w:val="70"/>
              </w:rPr>
              <w:t>$</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72"/>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w w:val="76"/>
              </w:rPr>
              <w:t>549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ind w:left="720"/>
              <w:spacing w:after="0" w:line="129" w:lineRule="exact"/>
              <w:rPr>
                <w:sz w:val="20"/>
                <w:szCs w:val="20"/>
                <w:color w:val="auto"/>
              </w:rPr>
            </w:pPr>
            <w:r>
              <w:rPr>
                <w:rFonts w:ascii="Arial" w:cs="Arial" w:eastAsia="Arial" w:hAnsi="Arial"/>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tcBorders>
            <w:shd w:val="clear" w:color="auto" w:fill="CCEEFF"/>
          </w:tcPr>
          <w:p>
            <w:pPr>
              <w:ind w:left="820"/>
              <w:spacing w:after="0" w:line="129" w:lineRule="exact"/>
              <w:rPr>
                <w:sz w:val="20"/>
                <w:szCs w:val="20"/>
                <w:color w:val="auto"/>
              </w:rPr>
            </w:pPr>
            <w:r>
              <w:rPr>
                <w:rFonts w:ascii="Arial" w:cs="Arial" w:eastAsia="Arial" w:hAnsi="Arial"/>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ind w:left="580"/>
              <w:spacing w:after="0" w:line="129" w:lineRule="exact"/>
              <w:rPr>
                <w:sz w:val="20"/>
                <w:szCs w:val="20"/>
                <w:color w:val="auto"/>
              </w:rPr>
            </w:pPr>
            <w:r>
              <w:rPr>
                <w:rFonts w:ascii="Arial" w:cs="Arial" w:eastAsia="Arial" w:hAnsi="Arial"/>
                <w:sz w:val="12"/>
                <w:szCs w:val="12"/>
                <w:color w:val="auto"/>
                <w:w w:val="79"/>
              </w:rPr>
              <w:t>1,959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600" w:type="dxa"/>
            <w:vAlign w:val="bottom"/>
            <w:tcBorders>
              <w:top w:val="single" w:sz="8" w:color="auto"/>
            </w:tcBorders>
            <w:shd w:val="clear" w:color="auto" w:fill="CCEEFF"/>
          </w:tcPr>
          <w:p>
            <w:pPr>
              <w:ind w:left="1380"/>
              <w:spacing w:after="0" w:line="129" w:lineRule="exact"/>
              <w:rPr>
                <w:sz w:val="20"/>
                <w:szCs w:val="20"/>
                <w:color w:val="auto"/>
              </w:rPr>
            </w:pPr>
            <w:r>
              <w:rPr>
                <w:rFonts w:ascii="Arial" w:cs="Arial" w:eastAsia="Arial" w:hAnsi="Arial"/>
                <w:sz w:val="12"/>
                <w:szCs w:val="12"/>
                <w:color w:val="auto"/>
                <w:w w:val="71"/>
              </w:rPr>
              <w:t>(749)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118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Total Level 3</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w w:val="92"/>
              </w:rPr>
              <w:t>(749)</w:t>
            </w:r>
          </w:p>
        </w:tc>
        <w:tc>
          <w:tcPr>
            <w:tcW w:w="1340" w:type="dxa"/>
            <w:vAlign w:val="bottom"/>
            <w:gridSpan w:val="2"/>
            <w:shd w:val="clear" w:color="auto" w:fill="CCEEFF"/>
          </w:tcPr>
          <w:p>
            <w:pPr>
              <w:jc w:val="right"/>
              <w:ind w:right="1193"/>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990"/>
              <w:spacing w:after="0"/>
              <w:rPr>
                <w:sz w:val="20"/>
                <w:szCs w:val="20"/>
                <w:color w:val="auto"/>
              </w:rPr>
            </w:pPr>
            <w:r>
              <w:rPr>
                <w:rFonts w:ascii="Arial" w:cs="Arial" w:eastAsia="Arial" w:hAnsi="Arial"/>
                <w:sz w:val="12"/>
                <w:szCs w:val="12"/>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99"/>
              </w:rPr>
              <w:t>549</w:t>
            </w: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1,959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680" w:type="dxa"/>
            <w:vAlign w:val="bottom"/>
            <w:gridSpan w:val="2"/>
            <w:shd w:val="clear" w:color="auto" w:fill="CCEEFF"/>
          </w:tcPr>
          <w:p>
            <w:pPr>
              <w:ind w:left="1380"/>
              <w:spacing w:after="0"/>
              <w:rPr>
                <w:sz w:val="20"/>
                <w:szCs w:val="20"/>
                <w:color w:val="auto"/>
              </w:rPr>
            </w:pPr>
            <w:r>
              <w:rPr>
                <w:rFonts w:ascii="Arial" w:cs="Arial" w:eastAsia="Arial" w:hAnsi="Arial"/>
                <w:sz w:val="12"/>
                <w:szCs w:val="12"/>
                <w:color w:val="auto"/>
                <w:w w:val="99"/>
              </w:rPr>
              <w:t>(749)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significant unobservable inputs used in our recurring Level 3 fair value measurements as of March 31, 2015:</w:t>
      </w:r>
    </w:p>
    <w:p>
      <w:pPr>
        <w:sectPr>
          <w:pgSz w:w="11900" w:h="16901" w:orient="portrait"/>
          <w:cols w:equalWidth="0" w:num="1">
            <w:col w:w="11460"/>
          </w:cols>
          <w:pgMar w:left="240" w:top="517" w:right="199" w:bottom="0" w:gutter="0" w:footer="0" w:header="0"/>
        </w:sectPr>
      </w:pPr>
    </w:p>
    <w:p>
      <w:pPr>
        <w:spacing w:after="0" w:line="240" w:lineRule="exact"/>
        <w:rPr>
          <w:sz w:val="20"/>
          <w:szCs w:val="20"/>
          <w:color w:val="auto"/>
        </w:rPr>
      </w:pPr>
    </w:p>
    <w:p>
      <w:pPr>
        <w:ind w:left="2600"/>
        <w:spacing w:after="0"/>
        <w:tabs>
          <w:tab w:leader="none" w:pos="4200" w:val="left"/>
          <w:tab w:leader="none" w:pos="6780" w:val="left"/>
          <w:tab w:leader="none" w:pos="9340" w:val="left"/>
        </w:tabs>
        <w:rPr>
          <w:sz w:val="20"/>
          <w:szCs w:val="20"/>
          <w:color w:val="auto"/>
        </w:rPr>
      </w:pP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4"/>
          <w:szCs w:val="14"/>
          <w:b w:val="1"/>
          <w:bCs w:val="1"/>
          <w:color w:val="auto"/>
        </w:rPr>
        <w:t>Valuation Technique</w:t>
      </w:r>
      <w:r>
        <w:rPr>
          <w:sz w:val="20"/>
          <w:szCs w:val="20"/>
          <w:color w:val="auto"/>
        </w:rPr>
        <w:tab/>
      </w:r>
      <w:r>
        <w:rPr>
          <w:rFonts w:ascii="Arial" w:cs="Arial" w:eastAsia="Arial" w:hAnsi="Arial"/>
          <w:sz w:val="14"/>
          <w:szCs w:val="14"/>
          <w:b w:val="1"/>
          <w:bCs w:val="1"/>
          <w:color w:val="auto"/>
        </w:rPr>
        <w:t>Unobservable Input</w:t>
      </w:r>
      <w:r>
        <w:rPr>
          <w:sz w:val="20"/>
          <w:szCs w:val="20"/>
          <w:color w:val="auto"/>
        </w:rPr>
        <w:tab/>
      </w:r>
      <w:r>
        <w:rPr>
          <w:rFonts w:ascii="Arial" w:cs="Arial" w:eastAsia="Arial" w:hAnsi="Arial"/>
          <w:sz w:val="12"/>
          <w:szCs w:val="12"/>
          <w:b w:val="1"/>
          <w:bCs w:val="1"/>
          <w:color w:val="auto"/>
        </w:rPr>
        <w:t>Weighted</w:t>
      </w:r>
    </w:p>
    <w:p>
      <w:pPr>
        <w:sectPr>
          <w:pgSz w:w="11900" w:h="16901" w:orient="portrait"/>
          <w:cols w:equalWidth="0" w:num="1">
            <w:col w:w="11460"/>
          </w:cols>
          <w:pgMar w:left="240" w:top="517" w:right="199" w:bottom="0" w:gutter="0" w:footer="0" w:header="0"/>
          <w:type w:val="continuous"/>
        </w:sectPr>
      </w:pPr>
    </w:p>
    <w:bookmarkStart w:id="13" w:name="page14"/>
    <w:bookmarkEnd w:id="13"/>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Average</w:t>
            </w:r>
          </w:p>
        </w:tc>
        <w:tc>
          <w:tcPr>
            <w:tcW w:w="260" w:type="dxa"/>
            <w:vAlign w:val="bottom"/>
            <w:tcBorders>
              <w:bottom w:val="single" w:sz="8" w:color="CCEEFF"/>
            </w:tcBorders>
          </w:tcPr>
          <w:p>
            <w:pPr>
              <w:spacing w:after="0"/>
              <w:rPr>
                <w:sz w:val="14"/>
                <w:szCs w:val="14"/>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flows</w:t>
            </w:r>
          </w:p>
        </w:tc>
        <w:tc>
          <w:tcPr>
            <w:tcW w:w="1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Constant prepayment rate</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13.91%</w:t>
            </w:r>
          </w:p>
        </w:tc>
      </w:tr>
      <w:tr>
        <w:trPr>
          <w:trHeight w:val="216"/>
        </w:trPr>
        <w:tc>
          <w:tcPr>
            <w:tcW w:w="2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Default rate</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r>
      <w:tr>
        <w:trPr>
          <w:trHeight w:val="216"/>
        </w:trPr>
        <w:tc>
          <w:tcPr>
            <w:tcW w:w="2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Reference STACR credit spread</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CPR, default rate or reference STACR credit spread will increase the fair value of the liability.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Statutory Accounting</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three months ended March 31:</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320" w:type="dxa"/>
            <w:vAlign w:val="bottom"/>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Essent Guaranty</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Statutory 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40,174</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surplus</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471,240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Contingency reserve liability</w:t>
            </w:r>
          </w:p>
        </w:tc>
        <w:tc>
          <w:tcPr>
            <w:tcW w:w="4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211,296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Essent PA</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net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4,148</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Statutory surplus</w:t>
            </w:r>
          </w:p>
        </w:tc>
        <w:tc>
          <w:tcPr>
            <w:tcW w:w="4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43,928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Contingency reserve liability</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Net income determined in accordance with statutory accounting practices differs from GAAP. In 2015 and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March 31, 2015 and 2014, the statutory capital of our insurance subsidiaries, which is defined as the total of statutory surplus and contingency reserves, was in excess of the statutory capital necessary to satisfy their regulatory requirements.</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April 17, 2015, the Federal Housing Finance Agency (“FHFA”) publicly released the final Private Mortgage Insurer Eligibility Requirements (“PMIERs”) which will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March 31, 2015, Essent had sufficient assets in its insurance companies to meet the total risk-based required asset amount of the final PMIERs as published.</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During the three months ended March 31, 2015, Essent Guaranty increased its contingency reserve by $32.1 million and Essent PA increased its contingency reserve by $2.8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the three months ended March 31, 2015 or 2014.</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ectPr>
          <w:pgSz w:w="11900" w:h="16844" w:orient="portrait"/>
          <w:cols w:equalWidth="0" w:num="1">
            <w:col w:w="11340"/>
          </w:cols>
          <w:pgMar w:left="240" w:top="118" w:right="319" w:bottom="0" w:gutter="0" w:footer="0" w:header="0"/>
        </w:sectPr>
      </w:pP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The following discussion should be read together with the “Selected Financial Data” and our audited consolidated financial statements and related notes included in our Annual Report on Form 10-K as of and for the year ended December 31, 2014 as filed with the Securities and Exchange Commission and referred to herein as the “Annual Report,” and our condensed consolidated financial statements and related notes as of and for the three months ended</w:t>
      </w:r>
    </w:p>
    <w:p>
      <w:pPr>
        <w:sectPr>
          <w:pgSz w:w="11900" w:h="16844" w:orient="portrait"/>
          <w:cols w:equalWidth="0" w:num="1">
            <w:col w:w="11340"/>
          </w:cols>
          <w:pgMar w:left="240" w:top="118" w:right="319" w:bottom="0" w:gutter="0" w:footer="0" w:header="0"/>
          <w:type w:val="continuous"/>
        </w:sectPr>
      </w:pPr>
    </w:p>
    <w:bookmarkStart w:id="14" w:name="page15"/>
    <w:bookmarkEnd w:id="14"/>
    <w:p>
      <w:pPr>
        <w:ind w:right="140"/>
        <w:spacing w:after="0" w:line="273" w:lineRule="auto"/>
        <w:rPr>
          <w:sz w:val="20"/>
          <w:szCs w:val="20"/>
          <w:color w:val="auto"/>
        </w:rPr>
      </w:pPr>
      <w:r>
        <w:rPr>
          <w:rFonts w:ascii="Arial" w:cs="Arial" w:eastAsia="Arial" w:hAnsi="Arial"/>
          <w:sz w:val="17"/>
          <w:szCs w:val="17"/>
          <w:i w:val="1"/>
          <w:iCs w:val="1"/>
          <w:color w:val="auto"/>
        </w:rPr>
        <w:t>March 31, 2015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both NIW under the Home Affordable Refinance Program (“HARP” and such NIW, the “HARP NIW”) and bulk insurance (in which each loan in a portfolio of loans is insured in a single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Our Market Share for the three months ended March 31, 2015 was an estimated 12.1%, compared to 13.7% and 12.1% for the years ended December 31, 2014 and 2013, respectively. We believe that our success in acquiring customers and growing our insurance in force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7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2010, Essent became the first private mortgage insurer to be approved by the GSEs since 1995, and we are licensed to write coverage in all 50 states and the District of Columbia. We completed our initial public offering in November 2013. The financial strength of Essent Guaranty, our wholly-owned insurance subsidiary, is rated BBB+ with a stable outlook by Standard &amp; Poor’s Rating Services (“S&amp;P”). On April 27, 2015, Moody’s Investor Services (“Moody’s”) affirmed its rating of Essent Guaranty at Baa2, and changed its outlook to positive from stable.</w:t>
      </w:r>
    </w:p>
    <w:p>
      <w:pPr>
        <w:spacing w:after="0" w:line="171"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We had master policy relationships with approximately 1,185 customers as of March 31, 2015 and had 1,025 customers that generated NIW during the twelve months ended March 31, 2015. Our holding company is domiciled in Bermuda and our U.S. insurance business is headquartered in Radnor, Pennsylvania. We operate additional underwriting and service centers in Winston-Salem, North Carolina and Irvine, California. We have a highly experienced, talented team with 339 employees as of March 31, 2015. For the three months ended March 31, 2015 and 2014, we generated new insurance written of approximately $5.3 billion and $3.6 billion, respectively, and as of March 31, 2015, we had approximately $53.3 billion of insurance in force.</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 As of March 31, 2015, Essent Re provides insurance or reinsurance in connection with Freddie Mac’s Agency Credit Insurance Structure (ACIS) program covering in the aggregate up to approximately $63.5 million of risk on mortgage loans in reference pools associated with debt notes issued by Freddie Mac. Essent Re also reinsures 25% of Essent Guaranty’s GSE-eligible mortgage insurance NIW originated since July 1, 2014 under a quota share reinsurance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2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17, 2015, the FHFA publicly released the final PMIERs, which will become effective on December 31, 2015. The PMIERs represent the standards by which private mortgage insurers are eligible to provide mortgage insurance on loans owned or guaranteed by Fannie Mae and Freddie Mac. The PMIERs include new financial strength requirements incorporating a risk-based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March 31, 2015, Essent had sufficient assets in its insurance companies to meet the total risk-based required asset amount of the final PMIERs as published. See additional discussion in “— Liquidity and Capital Resources —Private Mortgage Insurer Eligibility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Premiums are based on insurance in force, or IIF, during all or a portion of a period. A change in the average IIF during a period causes premiums to increase or decrease as compared to prior periods. Average premiums rates in effect during a given period will also cause premiums to differ when compared to earlier periods. IIF at the end of a reporting period is a function of the IIF at the beginning of such reporting period plus new insurance written, or NIW, less policy cancellations (including claims paid) during the period. As a result, premiums are generally influenced by:</w:t>
      </w:r>
    </w:p>
    <w:p>
      <w:pPr>
        <w:spacing w:after="0" w:line="171" w:lineRule="exact"/>
        <w:rPr>
          <w:sz w:val="20"/>
          <w:szCs w:val="20"/>
          <w:color w:val="auto"/>
        </w:rPr>
      </w:pPr>
    </w:p>
    <w:p>
      <w:pPr>
        <w:ind w:left="980" w:hanging="324"/>
        <w:spacing w:after="0" w:line="34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23" w:lineRule="exact"/>
        <w:rPr>
          <w:rFonts w:ascii="Arial" w:cs="Arial" w:eastAsia="Arial" w:hAnsi="Arial"/>
          <w:sz w:val="16"/>
          <w:szCs w:val="16"/>
          <w:color w:val="auto"/>
        </w:rPr>
      </w:pPr>
    </w:p>
    <w:p>
      <w:pPr>
        <w:ind w:left="980" w:right="120" w:hanging="324"/>
        <w:spacing w:after="0" w:line="308"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rescissions and claim payments;</w:t>
      </w:r>
    </w:p>
    <w:p>
      <w:pPr>
        <w:spacing w:after="0" w:line="146" w:lineRule="exact"/>
        <w:rPr>
          <w:rFonts w:ascii="Arial" w:cs="Arial" w:eastAsia="Arial" w:hAnsi="Arial"/>
          <w:sz w:val="17"/>
          <w:szCs w:val="17"/>
          <w:color w:val="auto"/>
        </w:rPr>
      </w:pPr>
    </w:p>
    <w:p>
      <w:pPr>
        <w:ind w:left="980" w:right="80" w:hanging="324"/>
        <w:spacing w:after="0" w:line="342" w:lineRule="auto"/>
        <w:tabs>
          <w:tab w:leader="none" w:pos="9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ectPr>
          <w:pgSz w:w="11900" w:h="16838" w:orient="portrait"/>
          <w:cols w:equalWidth="0" w:num="1">
            <w:col w:w="11400"/>
          </w:cols>
          <w:pgMar w:left="240" w:top="125" w:right="259" w:bottom="0" w:gutter="0" w:footer="0" w:header="0"/>
        </w:sectPr>
      </w:pPr>
    </w:p>
    <w:bookmarkStart w:id="15" w:name="page16"/>
    <w:bookmarkEnd w:id="15"/>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Premiums ceded or assumed under reinsurance arrangements. To date, we have not entered into any third-party reinsurance contracts.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2015 were non-refundable. Premiums collected on annual policies are recognized as net premiums earned on a straight-line basis over the year of coverage. For the three months ended March 31, 2015, monthly and single premium policies comprised 76.3% and 23.7% of our NIW, respectively.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changes in persistency rates can have a significant impact on our profitability. The persistency rate on our portfolio was 82.8% at March 31, 2015. Generally, higher prepayment speeds lead to lower persistency.</w:t>
      </w:r>
    </w:p>
    <w:p>
      <w:pPr>
        <w:spacing w:after="0" w:line="18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Our investment portfolio was comprised entirely of investment-grade fixed income securities and money market funds as of March 31, 2015. The principal factors that influence investment income are the size of the investment portfolio and the yield on individual securities. As measured by amortized cost (which excludes changes in fair market value, such as from changes in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“other-than-temporary” impairments recognized in earnings. The amount received on the sale of fixed income securities is affected by the coupon rate of the security compared to the yield of comparable securities at the time of sale.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was automatically extended until November 30, 2015 and provides for four subsequent one-year renewals at Triad’s option.</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reinsurance policies issued by Essent Re in connection with the ACIS program are accounted for as derivatives under GAAP with the fair value of these policies reported as an asset or liability and changes in the fair value of these policies reported in earnings. Changes in the fair value of these policies are impacted by changes in market observable factors.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Losses incurred are generally affected by:</w:t>
      </w:r>
    </w:p>
    <w:p>
      <w:pPr>
        <w:spacing w:after="0" w:line="225" w:lineRule="exact"/>
        <w:rPr>
          <w:sz w:val="20"/>
          <w:szCs w:val="20"/>
          <w:color w:val="auto"/>
        </w:rPr>
      </w:pPr>
    </w:p>
    <w:p>
      <w:pPr>
        <w:ind w:left="980" w:right="10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170" w:lineRule="exact"/>
        <w:rPr>
          <w:rFonts w:ascii="Arial" w:cs="Arial" w:eastAsia="Arial" w:hAnsi="Arial"/>
          <w:sz w:val="18"/>
          <w:szCs w:val="18"/>
          <w:color w:val="auto"/>
        </w:rPr>
      </w:pPr>
    </w:p>
    <w:p>
      <w:pPr>
        <w:ind w:left="980" w:right="120" w:hanging="324"/>
        <w:spacing w:after="0" w:line="342" w:lineRule="auto"/>
        <w:tabs>
          <w:tab w:leader="none" w:pos="9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ectPr>
          <w:pgSz w:w="11900" w:h="16838" w:orient="portrait"/>
          <w:cols w:equalWidth="0" w:num="1">
            <w:col w:w="11420"/>
          </w:cols>
          <w:pgMar w:left="240" w:top="125" w:right="239" w:bottom="0" w:gutter="0" w:footer="0" w:header="0"/>
        </w:sectPr>
      </w:pPr>
    </w:p>
    <w:bookmarkStart w:id="16" w:name="page17"/>
    <w:bookmarkEnd w:id="16"/>
    <w:p>
      <w:pPr>
        <w:spacing w:after="0" w:line="114"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25" w:lineRule="exact"/>
        <w:rPr>
          <w:rFonts w:ascii="Arial" w:cs="Arial" w:eastAsia="Arial" w:hAnsi="Arial"/>
          <w:sz w:val="18"/>
          <w:szCs w:val="18"/>
          <w:color w:val="auto"/>
        </w:rPr>
      </w:pPr>
    </w:p>
    <w:p>
      <w:pPr>
        <w:jc w:val="both"/>
        <w:ind w:left="980" w:right="40" w:hanging="324"/>
        <w:spacing w:after="0" w:line="234"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at which we rescind policies. Because of tighter underwriting standards generally in the mortgage lending industry and terms set forth in our Clarity of Coverage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master policy endorsement, we expect that our level of rescission activity will be lower than rescission activity seen in the mortgage insurance industry for vintages originated prior to the financial crisis; and</w:t>
      </w:r>
    </w:p>
    <w:p>
      <w:pPr>
        <w:spacing w:after="0" w:line="202" w:lineRule="exact"/>
        <w:rPr>
          <w:rFonts w:ascii="Arial" w:cs="Arial" w:eastAsia="Arial" w:hAnsi="Arial"/>
          <w:sz w:val="18"/>
          <w:szCs w:val="18"/>
          <w:color w:val="auto"/>
        </w:rPr>
      </w:pPr>
    </w:p>
    <w:p>
      <w:pPr>
        <w:ind w:left="980" w:right="120" w:hanging="324"/>
        <w:spacing w:after="0" w:line="264"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84% of our IIF as of March 31, 2015 having been originated since January 1, 2013. As a result, based on historical industry performance, we expect the number of defaults and claims we experience, as well as our provision for losses and loss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adjustment expenses, to increase as our portfolio further seasons. See “— Mortgage Insurance Earnings and Cash Flow Cycle” below.</w:t>
      </w:r>
    </w:p>
    <w:p>
      <w:pPr>
        <w:spacing w:after="0" w:line="237"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w:t>
      </w:r>
    </w:p>
    <w:p>
      <w:pPr>
        <w:jc w:val="both"/>
        <w:ind w:right="440"/>
        <w:spacing w:after="0" w:line="255" w:lineRule="auto"/>
        <w:rPr>
          <w:sz w:val="20"/>
          <w:szCs w:val="20"/>
          <w:color w:val="auto"/>
        </w:rPr>
      </w:pPr>
      <w:r>
        <w:rPr>
          <w:rFonts w:ascii="Arial" w:cs="Arial" w:eastAsia="Arial" w:hAnsi="Arial"/>
          <w:sz w:val="18"/>
          <w:szCs w:val="18"/>
          <w:color w:val="auto"/>
        </w:rPr>
        <w:t>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9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believe, based upon our experience and industry data, that claims incidence for mortgage insurance is generally highest in the third through sixth years after loan origination. As of March 31, 2015, 84% of our IIF relates to business written since January 1, 2013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most significant expense is compensation and benefits for our employees, which represented 66% and 67% of other underwriting and operating expenses for the three months ended March 31, 2015 and 2014, respectively. Compensation and benefits expense includes base and incentive cash compensation, stock compensation expense, benefits and payroll taxes. Compensation and benefits expense has increased as we have increased our staffing from 289 employees at January 1, 2014 to 339 at March 31, 2015,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Underwriting and other expenses include legal, consulting, other professional fees, premium taxes, travel, entertainment, marketing, licensing, supplies, hardware, software, rent, utilities, depreciation and amortization and other expenses.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Income taxes are incurred based on the amount of earnings or losses generated in the jurisdictions in which we operate and the applicable tax rates and regulations in those jurisdictions. Through December 31, 2014, substantially all of our business activity had been conducted in the United States where we are subject 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In 2014, Essent Re entered into insurance and reinsurance transactions with Freddie Mac and entered into a quota share reinsurance agreement with Essent Guaranty, an affiliate, to reinsure 25% of Essent Guaranty’s GSE-eligible NIW effective July 1, 2014. During 2014, since substantially all of our earnings were generated in the United States, our effective tax rate approximated the federal statutory tax rate. In 2015 and future periods, the amount of income tax expense or benefit will be dependent on the jurisdictions in which we operate and the tax laws and regulations in effect, as well as the amount of earnings or losses generated in those jurisdictions.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w:t>
      </w:r>
    </w:p>
    <w:p>
      <w:pPr>
        <w:sectPr>
          <w:pgSz w:w="11900" w:h="16952" w:orient="portrait"/>
          <w:cols w:equalWidth="0" w:num="1">
            <w:col w:w="11400"/>
          </w:cols>
          <w:pgMar w:left="240" w:top="125" w:right="259" w:bottom="0" w:gutter="0" w:footer="0" w:header="0"/>
        </w:sectPr>
      </w:pPr>
    </w:p>
    <w:bookmarkStart w:id="17" w:name="page18"/>
    <w:bookmarkEnd w:id="17"/>
    <w:p>
      <w:pPr>
        <w:ind w:right="420"/>
        <w:spacing w:after="0" w:line="277" w:lineRule="auto"/>
        <w:rPr>
          <w:sz w:val="20"/>
          <w:szCs w:val="20"/>
          <w:color w:val="auto"/>
        </w:rPr>
      </w:pPr>
      <w:r>
        <w:rPr>
          <w:rFonts w:ascii="Arial" w:cs="Arial" w:eastAsia="Arial" w:hAnsi="Arial"/>
          <w:sz w:val="18"/>
          <w:szCs w:val="18"/>
          <w:color w:val="auto"/>
        </w:rPr>
        <w:t>years of the book, when premium revenue is highest, while subsequent years are affected by declining premium revenues, as the number of insured loans decreases (primarily due to loan prepayments), and by increasing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discussed above, premiums we collect and earn are generated based on our IIF, which is a function of our NIW and cancellations. The following table includes a summary of the change in our IIF for the three months ended March 31, 2015 and 2014. In addition, this table includes our risk in force, or RIF, at the end of each period.</w:t>
      </w:r>
    </w:p>
    <w:p>
      <w:pPr>
        <w:spacing w:after="0" w:line="17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IIF,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50,762,594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NIW</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5,346,820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(2,855,782)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(880,712)</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IIF, end of period</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53,253,632</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34,778,057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Average IIF during the period</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51,975,527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33,349,576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RIF, end of period</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12,891,462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8,493,862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cancellation activity has been relatively low to date because the average age of our insurance portfolio is young. The following is a summary of our IIF at March 31, 2015 by vintage:</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2015 (through March 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5,318,322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22,714,231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42.7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16,775,870</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7,189,946</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1,183,725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71,538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23"/>
        </w:trPr>
        <w:tc>
          <w:tcPr>
            <w:tcW w:w="5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53,253,632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average premium rate is dependent on a number of factors, including: (1) the risk characteristics and average coverage on the mortgages we insure; (2) the mix of monthly premiums compared to single premiums in our portfolio; (3) cancellations of non-refundable single premiums during the period; and (4) changes to our pricing.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outlines our average premium rate, which reflects net premiums earned as a percentage of average IIF,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 in thousands)</w:t>
            </w: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2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Average IIF during the period</w:t>
            </w:r>
          </w:p>
        </w:tc>
        <w:tc>
          <w:tcPr>
            <w:tcW w:w="26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51,975,527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33,349,576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Average premium rate (annualized)</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00" w:type="dxa"/>
            <w:vAlign w:val="bottom"/>
          </w:tcPr>
          <w:p>
            <w:pPr>
              <w:jc w:val="right"/>
              <w:ind w:right="79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risk to 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5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March 31, 2015, our combined net risk in force for our U.S. insurance companies was $11.8 billion and our combined statutory capital was $747.9 million, resulting in a risk to capital ratio of 15.8 to 1. The amount of capital required varies in each jurisdiction in which we operate; however, generally, the maximum permitted risk to capital ratio is 25.0 to 1. State insurance regulators are currently examining their respective capital rules to determine whether, in light of the recent financial crisis, changes are needed to more accurately assess mortgage insurers’ ability to withstand stressful economic conditions. As a result, the capital metrics under which they assess and measure capital adequacy may change in the future. As discussed below, the GSEs announced new PMIERs on April 17, 2015 which, when effective on December 31, 2015, will require us and the other private mortgage insurers in our industry to maintain a sufficient level of liquid assets from which to pay claims. See additional discussion in “— Liquidity and Capital Resources —Private Mortgage Insurer Eligibility Requirements.”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2015 and 2014, capital contributions of $0 and $35 million, respectively, were made by Essent Group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our U.S. insurance subsidiaries.</w:t>
      </w:r>
    </w:p>
    <w:p>
      <w:pPr>
        <w:sectPr>
          <w:pgSz w:w="11900" w:h="16838" w:orient="portrait"/>
          <w:cols w:equalWidth="0" w:num="1">
            <w:col w:w="11460"/>
          </w:cols>
          <w:pgMar w:left="240" w:top="125" w:right="19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Summary of Operations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premiums written</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82,257</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Realized investment gains,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80,011</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Losses and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underwriting and operating expenses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27,498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losses and expenses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15,676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34,838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Compared to the Three Months Ended March 31, 2014</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31, 2015, we reported net income of $34.8 million, compared to net income of $15.0 million for the three months ended March 31, 2014. The increase in our operating results in 2015 over the same period in 2014 was primarily due to an increase in net premiums earned associated with the growth of our IIF and an increase in net investment income, partially offset by increases in other underwriting and operating expenses, the provision for losses and loss adjustment expenses and income taxes.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Net premiums earned increased in the three months ended March 31, 2015 by 68% compared to the three months ended March 31, 2014 due to the increase in our average IIF from $33.3 billion at March 31, 2014 to $52.0 billion at March 31, 2015, as well as an increase in the average premium rate from 0.54% in the first quarter of 2014 to 0.58% in the first quarter of 2015. The increase in the premium rate is due to changes in the mix of business and an increase in cancellations of non-refundable single premium policies.</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increase in net written premiums is due primarily to the increase in average IIF of 56% in the quarter ended March 31, 2015 versus the comparable period in 2014. Net premiums written increased in the three months ended March 31, 2015 by 58% over the three months ended March 31, 2014.</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the three months ended March 31, 2015, unearned premiums increased by $7.2 million as a result of net premiums written on single premium policies of $21.2 million which was partially offset by $14.0 million of unearned premium that was recognized in earnings during the period. In the three months ended March 31, 2014, unearned premiums increased by $7.4 million as a result of net premiums written on single premium policies of $12.5 million which was partially offset by $5.1 million of unearned premium that was recognized in earnings during the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increase in net investment income to $4.3 million for the three months ended March 31, 2015 as compared to $1.9 million for the three months ended March 31, 2014 is due in part to an increase in the weighted average balance of our investment portfolio as a result of investing the proceeds from our secondary offering of common shares in 2014, proceeds from our IPO, and cash flows generated from operations. The average cash and investment portfolio balance was $1.1 billion for the three months ended March 31, 2015 compared to $818.3 million for the three months ended March 31, 2014. The increase in net investment income is also due to an increase in the yield on the investment portfolio, resulting from a reduction in short-term investments and an increase in higher yielding fixed maturity securities. The pre-tax investment income yield was 1.7% and 1.0% in the three months ended March 31, 2015 and 2014, respectively. The pre-tax investment income yields are calculated based on amortized cost. See “— Liquidity and Capital Resources” below for further details of our investment portfolio.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Other income includes fees earned for information technology and customer support services provided to Triad, contract underwriting revenues and changes in the fair value of the insurance and reinsurance policies issued by Essent Re under the ACIS program. The decrease in other income for the three</w:t>
      </w:r>
    </w:p>
    <w:p>
      <w:pPr>
        <w:sectPr>
          <w:pgSz w:w="11900" w:h="16838" w:orient="portrait"/>
          <w:cols w:equalWidth="0" w:num="1">
            <w:col w:w="11400"/>
          </w:cols>
          <w:pgMar w:left="240" w:top="121" w:right="259" w:bottom="0" w:gutter="0" w:footer="0" w:header="0"/>
        </w:sectPr>
      </w:pPr>
    </w:p>
    <w:bookmarkStart w:id="19" w:name="page20"/>
    <w:bookmarkEnd w:id="19"/>
    <w:p>
      <w:pPr>
        <w:spacing w:after="0" w:line="6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months ended March 31, 2015 compared to the same period in 2014 was primarily due to a decrease in the estimated fair value of our ACIS contracts resulting from an increase in observed prepayment speeds associated with the underlying pool of mortgages on the reference STACR notes.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increase in the provision for losses and LAE in the three months ended March 31, 2015 as compared to the same period in 2014 was due to increases in the number of insured loans in default and the seasoning of the underlying loans in default, partially offset by previously identified defaults that cured.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1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64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Plus: new defaults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Less: claims paid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increase in the number of defaults at March 31, 2015 compared to March 31, 2014 was primarily due to an increase in our IIF and policies in force, as well as further seasoning of our insurance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505</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Average reserve per default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18,238</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18,130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Default rate</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a reconciliation of the beginning and ending reserve balances for losses and LAE and a detail of reserves and defaulted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RIF by the number of missed payments and pending claims: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4"/>
            <w:vMerge w:val="restart"/>
          </w:tcPr>
          <w:p>
            <w:pPr>
              <w:ind w:left="9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4"/>
                <w:szCs w:val="14"/>
                <w:b w:val="1"/>
                <w:bCs w:val="1"/>
                <w:color w:val="auto"/>
              </w:rPr>
              <w:t>As of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6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top w:val="single" w:sz="8" w:color="auto"/>
            </w:tcBorders>
            <w:gridSpan w:val="11"/>
            <w:shd w:val="clear" w:color="auto" w:fill="CCEEFF"/>
          </w:tcPr>
          <w:p>
            <w:pPr>
              <w:spacing w:after="0"/>
              <w:rPr>
                <w:sz w:val="20"/>
                <w:szCs w:val="20"/>
                <w:color w:val="auto"/>
              </w:rPr>
            </w:pPr>
            <w:r>
              <w:rPr>
                <w:rFonts w:ascii="Arial" w:cs="Arial" w:eastAsia="Arial" w:hAnsi="Arial"/>
                <w:sz w:val="18"/>
                <w:szCs w:val="18"/>
                <w:color w:val="auto"/>
              </w:rPr>
              <w:t>Reserve for losses and LAE at beginning of period</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w w:val="94"/>
              </w:rPr>
              <w:t>Add provision for losses and LAE occurring in: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60" w:type="dxa"/>
            <w:vAlign w:val="bottom"/>
            <w:gridSpan w:val="3"/>
          </w:tcPr>
          <w:p>
            <w:pPr>
              <w:ind w:left="180"/>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00" w:type="dxa"/>
            <w:vAlign w:val="bottom"/>
            <w:tcBorders>
              <w:top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Incurred losses during the current period</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880" w:type="dxa"/>
            <w:vAlign w:val="bottom"/>
            <w:gridSpan w:val="11"/>
          </w:tcPr>
          <w:p>
            <w:pPr>
              <w:spacing w:after="0" w:line="196" w:lineRule="exact"/>
              <w:rPr>
                <w:sz w:val="20"/>
                <w:szCs w:val="20"/>
                <w:color w:val="auto"/>
              </w:rPr>
            </w:pPr>
            <w:r>
              <w:rPr>
                <w:rFonts w:ascii="Arial" w:cs="Arial" w:eastAsia="Arial" w:hAnsi="Arial"/>
                <w:sz w:val="18"/>
                <w:szCs w:val="18"/>
                <w:color w:val="auto"/>
              </w:rPr>
              <w:t>Deduct payments for losses and LAE occurring in: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period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60" w:type="dxa"/>
            <w:vAlign w:val="bottom"/>
            <w:gridSpan w:val="3"/>
          </w:tcPr>
          <w:p>
            <w:pPr>
              <w:ind w:left="180"/>
              <w:spacing w:after="0"/>
              <w:rPr>
                <w:sz w:val="20"/>
                <w:szCs w:val="20"/>
                <w:color w:val="auto"/>
              </w:rPr>
            </w:pPr>
            <w:r>
              <w:rPr>
                <w:rFonts w:ascii="Arial" w:cs="Arial" w:eastAsia="Arial" w:hAnsi="Arial"/>
                <w:sz w:val="18"/>
                <w:szCs w:val="18"/>
                <w:color w:val="auto"/>
              </w:rPr>
              <w:t>Prior years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80" w:type="dxa"/>
            <w:vAlign w:val="bottom"/>
            <w:tcBorders>
              <w:top w:val="single" w:sz="8" w:color="CCEEFF"/>
            </w:tcBorders>
            <w:gridSpan w:val="11"/>
            <w:shd w:val="clear" w:color="auto" w:fill="CCEEFF"/>
          </w:tcPr>
          <w:p>
            <w:pPr>
              <w:spacing w:after="0"/>
              <w:rPr>
                <w:sz w:val="20"/>
                <w:szCs w:val="20"/>
                <w:color w:val="auto"/>
              </w:rPr>
            </w:pPr>
            <w:r>
              <w:rPr>
                <w:rFonts w:ascii="Arial" w:cs="Arial" w:eastAsia="Arial" w:hAnsi="Arial"/>
                <w:sz w:val="18"/>
                <w:szCs w:val="18"/>
                <w:color w:val="auto"/>
              </w:rPr>
              <w:t>Loss and LAE payments during the current period</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9"/>
          </w:tcPr>
          <w:p>
            <w:pPr>
              <w:ind w:left="980"/>
              <w:spacing w:after="0"/>
              <w:rPr>
                <w:sz w:val="20"/>
                <w:szCs w:val="20"/>
                <w:color w:val="auto"/>
              </w:rPr>
            </w:pPr>
            <w:r>
              <w:rPr>
                <w:rFonts w:ascii="Arial" w:cs="Arial" w:eastAsia="Arial" w:hAnsi="Arial"/>
                <w:sz w:val="18"/>
                <w:szCs w:val="18"/>
                <w:color w:val="auto"/>
                <w:w w:val="98"/>
              </w:rPr>
              <w:t>Reserve for losses and LAE at end of period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5"/>
              </w:rPr>
              <w:t>As of March 31, 2015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4"/>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Defaulted</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Reserves as a</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2"/>
                <w:szCs w:val="12"/>
                <w:color w:val="auto"/>
              </w:rPr>
            </w:pPr>
          </w:p>
        </w:tc>
        <w:tc>
          <w:tcPr>
            <w:tcW w:w="1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13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Default</w:t>
            </w:r>
          </w:p>
        </w:tc>
        <w:tc>
          <w:tcPr>
            <w:tcW w:w="22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Default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6"/>
              </w:rPr>
              <w:t>Reserves</w:t>
            </w:r>
          </w:p>
        </w:tc>
        <w:tc>
          <w:tcPr>
            <w:tcW w:w="1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Reserves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RIF</w:t>
            </w: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RIF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ind w:left="180"/>
              <w:spacing w:after="0"/>
              <w:rPr>
                <w:sz w:val="20"/>
                <w:szCs w:val="20"/>
                <w:color w:val="auto"/>
              </w:rPr>
            </w:pPr>
            <w:r>
              <w:rPr>
                <w:rFonts w:ascii="Arial" w:cs="Arial" w:eastAsia="Arial" w:hAnsi="Arial"/>
                <w:sz w:val="18"/>
                <w:szCs w:val="18"/>
                <w:color w:val="auto"/>
              </w:rPr>
              <w:t>Three payments or less</w:t>
            </w: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2,246</w:t>
            </w:r>
          </w:p>
        </w:tc>
        <w:tc>
          <w:tcPr>
            <w:tcW w:w="60" w:type="dxa"/>
            <w:vAlign w:val="bottom"/>
          </w:tcPr>
          <w:p>
            <w:pPr>
              <w:spacing w:after="0"/>
              <w:rPr>
                <w:sz w:val="18"/>
                <w:szCs w:val="18"/>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12,782</w:t>
            </w: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5,045</w:t>
            </w: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11,195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ind w:left="180"/>
              <w:spacing w:after="0"/>
              <w:rPr>
                <w:sz w:val="20"/>
                <w:szCs w:val="20"/>
                <w:color w:val="auto"/>
              </w:rPr>
            </w:pPr>
            <w:r>
              <w:rPr>
                <w:rFonts w:ascii="Arial" w:cs="Arial" w:eastAsia="Arial" w:hAnsi="Arial"/>
                <w:sz w:val="18"/>
                <w:szCs w:val="18"/>
                <w:color w:val="auto"/>
              </w:rPr>
              <w:t>Twelve or more payments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1,658</w:t>
            </w:r>
          </w:p>
        </w:tc>
        <w:tc>
          <w:tcPr>
            <w:tcW w:w="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gridSpan w:val="4"/>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35</w:t>
            </w:r>
          </w:p>
        </w:tc>
        <w:tc>
          <w:tcPr>
            <w:tcW w:w="1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gridSpan w:val="4"/>
            <w:vMerge w:val="continue"/>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505</w:t>
            </w:r>
          </w:p>
        </w:tc>
        <w:tc>
          <w:tcPr>
            <w:tcW w:w="2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9,210</w:t>
            </w:r>
          </w:p>
        </w:tc>
        <w:tc>
          <w:tcPr>
            <w:tcW w:w="18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540" w:type="dxa"/>
            <w:vAlign w:val="bottom"/>
            <w:gridSpan w:val="6"/>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26,475</w:t>
            </w:r>
          </w:p>
        </w:tc>
        <w:tc>
          <w:tcPr>
            <w:tcW w:w="2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940" w:type="dxa"/>
            <w:vAlign w:val="bottom"/>
            <w:tcBorders>
              <w:top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IBNR</w:t>
            </w:r>
          </w:p>
        </w:tc>
        <w:tc>
          <w:tcPr>
            <w:tcW w:w="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gridSpan w:val="4"/>
            <w:shd w:val="clear" w:color="auto" w:fill="CCEEFF"/>
          </w:tcPr>
          <w:p>
            <w:pPr>
              <w:jc w:val="right"/>
              <w:ind w:right="180"/>
              <w:spacing w:after="0" w:line="170" w:lineRule="exact"/>
              <w:rPr>
                <w:sz w:val="20"/>
                <w:szCs w:val="20"/>
                <w:color w:val="auto"/>
              </w:rPr>
            </w:pPr>
            <w:r>
              <w:rPr>
                <w:rFonts w:ascii="Arial" w:cs="Arial" w:eastAsia="Arial" w:hAnsi="Arial"/>
                <w:sz w:val="18"/>
                <w:szCs w:val="18"/>
                <w:color w:val="auto"/>
              </w:rPr>
              <w:t>691</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spacing w:after="0"/>
              <w:rPr>
                <w:sz w:val="20"/>
                <w:szCs w:val="20"/>
                <w:color w:val="auto"/>
              </w:rPr>
            </w:pPr>
            <w:r>
              <w:rPr>
                <w:rFonts w:ascii="Arial" w:cs="Arial" w:eastAsia="Arial" w:hAnsi="Arial"/>
                <w:sz w:val="18"/>
                <w:szCs w:val="18"/>
                <w:color w:val="auto"/>
              </w:rPr>
              <w:t>LAE and other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reserves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66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9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rPr>
              <w:t>As of March 31, 2014</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Percentage of</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Defaulted</w:t>
            </w: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2"/>
              </w:rPr>
              <w:t>Reserves as a</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Policies in</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Policies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Default</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Reserves</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Reserves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RIF</w:t>
            </w: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RIF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4"/>
          </w:tcPr>
          <w:p>
            <w:pPr>
              <w:ind w:left="180"/>
              <w:spacing w:after="0"/>
              <w:rPr>
                <w:sz w:val="20"/>
                <w:szCs w:val="20"/>
                <w:color w:val="auto"/>
              </w:rPr>
            </w:pPr>
            <w:r>
              <w:rPr>
                <w:rFonts w:ascii="Arial" w:cs="Arial" w:eastAsia="Arial" w:hAnsi="Arial"/>
                <w:sz w:val="18"/>
                <w:szCs w:val="18"/>
                <w:color w:val="auto"/>
              </w:rPr>
              <w:t>Three payments or less</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95</w:t>
            </w:r>
          </w:p>
        </w:tc>
        <w:tc>
          <w:tcPr>
            <w:tcW w:w="1700" w:type="dxa"/>
            <w:vAlign w:val="bottom"/>
            <w:gridSpan w:val="6"/>
          </w:tcPr>
          <w:p>
            <w:pPr>
              <w:jc w:val="center"/>
              <w:ind w:left="1115"/>
              <w:spacing w:after="0"/>
              <w:rPr>
                <w:sz w:val="20"/>
                <w:szCs w:val="20"/>
                <w:color w:val="auto"/>
              </w:rPr>
            </w:pPr>
            <w:r>
              <w:rPr>
                <w:rFonts w:ascii="Arial" w:cs="Arial" w:eastAsia="Arial" w:hAnsi="Arial"/>
                <w:sz w:val="18"/>
                <w:szCs w:val="18"/>
                <w:color w:val="auto"/>
                <w:w w:val="97"/>
              </w:rPr>
              <w:t>49% $</w:t>
            </w:r>
          </w:p>
        </w:tc>
        <w:tc>
          <w:tcPr>
            <w:tcW w:w="1120" w:type="dxa"/>
            <w:vAlign w:val="bottom"/>
            <w:gridSpan w:val="5"/>
          </w:tcPr>
          <w:p>
            <w:pPr>
              <w:jc w:val="center"/>
              <w:ind w:left="636"/>
              <w:spacing w:after="0"/>
              <w:rPr>
                <w:sz w:val="20"/>
                <w:szCs w:val="20"/>
                <w:color w:val="auto"/>
              </w:rPr>
            </w:pPr>
            <w:r>
              <w:rPr>
                <w:rFonts w:ascii="Arial" w:cs="Arial" w:eastAsia="Arial" w:hAnsi="Arial"/>
                <w:sz w:val="18"/>
                <w:szCs w:val="18"/>
                <w:color w:val="auto"/>
                <w:w w:val="93"/>
              </w:rPr>
              <w:t>936</w:t>
            </w:r>
          </w:p>
        </w:tc>
        <w:tc>
          <w:tcPr>
            <w:tcW w:w="1700" w:type="dxa"/>
            <w:vAlign w:val="bottom"/>
            <w:gridSpan w:val="7"/>
          </w:tcPr>
          <w:p>
            <w:pPr>
              <w:jc w:val="right"/>
              <w:ind w:right="3"/>
              <w:spacing w:after="0"/>
              <w:rPr>
                <w:sz w:val="20"/>
                <w:szCs w:val="20"/>
                <w:color w:val="auto"/>
              </w:rPr>
            </w:pPr>
            <w:r>
              <w:rPr>
                <w:rFonts w:ascii="Arial" w:cs="Arial" w:eastAsia="Arial" w:hAnsi="Arial"/>
                <w:sz w:val="18"/>
                <w:szCs w:val="18"/>
                <w:color w:val="auto"/>
              </w:rPr>
              <w:t>27% $</w:t>
            </w: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rPr>
              <w:t>4,309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-1297940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-1297940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 to eleven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3,406</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Twelve or more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867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Pending claims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50"/>
        </w:trPr>
        <w:tc>
          <w:tcPr>
            <w:tcW w:w="334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3,481</w:t>
            </w:r>
          </w:p>
        </w:tc>
        <w:tc>
          <w:tcPr>
            <w:tcW w:w="220" w:type="dxa"/>
            <w:vAlign w:val="bottom"/>
            <w:vMerge w:val="continue"/>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8,942</w:t>
            </w:r>
          </w:p>
        </w:tc>
        <w:tc>
          <w:tcPr>
            <w:tcW w:w="5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3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IBNR</w:t>
            </w: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gridSpan w:val="2"/>
            <w:shd w:val="clear" w:color="auto" w:fill="CCEEFF"/>
          </w:tcPr>
          <w:p>
            <w:pPr>
              <w:jc w:val="right"/>
              <w:ind w:right="220"/>
              <w:spacing w:after="0" w:line="170" w:lineRule="exact"/>
              <w:rPr>
                <w:sz w:val="20"/>
                <w:szCs w:val="20"/>
                <w:color w:val="auto"/>
              </w:rPr>
            </w:pPr>
            <w:r>
              <w:rPr>
                <w:rFonts w:ascii="Arial" w:cs="Arial" w:eastAsia="Arial" w:hAnsi="Arial"/>
                <w:sz w:val="18"/>
                <w:szCs w:val="18"/>
                <w:color w:val="auto"/>
              </w:rPr>
              <w:t>261</w:t>
            </w: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LAE and other</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reserves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During the three months ended March 31, 2015, the provision for losses and LAE was $2.0 million, comprised of $2.7 million of current year losses partially offset by $0.7 million of favorable prior years’ loss development. During the three months ended March 31, 2014, the provision for losses and LAE was $0.9 million, comprised of $1.3 million of current year losses partially offset by $0.4 million of favorable prior years’ loss development. In both periods, the prior years’ loss development is the result of a re-estimation of amounts ultimately to be paid on prior year defaults in the default inventory.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additional information about our claims paid and claim severity as of the dates indicated: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March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Number of claims paid</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Amount of claims paid</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Claim severity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ind w:right="537"/>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280" w:type="dxa"/>
            <w:vAlign w:val="bottom"/>
          </w:tcPr>
          <w:p>
            <w:pPr>
              <w:jc w:val="right"/>
              <w:ind w:right="47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right"/>
              <w:ind w:right="534"/>
              <w:spacing w:after="0" w:line="142" w:lineRule="exact"/>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18,186</w:t>
            </w:r>
          </w:p>
        </w:tc>
        <w:tc>
          <w:tcPr>
            <w:tcW w:w="3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15,668</w:t>
            </w:r>
          </w:p>
        </w:tc>
        <w:tc>
          <w:tcPr>
            <w:tcW w:w="3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9,312</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27,498</w:t>
            </w:r>
          </w:p>
        </w:tc>
        <w:tc>
          <w:tcPr>
            <w:tcW w:w="3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23,459</w:t>
            </w:r>
          </w:p>
        </w:tc>
        <w:tc>
          <w:tcPr>
            <w:tcW w:w="30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employees at end of period</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Other underwriting and operating expenses were $27.5 million in the three months ended March 31, 2015 as compared to $23.5 million in the three months ended March 31, 2014. The significant factors contributing to the change in other underwriting and operating expenses were:</w:t>
      </w:r>
    </w:p>
    <w:p>
      <w:pPr>
        <w:spacing w:after="0" w:line="147" w:lineRule="exact"/>
        <w:rPr>
          <w:sz w:val="20"/>
          <w:szCs w:val="20"/>
          <w:color w:val="auto"/>
        </w:rPr>
      </w:pPr>
    </w:p>
    <w:p>
      <w:pPr>
        <w:ind w:left="980" w:right="200" w:hanging="324"/>
        <w:spacing w:after="0" w:line="25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our work force to 339 at March 31, 2015 from 289 at January 1, 2014, as increases in stock-based compensation and taxes and benefits. Additional employees were hired to support the growth in our business, particularly in our sales organization, as well as our underwriting and customer service teams. Compensation and benefits includes salaries, wages and bonus, stock compensation expense, benefits and payroll taxes.</w:t>
      </w:r>
    </w:p>
    <w:p>
      <w:pPr>
        <w:spacing w:after="0" w:line="2" w:lineRule="exact"/>
        <w:rPr>
          <w:rFonts w:ascii="Arial" w:cs="Arial" w:eastAsia="Arial" w:hAnsi="Arial"/>
          <w:sz w:val="18"/>
          <w:szCs w:val="18"/>
          <w:color w:val="auto"/>
        </w:rPr>
      </w:pPr>
    </w:p>
    <w:p>
      <w:pPr>
        <w:ind w:left="980" w:right="700" w:hanging="324"/>
        <w:spacing w:after="0" w:line="261"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expenses, including premium taxes, travel, marketing, hardware, software, rent, depreciation and amortization and other facilities expenses, increased as a result of the expansion of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$15.7 million and $8.5 million for the three months ended March 31, 2015 and 2014, respectively. Our effective tax rate was 31.0% and 36.0% for the three months ended March 31, 2015 and 2014. For interim reporting periods, we are generally required to use an annualized effective tax rate method under GAAP to calculate the income tax provision. In 2014, substantially all of our earnings were generated in the United States. In the three months ended March 31, 2014, our effective tax rate exceeded the U.S. statutory income tax rate primarily due to non-deductible expenses. For 2015, we expect the proportion of our consolidated earnings generated in Bermuda to increase as a result of insurance and reinsurance contracts executed with Freddie Mac and the quota share reinsurance agreement entered in to by Essent Guaranty and Essent Re effective July 1, 2014. Bermuda does not have a corporate income tax.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sources of funds consist primarily of:</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obligations consist primarily of:</w:t>
      </w:r>
    </w:p>
    <w:p>
      <w:pPr>
        <w:spacing w:after="0" w:line="225"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ectPr>
          <w:pgSz w:w="11900" w:h="16838" w:orient="portrait"/>
          <w:cols w:equalWidth="0" w:num="1">
            <w:col w:w="11420"/>
          </w:cols>
          <w:pgMar w:left="240" w:top="140" w:right="239" w:bottom="0" w:gutter="0" w:footer="0" w:header="0"/>
        </w:sectPr>
      </w:pPr>
    </w:p>
    <w:bookmarkStart w:id="21" w:name="page22"/>
    <w:bookmarkEnd w:id="21"/>
    <w:p>
      <w:pPr>
        <w:ind w:firstLine="648"/>
        <w:spacing w:after="0" w:line="273" w:lineRule="auto"/>
        <w:rPr>
          <w:sz w:val="20"/>
          <w:szCs w:val="20"/>
          <w:color w:val="auto"/>
        </w:rPr>
      </w:pPr>
      <w:r>
        <w:rPr>
          <w:rFonts w:ascii="Arial" w:cs="Arial" w:eastAsia="Arial" w:hAnsi="Arial"/>
          <w:sz w:val="17"/>
          <w:szCs w:val="17"/>
          <w:color w:val="auto"/>
        </w:rPr>
        <w:t>As of March 31, 2015, we had substantial liquidity with cash of $21.9 million, short-term investments of $111.9 million and fixed maturity investments of $1.0 billion, and had no debt outstanding. At March 31, 2015, net cash and investments at the holding company were $123.6 million. Our cash and short-term investment position decreased in the three months ended March 31, 2015 as compared to the year ended December 31, 2014 primarily as a result of an increase in amounts invested in our fixed income portfolio. Our cash and short-term investment position increased during the year ended December 31, 2014 primarily as a result of net proceeds of $126.7 million from our secondary offering of common shares which was completed in November 2014 plus cash flows from operations, net of amounts invested in our fixed income portfolio.</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While the Company and all of its subsidiaries are expected to have sufficient liquidity to meet all their expected obligations, additional capital may be required to meet the capital adequacy requirements under the PMIERs adopted by the GSEs effective December 31, 2015 as well as any new capital requirements that are adopted by regulatory authorities, or to provide additional capital related to the growth of our risk in force in our mortgage insurance portfolio, or to fund new business initiatives including the insurance activities of Essent 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25"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sell investment assets to provide cash to fund operating needs;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U.S. insurance subsidiaries are subject to certain capital and dividend rules and regulations prescribed by jurisdictions in which it is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March 31, 2015, Essent Guaranty had negative unassigned surplus and therefore would require prior approval by the Pennsylvania Insurance Commissioner to make any dividend payment or other distributions in 2015. At March 31, 2015, Essent PA had unassigned surplus of $4.9 million. During the three months ended March 31, 2015, Essent PA did not pay a dividend. In 2014, Essent PA paid a $200,000 dividend to Essent Holdings. Essent Guaranty has paid no dividends since its inception. 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2015, Essent Re had total equity of $159.0 million. At March 31, 2015, our insurance subsidiaries were in compliance with these rules, regulations and agreements.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(46,443)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(479,930)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(468,817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Cash flow provided by operating activities totaled $47.2 million for the three months ended March 31, 2015 as compared to cash flow provided by operating activities of $12.5 million for the three months ended March 31, 2014. The increase in cash flow from operating activities of $34.7 million in 2015 was a result of increases in premiums collected and net investment income, partially offset by increases in prepaid taxes and expenses paid.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Cash flow used in investing activities totaled $46.4 million for the three months ended March 31, 2015, primarily related to investing cash flows from the business. Cash flow used in investing activities totaled $479.9 million for the three months ended March 31, 2014 primarily related to investing capital contributions from our initial investors received in 2013, proceeds from our initial public offering that was completed in November 2013, and cash flows from the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Cash flow used in financing activities totaled $3.2 million for the three months ended March 31, 2015 as compared to cash used in financing activities of $1.4 million for the three months ended March 31, 2014. The increase in cash flow used in financing activities was primarily related to an increase in acquisition of treasury stock from employees to satisfy tax withholding obligations, partially offset by an increase in excess tax benefits recognized as a result of stock-based compensation.</w:t>
      </w:r>
    </w:p>
    <w:p>
      <w:pPr>
        <w:sectPr>
          <w:pgSz w:w="11900" w:h="16838" w:orient="portrait"/>
          <w:cols w:equalWidth="0" w:num="1">
            <w:col w:w="11340"/>
          </w:cols>
          <w:pgMar w:left="240" w:top="125" w:right="31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compute a risk to capital ratio for our U.S. insurance companies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 period ended March 31, 2015, no capital contributions were made by Essent Group Ltd. to our U.S. insurance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 period ended March 31, 2014, capital contributions of $35 million were made to our U.S. insurance subsidiaries.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combined risk to capital calculation for our U.S. insurance operations as of March 31, 2015 is as follows:</w:t>
      </w:r>
    </w:p>
    <w:p>
      <w:pPr>
        <w:spacing w:after="0" w:line="217"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Combined statutory capital:</w:t>
      </w:r>
    </w:p>
    <w:p>
      <w:pPr>
        <w:ind w:left="980"/>
        <w:spacing w:after="0" w:line="236" w:lineRule="auto"/>
        <w:rPr>
          <w:sz w:val="20"/>
          <w:szCs w:val="20"/>
          <w:color w:val="auto"/>
        </w:rPr>
      </w:pPr>
      <w:r>
        <w:rPr>
          <w:rFonts w:ascii="Arial" w:cs="Arial" w:eastAsia="Arial" w:hAnsi="Arial"/>
          <w:sz w:val="14"/>
          <w:szCs w:val="14"/>
          <w:b w:val="1"/>
          <w:bCs w:val="1"/>
          <w:color w:val="auto"/>
        </w:rPr>
        <w:t>($ in thousands)</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Policyholders’ surplus</w:t>
            </w:r>
          </w:p>
        </w:tc>
        <w:tc>
          <w:tcPr>
            <w:tcW w:w="620" w:type="dxa"/>
            <w:vAlign w:val="bottom"/>
            <w:tcBorders>
              <w:top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516,883</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Contingency reserves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231,041</w:t>
            </w: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statutory capital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Combined net risk in force</w:t>
            </w:r>
          </w:p>
        </w:tc>
        <w:tc>
          <w:tcPr>
            <w:tcW w:w="3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11,798,777</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Combined risk to capital ratio</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additional information regarding regulatory capital, see Note 10 to our condensed consolidated financial statements. Our combined statutory capital equals the sum of statutory capital of Essent Guaranty plus Essent PA, after eliminating the impact of intercompany transactions. The combined risk to 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5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2014, Essent Re entered into insurance and reinsurance transactions with Freddie Mac and also executed a quota share reinsurance transaction with Essent Guaranty to reinsure 25% of Essent Guaranty’s GSE-eligible NIW effective July 1, 2014. As of March 31, 2015, Essent Re had total stockholders’ equity of $159.0 million and net risk in force of $1.1 billion.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insurer financial strength rating of Essent Guaranty, our principal mortgage insurance subsidiary, is BBB+ with a stable outlook by S&amp;P. On April 27, 2015, Moody’s affirmed its rating of Essent Guaranty at Baa2, and changed its outlook to positive from stable. Essent Re is not currently rated by a nationally recognized statistical rating organization.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Mortgage Insurer Eligibility Requirements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April 17, 2015, the FHFA publicly released the final PMIERs, which become effective on December 31, 2015. The PMIERs represent the standards by which private mortgage insurers will be eligible to provide mortgage insurance on loans owned or guaranteed by Fannie Mae and Freddie Mac. The PMIERs include new financial strength requirements incorporating a risk-based framework that will require approved insurers to have a sufficient level of liquid assets from which to pay claims. The PMIERs also include enhanced operational performance expectations and define remedial actions that will apply should an approved insurer fail to comply with the new requirements. As of March 31, 2015, Essent had sufficient assets in its insurance companies to meet the total risk-based required asset amount of the final PMIERs as published.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2015, stockholders’ equity was $996.0 million compared to $955.7 million as of December 31, 2014. This increase was primarily due to net income generated in 2015.</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total fair value of our investment portfolio was $1.1 billion as of March 31, 2015 and as of December 31, 2014. In addition, our total cash was $21.9 million as of March 31, 2015, compared to $24.4 million as of December 31, 2014.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Portfolio by Asset Class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Arial" w:cs="Arial" w:eastAsia="Arial" w:hAnsi="Arial"/>
                <w:sz w:val="14"/>
                <w:szCs w:val="14"/>
                <w:b w:val="1"/>
                <w:bCs w:val="1"/>
                <w:color w:val="auto"/>
              </w:rPr>
              <w:t>Asset Class</w:t>
            </w:r>
          </w:p>
        </w:tc>
        <w:tc>
          <w:tcPr>
            <w:tcW w:w="1000" w:type="dxa"/>
            <w:vAlign w:val="bottom"/>
          </w:tcPr>
          <w:p>
            <w:pPr>
              <w:spacing w:after="0"/>
              <w:rPr>
                <w:sz w:val="14"/>
                <w:szCs w:val="14"/>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2015</w:t>
            </w:r>
          </w:p>
        </w:tc>
        <w:tc>
          <w:tcPr>
            <w:tcW w:w="2100" w:type="dxa"/>
            <w:vAlign w:val="bottom"/>
          </w:tcPr>
          <w:p>
            <w:pPr>
              <w:ind w:left="940"/>
              <w:spacing w:after="0"/>
              <w:rPr>
                <w:sz w:val="20"/>
                <w:szCs w:val="20"/>
                <w:color w:val="auto"/>
              </w:rPr>
            </w:pPr>
            <w:r>
              <w:rPr>
                <w:rFonts w:ascii="Arial" w:cs="Arial" w:eastAsia="Arial" w:hAnsi="Arial"/>
                <w:sz w:val="14"/>
                <w:szCs w:val="14"/>
                <w:b w:val="1"/>
                <w:bCs w:val="1"/>
                <w:color w:val="auto"/>
                <w:w w:val="90"/>
              </w:rPr>
              <w:t>December 31, 2014</w:t>
            </w:r>
          </w:p>
        </w:tc>
        <w:tc>
          <w:tcPr>
            <w:tcW w:w="920" w:type="dxa"/>
            <w:vAlign w:val="bottom"/>
          </w:tcPr>
          <w:p>
            <w:pPr>
              <w:spacing w:after="0"/>
              <w:rPr>
                <w:sz w:val="14"/>
                <w:szCs w:val="14"/>
                <w:color w:val="auto"/>
              </w:rPr>
            </w:pPr>
          </w:p>
        </w:tc>
      </w:tr>
      <w:tr>
        <w:trPr>
          <w:trHeight w:val="157"/>
        </w:trPr>
        <w:tc>
          <w:tcPr>
            <w:tcW w:w="3020" w:type="dxa"/>
            <w:vAlign w:val="bottom"/>
          </w:tcPr>
          <w:p>
            <w:pPr>
              <w:spacing w:after="0" w:line="157"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ind w:left="360"/>
              <w:spacing w:after="0" w:line="157" w:lineRule="exact"/>
              <w:rPr>
                <w:sz w:val="20"/>
                <w:szCs w:val="20"/>
                <w:color w:val="auto"/>
              </w:rPr>
            </w:pPr>
            <w:r>
              <w:rPr>
                <w:rFonts w:ascii="Arial" w:cs="Arial" w:eastAsia="Arial" w:hAnsi="Arial"/>
                <w:sz w:val="14"/>
                <w:szCs w:val="14"/>
                <w:b w:val="1"/>
                <w:bCs w:val="1"/>
                <w:color w:val="auto"/>
                <w:w w:val="92"/>
              </w:rPr>
              <w:t>Fair Value</w:t>
            </w:r>
          </w:p>
        </w:tc>
        <w:tc>
          <w:tcPr>
            <w:tcW w:w="2000" w:type="dxa"/>
            <w:vAlign w:val="bottom"/>
            <w:tcBorders>
              <w:top w:val="single" w:sz="8" w:color="auto"/>
            </w:tcBorders>
          </w:tcPr>
          <w:p>
            <w:pPr>
              <w:ind w:left="1080"/>
              <w:spacing w:after="0" w:line="157" w:lineRule="exact"/>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3"/>
                <w:szCs w:val="13"/>
                <w:color w:val="auto"/>
              </w:rPr>
            </w:pPr>
          </w:p>
        </w:tc>
        <w:tc>
          <w:tcPr>
            <w:tcW w:w="2100" w:type="dxa"/>
            <w:vAlign w:val="bottom"/>
            <w:tcBorders>
              <w:top w:val="single" w:sz="8" w:color="auto"/>
            </w:tcBorders>
          </w:tcPr>
          <w:p>
            <w:pPr>
              <w:ind w:left="360"/>
              <w:spacing w:after="0" w:line="157" w:lineRule="exact"/>
              <w:rPr>
                <w:sz w:val="20"/>
                <w:szCs w:val="20"/>
                <w:color w:val="auto"/>
              </w:rPr>
            </w:pPr>
            <w:r>
              <w:rPr>
                <w:rFonts w:ascii="Arial" w:cs="Arial" w:eastAsia="Arial" w:hAnsi="Arial"/>
                <w:sz w:val="14"/>
                <w:szCs w:val="14"/>
                <w:b w:val="1"/>
                <w:bCs w:val="1"/>
                <w:color w:val="auto"/>
              </w:rPr>
              <w:t>Fair Value</w:t>
            </w:r>
          </w:p>
        </w:tc>
        <w:tc>
          <w:tcPr>
            <w:tcW w:w="920" w:type="dxa"/>
            <w:vAlign w:val="bottom"/>
            <w:tcBorders>
              <w:top w:val="single" w:sz="8" w:color="auto"/>
            </w:tcBorders>
          </w:tcPr>
          <w:p>
            <w:pPr>
              <w:spacing w:after="0" w:line="157" w:lineRule="exact"/>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-8890</wp:posOffset>
            </wp:positionV>
            <wp:extent cx="603758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7580" cy="14605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ind w:left="980"/>
        <w:spacing w:after="0"/>
        <w:tabs>
          <w:tab w:leader="none" w:pos="3980" w:val="left"/>
          <w:tab w:leader="none" w:pos="4760" w:val="left"/>
          <w:tab w:leader="none" w:pos="6680" w:val="left"/>
          <w:tab w:leader="none" w:pos="8140" w:val="left"/>
          <w:tab w:leader="none" w:pos="100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126,093</w:t>
      </w:r>
      <w:r>
        <w:rPr>
          <w:sz w:val="20"/>
          <w:szCs w:val="20"/>
          <w:color w:val="auto"/>
        </w:rPr>
        <w:tab/>
      </w:r>
      <w:r>
        <w:rPr>
          <w:rFonts w:ascii="Arial" w:cs="Arial" w:eastAsia="Arial" w:hAnsi="Arial"/>
          <w:sz w:val="18"/>
          <w:szCs w:val="18"/>
          <w:color w:val="auto"/>
        </w:rPr>
        <w:t>11.2%  $</w:t>
      </w:r>
      <w:r>
        <w:rPr>
          <w:sz w:val="20"/>
          <w:szCs w:val="20"/>
          <w:color w:val="auto"/>
        </w:rPr>
        <w:tab/>
      </w:r>
      <w:r>
        <w:rPr>
          <w:rFonts w:ascii="Arial" w:cs="Arial" w:eastAsia="Arial" w:hAnsi="Arial"/>
          <w:sz w:val="18"/>
          <w:szCs w:val="18"/>
          <w:color w:val="auto"/>
        </w:rPr>
        <w:t>74,216</w:t>
      </w:r>
      <w:r>
        <w:rPr>
          <w:sz w:val="20"/>
          <w:szCs w:val="20"/>
          <w:color w:val="auto"/>
        </w:rPr>
        <w:tab/>
      </w:r>
      <w:r>
        <w:rPr>
          <w:rFonts w:ascii="Arial" w:cs="Arial" w:eastAsia="Arial" w:hAnsi="Arial"/>
          <w:sz w:val="15"/>
          <w:szCs w:val="15"/>
          <w:color w:val="auto"/>
        </w:rPr>
        <w:t>7.0%</w:t>
      </w:r>
    </w:p>
    <w:p>
      <w:pPr>
        <w:sectPr>
          <w:pgSz w:w="11900" w:h="16838" w:orient="portrait"/>
          <w:cols w:equalWidth="0" w:num="1">
            <w:col w:w="11380"/>
          </w:cols>
          <w:pgMar w:left="240" w:top="125" w:right="279" w:bottom="0" w:gutter="0" w:footer="0" w:header="0"/>
          <w:type w:val="continuous"/>
        </w:sectPr>
      </w:pPr>
    </w:p>
    <w:bookmarkStart w:id="23" w:name="page24"/>
    <w:bookmarkEnd w:id="23"/>
    <w:tbl>
      <w:tblPr>
        <w:tblLayout w:type="fixed"/>
        <w:tblInd w:w="98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U.S. agency securities</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3,208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4,520</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r>
      <w:tr>
        <w:trPr>
          <w:trHeight w:val="202"/>
        </w:trPr>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agency mortgage-backed</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85,958</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83,540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20"/>
                <w:szCs w:val="20"/>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Municipal debt securities(1)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246,271</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22.0</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195,546</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18.5</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345,081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296,829</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28.1</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64,159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66,086</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137,539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126,188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Money market funds</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111,922</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210,688</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19.9</w:t>
            </w:r>
          </w:p>
        </w:tc>
      </w:tr>
      <w:tr>
        <w:trPr>
          <w:trHeight w:val="223"/>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1,120,231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1,057,613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40" w:firstLine="8"/>
        <w:spacing w:after="0" w:line="257"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March 31, 2015, approximately 65.7% of municipal debt securities were special revenue bonds, 30.4% were general obligation bonds, 1.2% were tax allocation bonds and 2.7% were certification of participation bonds. At December 31, 2014, approximately 59.7% of municipal debt securities were special revenue bonds, 37.5% were general obligation bonds, 1.5% were tax allocation bonds, 0.8% were certification of participation bonds and 0.5% were special assessment bonds. For information regarding the amortized cost and fair value of the municipal debt securities, see Note 2 to our condensed consolidated financial statements.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Portfolio by Rating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Rating(1)</w:t>
            </w: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8"/>
              </w:rPr>
              <w:t>March 31, 2015</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0"/>
              </w:rPr>
              <w:t>December 31, 2014</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gridSpan w:val="2"/>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518,358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545,807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Aa1</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46,102</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47,792</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73,769</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51,958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Aa3</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67,658</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48,261</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91,362</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74,161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A2</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86,326</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67,413</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A3</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78,110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71,964</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Baa1</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65,536</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60,399</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Baa2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83,382</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79,727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Baa3</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9,628</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10,131</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Baa3</w:t>
            </w: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1,120,231</w:t>
            </w: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1,057,613</w:t>
            </w: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Investment Portfolio by Effective Duration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Effective Duration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ind w:left="800"/>
              <w:spacing w:after="0"/>
              <w:rPr>
                <w:sz w:val="20"/>
                <w:szCs w:val="20"/>
                <w:color w:val="auto"/>
              </w:rPr>
            </w:pPr>
            <w:r>
              <w:rPr>
                <w:rFonts w:ascii="Arial" w:cs="Arial" w:eastAsia="Arial" w:hAnsi="Arial"/>
                <w:sz w:val="14"/>
                <w:szCs w:val="14"/>
                <w:b w:val="1"/>
                <w:bCs w:val="1"/>
                <w:color w:val="auto"/>
                <w:w w:val="96"/>
              </w:rPr>
              <w:t>March 31, 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273"/>
              <w:spacing w:after="0" w:line="142" w:lineRule="exact"/>
              <w:rPr>
                <w:sz w:val="20"/>
                <w:szCs w:val="20"/>
                <w:color w:val="auto"/>
              </w:rPr>
            </w:pPr>
            <w:r>
              <w:rPr>
                <w:rFonts w:ascii="Arial" w:cs="Arial" w:eastAsia="Arial" w:hAnsi="Arial"/>
                <w:sz w:val="14"/>
                <w:szCs w:val="14"/>
                <w:b w:val="1"/>
                <w:bCs w:val="1"/>
                <w:color w:val="auto"/>
              </w:rPr>
              <w:t>Fair Value</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w w:val="97"/>
              </w:rPr>
              <w:t>Percent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 1 Year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332,399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1 to &lt; 2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138,388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85,971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 to &lt; 3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168,187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3 to &lt; 4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136,313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106,432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 to &lt; 5 Years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59,834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5 or more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349,511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285,007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1,120,231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1,057,613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w w:val="89"/>
              </w:rPr>
              <w:t>29</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gridSpan w:val="2"/>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10"/>
          </w:tcPr>
          <w:p>
            <w:pPr>
              <w:jc w:val="center"/>
              <w:ind w:left="434"/>
              <w:spacing w:after="0"/>
              <w:rPr>
                <w:sz w:val="20"/>
                <w:szCs w:val="20"/>
                <w:color w:val="auto"/>
              </w:rPr>
            </w:pPr>
            <w:r>
              <w:rPr>
                <w:rFonts w:ascii="Arial" w:cs="Arial" w:eastAsia="Arial" w:hAnsi="Arial"/>
                <w:sz w:val="18"/>
                <w:szCs w:val="18"/>
                <w:b w:val="1"/>
                <w:bCs w:val="1"/>
                <w:color w:val="auto"/>
                <w:w w:val="90"/>
              </w:rPr>
              <w:t>Top Ten Portfolio Holdings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Rank</w:t>
            </w:r>
          </w:p>
        </w:tc>
        <w:tc>
          <w:tcPr>
            <w:tcW w:w="1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March 31, 2015</w:t>
            </w: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Security</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116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Credit</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6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Gain (Loss)(1)</w:t>
            </w:r>
          </w:p>
        </w:tc>
        <w:tc>
          <w:tcPr>
            <w:tcW w:w="14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Rating(2)</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US Treasury 2.375% 8/15/2024</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Aaa</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7"/>
          </w:tcPr>
          <w:p>
            <w:pPr>
              <w:ind w:left="140"/>
              <w:spacing w:after="0"/>
              <w:rPr>
                <w:sz w:val="20"/>
                <w:szCs w:val="20"/>
                <w:color w:val="auto"/>
              </w:rPr>
            </w:pPr>
            <w:r>
              <w:rPr>
                <w:rFonts w:ascii="Arial" w:cs="Arial" w:eastAsia="Arial" w:hAnsi="Arial"/>
                <w:sz w:val="18"/>
                <w:szCs w:val="18"/>
                <w:color w:val="auto"/>
              </w:rPr>
              <w:t>US Treasury 2.250% 11/15/2024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12,851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US Treasury 4.250% 8/15/2015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10,154</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7"/>
          </w:tcPr>
          <w:p>
            <w:pPr>
              <w:ind w:left="140"/>
              <w:spacing w:after="0"/>
              <w:rPr>
                <w:sz w:val="20"/>
                <w:szCs w:val="20"/>
                <w:color w:val="auto"/>
              </w:rPr>
            </w:pPr>
            <w:r>
              <w:rPr>
                <w:rFonts w:ascii="Arial" w:cs="Arial" w:eastAsia="Arial" w:hAnsi="Arial"/>
                <w:sz w:val="18"/>
                <w:szCs w:val="18"/>
                <w:color w:val="auto"/>
              </w:rPr>
              <w:t>US Treasury 1.000% 9/30/2016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10,086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US Treasury 0.750% 3/15/2017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7"/>
          </w:tcPr>
          <w:p>
            <w:pPr>
              <w:ind w:left="140"/>
              <w:spacing w:after="0"/>
              <w:rPr>
                <w:sz w:val="20"/>
                <w:szCs w:val="20"/>
                <w:color w:val="auto"/>
              </w:rPr>
            </w:pPr>
            <w:r>
              <w:rPr>
                <w:rFonts w:ascii="Arial" w:cs="Arial" w:eastAsia="Arial" w:hAnsi="Arial"/>
                <w:sz w:val="18"/>
                <w:szCs w:val="18"/>
                <w:color w:val="auto"/>
              </w:rPr>
              <w:t>US Treasury 0.625% 12/15/2016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10,023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10,001</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US Treasury 0.375% 2/15/2016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7"/>
          </w:tcPr>
          <w:p>
            <w:pPr>
              <w:ind w:left="140"/>
              <w:spacing w:after="0"/>
              <w:rPr>
                <w:sz w:val="20"/>
                <w:szCs w:val="20"/>
                <w:color w:val="auto"/>
              </w:rPr>
            </w:pPr>
            <w:r>
              <w:rPr>
                <w:rFonts w:ascii="Arial" w:cs="Arial" w:eastAsia="Arial" w:hAnsi="Arial"/>
                <w:sz w:val="18"/>
                <w:szCs w:val="18"/>
                <w:color w:val="auto"/>
              </w:rPr>
              <w:t>US Treasury 1.750% 2/28/2022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9,928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4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Freddie Mac 4.0% MBS 30 Yr</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7"/>
          </w:tcPr>
          <w:p>
            <w:pPr>
              <w:ind w:left="140"/>
              <w:spacing w:after="0"/>
              <w:rPr>
                <w:sz w:val="20"/>
                <w:szCs w:val="20"/>
                <w:color w:val="auto"/>
              </w:rPr>
            </w:pPr>
            <w:r>
              <w:rPr>
                <w:rFonts w:ascii="Arial" w:cs="Arial" w:eastAsia="Arial" w:hAnsi="Arial"/>
                <w:sz w:val="18"/>
                <w:szCs w:val="18"/>
                <w:color w:val="auto"/>
              </w:rPr>
              <w:t>US Treasury 2.750% 2/15/24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5,600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5,392</w:t>
            </w:r>
          </w:p>
        </w:tc>
        <w:tc>
          <w:tcPr>
            <w:tcW w:w="1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101,285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4"/>
            <w:vMerge w:val="restart"/>
          </w:tcPr>
          <w:p>
            <w:pPr>
              <w:spacing w:after="0" w:line="191" w:lineRule="exact"/>
              <w:rPr>
                <w:sz w:val="20"/>
                <w:szCs w:val="20"/>
                <w:color w:val="auto"/>
              </w:rPr>
            </w:pPr>
            <w:r>
              <w:rPr>
                <w:rFonts w:ascii="Arial" w:cs="Arial" w:eastAsia="Arial" w:hAnsi="Arial"/>
                <w:sz w:val="18"/>
                <w:szCs w:val="18"/>
                <w:b w:val="1"/>
                <w:bCs w:val="1"/>
                <w:color w:val="auto"/>
              </w:rPr>
              <w:t>Percent of Investment</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5"/>
            <w:vMerge w:val="restart"/>
          </w:tcPr>
          <w:p>
            <w:pPr>
              <w:jc w:val="right"/>
              <w:ind w:right="28"/>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60" w:type="dxa"/>
            <w:vAlign w:val="bottom"/>
            <w:gridSpan w:val="4"/>
          </w:tcPr>
          <w:p>
            <w:pPr>
              <w:ind w:left="180"/>
              <w:spacing w:after="0"/>
              <w:rPr>
                <w:sz w:val="20"/>
                <w:szCs w:val="20"/>
                <w:color w:val="auto"/>
              </w:rPr>
            </w:pPr>
            <w:r>
              <w:rPr>
                <w:rFonts w:ascii="Arial" w:cs="Arial" w:eastAsia="Arial" w:hAnsi="Arial"/>
                <w:sz w:val="18"/>
                <w:szCs w:val="18"/>
                <w:b w:val="1"/>
                <w:bCs w:val="1"/>
                <w:color w:val="auto"/>
              </w:rPr>
              <w:t>Portfolio</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-2917190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-2917190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0" w:right="580" w:firstLine="2"/>
        <w:spacing w:after="0" w:line="342" w:lineRule="auto"/>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March 31, 2015, for securities in unrealized loss positions, management believes decline in fair values is principally associated with the changes in the interest rate environment subsequent to their purchase and there are no other-than-temporary impairments. Also, see Note 2 to our</w:t>
      </w:r>
    </w:p>
    <w:p>
      <w:pPr>
        <w:sectPr>
          <w:pgSz w:w="11900" w:h="16838" w:orient="portrait"/>
          <w:cols w:equalWidth="0" w:num="1">
            <w:col w:w="11460"/>
          </w:cols>
          <w:pgMar w:left="240" w:top="125" w:right="199" w:bottom="0" w:gutter="0" w:footer="0" w:header="0"/>
        </w:sectPr>
      </w:pPr>
    </w:p>
    <w:bookmarkStart w:id="24" w:name="page25"/>
    <w:bookmarkEnd w:id="24"/>
    <w:p>
      <w:pPr>
        <w:ind w:left="200" w:right="280"/>
        <w:spacing w:after="0" w:line="277" w:lineRule="auto"/>
        <w:rPr>
          <w:sz w:val="20"/>
          <w:szCs w:val="20"/>
          <w:color w:val="auto"/>
        </w:rPr>
      </w:pPr>
      <w:r>
        <w:rPr>
          <w:rFonts w:ascii="Arial" w:cs="Arial" w:eastAsia="Arial" w:hAnsi="Arial"/>
          <w:sz w:val="18"/>
          <w:szCs w:val="18"/>
          <w:color w:val="auto"/>
        </w:rPr>
        <w:t>condensed consolidated financial statements, which summarizes the aggregate amount of gross unrealized losses by asset class in which the fair value of investments has been less than cost for more than 12 months and less than 12 months.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 Based on ratings issued by Moody’s, if available. S&amp;P rating utilized if Moody’s not available.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b w:val="1"/>
                <w:bCs w:val="1"/>
                <w:color w:val="auto"/>
              </w:rPr>
              <w:t>Rank</w:t>
            </w:r>
          </w:p>
        </w:tc>
        <w:tc>
          <w:tcPr>
            <w:tcW w:w="22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December 31, 2014</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280" w:type="dxa"/>
            <w:vAlign w:val="bottom"/>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7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Security</w:t>
            </w:r>
          </w:p>
        </w:tc>
        <w:tc>
          <w:tcPr>
            <w:tcW w:w="220" w:type="dxa"/>
            <w:vAlign w:val="bottom"/>
          </w:tcPr>
          <w:p>
            <w:pPr>
              <w:spacing w:after="0"/>
              <w:rPr>
                <w:sz w:val="12"/>
                <w:szCs w:val="12"/>
                <w:color w:val="auto"/>
              </w:rPr>
            </w:pPr>
          </w:p>
        </w:tc>
        <w:tc>
          <w:tcPr>
            <w:tcW w:w="114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Treasury 2.375% 8/15/2024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w:t>
            </w:r>
          </w:p>
        </w:tc>
        <w:tc>
          <w:tcPr>
            <w:tcW w:w="4540" w:type="dxa"/>
            <w:vAlign w:val="bottom"/>
            <w:gridSpan w:val="4"/>
          </w:tcPr>
          <w:p>
            <w:pPr>
              <w:ind w:left="220"/>
              <w:spacing w:after="0"/>
              <w:rPr>
                <w:sz w:val="20"/>
                <w:szCs w:val="20"/>
                <w:color w:val="auto"/>
              </w:rPr>
            </w:pPr>
            <w:r>
              <w:rPr>
                <w:rFonts w:ascii="Arial" w:cs="Arial" w:eastAsia="Arial" w:hAnsi="Arial"/>
                <w:sz w:val="18"/>
                <w:szCs w:val="18"/>
                <w:color w:val="auto"/>
              </w:rPr>
              <w:t>US Treasury 1.500% 11/30/2019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8,744</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US Treasury 2.000%</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10/31/2021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4</w:t>
            </w:r>
          </w:p>
        </w:tc>
        <w:tc>
          <w:tcPr>
            <w:tcW w:w="4540" w:type="dxa"/>
            <w:vAlign w:val="bottom"/>
            <w:gridSpan w:val="4"/>
          </w:tcPr>
          <w:p>
            <w:pPr>
              <w:ind w:left="220"/>
              <w:spacing w:after="0"/>
              <w:rPr>
                <w:sz w:val="20"/>
                <w:szCs w:val="20"/>
                <w:color w:val="auto"/>
              </w:rPr>
            </w:pPr>
            <w:r>
              <w:rPr>
                <w:rFonts w:ascii="Arial" w:cs="Arial" w:eastAsia="Arial" w:hAnsi="Arial"/>
                <w:sz w:val="18"/>
                <w:szCs w:val="18"/>
                <w:color w:val="auto"/>
              </w:rPr>
              <w:t>Fannie Mae 4.500% MBS 30Yr</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7,064</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5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Freddie Mac 4.000% MBS 30Yr</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6</w:t>
            </w:r>
          </w:p>
        </w:tc>
        <w:tc>
          <w:tcPr>
            <w:tcW w:w="1760" w:type="dxa"/>
            <w:vAlign w:val="bottom"/>
            <w:gridSpan w:val="2"/>
          </w:tcPr>
          <w:p>
            <w:pPr>
              <w:ind w:left="220"/>
              <w:spacing w:after="0"/>
              <w:rPr>
                <w:sz w:val="20"/>
                <w:szCs w:val="20"/>
                <w:color w:val="auto"/>
              </w:rPr>
            </w:pPr>
            <w:r>
              <w:rPr>
                <w:rFonts w:ascii="Arial" w:cs="Arial" w:eastAsia="Arial" w:hAnsi="Arial"/>
                <w:sz w:val="18"/>
                <w:szCs w:val="18"/>
                <w:color w:val="auto"/>
                <w:w w:val="90"/>
              </w:rPr>
              <w:t>US Treasury 2.750%</w:t>
            </w:r>
          </w:p>
        </w:tc>
        <w:tc>
          <w:tcPr>
            <w:tcW w:w="2480" w:type="dxa"/>
            <w:vAlign w:val="bottom"/>
          </w:tcPr>
          <w:p>
            <w:pPr>
              <w:ind w:left="20"/>
              <w:spacing w:after="0"/>
              <w:rPr>
                <w:sz w:val="20"/>
                <w:szCs w:val="20"/>
                <w:color w:val="auto"/>
              </w:rPr>
            </w:pPr>
            <w:r>
              <w:rPr>
                <w:rFonts w:ascii="Arial" w:cs="Arial" w:eastAsia="Arial" w:hAnsi="Arial"/>
                <w:sz w:val="18"/>
                <w:szCs w:val="18"/>
                <w:color w:val="auto"/>
              </w:rPr>
              <w:t>2/15/2024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5,498</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US Treasury 2.000%</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8/31/2021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8</w:t>
            </w:r>
          </w:p>
        </w:tc>
        <w:tc>
          <w:tcPr>
            <w:tcW w:w="4540" w:type="dxa"/>
            <w:vAlign w:val="bottom"/>
            <w:gridSpan w:val="4"/>
          </w:tcPr>
          <w:p>
            <w:pPr>
              <w:ind w:left="220"/>
              <w:spacing w:after="0"/>
              <w:rPr>
                <w:sz w:val="20"/>
                <w:szCs w:val="20"/>
                <w:color w:val="auto"/>
              </w:rPr>
            </w:pPr>
            <w:r>
              <w:rPr>
                <w:rFonts w:ascii="Arial" w:cs="Arial" w:eastAsia="Arial" w:hAnsi="Arial"/>
                <w:sz w:val="18"/>
                <w:szCs w:val="18"/>
                <w:color w:val="auto"/>
              </w:rPr>
              <w:t>Ally Master Owner Trust ABS 2014-1 A1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5,045</w:t>
            </w: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1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US Treasury 2.000%</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11/15/2021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10</w:t>
            </w:r>
          </w:p>
        </w:tc>
        <w:tc>
          <w:tcPr>
            <w:tcW w:w="454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rPr>
              <w:t>Sysco Corporation 3.000% 10/2/2021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8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72,584</w:t>
            </w:r>
          </w:p>
        </w:tc>
        <w:tc>
          <w:tcPr>
            <w:tcW w:w="180" w:type="dxa"/>
            <w:vAlign w:val="bottom"/>
            <w:tcBorders>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8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Percent of Investment</w:t>
            </w: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6.9%</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Portfolio</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vMerge w:val="restart"/>
          </w:tcPr>
          <w:p>
            <w:pPr>
              <w:ind w:left="28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municipal debt securities for states that represent more than 10% of the total municipal bond position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Rating (1), (2)</w:t>
            </w:r>
          </w:p>
        </w:tc>
        <w:tc>
          <w:tcPr>
            <w:tcW w:w="0" w:type="dxa"/>
            <w:vAlign w:val="bottom"/>
          </w:tcPr>
          <w:p>
            <w:pPr>
              <w:spacing w:after="0"/>
              <w:rPr>
                <w:sz w:val="1"/>
                <w:szCs w:val="1"/>
                <w:color w:val="auto"/>
              </w:rPr>
            </w:pP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Dallas/Fort Worth International Airport</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2,793</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University of Texas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2,470</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City of Houston TX</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2,337</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Cypress-Fairbanks Independent School District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2,177</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Harris County Cultural Education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2,000</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of Dallas TX Waterworks &amp; Sewer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1,794</w:t>
            </w:r>
          </w:p>
        </w:tc>
        <w:tc>
          <w:tcPr>
            <w:tcW w:w="1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Alamo Community College District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1,751</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Tarrant Regional Water District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1,589</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Alvin Independent School District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1,289</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Texas Transportation Commission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Houston Texas Combined Utility System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1,138</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County of Dallas TX</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1,112</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Pasadena Independent School District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1,088</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1,080</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Tarrant County Cultural Education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1,067</w:t>
            </w:r>
          </w:p>
        </w:tc>
        <w:tc>
          <w:tcPr>
            <w:tcW w:w="1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Aa3</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North Texas Tollway Authority</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1,052</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A3</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of Texas Public Finance Authority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Aaa</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County of Rockwall TX</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801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Central Texas Turnpike System</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Baa1</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City of El Paso TX</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614</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Aa1</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80" w:hanging="652"/>
        <w:spacing w:after="0" w:line="277" w:lineRule="auto"/>
        <w:tabs>
          <w:tab w:leader="none" w:pos="6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is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ectPr>
          <w:pgSz w:w="11900" w:h="16838" w:orient="portrait"/>
          <w:cols w:equalWidth="0" w:num="1">
            <w:col w:w="11460"/>
          </w:cols>
          <w:pgMar w:left="240" w:top="125" w:right="199" w:bottom="0" w:gutter="0" w:footer="0" w:header="0"/>
        </w:sectPr>
      </w:pPr>
    </w:p>
    <w:bookmarkStart w:id="25" w:name="page26"/>
    <w:bookmarkEnd w:id="25"/>
    <w:p>
      <w:pPr>
        <w:spacing w:after="0" w:line="62"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47" w:lineRule="exact"/>
        <w:rPr>
          <w:sz w:val="20"/>
          <w:szCs w:val="20"/>
          <w:color w:val="auto"/>
        </w:rPr>
      </w:pPr>
    </w:p>
    <w:p>
      <w:pPr>
        <w:jc w:val="both"/>
        <w:ind w:left="980" w:right="100" w:hanging="324"/>
        <w:spacing w:after="0" w:line="30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54" w:lineRule="exact"/>
        <w:rPr>
          <w:rFonts w:ascii="Arial" w:cs="Arial" w:eastAsia="Arial" w:hAnsi="Arial"/>
          <w:sz w:val="16"/>
          <w:szCs w:val="16"/>
          <w:color w:val="auto"/>
        </w:rPr>
      </w:pPr>
    </w:p>
    <w:p>
      <w:pPr>
        <w:ind w:left="980" w:right="62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(e.g., rating agency) assessments, will reduce the value and potentially the liquidity of investments.</w:t>
      </w:r>
    </w:p>
    <w:p>
      <w:pPr>
        <w:spacing w:after="0" w:line="123" w:lineRule="exact"/>
        <w:rPr>
          <w:rFonts w:ascii="Arial" w:cs="Arial" w:eastAsia="Arial" w:hAnsi="Arial"/>
          <w:sz w:val="16"/>
          <w:szCs w:val="16"/>
          <w:color w:val="auto"/>
        </w:rPr>
      </w:pPr>
    </w:p>
    <w:p>
      <w:pPr>
        <w:ind w:left="980" w:right="140" w:hanging="324"/>
        <w:spacing w:after="0" w:line="342"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23" w:lineRule="exact"/>
        <w:rPr>
          <w:rFonts w:ascii="Arial" w:cs="Arial" w:eastAsia="Arial" w:hAnsi="Arial"/>
          <w:sz w:val="16"/>
          <w:szCs w:val="16"/>
          <w:color w:val="auto"/>
        </w:rPr>
      </w:pPr>
    </w:p>
    <w:p>
      <w:pPr>
        <w:ind w:left="980" w:right="38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At March 31, 2015, the effective duration of our investment portfolio, including cash, was 3.4 years, which means that an instantaneous parallel shift (movement up or down) in the yield curve of 100 basis points would result in a change of 3.4% in fair value of our investment portfolio. Excluding cash, our investment portfolio effective duration was 3.9 years, which means that an instantaneous parallel shift (movement up or down) in the yield curve of 100 basis points would result in a change of 3.9% in fair value of our investment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2015,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Risk factors that affect our business and financial results are discussed in Part I, Item 1A. “Risk Factors” in our Annual Report on Form 10-K for the year ended December 31, 2014.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table below sets forth information regarding repurchases of our common shares during the three months ended March 31, 2015.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vMerge w:val="restart"/>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w:t>
            </w:r>
          </w:p>
        </w:tc>
        <w:tc>
          <w:tcPr>
            <w:tcW w:w="186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4"/>
        </w:trPr>
        <w:tc>
          <w:tcPr>
            <w:tcW w:w="3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2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25.71</w:t>
            </w:r>
          </w:p>
        </w:tc>
        <w:tc>
          <w:tcPr>
            <w:tcW w:w="18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February 1 - February 28, 2015</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23.22</w:t>
            </w:r>
          </w:p>
        </w:tc>
        <w:tc>
          <w:tcPr>
            <w:tcW w:w="18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195,884</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May 6, 2015, we held our 2015 Annual General Meeting of Shareholders (the “Annual Meeting”). A total of 92,661,118 of our common shares were entitled to vote as of March 20, 2015, the record date for the Annual Meeting, of which 84,211,973 were present in person or by proxy at the Annual Meeting. The following is a summary of the final voting results for each matter presented to shareholders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Proposal 1 - Election of Class I members of our board of directors to serve through the 2018 Annual General Meeting of Shareholders: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000" w:type="dxa"/>
            <w:vAlign w:val="bottom"/>
            <w:gridSpan w:val="2"/>
          </w:tcPr>
          <w:p>
            <w:pPr>
              <w:ind w:left="560"/>
              <w:spacing w:after="0"/>
              <w:rPr>
                <w:sz w:val="20"/>
                <w:szCs w:val="20"/>
                <w:color w:val="auto"/>
              </w:rPr>
            </w:pPr>
            <w:r>
              <w:rPr>
                <w:rFonts w:ascii="Arial" w:cs="Arial" w:eastAsia="Arial" w:hAnsi="Arial"/>
                <w:sz w:val="14"/>
                <w:szCs w:val="14"/>
                <w:b w:val="1"/>
                <w:bCs w:val="1"/>
                <w:color w:val="auto"/>
              </w:rPr>
              <w:t>Votes For</w:t>
            </w:r>
          </w:p>
        </w:tc>
        <w:tc>
          <w:tcPr>
            <w:tcW w:w="2000" w:type="dxa"/>
            <w:vAlign w:val="bottom"/>
            <w:gridSpan w:val="2"/>
          </w:tcPr>
          <w:p>
            <w:pPr>
              <w:ind w:left="380"/>
              <w:spacing w:after="0"/>
              <w:rPr>
                <w:sz w:val="20"/>
                <w:szCs w:val="20"/>
                <w:color w:val="auto"/>
              </w:rPr>
            </w:pPr>
            <w:r>
              <w:rPr>
                <w:rFonts w:ascii="Arial" w:cs="Arial" w:eastAsia="Arial" w:hAnsi="Arial"/>
                <w:sz w:val="14"/>
                <w:szCs w:val="14"/>
                <w:b w:val="1"/>
                <w:bCs w:val="1"/>
                <w:color w:val="auto"/>
              </w:rPr>
              <w:t>Votes Withheld</w:t>
            </w:r>
          </w:p>
        </w:tc>
        <w:tc>
          <w:tcPr>
            <w:tcW w:w="1860" w:type="dxa"/>
            <w:vAlign w:val="bottom"/>
            <w:gridSpan w:val="2"/>
          </w:tcPr>
          <w:p>
            <w:pPr>
              <w:ind w:left="30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Aditya Dutt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77,622,639</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180,282</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6,409,052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Roy J. Kasmar</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77,440,010</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362,911</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6,409,052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Andrew Turnbull</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77,623,082</w:t>
            </w:r>
          </w:p>
        </w:tc>
        <w:tc>
          <w:tcPr>
            <w:tcW w:w="2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179,839</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6,409,052</w:t>
            </w: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Proposal 2 — The re-appointment of PricewaterhouseCoopers LLP as the Company’s independent registered public accounting firm for the year ending December 31, 2015 and until the 2016 Annual General Meeting of Shareholders, and the referral of the determination of the auditors’ compensation to the board of directors, was ratified: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Votes For</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83,871,228</w:t>
            </w: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Votes Against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340,181</w:t>
            </w:r>
          </w:p>
        </w:tc>
      </w:tr>
      <w:tr>
        <w:trPr>
          <w:trHeight w:val="216"/>
        </w:trPr>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Abstentions</w:t>
            </w: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980" w:type="dxa"/>
            <w:vAlign w:val="bottom"/>
            <w:gridSpan w:val="2"/>
          </w:tcPr>
          <w:p>
            <w:pPr>
              <w:ind w:left="420"/>
              <w:spacing w:after="0"/>
              <w:rPr>
                <w:sz w:val="20"/>
                <w:szCs w:val="20"/>
                <w:color w:val="auto"/>
              </w:rPr>
            </w:pPr>
            <w:r>
              <w:rPr>
                <w:rFonts w:ascii="Arial" w:cs="Arial" w:eastAsia="Arial" w:hAnsi="Arial"/>
                <w:sz w:val="18"/>
                <w:szCs w:val="18"/>
                <w:b w:val="1"/>
                <w:bCs w:val="1"/>
                <w:color w:val="auto"/>
              </w:rPr>
              <w:t>Exhibits</w:t>
            </w:r>
          </w:p>
        </w:tc>
        <w:tc>
          <w:tcPr>
            <w:tcW w:w="224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 adopted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spacing w:after="0"/>
              <w:rPr>
                <w:sz w:val="20"/>
                <w:szCs w:val="20"/>
                <w:color w:val="auto"/>
              </w:rPr>
            </w:pPr>
            <w:r>
              <w:rPr>
                <w:rFonts w:ascii="Arial" w:cs="Arial" w:eastAsia="Arial" w:hAnsi="Arial"/>
                <w:sz w:val="18"/>
                <w:szCs w:val="18"/>
                <w:color w:val="auto"/>
                <w:w w:val="95"/>
              </w:rPr>
              <w:t>The following financial information from this Quarterly Report on Form 10-Q for the quarter ended March 31, 2015, formatted in XBRL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(Extensible Business Reporting Language) and filed electronically herewith: (i) the Condensed Consolidated Balance Sheets (Unaudited);</w:t>
            </w:r>
          </w:p>
        </w:tc>
        <w:tc>
          <w:tcPr>
            <w:tcW w:w="0" w:type="dxa"/>
            <w:vAlign w:val="bottom"/>
          </w:tcPr>
          <w:p>
            <w:pPr>
              <w:spacing w:after="0"/>
              <w:rPr>
                <w:sz w:val="1"/>
                <w:szCs w:val="1"/>
                <w:color w:val="auto"/>
              </w:rPr>
            </w:pPr>
          </w:p>
        </w:tc>
      </w:tr>
    </w:tbl>
    <w:p>
      <w:pPr>
        <w:ind w:left="1260" w:right="100" w:hanging="9"/>
        <w:spacing w:after="0" w:line="255" w:lineRule="auto"/>
        <w:tabs>
          <w:tab w:leader="none" w:pos="15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280" w:right="60" w:hanging="1272"/>
        <w:spacing w:after="0" w:line="286" w:lineRule="auto"/>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ESSENT GROUP LTD.</w:t>
            </w:r>
          </w:p>
        </w:tc>
      </w:tr>
      <w:tr>
        <w:trPr>
          <w:trHeight w:val="648"/>
        </w:trPr>
        <w:tc>
          <w:tcPr>
            <w:tcW w:w="5720" w:type="dxa"/>
            <w:vAlign w:val="bottom"/>
          </w:tcPr>
          <w:p>
            <w:pPr>
              <w:spacing w:after="0"/>
              <w:rPr>
                <w:sz w:val="20"/>
                <w:szCs w:val="20"/>
                <w:color w:val="auto"/>
              </w:rPr>
            </w:pPr>
            <w:r>
              <w:rPr>
                <w:rFonts w:ascii="Arial" w:cs="Arial" w:eastAsia="Arial" w:hAnsi="Arial"/>
                <w:sz w:val="18"/>
                <w:szCs w:val="18"/>
                <w:color w:val="auto"/>
              </w:rPr>
              <w:t>Date: May 11,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CASALE</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Mark A. Casale</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720" w:type="dxa"/>
            <w:vAlign w:val="bottom"/>
          </w:tcPr>
          <w:p>
            <w:pPr>
              <w:spacing w:after="0"/>
              <w:rPr>
                <w:sz w:val="20"/>
                <w:szCs w:val="20"/>
                <w:color w:val="auto"/>
              </w:rPr>
            </w:pPr>
            <w:r>
              <w:rPr>
                <w:rFonts w:ascii="Arial" w:cs="Arial" w:eastAsia="Arial" w:hAnsi="Arial"/>
                <w:sz w:val="18"/>
                <w:szCs w:val="18"/>
                <w:color w:val="auto"/>
              </w:rPr>
              <w:t>Date: May 11, 2015</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MCALEE</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Lawrence E. McAlee</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60"/>
          </w:cols>
          <w:pgMar w:left="240" w:top="140" w:right="19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600" w:type="dxa"/>
            <w:vAlign w:val="bottom"/>
            <w:gridSpan w:val="5"/>
          </w:tcPr>
          <w:p>
            <w:pPr>
              <w:spacing w:after="0"/>
              <w:rPr>
                <w:sz w:val="20"/>
                <w:szCs w:val="20"/>
                <w:color w:val="auto"/>
              </w:rPr>
            </w:pPr>
            <w:r>
              <w:rPr>
                <w:rFonts w:ascii="Arial" w:cs="Arial" w:eastAsia="Arial" w:hAnsi="Arial"/>
                <w:sz w:val="18"/>
                <w:szCs w:val="18"/>
                <w:color w:val="auto"/>
              </w:rPr>
              <w:t>Date: May 11, 2015</w:t>
            </w:r>
          </w:p>
        </w:tc>
        <w:tc>
          <w:tcPr>
            <w:tcW w:w="1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WEINSTOCK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David B. Weinstock</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President and Chief Accounting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20" w:type="dxa"/>
            <w:vAlign w:val="bottom"/>
            <w:gridSpan w:val="2"/>
          </w:tcPr>
          <w:p>
            <w:pPr>
              <w:jc w:val="right"/>
              <w:ind w:right="5533"/>
              <w:spacing w:after="0"/>
              <w:rPr>
                <w:sz w:val="20"/>
                <w:szCs w:val="20"/>
                <w:color w:val="auto"/>
              </w:rPr>
            </w:pPr>
            <w:r>
              <w:rPr>
                <w:rFonts w:ascii="Arial" w:cs="Arial" w:eastAsia="Arial" w:hAnsi="Arial"/>
                <w:sz w:val="18"/>
                <w:szCs w:val="18"/>
                <w:color w:val="auto"/>
                <w:w w:val="89"/>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gridSpan w:val="2"/>
          </w:tcPr>
          <w:p>
            <w:pPr>
              <w:spacing w:after="0"/>
              <w:rPr>
                <w:sz w:val="11"/>
                <w:szCs w:val="11"/>
                <w:color w:val="auto"/>
              </w:rPr>
            </w:pPr>
          </w:p>
        </w:tc>
        <w:tc>
          <w:tcPr>
            <w:tcW w:w="43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6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140" w:type="dxa"/>
            <w:vAlign w:val="bottom"/>
            <w:gridSpan w:val="3"/>
          </w:tcPr>
          <w:p>
            <w:pPr>
              <w:jc w:val="center"/>
              <w:ind w:right="1173"/>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1016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3"/>
              </w:rPr>
              <w:t>Certification of Chief Executive Officer required by Rule 13a-14(a) or Rule 15d-14(a) of the Securities Exchange Act of 1934, as adopted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0"/>
              </w:rPr>
              <w:t>pursuant to Section 302 of the Sarbanes-Oxley Act of 2002.</w:t>
            </w:r>
          </w:p>
        </w:tc>
        <w:tc>
          <w:tcPr>
            <w:tcW w:w="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4"/>
              </w:rPr>
              <w:t>Certification of Chief Financial Officer required by Rule 13a-14(a) or Rule 15d-14(a) of the Securities Exchange Act of 1934, as adopted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91"/>
              </w:rPr>
              <w:t>pursuant to Section 302 of the Sarbanes-Oxley Act of 2002</w:t>
            </w:r>
          </w:p>
        </w:tc>
        <w:tc>
          <w:tcPr>
            <w:tcW w:w="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1350, as adopted pursuant to Section 906 of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60" w:type="dxa"/>
            <w:vAlign w:val="bottom"/>
            <w:gridSpan w:val="4"/>
          </w:tcPr>
          <w:p>
            <w:pPr>
              <w:spacing w:after="0"/>
              <w:rPr>
                <w:sz w:val="20"/>
                <w:szCs w:val="20"/>
                <w:color w:val="auto"/>
              </w:rPr>
            </w:pPr>
            <w:r>
              <w:rPr>
                <w:rFonts w:ascii="Arial" w:cs="Arial" w:eastAsia="Arial" w:hAnsi="Arial"/>
                <w:sz w:val="18"/>
                <w:szCs w:val="18"/>
                <w:color w:val="auto"/>
                <w:w w:val="95"/>
              </w:rPr>
              <w:t>The following financial information from this Quarterly Report on Form 10-Q for the quarter ended March 31, 2015, formatted in XBRL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gridSpan w:val="4"/>
          </w:tcPr>
          <w:p>
            <w:pPr>
              <w:spacing w:after="0"/>
              <w:rPr>
                <w:sz w:val="20"/>
                <w:szCs w:val="20"/>
                <w:color w:val="auto"/>
              </w:rPr>
            </w:pPr>
            <w:r>
              <w:rPr>
                <w:rFonts w:ascii="Arial" w:cs="Arial" w:eastAsia="Arial" w:hAnsi="Arial"/>
                <w:sz w:val="18"/>
                <w:szCs w:val="18"/>
                <w:color w:val="auto"/>
                <w:w w:val="92"/>
              </w:rPr>
              <w:t>(Extensible Business Reporting Language) and filed electronically herewith: (i) the Condensed Consolidated Balance Sheets (Unaudited);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-2094230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-2094230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260" w:right="100"/>
        <w:spacing w:after="0" w:line="255" w:lineRule="auto"/>
        <w:rPr>
          <w:sz w:val="20"/>
          <w:szCs w:val="20"/>
          <w:color w:val="auto"/>
        </w:rPr>
      </w:pPr>
      <w:r>
        <w:rPr>
          <w:rFonts w:ascii="Arial" w:cs="Arial" w:eastAsia="Arial" w:hAnsi="Arial"/>
          <w:sz w:val="18"/>
          <w:szCs w:val="18"/>
          <w:color w:val="auto"/>
        </w:rPr>
        <w:t>(ii)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 tagged as blocks of text.</w:t>
      </w:r>
    </w:p>
    <w:p>
      <w:pPr>
        <w:spacing w:after="0" w:line="200" w:lineRule="exact"/>
        <w:rPr>
          <w:sz w:val="20"/>
          <w:szCs w:val="20"/>
          <w:color w:val="auto"/>
        </w:rPr>
      </w:pPr>
    </w:p>
    <w:p>
      <w:pPr>
        <w:spacing w:after="0" w:line="219" w:lineRule="exact"/>
        <w:rPr>
          <w:sz w:val="20"/>
          <w:szCs w:val="20"/>
          <w:color w:val="auto"/>
        </w:rPr>
      </w:pPr>
    </w:p>
    <w:p>
      <w:pPr>
        <w:ind w:left="1260" w:right="80" w:hanging="1252"/>
        <w:spacing w:after="0" w:line="286"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25"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firstLine="8"/>
        <w:spacing w:after="0" w:line="264" w:lineRule="auto"/>
        <w:tabs>
          <w:tab w:leader="none" w:pos="4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right="620" w:firstLine="8"/>
        <w:spacing w:after="0" w:line="342" w:lineRule="auto"/>
        <w:tabs>
          <w:tab w:leader="none" w:pos="4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right="260" w:firstLine="8"/>
        <w:spacing w:after="0" w:line="264"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220" w:hanging="499"/>
        <w:spacing w:after="0" w:line="264" w:lineRule="auto"/>
        <w:tabs>
          <w:tab w:leader="none" w:pos="9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9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486"/>
        <w:spacing w:after="0" w:line="264" w:lineRule="auto"/>
        <w:tabs>
          <w:tab w:leader="none" w:pos="9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1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60" w:hanging="499"/>
        <w:spacing w:after="0" w:line="308" w:lineRule="auto"/>
        <w:tabs>
          <w:tab w:leader="none" w:pos="1004"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120" w:hanging="499"/>
        <w:spacing w:after="0" w:line="277" w:lineRule="auto"/>
        <w:tabs>
          <w:tab w:leader="none" w:pos="101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2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Essent Group Ltd.;</w:t>
      </w:r>
    </w:p>
    <w:p>
      <w:pPr>
        <w:spacing w:after="0" w:line="225" w:lineRule="exact"/>
        <w:rPr>
          <w:rFonts w:ascii="Arial" w:cs="Arial" w:eastAsia="Arial" w:hAnsi="Arial"/>
          <w:sz w:val="18"/>
          <w:szCs w:val="18"/>
          <w:color w:val="auto"/>
        </w:rPr>
      </w:pPr>
    </w:p>
    <w:p>
      <w:pPr>
        <w:jc w:val="both"/>
        <w:ind w:firstLine="8"/>
        <w:spacing w:after="0" w:line="264" w:lineRule="auto"/>
        <w:tabs>
          <w:tab w:leader="none" w:pos="4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right="620" w:firstLine="8"/>
        <w:spacing w:after="0" w:line="342" w:lineRule="auto"/>
        <w:tabs>
          <w:tab w:leader="none" w:pos="4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right="260" w:firstLine="8"/>
        <w:spacing w:after="0" w:line="264"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40" w:hanging="486"/>
        <w:spacing w:after="0" w:line="264" w:lineRule="auto"/>
        <w:tabs>
          <w:tab w:leader="none" w:pos="9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9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0" w:hanging="499"/>
        <w:spacing w:after="0" w:line="264" w:lineRule="auto"/>
        <w:tabs>
          <w:tab w:leader="none" w:pos="10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1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160" w:hanging="499"/>
        <w:spacing w:after="0" w:line="308" w:lineRule="auto"/>
        <w:tabs>
          <w:tab w:leader="none" w:pos="1004"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00" w:right="120" w:hanging="499"/>
        <w:spacing w:after="0" w:line="277" w:lineRule="auto"/>
        <w:tabs>
          <w:tab w:leader="none" w:pos="10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181" w:lineRule="exact"/>
        <w:rPr>
          <w:sz w:val="20"/>
          <w:szCs w:val="20"/>
          <w:color w:val="auto"/>
        </w:rPr>
      </w:pPr>
    </w:p>
    <w:p>
      <w:pPr>
        <w:ind w:left="660" w:right="280" w:hanging="652"/>
        <w:spacing w:after="0" w:line="277" w:lineRule="auto"/>
        <w:tabs>
          <w:tab w:leader="none" w:pos="6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2015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380" w:firstLine="8"/>
        <w:spacing w:after="0" w:line="50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2015</w:t>
      </w: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lvl w:ilvl="1">
      <w:lvlJc w:val="left"/>
      <w:lvlText w:val="(%2)"/>
      <w:numFmt w:val="lowerRoman"/>
      <w:start w:val="2"/>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2020-01-23T13:27:18Z</dcterms:created>
  <dcterms:modified xsi:type="dcterms:W3CDTF">2020-01-23T13:27:18Z</dcterms:modified>
</cp:coreProperties>
</file>