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4"/>
          <w:szCs w:val="24"/>
          <w:color w:val="auto"/>
        </w:rPr>
      </w:pPr>
    </w:p>
    <w:p>
      <w:pPr>
        <w:spacing w:after="0" w:line="320" w:lineRule="exact"/>
        <w:rPr>
          <w:sz w:val="24"/>
          <w:szCs w:val="24"/>
          <w:color w:val="auto"/>
        </w:rPr>
      </w:pPr>
    </w:p>
    <w:p>
      <w:pPr>
        <w:jc w:val="center"/>
        <w:ind w:right="140"/>
        <w:spacing w:after="0"/>
        <w:rPr>
          <w:sz w:val="20"/>
          <w:szCs w:val="20"/>
          <w:color w:val="auto"/>
        </w:rPr>
      </w:pPr>
      <w:r>
        <w:rPr>
          <w:rFonts w:ascii="Arial" w:cs="Arial" w:eastAsia="Arial" w:hAnsi="Arial"/>
          <w:sz w:val="27"/>
          <w:szCs w:val="27"/>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2032000</wp:posOffset>
            </wp:positionH>
            <wp:positionV relativeFrom="paragraph">
              <wp:posOffset>109220</wp:posOffset>
            </wp:positionV>
            <wp:extent cx="3077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2032000</wp:posOffset>
            </wp:positionH>
            <wp:positionV relativeFrom="paragraph">
              <wp:posOffset>76835</wp:posOffset>
            </wp:positionV>
            <wp:extent cx="3077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319" w:lineRule="exact"/>
        <w:rPr>
          <w:sz w:val="24"/>
          <w:szCs w:val="24"/>
          <w:color w:val="auto"/>
        </w:rPr>
      </w:pPr>
    </w:p>
    <w:p>
      <w:pPr>
        <w:ind w:left="80"/>
        <w:spacing w:after="0"/>
        <w:rPr>
          <w:sz w:val="20"/>
          <w:szCs w:val="20"/>
          <w:color w:val="auto"/>
        </w:rPr>
      </w:pPr>
      <w:r>
        <w:rPr>
          <w:rFonts w:ascii="Arial" w:cs="Arial" w:eastAsia="Arial" w:hAnsi="Arial"/>
          <w:sz w:val="15"/>
          <w:szCs w:val="15"/>
          <w:b w:val="1"/>
          <w:bCs w:val="1"/>
          <w:color w:val="auto"/>
        </w:rPr>
        <w:t>(Mark One)</w:t>
      </w:r>
    </w:p>
    <w:p>
      <w:pPr>
        <w:spacing w:after="0" w:line="128" w:lineRule="exact"/>
        <w:rPr>
          <w:sz w:val="24"/>
          <w:szCs w:val="24"/>
          <w:color w:val="auto"/>
        </w:rPr>
      </w:pPr>
    </w:p>
    <w:p>
      <w:pPr>
        <w:ind w:left="760" w:hanging="447"/>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 the period ended September 30, 2023</w:t>
      </w:r>
    </w:p>
    <w:p>
      <w:pPr>
        <w:spacing w:after="0" w:line="136" w:lineRule="exact"/>
        <w:rPr>
          <w:sz w:val="24"/>
          <w:szCs w:val="24"/>
          <w:color w:val="auto"/>
        </w:rPr>
      </w:pPr>
    </w:p>
    <w:p>
      <w:pPr>
        <w:ind w:left="780" w:hanging="467"/>
        <w:spacing w:after="0"/>
        <w:tabs>
          <w:tab w:leader="none" w:pos="7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230" w:right="339" w:bottom="1440" w:gutter="0" w:footer="0" w:header="0"/>
        </w:sectPr>
      </w:pPr>
    </w:p>
    <w:p>
      <w:pPr>
        <w:spacing w:after="0" w:line="72"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92" w:lineRule="exact"/>
        <w:rPr>
          <w:sz w:val="24"/>
          <w:szCs w:val="24"/>
          <w:color w:val="auto"/>
        </w:rPr>
      </w:pPr>
    </w:p>
    <w:p>
      <w:pPr>
        <w:sectPr>
          <w:pgSz w:w="11900" w:h="16838" w:orient="portrait"/>
          <w:cols w:equalWidth="0" w:num="2">
            <w:col w:w="6040" w:space="540"/>
            <w:col w:w="4660"/>
          </w:cols>
          <w:pgMar w:left="320" w:top="230" w:right="3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2032000</wp:posOffset>
            </wp:positionH>
            <wp:positionV relativeFrom="paragraph">
              <wp:posOffset>135255</wp:posOffset>
            </wp:positionV>
            <wp:extent cx="3077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71" w:lineRule="exact"/>
        <w:rPr>
          <w:sz w:val="24"/>
          <w:szCs w:val="24"/>
          <w:color w:val="auto"/>
        </w:rPr>
      </w:pPr>
    </w:p>
    <w:tbl>
      <w:tblPr>
        <w:tblLayout w:type="fixed"/>
        <w:tblInd w:w="1760" w:type="dxa"/>
        <w:tblCellMar>
          <w:top w:w="0" w:type="dxa"/>
          <w:left w:w="0" w:type="dxa"/>
          <w:bottom w:w="0" w:type="dxa"/>
          <w:right w:w="0" w:type="dxa"/>
        </w:tblCellMar>
      </w:tblPr>
      <w:tr>
        <w:trPr>
          <w:trHeight w:val="359"/>
        </w:trPr>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0" w:type="dxa"/>
            <w:vAlign w:val="bottom"/>
            <w:gridSpan w:val="2"/>
          </w:tcPr>
          <w:p>
            <w:pPr>
              <w:jc w:val="center"/>
              <w:ind w:right="1800"/>
              <w:spacing w:after="0"/>
              <w:rPr>
                <w:sz w:val="20"/>
                <w:szCs w:val="20"/>
                <w:color w:val="auto"/>
              </w:rPr>
            </w:pPr>
            <w:r>
              <w:rPr>
                <w:rFonts w:ascii="Arial" w:cs="Arial" w:eastAsia="Arial" w:hAnsi="Arial"/>
                <w:sz w:val="27"/>
                <w:szCs w:val="27"/>
                <w:b w:val="1"/>
                <w:bCs w:val="1"/>
                <w:color w:val="auto"/>
                <w:w w:val="99"/>
              </w:rPr>
              <w:t>ESSENT GROUP LTD.</w:t>
            </w:r>
          </w:p>
        </w:tc>
      </w:tr>
      <w:tr>
        <w:trPr>
          <w:trHeight w:val="196"/>
        </w:trPr>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0" w:type="dxa"/>
            <w:vAlign w:val="bottom"/>
            <w:gridSpan w:val="2"/>
          </w:tcPr>
          <w:p>
            <w:pPr>
              <w:jc w:val="center"/>
              <w:ind w:right="1800"/>
              <w:spacing w:after="0"/>
              <w:rPr>
                <w:sz w:val="20"/>
                <w:szCs w:val="20"/>
                <w:color w:val="auto"/>
              </w:rPr>
            </w:pPr>
            <w:r>
              <w:rPr>
                <w:rFonts w:ascii="Arial" w:cs="Arial" w:eastAsia="Arial" w:hAnsi="Arial"/>
                <w:sz w:val="15"/>
                <w:szCs w:val="15"/>
                <w:color w:val="auto"/>
                <w:w w:val="93"/>
              </w:rPr>
              <w:t>(Exact name of registrant as specified in its charter)</w:t>
            </w:r>
          </w:p>
        </w:tc>
      </w:tr>
      <w:tr>
        <w:trPr>
          <w:trHeight w:val="160"/>
        </w:trPr>
        <w:tc>
          <w:tcPr>
            <w:tcW w:w="14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20" w:type="dxa"/>
            <w:vAlign w:val="bottom"/>
            <w:tcBorders>
              <w:bottom w:val="single" w:sz="8" w:color="auto"/>
            </w:tcBorders>
          </w:tcPr>
          <w:p>
            <w:pPr>
              <w:spacing w:after="0"/>
              <w:rPr>
                <w:sz w:val="13"/>
                <w:szCs w:val="13"/>
                <w:color w:val="auto"/>
              </w:rPr>
            </w:pPr>
          </w:p>
        </w:tc>
        <w:tc>
          <w:tcPr>
            <w:tcW w:w="1180" w:type="dxa"/>
            <w:vAlign w:val="bottom"/>
          </w:tcPr>
          <w:p>
            <w:pPr>
              <w:spacing w:after="0"/>
              <w:rPr>
                <w:sz w:val="13"/>
                <w:szCs w:val="13"/>
                <w:color w:val="auto"/>
              </w:rPr>
            </w:pPr>
          </w:p>
        </w:tc>
      </w:tr>
      <w:tr>
        <w:trPr>
          <w:trHeight w:val="310"/>
        </w:trPr>
        <w:tc>
          <w:tcPr>
            <w:tcW w:w="2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Bermuda</w:t>
            </w:r>
          </w:p>
        </w:tc>
        <w:tc>
          <w:tcPr>
            <w:tcW w:w="5400" w:type="dxa"/>
            <w:vAlign w:val="bottom"/>
            <w:gridSpan w:val="2"/>
          </w:tcPr>
          <w:p>
            <w:pPr>
              <w:jc w:val="center"/>
              <w:ind w:left="3873"/>
              <w:spacing w:after="0"/>
              <w:rPr>
                <w:sz w:val="20"/>
                <w:szCs w:val="20"/>
                <w:color w:val="auto"/>
              </w:rPr>
            </w:pPr>
            <w:r>
              <w:rPr>
                <w:rFonts w:ascii="Arial" w:cs="Arial" w:eastAsia="Arial" w:hAnsi="Arial"/>
                <w:sz w:val="15"/>
                <w:szCs w:val="15"/>
                <w:b w:val="1"/>
                <w:bCs w:val="1"/>
                <w:color w:val="auto"/>
                <w:w w:val="95"/>
              </w:rPr>
              <w:t>Not Applicable</w:t>
            </w:r>
          </w:p>
        </w:tc>
      </w:tr>
      <w:tr>
        <w:trPr>
          <w:trHeight w:val="165"/>
        </w:trPr>
        <w:tc>
          <w:tcPr>
            <w:tcW w:w="2060" w:type="dxa"/>
            <w:vAlign w:val="bottom"/>
            <w:gridSpan w:val="2"/>
          </w:tcPr>
          <w:p>
            <w:pPr>
              <w:jc w:val="center"/>
              <w:ind w:right="180"/>
              <w:spacing w:after="0" w:line="165" w:lineRule="exact"/>
              <w:rPr>
                <w:sz w:val="20"/>
                <w:szCs w:val="20"/>
                <w:color w:val="auto"/>
              </w:rPr>
            </w:pPr>
            <w:r>
              <w:rPr>
                <w:rFonts w:ascii="Arial" w:cs="Arial" w:eastAsia="Arial" w:hAnsi="Arial"/>
                <w:sz w:val="15"/>
                <w:szCs w:val="15"/>
                <w:color w:val="auto"/>
                <w:w w:val="95"/>
              </w:rPr>
              <w:t>(State or other jurisdiction of</w:t>
            </w:r>
          </w:p>
        </w:tc>
        <w:tc>
          <w:tcPr>
            <w:tcW w:w="5400" w:type="dxa"/>
            <w:vAlign w:val="bottom"/>
            <w:gridSpan w:val="2"/>
          </w:tcPr>
          <w:p>
            <w:pPr>
              <w:jc w:val="center"/>
              <w:ind w:left="3893"/>
              <w:spacing w:after="0" w:line="165" w:lineRule="exact"/>
              <w:rPr>
                <w:sz w:val="20"/>
                <w:szCs w:val="20"/>
                <w:color w:val="auto"/>
              </w:rPr>
            </w:pPr>
            <w:r>
              <w:rPr>
                <w:rFonts w:ascii="Arial" w:cs="Arial" w:eastAsia="Arial" w:hAnsi="Arial"/>
                <w:sz w:val="15"/>
                <w:szCs w:val="15"/>
                <w:color w:val="auto"/>
                <w:w w:val="96"/>
              </w:rPr>
              <w:t>(I.R.S. Employer</w:t>
            </w:r>
          </w:p>
        </w:tc>
      </w:tr>
      <w:tr>
        <w:trPr>
          <w:trHeight w:val="196"/>
        </w:trPr>
        <w:tc>
          <w:tcPr>
            <w:tcW w:w="2060" w:type="dxa"/>
            <w:vAlign w:val="bottom"/>
            <w:gridSpan w:val="2"/>
          </w:tcPr>
          <w:p>
            <w:pPr>
              <w:jc w:val="center"/>
              <w:ind w:right="200"/>
              <w:spacing w:after="0"/>
              <w:rPr>
                <w:sz w:val="20"/>
                <w:szCs w:val="20"/>
                <w:color w:val="auto"/>
              </w:rPr>
            </w:pPr>
            <w:r>
              <w:rPr>
                <w:rFonts w:ascii="Arial" w:cs="Arial" w:eastAsia="Arial" w:hAnsi="Arial"/>
                <w:sz w:val="15"/>
                <w:szCs w:val="15"/>
                <w:color w:val="auto"/>
                <w:w w:val="95"/>
              </w:rPr>
              <w:t>incorporation or organization)</w:t>
            </w:r>
          </w:p>
        </w:tc>
        <w:tc>
          <w:tcPr>
            <w:tcW w:w="5400" w:type="dxa"/>
            <w:vAlign w:val="bottom"/>
            <w:gridSpan w:val="2"/>
          </w:tcPr>
          <w:p>
            <w:pPr>
              <w:jc w:val="center"/>
              <w:ind w:left="3893"/>
              <w:spacing w:after="0"/>
              <w:rPr>
                <w:sz w:val="20"/>
                <w:szCs w:val="20"/>
                <w:color w:val="auto"/>
              </w:rPr>
            </w:pPr>
            <w:r>
              <w:rPr>
                <w:rFonts w:ascii="Arial" w:cs="Arial" w:eastAsia="Arial" w:hAnsi="Arial"/>
                <w:sz w:val="15"/>
                <w:szCs w:val="15"/>
                <w:color w:val="auto"/>
                <w:w w:val="96"/>
              </w:rPr>
              <w:t>Identification Number)</w:t>
            </w:r>
          </w:p>
        </w:tc>
      </w:tr>
      <w:tr>
        <w:trPr>
          <w:trHeight w:val="271"/>
        </w:trPr>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0" w:type="dxa"/>
            <w:vAlign w:val="bottom"/>
            <w:gridSpan w:val="2"/>
          </w:tcPr>
          <w:p>
            <w:pPr>
              <w:jc w:val="center"/>
              <w:ind w:right="1800"/>
              <w:spacing w:after="0"/>
              <w:rPr>
                <w:sz w:val="20"/>
                <w:szCs w:val="20"/>
                <w:color w:val="auto"/>
              </w:rPr>
            </w:pPr>
            <w:r>
              <w:rPr>
                <w:rFonts w:ascii="Arial" w:cs="Arial" w:eastAsia="Arial" w:hAnsi="Arial"/>
                <w:sz w:val="15"/>
                <w:szCs w:val="15"/>
                <w:b w:val="1"/>
                <w:bCs w:val="1"/>
                <w:color w:val="auto"/>
                <w:w w:val="93"/>
              </w:rPr>
              <w:t>Clarendon House</w:t>
            </w:r>
          </w:p>
        </w:tc>
      </w:tr>
    </w:tbl>
    <w:p>
      <w:pPr>
        <w:jc w:val="center"/>
        <w:spacing w:after="0"/>
        <w:rPr>
          <w:sz w:val="20"/>
          <w:szCs w:val="20"/>
          <w:color w:val="auto"/>
        </w:rPr>
      </w:pPr>
      <w:r>
        <w:rPr>
          <w:rFonts w:ascii="Arial" w:cs="Arial" w:eastAsia="Arial" w:hAnsi="Arial"/>
          <w:sz w:val="15"/>
          <w:szCs w:val="15"/>
          <w:b w:val="1"/>
          <w:bCs w:val="1"/>
          <w:color w:val="auto"/>
        </w:rPr>
        <w:t>2 Church Street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Hamilton HM11, Bermuda</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and zip code)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(441) 297-9901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37" w:lineRule="exact"/>
        <w:rPr>
          <w:sz w:val="24"/>
          <w:szCs w:val="24"/>
          <w:color w:val="auto"/>
        </w:rPr>
      </w:pPr>
    </w:p>
    <w:p>
      <w:pPr>
        <w:ind w:left="46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6" w:lineRule="exact"/>
        <w:rPr>
          <w:sz w:val="24"/>
          <w:szCs w:val="24"/>
          <w:color w:val="auto"/>
        </w:rPr>
      </w:pPr>
    </w:p>
    <w:tbl>
      <w:tblPr>
        <w:tblLayout w:type="fixed"/>
        <w:tblInd w:w="30" w:type="dxa"/>
        <w:tblCellMar>
          <w:top w:w="0" w:type="dxa"/>
          <w:left w:w="0" w:type="dxa"/>
          <w:bottom w:w="0" w:type="dxa"/>
          <w:right w:w="0" w:type="dxa"/>
        </w:tblCellMar>
      </w:tblPr>
      <w:tr>
        <w:trPr>
          <w:trHeight w:val="217"/>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1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Shares, $0.015 par value</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ESNT</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310" w:lineRule="exact"/>
        <w:rPr>
          <w:sz w:val="24"/>
          <w:szCs w:val="24"/>
          <w:color w:val="auto"/>
        </w:rPr>
      </w:pPr>
    </w:p>
    <w:p>
      <w:pPr>
        <w:ind w:right="20" w:firstLine="541"/>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0" w:lineRule="exact"/>
        <w:rPr>
          <w:sz w:val="24"/>
          <w:szCs w:val="24"/>
          <w:color w:val="auto"/>
        </w:rPr>
      </w:pPr>
    </w:p>
    <w:p>
      <w:pPr>
        <w:ind w:right="80" w:firstLine="541"/>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8" w:lineRule="exact"/>
        <w:rPr>
          <w:sz w:val="24"/>
          <w:szCs w:val="24"/>
          <w:color w:val="auto"/>
        </w:rPr>
      </w:pPr>
    </w:p>
    <w:p>
      <w:pPr>
        <w:jc w:val="both"/>
        <w:ind w:right="220" w:firstLine="541"/>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440" w:type="dxa"/>
        <w:tblCellMar>
          <w:top w:w="0" w:type="dxa"/>
          <w:left w:w="0" w:type="dxa"/>
          <w:bottom w:w="0" w:type="dxa"/>
          <w:right w:w="0" w:type="dxa"/>
        </w:tblCellMar>
      </w:tblPr>
      <w:tr>
        <w:trPr>
          <w:trHeight w:val="219"/>
        </w:trPr>
        <w:tc>
          <w:tcPr>
            <w:tcW w:w="17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9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740" w:type="dxa"/>
            <w:vAlign w:val="bottom"/>
          </w:tcPr>
          <w:p>
            <w:pPr>
              <w:ind w:left="440"/>
              <w:spacing w:after="0"/>
              <w:rPr>
                <w:sz w:val="20"/>
                <w:szCs w:val="20"/>
                <w:color w:val="auto"/>
              </w:rPr>
            </w:pPr>
            <w:r>
              <w:rPr>
                <w:rFonts w:ascii="Arial" w:cs="Arial" w:eastAsia="Arial" w:hAnsi="Arial"/>
                <w:sz w:val="15"/>
                <w:szCs w:val="15"/>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1740" w:type="dxa"/>
            <w:vAlign w:val="bottom"/>
          </w:tcPr>
          <w:p>
            <w:pPr>
              <w:spacing w:after="0"/>
              <w:rPr>
                <w:sz w:val="20"/>
                <w:szCs w:val="20"/>
                <w:color w:val="auto"/>
              </w:rPr>
            </w:pPr>
            <w:r>
              <w:rPr>
                <w:rFonts w:ascii="Arial" w:cs="Arial" w:eastAsia="Arial" w:hAnsi="Arial"/>
                <w:sz w:val="15"/>
                <w:szCs w:val="15"/>
                <w:color w:val="auto"/>
              </w:rPr>
              <w:t>Non-accelerated filer</w:t>
            </w:r>
          </w:p>
        </w:tc>
        <w:tc>
          <w:tcPr>
            <w:tcW w:w="9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740" w:type="dxa"/>
            <w:vAlign w:val="bottom"/>
          </w:tcPr>
          <w:p>
            <w:pPr>
              <w:ind w:left="440"/>
              <w:spacing w:after="0"/>
              <w:rPr>
                <w:sz w:val="20"/>
                <w:szCs w:val="20"/>
                <w:color w:val="auto"/>
              </w:rPr>
            </w:pPr>
            <w:r>
              <w:rPr>
                <w:rFonts w:ascii="Arial" w:cs="Arial" w:eastAsia="Arial" w:hAnsi="Arial"/>
                <w:sz w:val="15"/>
                <w:szCs w:val="15"/>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5"/>
                <w:szCs w:val="15"/>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9" w:lineRule="exact"/>
        <w:rPr>
          <w:sz w:val="24"/>
          <w:szCs w:val="24"/>
          <w:color w:val="auto"/>
        </w:rPr>
      </w:pPr>
    </w:p>
    <w:p>
      <w:pPr>
        <w:ind w:right="120" w:firstLine="541"/>
        <w:spacing w:after="0" w:line="21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540" w:right="1860"/>
        <w:spacing w:after="0" w:line="2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the registrant’s common shares outstanding as of November 3, 2023 was 106,759,974.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520700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Table of Contents</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75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2300"/>
              <w:spacing w:after="0"/>
              <w:rPr>
                <w:sz w:val="20"/>
                <w:szCs w:val="20"/>
                <w:color w:val="auto"/>
              </w:rPr>
            </w:pPr>
            <w:r>
              <w:rPr>
                <w:rFonts w:ascii="Arial" w:cs="Arial" w:eastAsia="Arial" w:hAnsi="Arial"/>
                <w:sz w:val="17"/>
                <w:szCs w:val="17"/>
                <w:b w:val="1"/>
                <w:bCs w:val="1"/>
                <w:color w:val="auto"/>
                <w:w w:val="90"/>
              </w:rPr>
              <w:t>Essent Group Ltd. and Subsidiaries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2300"/>
              <w:spacing w:after="0"/>
              <w:rPr>
                <w:sz w:val="20"/>
                <w:szCs w:val="20"/>
                <w:color w:val="auto"/>
              </w:rPr>
            </w:pPr>
            <w:r>
              <w:rPr>
                <w:rFonts w:ascii="Arial" w:cs="Arial" w:eastAsia="Arial" w:hAnsi="Arial"/>
                <w:sz w:val="17"/>
                <w:szCs w:val="17"/>
                <w:b w:val="1"/>
                <w:bCs w:val="1"/>
                <w:color w:val="auto"/>
                <w:w w:val="96"/>
              </w:rPr>
              <w:t>Form 10-Q</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2300"/>
              <w:spacing w:after="0"/>
              <w:rPr>
                <w:sz w:val="20"/>
                <w:szCs w:val="20"/>
                <w:color w:val="auto"/>
              </w:rPr>
            </w:pPr>
            <w:r>
              <w:rPr>
                <w:rFonts w:ascii="Arial" w:cs="Arial" w:eastAsia="Arial" w:hAnsi="Arial"/>
                <w:sz w:val="17"/>
                <w:szCs w:val="17"/>
                <w:b w:val="1"/>
                <w:bCs w:val="1"/>
                <w:color w:val="auto"/>
                <w:w w:val="94"/>
              </w:rPr>
              <w:t>Index</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4"/>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PART I.</w:t>
            </w:r>
          </w:p>
        </w:tc>
        <w:tc>
          <w:tcPr>
            <w:tcW w:w="3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7"/>
                <w:szCs w:val="17"/>
                <w:b w:val="1"/>
                <w:bCs w:val="1"/>
                <w:color w:val="0000FF"/>
              </w:rPr>
              <w:t>FINANCIAL INFORMATION</w:t>
            </w: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1.</w:t>
            </w:r>
          </w:p>
        </w:tc>
        <w:tc>
          <w:tcPr>
            <w:tcW w:w="80" w:type="dxa"/>
            <w:vAlign w:val="bottom"/>
          </w:tcPr>
          <w:p>
            <w:pPr>
              <w:spacing w:after="0"/>
              <w:rPr>
                <w:sz w:val="24"/>
                <w:szCs w:val="24"/>
                <w:color w:val="auto"/>
              </w:rPr>
            </w:pPr>
          </w:p>
        </w:tc>
        <w:tc>
          <w:tcPr>
            <w:tcW w:w="60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7"/>
                <w:szCs w:val="17"/>
                <w:b w:val="1"/>
                <w:bCs w:val="1"/>
                <w:color w:val="0000FF"/>
              </w:rPr>
              <w:t>Financial Statements (Unaudited)</w:t>
            </w: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b w:val="1"/>
                <w:bCs w:val="1"/>
                <w:color w:val="0000FF"/>
                <w:w w:val="88"/>
              </w:rPr>
              <w:t>Condensed Consolidated Balance Sheets (Unaudited)</w:t>
            </w:r>
          </w:p>
        </w:tc>
        <w:tc>
          <w:tcPr>
            <w:tcW w:w="4100" w:type="dxa"/>
            <w:vAlign w:val="bottom"/>
            <w:gridSpan w:val="8"/>
          </w:tcPr>
          <w:p>
            <w:pPr>
              <w:spacing w:after="0"/>
              <w:rPr>
                <w:sz w:val="24"/>
                <w:szCs w:val="24"/>
                <w:color w:val="auto"/>
              </w:rPr>
            </w:pPr>
          </w:p>
        </w:tc>
        <w:tc>
          <w:tcPr>
            <w:tcW w:w="1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r>
      <w:tr>
        <w:trPr>
          <w:trHeight w:val="39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6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b w:val="1"/>
                <w:bCs w:val="1"/>
                <w:color w:val="0000FF"/>
                <w:w w:val="89"/>
              </w:rPr>
              <w:t>Condensed Consolidated Statements of Comprehensive Income (Unaudited)</w:t>
            </w:r>
          </w:p>
        </w:tc>
        <w:tc>
          <w:tcPr>
            <w:tcW w:w="2420" w:type="dxa"/>
            <w:vAlign w:val="bottom"/>
            <w:gridSpan w:val="3"/>
          </w:tcPr>
          <w:p>
            <w:pPr>
              <w:spacing w:after="0"/>
              <w:rPr>
                <w:sz w:val="24"/>
                <w:szCs w:val="24"/>
                <w:color w:val="auto"/>
              </w:rPr>
            </w:pPr>
          </w:p>
        </w:tc>
        <w:tc>
          <w:tcPr>
            <w:tcW w:w="1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4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b w:val="1"/>
                <w:bCs w:val="1"/>
                <w:color w:val="0000FF"/>
                <w:w w:val="89"/>
              </w:rPr>
              <w:t>Condensed Consolidated Statements of Changes in Stockholders’ Equity (Unaudited)</w:t>
            </w:r>
          </w:p>
        </w:tc>
        <w:tc>
          <w:tcPr>
            <w:tcW w:w="1740" w:type="dxa"/>
            <w:vAlign w:val="bottom"/>
            <w:gridSpan w:val="2"/>
          </w:tcPr>
          <w:p>
            <w:pPr>
              <w:spacing w:after="0"/>
              <w:rPr>
                <w:sz w:val="24"/>
                <w:szCs w:val="24"/>
                <w:color w:val="auto"/>
              </w:rPr>
            </w:pPr>
          </w:p>
        </w:tc>
        <w:tc>
          <w:tcPr>
            <w:tcW w:w="1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r>
      <w:tr>
        <w:trPr>
          <w:trHeight w:val="4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b w:val="1"/>
                <w:bCs w:val="1"/>
                <w:color w:val="0000FF"/>
                <w:w w:val="89"/>
              </w:rPr>
              <w:t>Condensed Consolidated Statements of Cash Flows (Unaudited)</w:t>
            </w:r>
          </w:p>
        </w:tc>
        <w:tc>
          <w:tcPr>
            <w:tcW w:w="3300" w:type="dxa"/>
            <w:vAlign w:val="bottom"/>
            <w:gridSpan w:val="5"/>
          </w:tcPr>
          <w:p>
            <w:pPr>
              <w:spacing w:after="0"/>
              <w:rPr>
                <w:sz w:val="24"/>
                <w:szCs w:val="24"/>
                <w:color w:val="auto"/>
              </w:rPr>
            </w:pPr>
          </w:p>
        </w:tc>
        <w:tc>
          <w:tcPr>
            <w:tcW w:w="1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r>
      <w:tr>
        <w:trPr>
          <w:trHeight w:val="39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7"/>
                <w:szCs w:val="17"/>
                <w:b w:val="1"/>
                <w:bCs w:val="1"/>
                <w:color w:val="0000FF"/>
              </w:rPr>
              <w:t>Notes to Condensed Consolidated Financial Statements (Unaudited)</w:t>
            </w: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68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6520" w:type="dxa"/>
            <w:vAlign w:val="bottom"/>
            <w:gridSpan w:val="15"/>
          </w:tcPr>
          <w:p>
            <w:pPr>
              <w:spacing w:after="0"/>
              <w:rPr>
                <w:sz w:val="20"/>
                <w:szCs w:val="20"/>
                <w:color w:val="auto"/>
              </w:rPr>
            </w:pPr>
            <w:r>
              <w:rPr>
                <w:rFonts w:ascii="Arial" w:cs="Arial" w:eastAsia="Arial" w:hAnsi="Arial"/>
                <w:sz w:val="17"/>
                <w:szCs w:val="17"/>
                <w:b w:val="1"/>
                <w:bCs w:val="1"/>
                <w:color w:val="0000FF"/>
                <w:w w:val="89"/>
              </w:rPr>
              <w:t>Management’s Discussion and Analysis of Financial Condition and Results of Operations</w:t>
            </w:r>
          </w:p>
        </w:tc>
        <w:tc>
          <w:tcPr>
            <w:tcW w:w="14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27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3.</w:t>
            </w:r>
          </w:p>
        </w:tc>
        <w:tc>
          <w:tcPr>
            <w:tcW w:w="68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6520" w:type="dxa"/>
            <w:vAlign w:val="bottom"/>
            <w:gridSpan w:val="15"/>
          </w:tcPr>
          <w:p>
            <w:pPr>
              <w:spacing w:after="0"/>
              <w:rPr>
                <w:sz w:val="20"/>
                <w:szCs w:val="20"/>
                <w:color w:val="auto"/>
              </w:rPr>
            </w:pPr>
            <w:r>
              <w:rPr>
                <w:rFonts w:ascii="Arial" w:cs="Arial" w:eastAsia="Arial" w:hAnsi="Arial"/>
                <w:sz w:val="17"/>
                <w:szCs w:val="17"/>
                <w:b w:val="1"/>
                <w:bCs w:val="1"/>
                <w:color w:val="0000FF"/>
              </w:rPr>
              <w:t>Quantitative and Qualitative Disclosures About Market Risk</w:t>
            </w:r>
          </w:p>
        </w:tc>
        <w:tc>
          <w:tcPr>
            <w:tcW w:w="14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4.</w:t>
            </w:r>
          </w:p>
        </w:tc>
        <w:tc>
          <w:tcPr>
            <w:tcW w:w="68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4"/>
          </w:tcPr>
          <w:p>
            <w:pPr>
              <w:spacing w:after="0"/>
              <w:rPr>
                <w:sz w:val="20"/>
                <w:szCs w:val="20"/>
                <w:color w:val="auto"/>
              </w:rPr>
            </w:pPr>
            <w:r>
              <w:rPr>
                <w:rFonts w:ascii="Arial" w:cs="Arial" w:eastAsia="Arial" w:hAnsi="Arial"/>
                <w:sz w:val="17"/>
                <w:szCs w:val="17"/>
                <w:b w:val="1"/>
                <w:bCs w:val="1"/>
                <w:color w:val="0000FF"/>
                <w:w w:val="88"/>
              </w:rPr>
              <w:t>Controls and Procedures</w:t>
            </w:r>
          </w:p>
        </w:tc>
        <w:tc>
          <w:tcPr>
            <w:tcW w:w="2620" w:type="dxa"/>
            <w:vAlign w:val="bottom"/>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PART II.</w:t>
            </w:r>
          </w:p>
        </w:tc>
        <w:tc>
          <w:tcPr>
            <w:tcW w:w="3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7"/>
                <w:szCs w:val="17"/>
                <w:b w:val="1"/>
                <w:bCs w:val="1"/>
                <w:color w:val="0000FF"/>
              </w:rPr>
              <w:t>OTHER INFORMATION</w:t>
            </w: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52</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1.</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0000FF"/>
                <w:w w:val="87"/>
              </w:rPr>
              <w:t>Legal Proceedings</w:t>
            </w:r>
          </w:p>
        </w:tc>
        <w:tc>
          <w:tcPr>
            <w:tcW w:w="580" w:type="dxa"/>
            <w:vAlign w:val="bottom"/>
            <w:gridSpan w:val="2"/>
          </w:tcPr>
          <w:p>
            <w:pPr>
              <w:spacing w:after="0"/>
              <w:rPr>
                <w:sz w:val="24"/>
                <w:szCs w:val="24"/>
                <w:color w:val="auto"/>
              </w:rPr>
            </w:pPr>
          </w:p>
        </w:tc>
        <w:tc>
          <w:tcPr>
            <w:tcW w:w="6060" w:type="dxa"/>
            <w:vAlign w:val="bottom"/>
            <w:gridSpan w:val="11"/>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7"/>
                <w:szCs w:val="17"/>
                <w:b w:val="1"/>
                <w:bCs w:val="1"/>
                <w:color w:val="0000FF"/>
                <w:w w:val="90"/>
              </w:rPr>
              <w:t>Item 1A.</w:t>
            </w:r>
          </w:p>
        </w:tc>
        <w:tc>
          <w:tcPr>
            <w:tcW w:w="5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7"/>
                <w:szCs w:val="17"/>
                <w:b w:val="1"/>
                <w:bCs w:val="1"/>
                <w:color w:val="0000FF"/>
              </w:rPr>
              <w:t>Risk Factors</w:t>
            </w: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52</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9"/>
          </w:tcPr>
          <w:p>
            <w:pPr>
              <w:spacing w:after="0"/>
              <w:rPr>
                <w:sz w:val="20"/>
                <w:szCs w:val="20"/>
                <w:color w:val="auto"/>
              </w:rPr>
            </w:pPr>
            <w:r>
              <w:rPr>
                <w:rFonts w:ascii="Arial" w:cs="Arial" w:eastAsia="Arial" w:hAnsi="Arial"/>
                <w:sz w:val="17"/>
                <w:szCs w:val="17"/>
                <w:b w:val="1"/>
                <w:bCs w:val="1"/>
                <w:color w:val="0000FF"/>
                <w:w w:val="88"/>
              </w:rPr>
              <w:t>Unregistered Sales of Equity Securities and Use of Proceeds</w:t>
            </w:r>
          </w:p>
        </w:tc>
        <w:tc>
          <w:tcPr>
            <w:tcW w:w="3620" w:type="dxa"/>
            <w:vAlign w:val="bottom"/>
            <w:gridSpan w:val="7"/>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6.</w:t>
            </w:r>
          </w:p>
        </w:tc>
        <w:tc>
          <w:tcPr>
            <w:tcW w:w="68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9"/>
          </w:tcPr>
          <w:p>
            <w:pPr>
              <w:spacing w:after="0"/>
              <w:rPr>
                <w:sz w:val="20"/>
                <w:szCs w:val="20"/>
                <w:color w:val="auto"/>
              </w:rPr>
            </w:pPr>
            <w:r>
              <w:rPr>
                <w:rFonts w:ascii="Arial" w:cs="Arial" w:eastAsia="Arial" w:hAnsi="Arial"/>
                <w:sz w:val="17"/>
                <w:szCs w:val="17"/>
                <w:b w:val="1"/>
                <w:bCs w:val="1"/>
                <w:color w:val="0000FF"/>
              </w:rPr>
              <w:t>Exhibits</w:t>
            </w:r>
          </w:p>
        </w:tc>
        <w:tc>
          <w:tcPr>
            <w:tcW w:w="3620" w:type="dxa"/>
            <w:vAlign w:val="bottom"/>
            <w:gridSpan w:val="7"/>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SIGNATURES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0000FF"/>
              </w:rPr>
              <w:t>54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i w:val="1"/>
          <w:iCs w:val="1"/>
          <w:color w:val="auto"/>
        </w:rPr>
        <w:t>Unless the context otherwise indicates or requires, the terms “we,” “our,” “us,” “Essent,” and the “Company,” as used in this Quarterly Report on 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3"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70"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2022 filed with the Securities and Exchange Commission. These factors include, without limitation, the following:</w:t>
      </w:r>
    </w:p>
    <w:p>
      <w:pPr>
        <w:spacing w:after="0" w:line="156" w:lineRule="exact"/>
        <w:rPr>
          <w:sz w:val="20"/>
          <w:szCs w:val="20"/>
          <w:color w:val="auto"/>
        </w:rPr>
      </w:pPr>
    </w:p>
    <w:p>
      <w:pPr>
        <w:ind w:left="620" w:right="120" w:hanging="307"/>
        <w:spacing w:after="0" w:line="297"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181" w:lineRule="exact"/>
        <w:rPr>
          <w:rFonts w:ascii="Arial" w:cs="Arial" w:eastAsia="Arial" w:hAnsi="Arial"/>
          <w:sz w:val="15"/>
          <w:szCs w:val="15"/>
          <w:color w:val="auto"/>
        </w:rPr>
      </w:pPr>
    </w:p>
    <w:p>
      <w:pPr>
        <w:ind w:left="620" w:right="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or to Fannie Mae and Freddie Mac, which we refer to collectively as the GSEs, whether through Federal legislation, restructurings or a shift in business practices;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continue to meet the mortgage insurer eligibility requirements of the GSEs;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for our customers or the loss of a significant customer;</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lenders or investors seeking alternatives to private mortgage insurance;</w:t>
      </w:r>
    </w:p>
    <w:p>
      <w:pPr>
        <w:spacing w:after="0" w:line="242" w:lineRule="exact"/>
        <w:rPr>
          <w:rFonts w:ascii="Arial" w:cs="Arial" w:eastAsia="Arial" w:hAnsi="Arial"/>
          <w:sz w:val="17"/>
          <w:szCs w:val="17"/>
          <w:color w:val="auto"/>
        </w:rPr>
      </w:pPr>
    </w:p>
    <w:p>
      <w:pPr>
        <w:ind w:left="620" w:right="46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 in the number of loans insured through Federal government mortgage insurance programs, including those offered by the Federal Housing Administration;</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decline in the volume of low down payment mortgage originations;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of loss reserve estimates;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 in the length of time our insurance policies are in force;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deteriorating economic conditions;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recently enacted U.S. Federal tax reform and its impact on us, our shareholders and our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definition of “Qualified Mortgage” reducing the size of the mortgage origination market or creating incentives to use government mortgage insurance programs;</w:t>
      </w:r>
    </w:p>
    <w:p>
      <w:pPr>
        <w:spacing w:after="0" w:line="190"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definition of “Qualified Residential Mortgage” reducing the number of low down payment loans or lenders and investors seeking alternatives to private mortgage insurance;</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implementation of the Basel III Capital Accord, which may discourage the use of private mortgage insurance;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of risk in our investment portfolio;</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interest rates;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inadequacy of the premiums we charge to compensate for our losses incurred;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dependence on management team and qualified personnel;</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disturbance to our information technology systems;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 in our customers’ capital requirements discouraging the use of mortgage insurance;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declines in the value of borrowers’ homes;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limited availability of capital or reinsurance;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unanticipated claims arise under and risks associated with our contract underwriting program;</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industry practice that loss reserves are established only upon a loan default;</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 in mortgage loan servicing, as a result of COVID-19 or otherwise;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 of future legal proceedings;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customers’ technological demands;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non-U.S. operations becoming subject to U.S. Federal income taxation;</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becoming considered a passive foreign investment company for U.S. Federal income tax purposes;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restrictions on the ability of our insurance subsidiaries to pay dividends.</w:t>
      </w:r>
    </w:p>
    <w:p>
      <w:pPr>
        <w:spacing w:after="0" w:line="217"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Consolidated Balance Sheets (Unaudited)</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18415</wp:posOffset>
            </wp:positionV>
            <wp:extent cx="7105650" cy="147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Assets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7105650" cy="254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254000"/>
                    </a:xfrm>
                    <a:prstGeom prst="rect">
                      <a:avLst/>
                    </a:prstGeom>
                    <a:noFill/>
                  </pic:spPr>
                </pic:pic>
              </a:graphicData>
            </a:graphic>
          </wp:anchor>
        </w:drawing>
      </w:r>
    </w:p>
    <w:p>
      <w:pPr>
        <w:spacing w:after="0" w:line="4" w:lineRule="exact"/>
        <w:rPr>
          <w:sz w:val="20"/>
          <w:szCs w:val="20"/>
          <w:color w:val="auto"/>
        </w:rPr>
      </w:pPr>
    </w:p>
    <w:p>
      <w:pPr>
        <w:ind w:left="480" w:right="1220" w:hanging="205"/>
        <w:spacing w:after="0" w:line="236" w:lineRule="auto"/>
        <w:rPr>
          <w:sz w:val="20"/>
          <w:szCs w:val="20"/>
          <w:color w:val="auto"/>
        </w:rPr>
      </w:pPr>
      <w:r>
        <w:rPr>
          <w:rFonts w:ascii="Arial" w:cs="Arial" w:eastAsia="Arial" w:hAnsi="Arial"/>
          <w:sz w:val="17"/>
          <w:szCs w:val="17"/>
          <w:color w:val="auto"/>
        </w:rPr>
        <w:t>Fixed maturities available for sale, at fair value (amortized cost: 2023 — $4,746,829; 2022 — $4,932,574)</w:t>
      </w:r>
    </w:p>
    <w:p>
      <w:pPr>
        <w:spacing w:after="0" w:line="15" w:lineRule="exact"/>
        <w:rPr>
          <w:sz w:val="20"/>
          <w:szCs w:val="20"/>
          <w:color w:val="auto"/>
        </w:rPr>
      </w:pPr>
    </w:p>
    <w:p>
      <w:pPr>
        <w:ind w:left="480" w:right="1580" w:hanging="205"/>
        <w:spacing w:after="0" w:line="236" w:lineRule="auto"/>
        <w:rPr>
          <w:sz w:val="20"/>
          <w:szCs w:val="20"/>
          <w:color w:val="auto"/>
        </w:rPr>
      </w:pPr>
      <w:r>
        <w:rPr>
          <w:rFonts w:ascii="Arial" w:cs="Arial" w:eastAsia="Arial" w:hAnsi="Arial"/>
          <w:sz w:val="17"/>
          <w:szCs w:val="17"/>
          <w:color w:val="auto"/>
        </w:rPr>
        <w:t>Short-term investments available for sale, at fair value (amortized cost: 2023 — $756,100; 2022 — $252,282)</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6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9"/>
                <w:szCs w:val="19"/>
                <w:color w:val="auto"/>
              </w:rPr>
            </w:pPr>
          </w:p>
        </w:tc>
        <w:tc>
          <w:tcPr>
            <w:tcW w:w="1360" w:type="dxa"/>
            <w:vAlign w:val="bottom"/>
          </w:tcPr>
          <w:p>
            <w:pPr>
              <w:jc w:val="right"/>
              <w:ind w:right="174"/>
              <w:spacing w:after="0"/>
              <w:rPr>
                <w:sz w:val="20"/>
                <w:szCs w:val="20"/>
                <w:color w:val="auto"/>
              </w:rPr>
            </w:pPr>
            <w:r>
              <w:rPr>
                <w:rFonts w:ascii="Arial" w:cs="Arial" w:eastAsia="Arial" w:hAnsi="Arial"/>
                <w:sz w:val="17"/>
                <w:szCs w:val="17"/>
                <w:b w:val="1"/>
                <w:bCs w:val="1"/>
                <w:color w:val="auto"/>
                <w:w w:val="97"/>
              </w:rPr>
              <w:t>December 31,</w:t>
            </w:r>
          </w:p>
        </w:tc>
      </w:tr>
      <w:tr>
        <w:trPr>
          <w:trHeight w:val="224"/>
        </w:trPr>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r>
      <w:tr>
        <w:trPr>
          <w:trHeight w:val="830"/>
        </w:trPr>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4,241,757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4,489,598</w:t>
            </w:r>
          </w:p>
        </w:tc>
      </w:tr>
      <w:tr>
        <w:trPr>
          <w:trHeight w:val="399"/>
        </w:trPr>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755,931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252,027</w:t>
            </w:r>
          </w:p>
        </w:tc>
      </w:tr>
    </w:tbl>
    <w:p>
      <w:pPr>
        <w:spacing w:after="0" w:line="1" w:lineRule="exact"/>
        <w:rPr>
          <w:sz w:val="20"/>
          <w:szCs w:val="20"/>
          <w:color w:val="auto"/>
        </w:rPr>
      </w:pPr>
    </w:p>
    <w:p>
      <w:pPr>
        <w:sectPr>
          <w:pgSz w:w="11900" w:h="16838" w:orient="portrait"/>
          <w:cols w:equalWidth="0" w:num="2">
            <w:col w:w="7340" w:space="720"/>
            <w:col w:w="3160"/>
          </w:cols>
          <w:pgMar w:left="320" w:top="127" w:right="35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80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investments available for sale</w:t>
            </w:r>
          </w:p>
        </w:tc>
        <w:tc>
          <w:tcPr>
            <w:tcW w:w="4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4,997,688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4,741,625</w:t>
            </w:r>
          </w:p>
        </w:tc>
      </w:tr>
      <w:tr>
        <w:trPr>
          <w:trHeight w:val="218"/>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invested assets</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272,619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257,941</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5,270,307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4,999,566</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Cash</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96,779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81,240</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33,162</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68,332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57,399</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policy acquisition costs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9,910</w:t>
            </w:r>
          </w:p>
        </w:tc>
      </w:tr>
      <w:tr>
        <w:trPr>
          <w:trHeight w:val="168"/>
        </w:trPr>
        <w:tc>
          <w:tcPr>
            <w:tcW w:w="8040" w:type="dxa"/>
            <w:vAlign w:val="bottom"/>
          </w:tcPr>
          <w:p>
            <w:pPr>
              <w:ind w:left="20"/>
              <w:spacing w:after="0" w:line="168" w:lineRule="exact"/>
              <w:rPr>
                <w:sz w:val="20"/>
                <w:szCs w:val="20"/>
                <w:color w:val="auto"/>
              </w:rPr>
            </w:pPr>
            <w:r>
              <w:rPr>
                <w:rFonts w:ascii="Arial" w:cs="Arial" w:eastAsia="Arial" w:hAnsi="Arial"/>
                <w:sz w:val="17"/>
                <w:szCs w:val="17"/>
                <w:color w:val="auto"/>
              </w:rPr>
              <w:t>Property and equipment (at cost, less accumulated depreciation of $70,011 in 2023 and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1"/>
        </w:trPr>
        <w:tc>
          <w:tcPr>
            <w:tcW w:w="8040" w:type="dxa"/>
            <w:vAlign w:val="bottom"/>
          </w:tcPr>
          <w:p>
            <w:pPr>
              <w:ind w:left="260"/>
              <w:spacing w:after="0"/>
              <w:rPr>
                <w:sz w:val="20"/>
                <w:szCs w:val="20"/>
                <w:color w:val="auto"/>
              </w:rPr>
            </w:pPr>
            <w:r>
              <w:rPr>
                <w:rFonts w:ascii="Arial" w:cs="Arial" w:eastAsia="Arial" w:hAnsi="Arial"/>
                <w:sz w:val="17"/>
                <w:szCs w:val="17"/>
                <w:color w:val="auto"/>
              </w:rPr>
              <w:t>$67,352 in 2022)</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40,710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19,571</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federal income tax</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461,386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418,460</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Goodwill and intangible assets, net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64,271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104,489</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6,094,200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5,723,797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2"/>
        </w:trPr>
        <w:tc>
          <w:tcPr>
            <w:tcW w:w="8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Liabilities and Stockholders’ Equity</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040" w:type="dxa"/>
            <w:vAlign w:val="bottom"/>
          </w:tcPr>
          <w:p>
            <w:pPr>
              <w:ind w:left="220"/>
              <w:spacing w:after="0"/>
              <w:rPr>
                <w:sz w:val="20"/>
                <w:szCs w:val="20"/>
                <w:color w:val="auto"/>
              </w:rPr>
            </w:pPr>
            <w:r>
              <w:rPr>
                <w:rFonts w:ascii="Arial" w:cs="Arial" w:eastAsia="Arial" w:hAnsi="Arial"/>
                <w:sz w:val="17"/>
                <w:szCs w:val="17"/>
                <w:color w:val="auto"/>
              </w:rPr>
              <w:t>Reserve for losses and LAE</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241,333</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216,464</w:t>
            </w: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Unearned premium reserve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162,887</w:t>
            </w:r>
          </w:p>
        </w:tc>
      </w:tr>
      <w:tr>
        <w:trPr>
          <w:trHeight w:val="218"/>
        </w:trPr>
        <w:tc>
          <w:tcPr>
            <w:tcW w:w="8040" w:type="dxa"/>
            <w:vAlign w:val="bottom"/>
          </w:tcPr>
          <w:p>
            <w:pPr>
              <w:ind w:left="220"/>
              <w:spacing w:after="0"/>
              <w:rPr>
                <w:sz w:val="20"/>
                <w:szCs w:val="20"/>
                <w:color w:val="auto"/>
              </w:rPr>
            </w:pPr>
            <w:r>
              <w:rPr>
                <w:rFonts w:ascii="Arial" w:cs="Arial" w:eastAsia="Arial" w:hAnsi="Arial"/>
                <w:sz w:val="17"/>
                <w:szCs w:val="17"/>
                <w:color w:val="auto"/>
              </w:rPr>
              <w:t>Net deferred tax liability</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329,721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356,810</w:t>
            </w:r>
          </w:p>
        </w:tc>
      </w:tr>
      <w:tr>
        <w:trPr>
          <w:trHeight w:val="169"/>
        </w:trPr>
        <w:tc>
          <w:tcPr>
            <w:tcW w:w="804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5"/>
              </w:rPr>
              <w:t>Credit facility borrowings (at carrying value, less unamortized deferred costs of $3,344 in 2023 and $4,136 in</w:t>
            </w: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2"/>
        </w:trPr>
        <w:tc>
          <w:tcPr>
            <w:tcW w:w="80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2022)</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420,864</w:t>
            </w:r>
          </w:p>
        </w:tc>
      </w:tr>
      <w:tr>
        <w:trPr>
          <w:trHeight w:val="21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accrued liabilities</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145,771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104,463</w:t>
            </w:r>
          </w:p>
        </w:tc>
      </w:tr>
      <w:tr>
        <w:trPr>
          <w:trHeight w:val="213"/>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1,286,193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1,261,488</w:t>
            </w:r>
          </w:p>
        </w:tc>
      </w:tr>
      <w:tr>
        <w:trPr>
          <w:trHeight w:val="198"/>
        </w:trPr>
        <w:tc>
          <w:tcPr>
            <w:tcW w:w="8040" w:type="dxa"/>
            <w:vAlign w:val="bottom"/>
          </w:tcPr>
          <w:p>
            <w:pPr>
              <w:ind w:left="20"/>
              <w:spacing w:after="0"/>
              <w:rPr>
                <w:sz w:val="20"/>
                <w:szCs w:val="20"/>
                <w:color w:val="auto"/>
              </w:rPr>
            </w:pPr>
            <w:r>
              <w:rPr>
                <w:rFonts w:ascii="Arial" w:cs="Arial" w:eastAsia="Arial" w:hAnsi="Arial"/>
                <w:sz w:val="17"/>
                <w:szCs w:val="17"/>
                <w:color w:val="auto"/>
              </w:rPr>
              <w:t>Commitments and contingencies (see Note 7)</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040" w:type="dxa"/>
            <w:vAlign w:val="bottom"/>
          </w:tcPr>
          <w:p>
            <w:pPr>
              <w:ind w:left="220"/>
              <w:spacing w:after="0"/>
              <w:rPr>
                <w:sz w:val="20"/>
                <w:szCs w:val="20"/>
                <w:color w:val="auto"/>
              </w:rPr>
            </w:pPr>
            <w:r>
              <w:rPr>
                <w:rFonts w:ascii="Arial" w:cs="Arial" w:eastAsia="Arial" w:hAnsi="Arial"/>
                <w:sz w:val="17"/>
                <w:szCs w:val="17"/>
                <w:color w:val="auto"/>
              </w:rPr>
              <w:t>Common shares, $0.015 par value: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9"/>
        </w:trPr>
        <w:tc>
          <w:tcPr>
            <w:tcW w:w="8040" w:type="dxa"/>
            <w:vAlign w:val="bottom"/>
            <w:shd w:val="clear" w:color="auto" w:fill="CCEEFF"/>
          </w:tcPr>
          <w:p>
            <w:pPr>
              <w:ind w:left="420"/>
              <w:spacing w:after="0" w:line="169" w:lineRule="exact"/>
              <w:rPr>
                <w:sz w:val="20"/>
                <w:szCs w:val="20"/>
                <w:color w:val="auto"/>
              </w:rPr>
            </w:pPr>
            <w:r>
              <w:rPr>
                <w:rFonts w:ascii="Arial" w:cs="Arial" w:eastAsia="Arial" w:hAnsi="Arial"/>
                <w:sz w:val="17"/>
                <w:szCs w:val="17"/>
                <w:color w:val="auto"/>
              </w:rPr>
              <w:t>Authorized - 233,333; issued and outstanding - 106,887 shares in 2023 and 107,683</w:t>
            </w: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2"/>
        </w:trPr>
        <w:tc>
          <w:tcPr>
            <w:tcW w:w="8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shares in 2022</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w:t>
            </w:r>
          </w:p>
        </w:tc>
      </w:tr>
      <w:tr>
        <w:trPr>
          <w:trHeight w:val="218"/>
        </w:trPr>
        <w:tc>
          <w:tcPr>
            <w:tcW w:w="80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1,309,717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1,350,377</w:t>
            </w: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(382,790)</w:t>
            </w:r>
          </w:p>
        </w:tc>
      </w:tr>
      <w:tr>
        <w:trPr>
          <w:trHeight w:val="21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earnings</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3,933,070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3,493,107</w:t>
            </w:r>
          </w:p>
        </w:tc>
      </w:tr>
      <w:tr>
        <w:trPr>
          <w:trHeight w:val="212"/>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stockholders’ equity</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4,808,007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4,462,309</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6,094,200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5,723,797</w:t>
            </w:r>
          </w:p>
        </w:tc>
      </w:tr>
      <w:tr>
        <w:trPr>
          <w:trHeight w:val="20"/>
        </w:trPr>
        <w:tc>
          <w:tcPr>
            <w:tcW w:w="8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240,574</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209,230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656,095</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619,303</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Decrease in unearned premiums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15,972</w:t>
            </w:r>
          </w:p>
        </w:tc>
        <w:tc>
          <w:tcPr>
            <w:tcW w:w="0" w:type="dxa"/>
            <w:vAlign w:val="bottom"/>
          </w:tcPr>
          <w:p>
            <w:pPr>
              <w:spacing w:after="0"/>
              <w:rPr>
                <w:sz w:val="1"/>
                <w:szCs w:val="1"/>
                <w:color w:val="auto"/>
              </w:rPr>
            </w:pPr>
          </w:p>
        </w:tc>
      </w:tr>
      <w:tr>
        <w:trPr>
          <w:trHeight w:val="211"/>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246,805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671,292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635,275</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86,613</w:t>
            </w:r>
          </w:p>
        </w:tc>
        <w:tc>
          <w:tcPr>
            <w:tcW w:w="0" w:type="dxa"/>
            <w:vAlign w:val="bottom"/>
          </w:tcPr>
          <w:p>
            <w:pPr>
              <w:spacing w:after="0"/>
              <w:rPr>
                <w:sz w:val="1"/>
                <w:szCs w:val="1"/>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Realized investment losses, net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(7,648)</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other invested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36,275</w:t>
            </w:r>
          </w:p>
        </w:tc>
        <w:tc>
          <w:tcPr>
            <w:tcW w:w="0" w:type="dxa"/>
            <w:vAlign w:val="bottom"/>
          </w:tcPr>
          <w:p>
            <w:pPr>
              <w:spacing w:after="0"/>
              <w:rPr>
                <w:sz w:val="1"/>
                <w:szCs w:val="1"/>
                <w:color w:val="auto"/>
              </w:rPr>
            </w:pPr>
          </w:p>
        </w:tc>
      </w:tr>
      <w:tr>
        <w:trPr>
          <w:trHeight w:val="218"/>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20,272</w:t>
            </w:r>
          </w:p>
        </w:tc>
        <w:tc>
          <w:tcPr>
            <w:tcW w:w="0" w:type="dxa"/>
            <w:vAlign w:val="bottom"/>
          </w:tcPr>
          <w:p>
            <w:pPr>
              <w:spacing w:after="0"/>
              <w:rPr>
                <w:sz w:val="1"/>
                <w:szCs w:val="1"/>
                <w:color w:val="auto"/>
              </w:rPr>
            </w:pPr>
          </w:p>
        </w:tc>
      </w:tr>
      <w:tr>
        <w:trPr>
          <w:trHeight w:val="212"/>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296,108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812,482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770,787</w:t>
            </w:r>
          </w:p>
        </w:tc>
        <w:tc>
          <w:tcPr>
            <w:tcW w:w="0" w:type="dxa"/>
            <w:vAlign w:val="bottom"/>
          </w:tcPr>
          <w:p>
            <w:pPr>
              <w:spacing w:after="0"/>
              <w:rPr>
                <w:sz w:val="1"/>
                <w:szCs w:val="1"/>
                <w:color w:val="auto"/>
              </w:rPr>
            </w:pPr>
          </w:p>
        </w:tc>
      </w:tr>
      <w:tr>
        <w:trPr>
          <w:trHeight w:val="226"/>
        </w:trPr>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Provision (benefit) for losses and LAE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10,822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(178,805)</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124,838</w:t>
            </w:r>
          </w:p>
        </w:tc>
        <w:tc>
          <w:tcPr>
            <w:tcW w:w="0" w:type="dxa"/>
            <w:vAlign w:val="bottom"/>
          </w:tcPr>
          <w:p>
            <w:pPr>
              <w:spacing w:after="0"/>
              <w:rPr>
                <w:sz w:val="1"/>
                <w:szCs w:val="1"/>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Premiums retained by agents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0" w:type="dxa"/>
            <w:vAlign w:val="bottom"/>
          </w:tcPr>
          <w:p>
            <w:pPr>
              <w:spacing w:after="0"/>
              <w:rPr>
                <w:sz w:val="1"/>
                <w:szCs w:val="1"/>
                <w:color w:val="auto"/>
              </w:rPr>
            </w:pPr>
          </w:p>
        </w:tc>
      </w:tr>
      <w:tr>
        <w:trPr>
          <w:trHeight w:val="211"/>
        </w:trPr>
        <w:tc>
          <w:tcPr>
            <w:tcW w:w="5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b w:val="1"/>
                <w:bCs w:val="1"/>
                <w:color w:val="auto"/>
              </w:rPr>
              <w:t>Total losses and expenses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192,444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(44,404)</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210,921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620,038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815,191</w:t>
            </w:r>
          </w:p>
        </w:tc>
        <w:tc>
          <w:tcPr>
            <w:tcW w:w="0" w:type="dxa"/>
            <w:vAlign w:val="bottom"/>
          </w:tcPr>
          <w:p>
            <w:pPr>
              <w:spacing w:after="0"/>
              <w:rPr>
                <w:sz w:val="1"/>
                <w:szCs w:val="1"/>
                <w:color w:val="auto"/>
              </w:rPr>
            </w:pPr>
          </w:p>
        </w:tc>
      </w:tr>
      <w:tr>
        <w:trPr>
          <w:trHeight w:val="21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131,204</w:t>
            </w:r>
          </w:p>
        </w:tc>
        <w:tc>
          <w:tcPr>
            <w:tcW w:w="0" w:type="dxa"/>
            <w:vAlign w:val="bottom"/>
          </w:tcPr>
          <w:p>
            <w:pPr>
              <w:spacing w:after="0"/>
              <w:rPr>
                <w:sz w:val="1"/>
                <w:szCs w:val="1"/>
                <w:color w:val="auto"/>
              </w:rPr>
            </w:pPr>
          </w:p>
        </w:tc>
      </w:tr>
      <w:tr>
        <w:trPr>
          <w:trHeight w:val="213"/>
        </w:trPr>
        <w:tc>
          <w:tcPr>
            <w:tcW w:w="5240" w:type="dxa"/>
            <w:vAlign w:val="bottom"/>
            <w:gridSpan w:val="2"/>
          </w:tcPr>
          <w:p>
            <w:pPr>
              <w:ind w:left="22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178,051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521,019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683,987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18"/>
        </w:trPr>
        <w:tc>
          <w:tcPr>
            <w:tcW w:w="5240" w:type="dxa"/>
            <w:vAlign w:val="bottom"/>
            <w:gridSpan w:val="2"/>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6.35</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Weighted average shares outstanding: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107,314</w:t>
            </w:r>
          </w:p>
        </w:tc>
        <w:tc>
          <w:tcPr>
            <w:tcW w:w="0" w:type="dxa"/>
            <w:vAlign w:val="bottom"/>
          </w:tcPr>
          <w:p>
            <w:pPr>
              <w:spacing w:after="0"/>
              <w:rPr>
                <w:sz w:val="1"/>
                <w:szCs w:val="1"/>
                <w:color w:val="auto"/>
              </w:rPr>
            </w:pPr>
          </w:p>
        </w:tc>
      </w:tr>
      <w:tr>
        <w:trPr>
          <w:trHeight w:val="218"/>
        </w:trPr>
        <w:tc>
          <w:tcPr>
            <w:tcW w:w="5240" w:type="dxa"/>
            <w:vAlign w:val="bottom"/>
            <w:gridSpan w:val="2"/>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107,337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107,232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107,732</w:t>
            </w:r>
          </w:p>
        </w:tc>
        <w:tc>
          <w:tcPr>
            <w:tcW w:w="0" w:type="dxa"/>
            <w:vAlign w:val="bottom"/>
          </w:tcPr>
          <w:p>
            <w:pPr>
              <w:spacing w:after="0"/>
              <w:rPr>
                <w:sz w:val="1"/>
                <w:szCs w:val="1"/>
                <w:color w:val="auto"/>
              </w:rPr>
            </w:pPr>
          </w:p>
        </w:tc>
      </w:tr>
      <w:tr>
        <w:trPr>
          <w:trHeight w:val="246"/>
        </w:trPr>
        <w:tc>
          <w:tcPr>
            <w:tcW w:w="5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177,959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178,051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521,019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683,987</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240" w:type="dxa"/>
            <w:vAlign w:val="bottom"/>
            <w:gridSpan w:val="2"/>
            <w:shd w:val="clear" w:color="auto" w:fill="CCEEFF"/>
          </w:tcPr>
          <w:p>
            <w:pPr>
              <w:ind w:left="160"/>
              <w:spacing w:after="0" w:line="168" w:lineRule="exact"/>
              <w:rPr>
                <w:sz w:val="20"/>
                <w:szCs w:val="20"/>
                <w:color w:val="auto"/>
              </w:rPr>
            </w:pPr>
            <w:r>
              <w:rPr>
                <w:rFonts w:ascii="Arial" w:cs="Arial" w:eastAsia="Arial" w:hAnsi="Arial"/>
                <w:sz w:val="17"/>
                <w:szCs w:val="17"/>
                <w:color w:val="auto"/>
                <w:w w:val="94"/>
              </w:rPr>
              <w:t>Change in unrealized appreciation (depreciation) of investments, net of</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40" w:type="dxa"/>
            <w:vAlign w:val="bottom"/>
            <w:gridSpan w:val="2"/>
            <w:shd w:val="clear" w:color="auto" w:fill="CCEEFF"/>
          </w:tcPr>
          <w:p>
            <w:pPr>
              <w:ind w:left="400"/>
              <w:spacing w:after="0" w:line="167" w:lineRule="exact"/>
              <w:rPr>
                <w:sz w:val="20"/>
                <w:szCs w:val="20"/>
                <w:color w:val="auto"/>
              </w:rPr>
            </w:pPr>
            <w:r>
              <w:rPr>
                <w:rFonts w:ascii="Arial" w:cs="Arial" w:eastAsia="Arial" w:hAnsi="Arial"/>
                <w:sz w:val="17"/>
                <w:szCs w:val="17"/>
                <w:color w:val="auto"/>
                <w:w w:val="93"/>
              </w:rPr>
              <w:t>tax expense (benefit) of ($12,800) and ($22,000) in the three months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gridSpan w:val="2"/>
            <w:shd w:val="clear" w:color="auto" w:fill="CCEEFF"/>
          </w:tcPr>
          <w:p>
            <w:pPr>
              <w:ind w:left="400"/>
              <w:spacing w:after="0" w:line="180" w:lineRule="exact"/>
              <w:rPr>
                <w:sz w:val="20"/>
                <w:szCs w:val="20"/>
                <w:color w:val="auto"/>
              </w:rPr>
            </w:pPr>
            <w:r>
              <w:rPr>
                <w:rFonts w:ascii="Arial" w:cs="Arial" w:eastAsia="Arial" w:hAnsi="Arial"/>
                <w:sz w:val="17"/>
                <w:szCs w:val="17"/>
                <w:color w:val="auto"/>
                <w:w w:val="94"/>
              </w:rPr>
              <w:t>ended September 30, 2023 and 2022 and $(8,418) and ($82,132) in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the nine months ended September 30, 2023 and 2022.</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(474,284)</w:t>
            </w:r>
          </w:p>
        </w:tc>
        <w:tc>
          <w:tcPr>
            <w:tcW w:w="0" w:type="dxa"/>
            <w:vAlign w:val="bottom"/>
          </w:tcPr>
          <w:p>
            <w:pPr>
              <w:spacing w:after="0"/>
              <w:rPr>
                <w:sz w:val="1"/>
                <w:szCs w:val="1"/>
                <w:color w:val="auto"/>
              </w:rPr>
            </w:pPr>
          </w:p>
        </w:tc>
      </w:tr>
      <w:tr>
        <w:trPr>
          <w:trHeight w:val="211"/>
        </w:trPr>
        <w:tc>
          <w:tcPr>
            <w:tcW w:w="5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Total other comprehensive income loss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(76,248)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(474,284)</w:t>
            </w:r>
          </w:p>
        </w:tc>
        <w:tc>
          <w:tcPr>
            <w:tcW w:w="0" w:type="dxa"/>
            <w:vAlign w:val="bottom"/>
          </w:tcPr>
          <w:p>
            <w:pPr>
              <w:spacing w:after="0"/>
              <w:rPr>
                <w:sz w:val="1"/>
                <w:szCs w:val="1"/>
                <w:color w:val="auto"/>
              </w:rPr>
            </w:pPr>
          </w:p>
        </w:tc>
      </w:tr>
      <w:tr>
        <w:trPr>
          <w:trHeight w:val="238"/>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467,426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209,703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5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4"/>
        </w:trPr>
        <w:tc>
          <w:tcPr>
            <w:tcW w:w="5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1,605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1,615</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1,615</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1,641</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8"/>
        </w:trPr>
        <w:tc>
          <w:tcPr>
            <w:tcW w:w="5680" w:type="dxa"/>
            <w:vAlign w:val="bottom"/>
            <w:gridSpan w:val="2"/>
          </w:tcPr>
          <w:p>
            <w:pPr>
              <w:ind w:left="220"/>
              <w:spacing w:after="0"/>
              <w:rPr>
                <w:sz w:val="20"/>
                <w:szCs w:val="20"/>
                <w:color w:val="auto"/>
              </w:rPr>
            </w:pPr>
            <w:r>
              <w:rPr>
                <w:rFonts w:ascii="Arial" w:cs="Arial" w:eastAsia="Arial" w:hAnsi="Arial"/>
                <w:sz w:val="17"/>
                <w:szCs w:val="17"/>
                <w:color w:val="auto"/>
              </w:rPr>
              <w:t>Cancellation of treasury stock</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32"/>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1,309,834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1,340,650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1,350,377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1,428,952</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18"/>
        </w:trPr>
        <w:tc>
          <w:tcPr>
            <w:tcW w:w="5680" w:type="dxa"/>
            <w:vAlign w:val="bottom"/>
            <w:gridSpan w:val="2"/>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13,707</w:t>
            </w:r>
          </w:p>
        </w:tc>
        <w:tc>
          <w:tcPr>
            <w:tcW w:w="0" w:type="dxa"/>
            <w:vAlign w:val="bottom"/>
          </w:tcPr>
          <w:p>
            <w:pPr>
              <w:spacing w:after="0"/>
              <w:rPr>
                <w:sz w:val="1"/>
                <w:szCs w:val="1"/>
                <w:color w:val="auto"/>
              </w:rPr>
            </w:pPr>
          </w:p>
        </w:tc>
      </w:tr>
      <w:tr>
        <w:trPr>
          <w:trHeight w:val="218"/>
        </w:trPr>
        <w:tc>
          <w:tcPr>
            <w:tcW w:w="5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Cancellation of treasury stock</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(97,735)</w:t>
            </w:r>
          </w:p>
        </w:tc>
        <w:tc>
          <w:tcPr>
            <w:tcW w:w="0" w:type="dxa"/>
            <w:vAlign w:val="bottom"/>
          </w:tcPr>
          <w:p>
            <w:pPr>
              <w:spacing w:after="0"/>
              <w:rPr>
                <w:sz w:val="1"/>
                <w:szCs w:val="1"/>
                <w:color w:val="auto"/>
              </w:rPr>
            </w:pPr>
          </w:p>
        </w:tc>
      </w:tr>
      <w:tr>
        <w:trPr>
          <w:trHeight w:val="21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1,309,717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1,345,598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1,309,717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1,345,598</w:t>
            </w:r>
          </w:p>
        </w:tc>
        <w:tc>
          <w:tcPr>
            <w:tcW w:w="0" w:type="dxa"/>
            <w:vAlign w:val="bottom"/>
          </w:tcPr>
          <w:p>
            <w:pPr>
              <w:spacing w:after="0"/>
              <w:rPr>
                <w:sz w:val="1"/>
                <w:szCs w:val="1"/>
                <w:color w:val="auto"/>
              </w:rPr>
            </w:pPr>
          </w:p>
        </w:tc>
      </w:tr>
      <w:tr>
        <w:trPr>
          <w:trHeight w:val="32"/>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(360,135)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(286,567)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(382,790)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50,707</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(474,284)</w:t>
            </w:r>
          </w:p>
        </w:tc>
        <w:tc>
          <w:tcPr>
            <w:tcW w:w="0" w:type="dxa"/>
            <w:vAlign w:val="bottom"/>
          </w:tcPr>
          <w:p>
            <w:pPr>
              <w:spacing w:after="0"/>
              <w:rPr>
                <w:sz w:val="1"/>
                <w:szCs w:val="1"/>
                <w:color w:val="auto"/>
              </w:rPr>
            </w:pPr>
          </w:p>
        </w:tc>
      </w:tr>
      <w:tr>
        <w:trPr>
          <w:trHeight w:val="249"/>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period</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(436,383)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(423,577)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(436,383)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(423,577)</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Retained Earnings</w:t>
            </w: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3,782,048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3,493,107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2,754,814</w:t>
            </w:r>
          </w:p>
        </w:tc>
        <w:tc>
          <w:tcPr>
            <w:tcW w:w="0" w:type="dxa"/>
            <w:vAlign w:val="bottom"/>
          </w:tcPr>
          <w:p>
            <w:pPr>
              <w:spacing w:after="0"/>
              <w:rPr>
                <w:sz w:val="1"/>
                <w:szCs w:val="1"/>
                <w:color w:val="auto"/>
              </w:rPr>
            </w:pPr>
          </w:p>
        </w:tc>
      </w:tr>
      <w:tr>
        <w:trPr>
          <w:trHeight w:val="218"/>
        </w:trPr>
        <w:tc>
          <w:tcPr>
            <w:tcW w:w="5680" w:type="dxa"/>
            <w:vAlign w:val="bottom"/>
            <w:gridSpan w:val="2"/>
          </w:tcPr>
          <w:p>
            <w:pPr>
              <w:ind w:left="220"/>
              <w:spacing w:after="0"/>
              <w:rPr>
                <w:sz w:val="20"/>
                <w:szCs w:val="20"/>
                <w:color w:val="auto"/>
              </w:rPr>
            </w:pPr>
            <w:r>
              <w:rPr>
                <w:rFonts w:ascii="Arial" w:cs="Arial" w:eastAsia="Arial" w:hAnsi="Arial"/>
                <w:sz w:val="17"/>
                <w:szCs w:val="17"/>
                <w:color w:val="auto"/>
              </w:rPr>
              <w:t>Net income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177,959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178,051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521,019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683,987</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(68,229)</w:t>
            </w:r>
          </w:p>
        </w:tc>
        <w:tc>
          <w:tcPr>
            <w:tcW w:w="0" w:type="dxa"/>
            <w:vAlign w:val="bottom"/>
          </w:tcPr>
          <w:p>
            <w:pPr>
              <w:spacing w:after="0"/>
              <w:rPr>
                <w:sz w:val="1"/>
                <w:szCs w:val="1"/>
                <w:color w:val="auto"/>
              </w:rPr>
            </w:pPr>
          </w:p>
        </w:tc>
      </w:tr>
      <w:tr>
        <w:trPr>
          <w:trHeight w:val="249"/>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period</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3,933,070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3,370,572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3,933,070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3,370,572</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Treasury Stock</w:t>
            </w: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680" w:type="dxa"/>
            <w:vAlign w:val="bottom"/>
            <w:gridSpan w:val="2"/>
          </w:tcPr>
          <w:p>
            <w:pPr>
              <w:ind w:left="220"/>
              <w:spacing w:after="0"/>
              <w:rPr>
                <w:sz w:val="20"/>
                <w:szCs w:val="20"/>
                <w:color w:val="auto"/>
              </w:rPr>
            </w:pPr>
            <w:r>
              <w:rPr>
                <w:rFonts w:ascii="Arial" w:cs="Arial" w:eastAsia="Arial" w:hAnsi="Arial"/>
                <w:sz w:val="17"/>
                <w:szCs w:val="17"/>
                <w:color w:val="auto"/>
              </w:rPr>
              <w:t>Treasury stock acquired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(55,870)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(97,770)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Cancellation of treasury stock</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97,770</w:t>
            </w:r>
          </w:p>
        </w:tc>
        <w:tc>
          <w:tcPr>
            <w:tcW w:w="0" w:type="dxa"/>
            <w:vAlign w:val="bottom"/>
          </w:tcPr>
          <w:p>
            <w:pPr>
              <w:spacing w:after="0"/>
              <w:rPr>
                <w:sz w:val="1"/>
                <w:szCs w:val="1"/>
                <w:color w:val="auto"/>
              </w:rPr>
            </w:pPr>
          </w:p>
        </w:tc>
      </w:tr>
      <w:tr>
        <w:trPr>
          <w:trHeight w:val="244"/>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Balance, end of period</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4,808,007</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4,294,208</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4,808,007</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4,294,208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4"/>
        </w:trPr>
        <w:tc>
          <w:tcPr>
            <w:tcW w:w="8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6"/>
        </w:trPr>
        <w:tc>
          <w:tcPr>
            <w:tcW w:w="8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521,019</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683,987</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Loss on the sale of investments, net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7,648</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Loss (income) from other invested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(36,275)</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Distribution of income from other invested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11,149</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2,230</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Stock-based compensation expense</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13,939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13,707</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Amortization of premium on investment securities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14,654</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Deferred income tax provision</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(19,583)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49,106</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Change in: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ind w:left="440"/>
              <w:spacing w:after="0"/>
              <w:rPr>
                <w:sz w:val="20"/>
                <w:szCs w:val="20"/>
                <w:color w:val="auto"/>
              </w:rPr>
            </w:pPr>
            <w:r>
              <w:rPr>
                <w:rFonts w:ascii="Arial" w:cs="Arial" w:eastAsia="Arial" w:hAnsi="Arial"/>
                <w:sz w:val="15"/>
                <w:szCs w:val="15"/>
                <w:color w:val="auto"/>
              </w:rPr>
              <w:t>Accrued investment income</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(3,052)</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(11,811)</w:t>
            </w:r>
          </w:p>
        </w:tc>
        <w:tc>
          <w:tcPr>
            <w:tcW w:w="0" w:type="dxa"/>
            <w:vAlign w:val="bottom"/>
          </w:tcPr>
          <w:p>
            <w:pPr>
              <w:spacing w:after="0"/>
              <w:rPr>
                <w:sz w:val="1"/>
                <w:szCs w:val="1"/>
                <w:color w:val="auto"/>
              </w:rPr>
            </w:pPr>
          </w:p>
        </w:tc>
      </w:tr>
      <w:tr>
        <w:trPr>
          <w:trHeight w:val="203"/>
        </w:trPr>
        <w:tc>
          <w:tcPr>
            <w:tcW w:w="8100" w:type="dxa"/>
            <w:vAlign w:val="bottom"/>
            <w:gridSpan w:val="2"/>
          </w:tcPr>
          <w:p>
            <w:pPr>
              <w:ind w:left="440"/>
              <w:spacing w:after="0"/>
              <w:rPr>
                <w:sz w:val="20"/>
                <w:szCs w:val="20"/>
                <w:color w:val="auto"/>
              </w:rPr>
            </w:pPr>
            <w:r>
              <w:rPr>
                <w:rFonts w:ascii="Arial" w:cs="Arial" w:eastAsia="Arial" w:hAnsi="Arial"/>
                <w:sz w:val="15"/>
                <w:szCs w:val="15"/>
                <w:color w:val="auto"/>
              </w:rPr>
              <w:t>Deferred policy acquisition costs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1,770</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Prepaid federal income tax</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(45,100)</w:t>
            </w:r>
          </w:p>
        </w:tc>
        <w:tc>
          <w:tcPr>
            <w:tcW w:w="0" w:type="dxa"/>
            <w:vAlign w:val="bottom"/>
          </w:tcPr>
          <w:p>
            <w:pPr>
              <w:spacing w:after="0"/>
              <w:rPr>
                <w:sz w:val="1"/>
                <w:szCs w:val="1"/>
                <w:color w:val="auto"/>
              </w:rPr>
            </w:pPr>
          </w:p>
        </w:tc>
      </w:tr>
      <w:tr>
        <w:trPr>
          <w:trHeight w:val="203"/>
        </w:trPr>
        <w:tc>
          <w:tcPr>
            <w:tcW w:w="8100" w:type="dxa"/>
            <w:vAlign w:val="bottom"/>
            <w:gridSpan w:val="2"/>
          </w:tcPr>
          <w:p>
            <w:pPr>
              <w:ind w:left="440"/>
              <w:spacing w:after="0"/>
              <w:rPr>
                <w:sz w:val="20"/>
                <w:szCs w:val="20"/>
                <w:color w:val="auto"/>
              </w:rPr>
            </w:pPr>
            <w:r>
              <w:rPr>
                <w:rFonts w:ascii="Arial" w:cs="Arial" w:eastAsia="Arial" w:hAnsi="Arial"/>
                <w:sz w:val="15"/>
                <w:szCs w:val="15"/>
                <w:color w:val="auto"/>
              </w:rPr>
              <w:t>Other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66,599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(50,722)</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Reserve for losses and LAE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(194,951)</w:t>
            </w:r>
          </w:p>
        </w:tc>
        <w:tc>
          <w:tcPr>
            <w:tcW w:w="0" w:type="dxa"/>
            <w:vAlign w:val="bottom"/>
          </w:tcPr>
          <w:p>
            <w:pPr>
              <w:spacing w:after="0"/>
              <w:rPr>
                <w:sz w:val="1"/>
                <w:szCs w:val="1"/>
                <w:color w:val="auto"/>
              </w:rPr>
            </w:pPr>
          </w:p>
        </w:tc>
      </w:tr>
      <w:tr>
        <w:trPr>
          <w:trHeight w:val="203"/>
        </w:trPr>
        <w:tc>
          <w:tcPr>
            <w:tcW w:w="8100" w:type="dxa"/>
            <w:vAlign w:val="bottom"/>
            <w:gridSpan w:val="2"/>
          </w:tcPr>
          <w:p>
            <w:pPr>
              <w:ind w:left="440"/>
              <w:spacing w:after="0"/>
              <w:rPr>
                <w:sz w:val="20"/>
                <w:szCs w:val="20"/>
                <w:color w:val="auto"/>
              </w:rPr>
            </w:pPr>
            <w:r>
              <w:rPr>
                <w:rFonts w:ascii="Arial" w:cs="Arial" w:eastAsia="Arial" w:hAnsi="Arial"/>
                <w:sz w:val="15"/>
                <w:szCs w:val="15"/>
                <w:color w:val="auto"/>
              </w:rPr>
              <w:t>Unearned premium reserve</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(15,197)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(15,972)</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Other 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(9,912)</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547,548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416,456</w:t>
            </w:r>
          </w:p>
        </w:tc>
        <w:tc>
          <w:tcPr>
            <w:tcW w:w="0" w:type="dxa"/>
            <w:vAlign w:val="bottom"/>
          </w:tcPr>
          <w:p>
            <w:pPr>
              <w:spacing w:after="0"/>
              <w:rPr>
                <w:sz w:val="1"/>
                <w:szCs w:val="1"/>
                <w:color w:val="auto"/>
              </w:rPr>
            </w:pPr>
          </w:p>
        </w:tc>
      </w:tr>
      <w:tr>
        <w:trPr>
          <w:trHeight w:val="86"/>
        </w:trPr>
        <w:tc>
          <w:tcPr>
            <w:tcW w:w="8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100" w:type="dxa"/>
            <w:vAlign w:val="bottom"/>
            <w:gridSpan w:val="2"/>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Net change in short-term investments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(482,796)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(18,052)</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Purchase of investments available for sale</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(858,678)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(1,022,095)</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Proceeds from maturity of investments available for sale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591,403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183,232</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Proceeds from sales of investments available for sale</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468,537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673,945</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Purchase of other invested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(69,019)</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Return of investment from other invested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1,490</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Net cash paid for acquisitions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Purchase of property and equipment</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(2,511)</w:t>
            </w:r>
          </w:p>
        </w:tc>
        <w:tc>
          <w:tcPr>
            <w:tcW w:w="0" w:type="dxa"/>
            <w:vAlign w:val="bottom"/>
          </w:tcPr>
          <w:p>
            <w:pPr>
              <w:spacing w:after="0"/>
              <w:rPr>
                <w:sz w:val="1"/>
                <w:szCs w:val="1"/>
                <w:color w:val="auto"/>
              </w:rPr>
            </w:pPr>
          </w:p>
        </w:tc>
      </w:tr>
      <w:tr>
        <w:trPr>
          <w:trHeight w:val="19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(396,342)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(253,010)</w:t>
            </w:r>
          </w:p>
        </w:tc>
        <w:tc>
          <w:tcPr>
            <w:tcW w:w="0" w:type="dxa"/>
            <w:vAlign w:val="bottom"/>
          </w:tcPr>
          <w:p>
            <w:pPr>
              <w:spacing w:after="0"/>
              <w:rPr>
                <w:sz w:val="1"/>
                <w:szCs w:val="1"/>
                <w:color w:val="auto"/>
              </w:rPr>
            </w:pPr>
          </w:p>
        </w:tc>
      </w:tr>
      <w:tr>
        <w:trPr>
          <w:trHeight w:val="86"/>
        </w:trPr>
        <w:tc>
          <w:tcPr>
            <w:tcW w:w="8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ind w:left="220"/>
              <w:spacing w:after="0"/>
              <w:rPr>
                <w:sz w:val="20"/>
                <w:szCs w:val="20"/>
                <w:color w:val="auto"/>
              </w:rPr>
            </w:pPr>
            <w:r>
              <w:rPr>
                <w:rFonts w:ascii="Arial" w:cs="Arial" w:eastAsia="Arial" w:hAnsi="Arial"/>
                <w:sz w:val="15"/>
                <w:szCs w:val="15"/>
                <w:color w:val="auto"/>
              </w:rPr>
              <w:t>Treasury stock acquired</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(55,870)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(97,770)</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Payment of issuance costs for credit facility</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Dividends paid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(79,797)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(67,546)</w:t>
            </w:r>
          </w:p>
        </w:tc>
        <w:tc>
          <w:tcPr>
            <w:tcW w:w="0" w:type="dxa"/>
            <w:vAlign w:val="bottom"/>
          </w:tcPr>
          <w:p>
            <w:pPr>
              <w:spacing w:after="0"/>
              <w:rPr>
                <w:sz w:val="1"/>
                <w:szCs w:val="1"/>
                <w:color w:val="auto"/>
              </w:rPr>
            </w:pPr>
          </w:p>
        </w:tc>
      </w:tr>
      <w:tr>
        <w:trPr>
          <w:trHeight w:val="19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(135,667)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(165,470)</w:t>
            </w:r>
          </w:p>
        </w:tc>
        <w:tc>
          <w:tcPr>
            <w:tcW w:w="0" w:type="dxa"/>
            <w:vAlign w:val="bottom"/>
          </w:tcPr>
          <w:p>
            <w:pPr>
              <w:spacing w:after="0"/>
              <w:rPr>
                <w:sz w:val="1"/>
                <w:szCs w:val="1"/>
                <w:color w:val="auto"/>
              </w:rPr>
            </w:pPr>
          </w:p>
        </w:tc>
      </w:tr>
      <w:tr>
        <w:trPr>
          <w:trHeight w:val="86"/>
        </w:trPr>
        <w:tc>
          <w:tcPr>
            <w:tcW w:w="8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increase (decrease) in cash</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at beginning of year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81,240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81,491</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at end of period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96,779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79,467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8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ind w:left="20"/>
              <w:spacing w:after="0"/>
              <w:rPr>
                <w:sz w:val="20"/>
                <w:szCs w:val="20"/>
                <w:color w:val="auto"/>
              </w:rPr>
            </w:pPr>
            <w:r>
              <w:rPr>
                <w:rFonts w:ascii="Arial" w:cs="Arial" w:eastAsia="Arial" w:hAnsi="Arial"/>
                <w:sz w:val="15"/>
                <w:szCs w:val="15"/>
                <w:color w:val="auto"/>
              </w:rPr>
              <w:t>Income tax payments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(53,337)</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(73,226)</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payments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(8,044)</w:t>
            </w:r>
          </w:p>
        </w:tc>
        <w:tc>
          <w:tcPr>
            <w:tcW w:w="0" w:type="dxa"/>
            <w:vAlign w:val="bottom"/>
          </w:tcPr>
          <w:p>
            <w:pPr>
              <w:spacing w:after="0"/>
              <w:rPr>
                <w:sz w:val="1"/>
                <w:szCs w:val="1"/>
                <w:color w:val="auto"/>
              </w:rPr>
            </w:pPr>
          </w:p>
        </w:tc>
      </w:tr>
      <w:tr>
        <w:trPr>
          <w:trHeight w:val="103"/>
        </w:trPr>
        <w:tc>
          <w:tcPr>
            <w:tcW w:w="8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Noncash Transactions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100" w:type="dxa"/>
            <w:vAlign w:val="bottom"/>
            <w:gridSpan w:val="2"/>
          </w:tcPr>
          <w:p>
            <w:pPr>
              <w:ind w:left="20"/>
              <w:spacing w:after="0"/>
              <w:rPr>
                <w:sz w:val="20"/>
                <w:szCs w:val="20"/>
                <w:color w:val="auto"/>
              </w:rPr>
            </w:pPr>
            <w:r>
              <w:rPr>
                <w:rFonts w:ascii="Arial" w:cs="Arial" w:eastAsia="Arial" w:hAnsi="Arial"/>
                <w:sz w:val="15"/>
                <w:szCs w:val="15"/>
                <w:color w:val="auto"/>
              </w:rPr>
              <w:t>Lease liabilities arising from obtaining right-of-use assets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25,117</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10,096</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880" w:firstLine="619"/>
        <w:spacing w:after="0" w:line="279" w:lineRule="auto"/>
        <w:rPr>
          <w:sz w:val="20"/>
          <w:szCs w:val="20"/>
          <w:color w:val="auto"/>
        </w:rPr>
      </w:pPr>
      <w:r>
        <w:rPr>
          <w:rFonts w:ascii="Arial" w:cs="Arial" w:eastAsia="Arial" w:hAnsi="Arial"/>
          <w:sz w:val="17"/>
          <w:szCs w:val="17"/>
          <w:color w:val="auto"/>
        </w:rPr>
        <w:t>In these notes to condensed consolidated financial statements, “Essent”, “Company”, “we”, “us”, and “our” refer to Essent Group Ltd. and its subsidiaries, unless the context otherwise requires.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 and Basis of Presentation</w:t>
      </w:r>
    </w:p>
    <w:p>
      <w:pPr>
        <w:spacing w:after="0" w:line="22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4"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4"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186"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04" w:lineRule="exact"/>
        <w:rPr>
          <w:sz w:val="20"/>
          <w:szCs w:val="20"/>
          <w:color w:val="auto"/>
        </w:rPr>
      </w:pPr>
    </w:p>
    <w:p>
      <w:pPr>
        <w:jc w:val="both"/>
        <w:ind w:right="480" w:firstLine="619"/>
        <w:spacing w:after="0" w:line="266" w:lineRule="auto"/>
        <w:rPr>
          <w:sz w:val="20"/>
          <w:szCs w:val="20"/>
          <w:color w:val="auto"/>
        </w:rPr>
      </w:pPr>
      <w:r>
        <w:rPr>
          <w:rFonts w:ascii="Arial" w:cs="Arial" w:eastAsia="Arial" w:hAnsi="Arial"/>
          <w:sz w:val="17"/>
          <w:szCs w:val="17"/>
          <w:color w:val="auto"/>
        </w:rPr>
        <w:t>As a result of our acquisitions of Agents National Title Insurance Company and Boston National Holdings LLC on July 1, 2023, we now offer title insurance products and title and settlement services. Our title insurance operations are headquartered in Columbia, Missouri, and we operate our title agency operations in Charlotte, North Carolina and Pittsburgh, Pennsylvania.</w:t>
      </w:r>
    </w:p>
    <w:p>
      <w:pPr>
        <w:spacing w:after="0" w:line="201"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2022,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2023 prior to the issuance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Recently Issued Accounting Standards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Adopted in 2023</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In March 2020, the Financial Accounting Standards Board ("FASB") issued ASU No. 2020-04, </w:t>
      </w:r>
      <w:r>
        <w:rPr>
          <w:rFonts w:ascii="Arial" w:cs="Arial" w:eastAsia="Arial" w:hAnsi="Arial"/>
          <w:sz w:val="15"/>
          <w:szCs w:val="15"/>
          <w:i w:val="1"/>
          <w:iCs w:val="1"/>
          <w:color w:val="auto"/>
        </w:rPr>
        <w:t>Reference Rate Reform (Topic 848): Facilitation of the Effects of</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Reference Rate Reform on Financial Reporting</w:t>
      </w:r>
      <w:r>
        <w:rPr>
          <w:rFonts w:ascii="Arial" w:cs="Arial" w:eastAsia="Arial" w:hAnsi="Arial"/>
          <w:sz w:val="15"/>
          <w:szCs w:val="15"/>
          <w:color w:val="auto"/>
        </w:rPr>
        <w:t>. The amendments in this update provide temporary optional guidance to ease the potential burden in accounting for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(or recognizing the effects of) reference rate reform. It provides optional expedients and exceptions for applying generally accepted accounting principles to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contract, hedging relationships and other transactions affected by reference rate reform if certain criteria are met. This standard may be elected and applied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prospectively over time from March 12, 2020 through December 31, 2024, as amended by ASU 2022-06, as reference rate reform activities occur. The adoption of</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this ASU did not have a material impact on our consolidated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Not Yet Adopted</w:t>
      </w:r>
    </w:p>
    <w:p>
      <w:pPr>
        <w:spacing w:after="0" w:line="243"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 xml:space="preserve">In June 2022, the FASB issued ASU No. 2022-03, </w:t>
      </w:r>
      <w:r>
        <w:rPr>
          <w:rFonts w:ascii="Arial" w:cs="Arial" w:eastAsia="Arial" w:hAnsi="Arial"/>
          <w:sz w:val="16"/>
          <w:szCs w:val="16"/>
          <w:i w:val="1"/>
          <w:iCs w:val="1"/>
          <w:color w:val="auto"/>
        </w:rPr>
        <w:t>Fair Value Measurement (Topic 820): Fair Value Measurement of Equity Securities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Contractual Sale Restrictions</w:t>
      </w:r>
      <w:r>
        <w:rPr>
          <w:rFonts w:ascii="Arial" w:cs="Arial" w:eastAsia="Arial" w:hAnsi="Arial"/>
          <w:sz w:val="16"/>
          <w:szCs w:val="16"/>
          <w:color w:val="auto"/>
        </w:rPr>
        <w:t>. This update clarifies the guidance in ASC 820 on the fair value measurement of an equity security that is subject to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is effective for fiscal years beginning after December 15, 2023, and interim periods within those fiscal years, with early adoption permitted. The adoption of this ASU is not expected to have a material effect on the Company's consolidated operating results or financial position.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Investments available for sale consist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2023 (In thousands)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 (1)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637,536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562,510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 (2)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1,428,873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(148,584)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1,280,433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640,382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(25,718)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614,818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Arial" w:cs="Arial" w:eastAsia="Arial" w:hAnsi="Arial"/>
                <w:sz w:val="17"/>
                <w:szCs w:val="17"/>
                <w:color w:val="auto"/>
              </w:rPr>
              <w:t>Total investments available for sale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5,502,929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(505,845)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4,997,688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center"/>
              <w:ind w:right="197"/>
              <w:spacing w:after="0"/>
              <w:rPr>
                <w:sz w:val="20"/>
                <w:szCs w:val="20"/>
                <w:color w:val="auto"/>
              </w:rPr>
            </w:pPr>
            <w:r>
              <w:rPr>
                <w:rFonts w:ascii="Arial" w:cs="Arial" w:eastAsia="Arial" w:hAnsi="Arial"/>
                <w:sz w:val="17"/>
                <w:szCs w:val="17"/>
                <w:color w:val="auto"/>
                <w:w w:val="84"/>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4"/>
        </w:trPr>
        <w:tc>
          <w:tcPr>
            <w:tcW w:w="47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8"/>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584,173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(28,076)</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U.S. agency securities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49,059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Municipal debt securities (1)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661,934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(61,254)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602,690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Corporate debt securities (2)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1,546,513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(133,387)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1,414,321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Asset-backed securities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660,345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(35,856)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624,561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Total investments available for sale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5,184,856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(447,504)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4,741,625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(1) The following table summarizes municipal debt securities as of :</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37"/>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4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Special revenue bonds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General obligation bonds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allocation bonds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100.0 %</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(2) The following table summarizes corporate debt securities as of :</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37"/>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4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Financial</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Consumer, non-cyclical</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Consumer, cyclical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Industrial</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Utilities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Communications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Energy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Materials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Government</w:t>
            </w: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The amortized cost and fair value of investments available for sale at September 30, 2023,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7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gridSpan w:val="2"/>
          </w:tcPr>
          <w:p>
            <w:pPr>
              <w:ind w:left="220"/>
              <w:spacing w:after="0"/>
              <w:rPr>
                <w:sz w:val="20"/>
                <w:szCs w:val="20"/>
                <w:color w:val="auto"/>
              </w:rPr>
            </w:pPr>
            <w:r>
              <w:rPr>
                <w:rFonts w:ascii="Arial" w:cs="Arial" w:eastAsia="Arial" w:hAnsi="Arial"/>
                <w:sz w:val="17"/>
                <w:szCs w:val="17"/>
                <w:color w:val="auto"/>
              </w:rPr>
              <w:t>Due in 1 year</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526,416</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524,639</w:t>
            </w: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286,589</w:t>
            </w:r>
          </w:p>
        </w:tc>
        <w:tc>
          <w:tcPr>
            <w:tcW w:w="0" w:type="dxa"/>
            <w:vAlign w:val="bottom"/>
          </w:tcPr>
          <w:p>
            <w:pPr>
              <w:spacing w:after="0"/>
              <w:rPr>
                <w:sz w:val="1"/>
                <w:szCs w:val="1"/>
                <w:color w:val="auto"/>
              </w:rPr>
            </w:pPr>
          </w:p>
        </w:tc>
      </w:tr>
      <w:tr>
        <w:trPr>
          <w:trHeight w:val="218"/>
        </w:trPr>
        <w:tc>
          <w:tcPr>
            <w:tcW w:w="7260" w:type="dxa"/>
            <w:vAlign w:val="bottom"/>
            <w:gridSpan w:val="2"/>
          </w:tcPr>
          <w:p>
            <w:pPr>
              <w:ind w:left="220"/>
              <w:spacing w:after="0"/>
              <w:rPr>
                <w:sz w:val="20"/>
                <w:szCs w:val="20"/>
                <w:color w:val="auto"/>
              </w:rPr>
            </w:pPr>
            <w:r>
              <w:rPr>
                <w:rFonts w:ascii="Arial" w:cs="Arial" w:eastAsia="Arial" w:hAnsi="Arial"/>
                <w:sz w:val="17"/>
                <w:szCs w:val="17"/>
                <w:color w:val="auto"/>
              </w:rPr>
              <w:t>Due after 5 but within 10 years</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62,373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55,799</w:t>
            </w: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12,158</w:t>
            </w:r>
          </w:p>
        </w:tc>
        <w:tc>
          <w:tcPr>
            <w:tcW w:w="0" w:type="dxa"/>
            <w:vAlign w:val="bottom"/>
          </w:tcPr>
          <w:p>
            <w:pPr>
              <w:spacing w:after="0"/>
              <w:rPr>
                <w:sz w:val="1"/>
                <w:szCs w:val="1"/>
                <w:color w:val="auto"/>
              </w:rPr>
            </w:pPr>
          </w:p>
        </w:tc>
      </w:tr>
      <w:tr>
        <w:trPr>
          <w:trHeight w:val="211"/>
        </w:trPr>
        <w:tc>
          <w:tcPr>
            <w:tcW w:w="726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909,138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879,185</w:t>
            </w:r>
          </w:p>
        </w:tc>
        <w:tc>
          <w:tcPr>
            <w:tcW w:w="0" w:type="dxa"/>
            <w:vAlign w:val="bottom"/>
          </w:tcPr>
          <w:p>
            <w:pPr>
              <w:spacing w:after="0"/>
              <w:rPr>
                <w:sz w:val="1"/>
                <w:szCs w:val="1"/>
                <w:color w:val="auto"/>
              </w:rPr>
            </w:pPr>
          </w:p>
        </w:tc>
      </w:tr>
      <w:tr>
        <w:trPr>
          <w:trHeight w:val="20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securities:</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Due in 1 year</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7,180</w:t>
            </w:r>
          </w:p>
        </w:tc>
        <w:tc>
          <w:tcPr>
            <w:tcW w:w="0" w:type="dxa"/>
            <w:vAlign w:val="bottom"/>
          </w:tcPr>
          <w:p>
            <w:pPr>
              <w:spacing w:after="0"/>
              <w:rPr>
                <w:sz w:val="1"/>
                <w:szCs w:val="1"/>
                <w:color w:val="auto"/>
              </w:rPr>
            </w:pPr>
          </w:p>
        </w:tc>
      </w:tr>
      <w:tr>
        <w:trPr>
          <w:trHeight w:val="213"/>
        </w:trPr>
        <w:tc>
          <w:tcPr>
            <w:tcW w:w="72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Subtotal</w:t>
            </w: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7,180</w:t>
            </w:r>
          </w:p>
        </w:tc>
        <w:tc>
          <w:tcPr>
            <w:tcW w:w="0" w:type="dxa"/>
            <w:vAlign w:val="bottom"/>
          </w:tcPr>
          <w:p>
            <w:pPr>
              <w:spacing w:after="0"/>
              <w:rPr>
                <w:sz w:val="1"/>
                <w:szCs w:val="1"/>
                <w:color w:val="auto"/>
              </w:rPr>
            </w:pP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in 1 year</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0" w:type="dxa"/>
            <w:vAlign w:val="bottom"/>
          </w:tcPr>
          <w:p>
            <w:pPr>
              <w:spacing w:after="0"/>
              <w:rPr>
                <w:sz w:val="1"/>
                <w:szCs w:val="1"/>
                <w:color w:val="auto"/>
              </w:rPr>
            </w:pPr>
          </w:p>
        </w:tc>
      </w:tr>
      <w:tr>
        <w:trPr>
          <w:trHeight w:val="218"/>
        </w:trPr>
        <w:tc>
          <w:tcPr>
            <w:tcW w:w="7260" w:type="dxa"/>
            <w:vAlign w:val="bottom"/>
            <w:gridSpan w:val="2"/>
          </w:tcPr>
          <w:p>
            <w:pPr>
              <w:ind w:left="220"/>
              <w:spacing w:after="0"/>
              <w:rPr>
                <w:sz w:val="20"/>
                <w:szCs w:val="20"/>
                <w:color w:val="auto"/>
              </w:rPr>
            </w:pPr>
            <w:r>
              <w:rPr>
                <w:rFonts w:ascii="Arial" w:cs="Arial" w:eastAsia="Arial" w:hAnsi="Arial"/>
                <w:sz w:val="17"/>
                <w:szCs w:val="17"/>
                <w:color w:val="auto"/>
              </w:rPr>
              <w:t>Due after 1 but within 5 years</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101,186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96,172</w:t>
            </w: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5 but within 10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153,099</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Due after 10 years</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365,780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310,892</w:t>
            </w:r>
          </w:p>
        </w:tc>
        <w:tc>
          <w:tcPr>
            <w:tcW w:w="0" w:type="dxa"/>
            <w:vAlign w:val="bottom"/>
          </w:tcPr>
          <w:p>
            <w:pPr>
              <w:spacing w:after="0"/>
              <w:rPr>
                <w:sz w:val="1"/>
                <w:szCs w:val="1"/>
                <w:color w:val="auto"/>
              </w:rPr>
            </w:pPr>
          </w:p>
        </w:tc>
      </w:tr>
      <w:tr>
        <w:trPr>
          <w:trHeight w:val="213"/>
        </w:trPr>
        <w:tc>
          <w:tcPr>
            <w:tcW w:w="72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Subtotal</w:t>
            </w: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637,536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562,510</w:t>
            </w:r>
          </w:p>
        </w:tc>
        <w:tc>
          <w:tcPr>
            <w:tcW w:w="0" w:type="dxa"/>
            <w:vAlign w:val="bottom"/>
          </w:tcPr>
          <w:p>
            <w:pPr>
              <w:spacing w:after="0"/>
              <w:rPr>
                <w:sz w:val="1"/>
                <w:szCs w:val="1"/>
                <w:color w:val="auto"/>
              </w:rPr>
            </w:pP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7"/>
                <w:szCs w:val="17"/>
                <w:color w:val="auto"/>
              </w:rPr>
              <w:t>Non-U.S. government securities:</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30,496</w:t>
            </w:r>
          </w:p>
        </w:tc>
        <w:tc>
          <w:tcPr>
            <w:tcW w:w="0" w:type="dxa"/>
            <w:vAlign w:val="bottom"/>
          </w:tcPr>
          <w:p>
            <w:pPr>
              <w:spacing w:after="0"/>
              <w:rPr>
                <w:sz w:val="1"/>
                <w:szCs w:val="1"/>
                <w:color w:val="auto"/>
              </w:rPr>
            </w:pPr>
          </w:p>
        </w:tc>
      </w:tr>
      <w:tr>
        <w:trPr>
          <w:trHeight w:val="218"/>
        </w:trPr>
        <w:tc>
          <w:tcPr>
            <w:tcW w:w="7260" w:type="dxa"/>
            <w:vAlign w:val="bottom"/>
            <w:gridSpan w:val="2"/>
          </w:tcPr>
          <w:p>
            <w:pPr>
              <w:ind w:left="220"/>
              <w:spacing w:after="0"/>
              <w:rPr>
                <w:sz w:val="20"/>
                <w:szCs w:val="20"/>
                <w:color w:val="auto"/>
              </w:rPr>
            </w:pPr>
            <w:r>
              <w:rPr>
                <w:rFonts w:ascii="Arial" w:cs="Arial" w:eastAsia="Arial" w:hAnsi="Arial"/>
                <w:sz w:val="17"/>
                <w:szCs w:val="17"/>
                <w:color w:val="auto"/>
              </w:rPr>
              <w:t>Due after 5 but within 10 years</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5,064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3,945</w:t>
            </w: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14,130</w:t>
            </w:r>
          </w:p>
        </w:tc>
        <w:tc>
          <w:tcPr>
            <w:tcW w:w="0" w:type="dxa"/>
            <w:vAlign w:val="bottom"/>
          </w:tcPr>
          <w:p>
            <w:pPr>
              <w:spacing w:after="0"/>
              <w:rPr>
                <w:sz w:val="1"/>
                <w:szCs w:val="1"/>
                <w:color w:val="auto"/>
              </w:rPr>
            </w:pPr>
          </w:p>
        </w:tc>
      </w:tr>
      <w:tr>
        <w:trPr>
          <w:trHeight w:val="211"/>
        </w:trPr>
        <w:tc>
          <w:tcPr>
            <w:tcW w:w="726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57,407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48,571</w:t>
            </w:r>
          </w:p>
        </w:tc>
        <w:tc>
          <w:tcPr>
            <w:tcW w:w="0" w:type="dxa"/>
            <w:vAlign w:val="bottom"/>
          </w:tcPr>
          <w:p>
            <w:pPr>
              <w:spacing w:after="0"/>
              <w:rPr>
                <w:sz w:val="1"/>
                <w:szCs w:val="1"/>
                <w:color w:val="auto"/>
              </w:rPr>
            </w:pPr>
          </w:p>
        </w:tc>
      </w:tr>
      <w:tr>
        <w:trPr>
          <w:trHeight w:val="20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60" w:type="dxa"/>
            <w:vAlign w:val="bottom"/>
            <w:gridSpan w:val="2"/>
          </w:tcPr>
          <w:p>
            <w:pPr>
              <w:ind w:left="220"/>
              <w:spacing w:after="0"/>
              <w:rPr>
                <w:sz w:val="20"/>
                <w:szCs w:val="20"/>
                <w:color w:val="auto"/>
              </w:rPr>
            </w:pPr>
            <w:r>
              <w:rPr>
                <w:rFonts w:ascii="Arial" w:cs="Arial" w:eastAsia="Arial" w:hAnsi="Arial"/>
                <w:sz w:val="17"/>
                <w:szCs w:val="17"/>
                <w:color w:val="auto"/>
              </w:rPr>
              <w:t>Due in 1 year</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194,084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190,994</w:t>
            </w: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569,356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534,150</w:t>
            </w:r>
          </w:p>
        </w:tc>
        <w:tc>
          <w:tcPr>
            <w:tcW w:w="0" w:type="dxa"/>
            <w:vAlign w:val="bottom"/>
          </w:tcPr>
          <w:p>
            <w:pPr>
              <w:spacing w:after="0"/>
              <w:rPr>
                <w:sz w:val="1"/>
                <w:szCs w:val="1"/>
                <w:color w:val="auto"/>
              </w:rPr>
            </w:pPr>
          </w:p>
        </w:tc>
      </w:tr>
      <w:tr>
        <w:trPr>
          <w:trHeight w:val="218"/>
        </w:trPr>
        <w:tc>
          <w:tcPr>
            <w:tcW w:w="7260" w:type="dxa"/>
            <w:vAlign w:val="bottom"/>
            <w:gridSpan w:val="2"/>
          </w:tcPr>
          <w:p>
            <w:pPr>
              <w:ind w:left="220"/>
              <w:spacing w:after="0"/>
              <w:rPr>
                <w:sz w:val="20"/>
                <w:szCs w:val="20"/>
                <w:color w:val="auto"/>
              </w:rPr>
            </w:pPr>
            <w:r>
              <w:rPr>
                <w:rFonts w:ascii="Arial" w:cs="Arial" w:eastAsia="Arial" w:hAnsi="Arial"/>
                <w:sz w:val="17"/>
                <w:szCs w:val="17"/>
                <w:color w:val="auto"/>
              </w:rPr>
              <w:t>Due after 5 but within 10 years</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483,787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415,847</w:t>
            </w:r>
          </w:p>
        </w:tc>
        <w:tc>
          <w:tcPr>
            <w:tcW w:w="0" w:type="dxa"/>
            <w:vAlign w:val="bottom"/>
          </w:tcPr>
          <w:p>
            <w:pPr>
              <w:spacing w:after="0"/>
              <w:rPr>
                <w:sz w:val="1"/>
                <w:szCs w:val="1"/>
                <w:color w:val="auto"/>
              </w:rPr>
            </w:pPr>
          </w:p>
        </w:tc>
      </w:tr>
      <w:tr>
        <w:trPr>
          <w:trHeight w:val="220"/>
        </w:trPr>
        <w:tc>
          <w:tcPr>
            <w:tcW w:w="7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181,646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139,442</w:t>
            </w:r>
          </w:p>
        </w:tc>
        <w:tc>
          <w:tcPr>
            <w:tcW w:w="0" w:type="dxa"/>
            <w:vAlign w:val="bottom"/>
          </w:tcPr>
          <w:p>
            <w:pPr>
              <w:spacing w:after="0"/>
              <w:rPr>
                <w:sz w:val="1"/>
                <w:szCs w:val="1"/>
                <w:color w:val="auto"/>
              </w:rPr>
            </w:pPr>
          </w:p>
        </w:tc>
      </w:tr>
      <w:tr>
        <w:trPr>
          <w:trHeight w:val="211"/>
        </w:trPr>
        <w:tc>
          <w:tcPr>
            <w:tcW w:w="726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1,428,873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1,280,433</w:t>
            </w:r>
          </w:p>
        </w:tc>
        <w:tc>
          <w:tcPr>
            <w:tcW w:w="0" w:type="dxa"/>
            <w:vAlign w:val="bottom"/>
          </w:tcPr>
          <w:p>
            <w:pPr>
              <w:spacing w:after="0"/>
              <w:rPr>
                <w:sz w:val="1"/>
                <w:szCs w:val="1"/>
                <w:color w:val="auto"/>
              </w:rPr>
            </w:pPr>
          </w:p>
        </w:tc>
      </w:tr>
      <w:tr>
        <w:trPr>
          <w:trHeight w:val="21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898,677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750,938</w:t>
            </w:r>
          </w:p>
        </w:tc>
        <w:tc>
          <w:tcPr>
            <w:tcW w:w="0" w:type="dxa"/>
            <w:vAlign w:val="bottom"/>
          </w:tcPr>
          <w:p>
            <w:pPr>
              <w:spacing w:after="0"/>
              <w:rPr>
                <w:sz w:val="1"/>
                <w:szCs w:val="1"/>
                <w:color w:val="auto"/>
              </w:rPr>
            </w:pPr>
          </w:p>
        </w:tc>
      </w:tr>
      <w:tr>
        <w:trPr>
          <w:trHeight w:val="211"/>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563,358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493,693</w:t>
            </w:r>
          </w:p>
        </w:tc>
        <w:tc>
          <w:tcPr>
            <w:tcW w:w="0" w:type="dxa"/>
            <w:vAlign w:val="bottom"/>
          </w:tcPr>
          <w:p>
            <w:pPr>
              <w:spacing w:after="0"/>
              <w:rPr>
                <w:sz w:val="1"/>
                <w:szCs w:val="1"/>
                <w:color w:val="auto"/>
              </w:rPr>
            </w:pPr>
          </w:p>
        </w:tc>
      </w:tr>
      <w:tr>
        <w:trPr>
          <w:trHeight w:val="21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640,382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614,818</w:t>
            </w:r>
          </w:p>
        </w:tc>
        <w:tc>
          <w:tcPr>
            <w:tcW w:w="0" w:type="dxa"/>
            <w:vAlign w:val="bottom"/>
          </w:tcPr>
          <w:p>
            <w:pPr>
              <w:spacing w:after="0"/>
              <w:rPr>
                <w:sz w:val="1"/>
                <w:szCs w:val="1"/>
                <w:color w:val="auto"/>
              </w:rPr>
            </w:pPr>
          </w:p>
        </w:tc>
      </w:tr>
      <w:tr>
        <w:trPr>
          <w:trHeight w:val="211"/>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Money market funds</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360,360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360,360</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investments available for sale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5,502,929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4,997,688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realized investment (losses) gains, net on the condensed consolidated statements of comprehensive income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5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Realized gross gains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7"/>
                <w:szCs w:val="17"/>
                <w:color w:val="auto"/>
              </w:rPr>
              <w:t>Realized gross losses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loss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2"/>
        </w:trPr>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86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 fair value of investments available for sale in an unrealized loss position and the related unrealized losses for which no allowance for credit loss has been recorded were as follows: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5"/>
                <w:szCs w:val="15"/>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12 months or more</w:t>
            </w:r>
          </w:p>
        </w:tc>
        <w:tc>
          <w:tcPr>
            <w:tcW w:w="260" w:type="dxa"/>
            <w:vAlign w:val="bottom"/>
          </w:tcPr>
          <w:p>
            <w:pPr>
              <w:spacing w:after="0"/>
              <w:rPr>
                <w:sz w:val="15"/>
                <w:szCs w:val="15"/>
                <w:color w:val="auto"/>
              </w:rPr>
            </w:pPr>
          </w:p>
        </w:tc>
        <w:tc>
          <w:tcPr>
            <w:tcW w:w="118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Fair</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8"/>
              <w:spacing w:after="0" w:line="122"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Fair</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8"/>
              <w:spacing w:after="0" w:line="122"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22"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2"/>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2023 (In thousands)</w:t>
            </w:r>
          </w:p>
        </w:tc>
        <w:tc>
          <w:tcPr>
            <w:tcW w:w="120" w:type="dxa"/>
            <w:vAlign w:val="bottom"/>
            <w:gridSpan w:val="2"/>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8"/>
              <w:spacing w:after="0" w:line="142"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19"/>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682,430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(29,977)</w:t>
            </w:r>
          </w:p>
        </w:tc>
        <w:tc>
          <w:tcPr>
            <w:tcW w:w="0" w:type="dxa"/>
            <w:vAlign w:val="bottom"/>
          </w:tcPr>
          <w:p>
            <w:pPr>
              <w:spacing w:after="0"/>
              <w:rPr>
                <w:sz w:val="1"/>
                <w:szCs w:val="1"/>
                <w:color w:val="auto"/>
              </w:rPr>
            </w:pPr>
          </w:p>
        </w:tc>
      </w:tr>
      <w:tr>
        <w:trPr>
          <w:trHeight w:val="218"/>
        </w:trPr>
        <w:tc>
          <w:tcPr>
            <w:tcW w:w="3880" w:type="dxa"/>
            <w:vAlign w:val="bottom"/>
            <w:gridSpan w:val="4"/>
          </w:tcPr>
          <w:p>
            <w:pPr>
              <w:ind w:left="20"/>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750,938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(147,739)</w:t>
            </w:r>
          </w:p>
        </w:tc>
        <w:tc>
          <w:tcPr>
            <w:tcW w:w="0" w:type="dxa"/>
            <w:vAlign w:val="bottom"/>
          </w:tcPr>
          <w:p>
            <w:pPr>
              <w:spacing w:after="0"/>
              <w:rPr>
                <w:sz w:val="1"/>
                <w:szCs w:val="1"/>
                <w:color w:val="auto"/>
              </w:rPr>
            </w:pPr>
          </w:p>
        </w:tc>
      </w:tr>
      <w:tr>
        <w:trPr>
          <w:trHeight w:val="218"/>
        </w:trPr>
        <w:tc>
          <w:tcPr>
            <w:tcW w:w="3880" w:type="dxa"/>
            <w:vAlign w:val="bottom"/>
            <w:gridSpan w:val="4"/>
          </w:tcPr>
          <w:p>
            <w:pPr>
              <w:ind w:left="20"/>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254,197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300,187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554,384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(75,090)</w:t>
            </w:r>
          </w:p>
        </w:tc>
        <w:tc>
          <w:tcPr>
            <w:tcW w:w="0" w:type="dxa"/>
            <w:vAlign w:val="bottom"/>
          </w:tcPr>
          <w:p>
            <w:pPr>
              <w:spacing w:after="0"/>
              <w:rPr>
                <w:sz w:val="1"/>
                <w:szCs w:val="1"/>
                <w:color w:val="auto"/>
              </w:rPr>
            </w:pPr>
          </w:p>
        </w:tc>
      </w:tr>
      <w:tr>
        <w:trPr>
          <w:trHeight w:val="220"/>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(8,836)</w:t>
            </w:r>
          </w:p>
        </w:tc>
        <w:tc>
          <w:tcPr>
            <w:tcW w:w="0" w:type="dxa"/>
            <w:vAlign w:val="bottom"/>
          </w:tcPr>
          <w:p>
            <w:pPr>
              <w:spacing w:after="0"/>
              <w:rPr>
                <w:sz w:val="1"/>
                <w:szCs w:val="1"/>
                <w:color w:val="auto"/>
              </w:rPr>
            </w:pPr>
          </w:p>
        </w:tc>
      </w:tr>
      <w:tr>
        <w:trPr>
          <w:trHeight w:val="218"/>
        </w:trPr>
        <w:tc>
          <w:tcPr>
            <w:tcW w:w="3880" w:type="dxa"/>
            <w:vAlign w:val="bottom"/>
            <w:gridSpan w:val="4"/>
          </w:tcPr>
          <w:p>
            <w:pPr>
              <w:ind w:left="20"/>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264,701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991,284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(136,817)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1,255,985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(148,584)</w:t>
            </w:r>
          </w:p>
        </w:tc>
        <w:tc>
          <w:tcPr>
            <w:tcW w:w="0" w:type="dxa"/>
            <w:vAlign w:val="bottom"/>
          </w:tcPr>
          <w:p>
            <w:pPr>
              <w:spacing w:after="0"/>
              <w:rPr>
                <w:sz w:val="1"/>
                <w:szCs w:val="1"/>
                <w:color w:val="auto"/>
              </w:rPr>
            </w:pPr>
          </w:p>
        </w:tc>
      </w:tr>
      <w:tr>
        <w:trPr>
          <w:trHeight w:val="220"/>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(69,883)</w:t>
            </w:r>
          </w:p>
        </w:tc>
        <w:tc>
          <w:tcPr>
            <w:tcW w:w="0" w:type="dxa"/>
            <w:vAlign w:val="bottom"/>
          </w:tcPr>
          <w:p>
            <w:pPr>
              <w:spacing w:after="0"/>
              <w:rPr>
                <w:sz w:val="1"/>
                <w:szCs w:val="1"/>
                <w:color w:val="auto"/>
              </w:rPr>
            </w:pPr>
          </w:p>
        </w:tc>
      </w:tr>
      <w:tr>
        <w:trPr>
          <w:trHeight w:val="218"/>
        </w:trPr>
        <w:tc>
          <w:tcPr>
            <w:tcW w:w="388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Asset-backed securities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501,253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590,224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(25,718)</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1,089,263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3,286,946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(467,040)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4,376,209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(505,845)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24"/>
                <w:szCs w:val="24"/>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12 months or more</w:t>
            </w:r>
          </w:p>
        </w:tc>
        <w:tc>
          <w:tcPr>
            <w:tcW w:w="260" w:type="dxa"/>
            <w:vAlign w:val="bottom"/>
          </w:tcPr>
          <w:p>
            <w:pPr>
              <w:spacing w:after="0"/>
              <w:rPr>
                <w:sz w:val="24"/>
                <w:szCs w:val="24"/>
                <w:color w:val="auto"/>
              </w:rPr>
            </w:pPr>
          </w:p>
        </w:tc>
        <w:tc>
          <w:tcPr>
            <w:tcW w:w="118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8"/>
              <w:spacing w:after="0" w:line="125"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Fair</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8"/>
              <w:spacing w:after="0" w:line="125"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25"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8"/>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8"/>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1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321,848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(28,076)</w:t>
            </w:r>
          </w:p>
        </w:tc>
        <w:tc>
          <w:tcPr>
            <w:tcW w:w="0" w:type="dxa"/>
            <w:vAlign w:val="bottom"/>
          </w:tcPr>
          <w:p>
            <w:pPr>
              <w:spacing w:after="0"/>
              <w:rPr>
                <w:sz w:val="1"/>
                <w:szCs w:val="1"/>
                <w:color w:val="auto"/>
              </w:rPr>
            </w:pPr>
          </w:p>
        </w:tc>
      </w:tr>
      <w:tr>
        <w:trPr>
          <w:trHeight w:val="218"/>
        </w:trPr>
        <w:tc>
          <w:tcPr>
            <w:tcW w:w="3880" w:type="dxa"/>
            <w:vAlign w:val="bottom"/>
            <w:gridSpan w:val="4"/>
          </w:tcPr>
          <w:p>
            <w:pPr>
              <w:ind w:left="20"/>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(115,190)</w:t>
            </w:r>
          </w:p>
        </w:tc>
        <w:tc>
          <w:tcPr>
            <w:tcW w:w="0" w:type="dxa"/>
            <w:vAlign w:val="bottom"/>
          </w:tcPr>
          <w:p>
            <w:pPr>
              <w:spacing w:after="0"/>
              <w:rPr>
                <w:sz w:val="1"/>
                <w:szCs w:val="1"/>
                <w:color w:val="auto"/>
              </w:rPr>
            </w:pPr>
          </w:p>
        </w:tc>
      </w:tr>
      <w:tr>
        <w:trPr>
          <w:trHeight w:val="218"/>
        </w:trPr>
        <w:tc>
          <w:tcPr>
            <w:tcW w:w="3880" w:type="dxa"/>
            <w:vAlign w:val="bottom"/>
            <w:gridSpan w:val="4"/>
          </w:tcPr>
          <w:p>
            <w:pPr>
              <w:ind w:left="20"/>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335,784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64,766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(19,634)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400,550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(61,254)</w:t>
            </w:r>
          </w:p>
        </w:tc>
        <w:tc>
          <w:tcPr>
            <w:tcW w:w="0" w:type="dxa"/>
            <w:vAlign w:val="bottom"/>
          </w:tcPr>
          <w:p>
            <w:pPr>
              <w:spacing w:after="0"/>
              <w:rPr>
                <w:sz w:val="1"/>
                <w:szCs w:val="1"/>
                <w:color w:val="auto"/>
              </w:rPr>
            </w:pPr>
          </w:p>
        </w:tc>
      </w:tr>
      <w:tr>
        <w:trPr>
          <w:trHeight w:val="220"/>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0" w:type="dxa"/>
            <w:vAlign w:val="bottom"/>
          </w:tcPr>
          <w:p>
            <w:pPr>
              <w:spacing w:after="0"/>
              <w:rPr>
                <w:sz w:val="1"/>
                <w:szCs w:val="1"/>
                <w:color w:val="auto"/>
              </w:rPr>
            </w:pPr>
          </w:p>
        </w:tc>
      </w:tr>
      <w:tr>
        <w:trPr>
          <w:trHeight w:val="218"/>
        </w:trPr>
        <w:tc>
          <w:tcPr>
            <w:tcW w:w="3880" w:type="dxa"/>
            <w:vAlign w:val="bottom"/>
            <w:gridSpan w:val="4"/>
          </w:tcPr>
          <w:p>
            <w:pPr>
              <w:ind w:left="20"/>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811,217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(69,415)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421,307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(63,972)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1,232,524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(133,387)</w:t>
            </w:r>
          </w:p>
        </w:tc>
        <w:tc>
          <w:tcPr>
            <w:tcW w:w="0" w:type="dxa"/>
            <w:vAlign w:val="bottom"/>
          </w:tcPr>
          <w:p>
            <w:pPr>
              <w:spacing w:after="0"/>
              <w:rPr>
                <w:sz w:val="1"/>
                <w:szCs w:val="1"/>
                <w:color w:val="auto"/>
              </w:rPr>
            </w:pPr>
          </w:p>
        </w:tc>
      </w:tr>
      <w:tr>
        <w:trPr>
          <w:trHeight w:val="220"/>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(66,481)</w:t>
            </w:r>
          </w:p>
        </w:tc>
        <w:tc>
          <w:tcPr>
            <w:tcW w:w="0" w:type="dxa"/>
            <w:vAlign w:val="bottom"/>
          </w:tcPr>
          <w:p>
            <w:pPr>
              <w:spacing w:after="0"/>
              <w:rPr>
                <w:sz w:val="1"/>
                <w:szCs w:val="1"/>
                <w:color w:val="auto"/>
              </w:rPr>
            </w:pPr>
          </w:p>
        </w:tc>
      </w:tr>
      <w:tr>
        <w:trPr>
          <w:trHeight w:val="218"/>
        </w:trPr>
        <w:tc>
          <w:tcPr>
            <w:tcW w:w="3880" w:type="dxa"/>
            <w:vAlign w:val="bottom"/>
            <w:gridSpan w:val="4"/>
          </w:tcPr>
          <w:p>
            <w:pPr>
              <w:ind w:left="20"/>
              <w:spacing w:after="0"/>
              <w:rPr>
                <w:sz w:val="20"/>
                <w:szCs w:val="20"/>
                <w:color w:val="auto"/>
              </w:rPr>
            </w:pPr>
            <w:r>
              <w:rPr>
                <w:rFonts w:ascii="Arial" w:cs="Arial" w:eastAsia="Arial" w:hAnsi="Arial"/>
                <w:sz w:val="17"/>
                <w:szCs w:val="17"/>
                <w:color w:val="auto"/>
              </w:rPr>
              <w:t>Asset-backed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333,080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258,572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591,652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(35,856)</w:t>
            </w:r>
          </w:p>
        </w:tc>
        <w:tc>
          <w:tcPr>
            <w:tcW w:w="0" w:type="dxa"/>
            <w:vAlign w:val="bottom"/>
          </w:tcPr>
          <w:p>
            <w:pPr>
              <w:spacing w:after="0"/>
              <w:rPr>
                <w:sz w:val="1"/>
                <w:szCs w:val="1"/>
                <w:color w:val="auto"/>
              </w:rPr>
            </w:pPr>
          </w:p>
        </w:tc>
      </w:tr>
      <w:tr>
        <w:trPr>
          <w:trHeight w:val="237"/>
        </w:trPr>
        <w:tc>
          <w:tcPr>
            <w:tcW w:w="38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2,474,361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1,586,877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4,061,238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(447,504)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At September 30, 2023 and December 31, 2022, we held 2,624 and 2,578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September 30, 2023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September 30, 2023 had investment-grade ratings. We concluded that gross unrealized losses noted above were primarily associated with the changes in interest rates subsequent to purchase rather than due to credit impairment. There were no impairments recorded in the three months ended September 30, 2023. We recorded impairments of $0.2 million in the nine months ended September 30, 2023 and impairments of $0.1 million and $7.4 million in the three and nine months ended September 30, 2022, respectively, due to our intent to sell securities in an unrealized loss position.</w:t>
      </w:r>
    </w:p>
    <w:p>
      <w:pPr>
        <w:spacing w:after="0" w:line="198"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The Company's other invested assets at September 30, 2023 and December 31, 2022 totaled $272.6 million and $257.9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value of the underlying assets of these entities. Due to the timing of receiving financial information from these partnerships, the results are generally reported on a one month or quarter lag.</w:t>
      </w:r>
    </w:p>
    <w:p>
      <w:pPr>
        <w:spacing w:after="0" w:line="190"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Other invested assets that are accounted for at fair value using the net asset value (or its equivalent) as a practical expedient totaled $137.4 million as of September 30, 2023. The majority of these investments were in limited partnerships invested in real estate or technology. At September 30, 2023, maximum future funding commitments were $49.0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0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$9.4 million at September 30, 2023 and $9.1 million at December 31, 2022. In connection with its insurance and reinsurance activities, Essent Re is required to maintain assets in trusts for the benefit of its contractual counterparties. The fair value of the investments on deposit in these trusts was $1.0 billion at September 30, 2023 and $972.4 million at December 31, 2022. Essent Guaranty is required to maintain assets on deposit in connection with its fully collateralized reinsurance agreements (see Note 4). The fair value of the assets on deposit was $5.0 million at September 30, 2023 and $8.6 million at December 31, 2022. Essent Guaranty is also required to maintain assets on deposit for the benefit of the sponsor of a fixed income investment commitment. The fair value of the assets on deposit was $9.0 million at September 30, 2023 and $9.1 million at December 31, 2022.</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investment income consists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91,245</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investments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1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investment income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92,377</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Investment expenses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(5,764)</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135,558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86,613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Reinsurance</w:t>
      </w:r>
    </w:p>
    <w:p>
      <w:pPr>
        <w:spacing w:after="0" w:line="22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effect of reinsurance on net premiums written and earned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00"/>
              <w:spacing w:after="0"/>
              <w:rPr>
                <w:sz w:val="20"/>
                <w:szCs w:val="20"/>
                <w:color w:val="auto"/>
              </w:rPr>
            </w:pPr>
            <w:r>
              <w:rPr>
                <w:rFonts w:ascii="Arial" w:cs="Arial" w:eastAsia="Arial" w:hAnsi="Arial"/>
                <w:sz w:val="14"/>
                <w:szCs w:val="14"/>
                <w:b w:val="1"/>
                <w:bCs w:val="1"/>
                <w:color w:val="auto"/>
                <w:w w:val="89"/>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3"/>
        </w:trPr>
        <w:tc>
          <w:tcPr>
            <w:tcW w:w="2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86"/>
        </w:trPr>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r>
      <w:tr>
        <w:trPr>
          <w:trHeight w:val="219"/>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premiums written: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5220" w:type="dxa"/>
            <w:vAlign w:val="bottom"/>
            <w:gridSpan w:val="3"/>
          </w:tcPr>
          <w:p>
            <w:pPr>
              <w:ind w:left="140"/>
              <w:spacing w:after="0"/>
              <w:rPr>
                <w:sz w:val="20"/>
                <w:szCs w:val="20"/>
                <w:color w:val="auto"/>
              </w:rPr>
            </w:pPr>
            <w:r>
              <w:rPr>
                <w:rFonts w:ascii="Arial" w:cs="Arial" w:eastAsia="Arial" w:hAnsi="Arial"/>
                <w:sz w:val="17"/>
                <w:szCs w:val="17"/>
                <w:color w:val="auto"/>
              </w:rPr>
              <w:t>Direct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460"/>
              <w:spacing w:after="0"/>
              <w:rPr>
                <w:sz w:val="20"/>
                <w:szCs w:val="20"/>
                <w:color w:val="auto"/>
              </w:rPr>
            </w:pPr>
            <w:r>
              <w:rPr>
                <w:rFonts w:ascii="Arial" w:cs="Arial" w:eastAsia="Arial" w:hAnsi="Arial"/>
                <w:sz w:val="17"/>
                <w:szCs w:val="17"/>
                <w:color w:val="auto"/>
                <w:w w:val="97"/>
              </w:rPr>
              <w:t>270,868</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860" w:type="dxa"/>
            <w:vAlign w:val="bottom"/>
          </w:tcPr>
          <w:p>
            <w:pPr>
              <w:ind w:left="220"/>
              <w:spacing w:after="0"/>
              <w:rPr>
                <w:sz w:val="20"/>
                <w:szCs w:val="20"/>
                <w:color w:val="auto"/>
              </w:rPr>
            </w:pPr>
            <w:r>
              <w:rPr>
                <w:rFonts w:ascii="Arial" w:cs="Arial" w:eastAsia="Arial" w:hAnsi="Arial"/>
                <w:sz w:val="17"/>
                <w:szCs w:val="17"/>
                <w:color w:val="auto"/>
              </w:rPr>
              <w:t>239,773</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center"/>
              <w:ind w:left="300"/>
              <w:spacing w:after="0"/>
              <w:rPr>
                <w:sz w:val="20"/>
                <w:szCs w:val="20"/>
                <w:color w:val="auto"/>
              </w:rPr>
            </w:pPr>
            <w:r>
              <w:rPr>
                <w:rFonts w:ascii="Arial" w:cs="Arial" w:eastAsia="Arial" w:hAnsi="Arial"/>
                <w:sz w:val="17"/>
                <w:szCs w:val="17"/>
                <w:color w:val="auto"/>
                <w:w w:val="91"/>
              </w:rPr>
              <w:t>759,526</w:t>
            </w:r>
          </w:p>
        </w:tc>
        <w:tc>
          <w:tcPr>
            <w:tcW w:w="10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Pr>
          <w:p>
            <w:pPr>
              <w:ind w:left="260"/>
              <w:spacing w:after="0"/>
              <w:rPr>
                <w:sz w:val="20"/>
                <w:szCs w:val="20"/>
                <w:color w:val="auto"/>
              </w:rPr>
            </w:pPr>
            <w:r>
              <w:rPr>
                <w:rFonts w:ascii="Arial" w:cs="Arial" w:eastAsia="Arial" w:hAnsi="Arial"/>
                <w:sz w:val="17"/>
                <w:szCs w:val="17"/>
                <w:color w:val="auto"/>
                <w:w w:val="97"/>
              </w:rPr>
              <w:t>692,687</w:t>
            </w:r>
          </w:p>
        </w:tc>
      </w:tr>
      <w:tr>
        <w:trPr>
          <w:trHeight w:val="219"/>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4"/>
              </w:rPr>
              <w:t>(30,294)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4"/>
              </w:rPr>
              <w:t>(30,543)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80"/>
              <w:spacing w:after="0"/>
              <w:rPr>
                <w:sz w:val="20"/>
                <w:szCs w:val="20"/>
                <w:color w:val="auto"/>
              </w:rPr>
            </w:pPr>
            <w:r>
              <w:rPr>
                <w:rFonts w:ascii="Arial" w:cs="Arial" w:eastAsia="Arial" w:hAnsi="Arial"/>
                <w:sz w:val="17"/>
                <w:szCs w:val="17"/>
                <w:color w:val="auto"/>
                <w:w w:val="90"/>
              </w:rPr>
              <w:t>(103,431)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91"/>
              </w:rPr>
              <w:t>(73,384)</w:t>
            </w:r>
          </w:p>
        </w:tc>
      </w:tr>
      <w:tr>
        <w:trPr>
          <w:trHeight w:val="213"/>
        </w:trPr>
        <w:tc>
          <w:tcPr>
            <w:tcW w:w="5220" w:type="dxa"/>
            <w:vAlign w:val="bottom"/>
            <w:gridSpan w:val="3"/>
          </w:tcPr>
          <w:p>
            <w:pPr>
              <w:ind w:left="220"/>
              <w:spacing w:after="0"/>
              <w:rPr>
                <w:sz w:val="20"/>
                <w:szCs w:val="20"/>
                <w:color w:val="auto"/>
              </w:rPr>
            </w:pPr>
            <w:r>
              <w:rPr>
                <w:rFonts w:ascii="Arial" w:cs="Arial" w:eastAsia="Arial" w:hAnsi="Arial"/>
                <w:sz w:val="17"/>
                <w:szCs w:val="17"/>
                <w:color w:val="auto"/>
              </w:rPr>
              <w:t>Net premiums written</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7"/>
              </w:rPr>
              <w:t>240,574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209,230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center"/>
              <w:ind w:left="300"/>
              <w:spacing w:after="0"/>
              <w:rPr>
                <w:sz w:val="20"/>
                <w:szCs w:val="20"/>
                <w:color w:val="auto"/>
              </w:rPr>
            </w:pPr>
            <w:r>
              <w:rPr>
                <w:rFonts w:ascii="Arial" w:cs="Arial" w:eastAsia="Arial" w:hAnsi="Arial"/>
                <w:sz w:val="17"/>
                <w:szCs w:val="17"/>
                <w:color w:val="auto"/>
                <w:w w:val="91"/>
              </w:rPr>
              <w:t>656,095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w w:val="97"/>
              </w:rPr>
              <w:t>619,303</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218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Direct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7"/>
              </w:rPr>
              <w:t>277,099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238,477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300"/>
              <w:spacing w:after="0"/>
              <w:rPr>
                <w:sz w:val="20"/>
                <w:szCs w:val="20"/>
                <w:color w:val="auto"/>
              </w:rPr>
            </w:pPr>
            <w:r>
              <w:rPr>
                <w:rFonts w:ascii="Arial" w:cs="Arial" w:eastAsia="Arial" w:hAnsi="Arial"/>
                <w:sz w:val="17"/>
                <w:szCs w:val="17"/>
                <w:color w:val="auto"/>
                <w:w w:val="91"/>
              </w:rPr>
              <w:t>774,723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7"/>
              </w:rPr>
              <w:t>708,659</w:t>
            </w:r>
          </w:p>
        </w:tc>
      </w:tr>
      <w:tr>
        <w:trPr>
          <w:trHeight w:val="218"/>
        </w:trPr>
        <w:tc>
          <w:tcPr>
            <w:tcW w:w="522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Ceded (1)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4"/>
              </w:rPr>
              <w:t>(30,294)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94"/>
              </w:rPr>
              <w:t>(30,543)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280"/>
              <w:spacing w:after="0"/>
              <w:rPr>
                <w:sz w:val="20"/>
                <w:szCs w:val="20"/>
                <w:color w:val="auto"/>
              </w:rPr>
            </w:pPr>
            <w:r>
              <w:rPr>
                <w:rFonts w:ascii="Arial" w:cs="Arial" w:eastAsia="Arial" w:hAnsi="Arial"/>
                <w:sz w:val="17"/>
                <w:szCs w:val="17"/>
                <w:color w:val="auto"/>
                <w:w w:val="90"/>
              </w:rPr>
              <w:t>(103,431)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w w:val="91"/>
              </w:rPr>
              <w:t>(73,384)</w:t>
            </w:r>
          </w:p>
        </w:tc>
      </w:tr>
      <w:tr>
        <w:trPr>
          <w:trHeight w:val="238"/>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Net premiums earned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7"/>
              </w:rPr>
              <w:t>246,805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207,934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center"/>
              <w:ind w:left="300"/>
              <w:spacing w:after="0"/>
              <w:rPr>
                <w:sz w:val="20"/>
                <w:szCs w:val="20"/>
                <w:color w:val="auto"/>
              </w:rPr>
            </w:pPr>
            <w:r>
              <w:rPr>
                <w:rFonts w:ascii="Arial" w:cs="Arial" w:eastAsia="Arial" w:hAnsi="Arial"/>
                <w:sz w:val="17"/>
                <w:szCs w:val="17"/>
                <w:color w:val="auto"/>
                <w:w w:val="91"/>
              </w:rPr>
              <w:t>671,292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7"/>
              </w:rPr>
              <w:t>635,275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18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Net of profit commission.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Quota Share Reinsurance</w:t>
      </w:r>
    </w:p>
    <w:p>
      <w:pPr>
        <w:spacing w:after="0" w:line="249" w:lineRule="exact"/>
        <w:rPr>
          <w:sz w:val="20"/>
          <w:szCs w:val="20"/>
          <w:color w:val="auto"/>
        </w:rPr>
      </w:pPr>
    </w:p>
    <w:p>
      <w:pPr>
        <w:ind w:right="240" w:firstLine="172"/>
        <w:spacing w:after="0" w:line="279" w:lineRule="auto"/>
        <w:rPr>
          <w:sz w:val="20"/>
          <w:szCs w:val="20"/>
          <w:color w:val="auto"/>
        </w:rPr>
      </w:pPr>
      <w:r>
        <w:rPr>
          <w:rFonts w:ascii="Arial" w:cs="Arial" w:eastAsia="Arial" w:hAnsi="Arial"/>
          <w:sz w:val="16"/>
          <w:szCs w:val="16"/>
          <w:color w:val="auto"/>
        </w:rPr>
        <w:t>Essent Guaranty has entered into quota share reinsurance agreements with a panels of third-party reinsurers ("QSR" agreements). Each of the third-party reinsurers has an insurer financial strength rating of A- or better by S&amp;P Global Ratings, A.M. Best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Essent Guaranty's quota share reinsurance agreements as of September 30, 2023:</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QSR Agreement</w:t>
            </w:r>
          </w:p>
        </w:tc>
        <w:tc>
          <w:tcPr>
            <w:tcW w:w="120" w:type="dxa"/>
            <w:vAlign w:val="bottom"/>
            <w:vMerge w:val="restart"/>
          </w:tcPr>
          <w:p>
            <w:pPr>
              <w:spacing w:after="0"/>
              <w:rPr>
                <w:sz w:val="14"/>
                <w:szCs w:val="14"/>
                <w:color w:val="auto"/>
              </w:rPr>
            </w:pPr>
          </w:p>
        </w:tc>
        <w:tc>
          <w:tcPr>
            <w:tcW w:w="3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Coverage Period</w:t>
            </w:r>
          </w:p>
        </w:tc>
        <w:tc>
          <w:tcPr>
            <w:tcW w:w="100" w:type="dxa"/>
            <w:vAlign w:val="bottom"/>
            <w:vMerge w:val="restart"/>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Ceding</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Ceding Commission</w:t>
            </w:r>
          </w:p>
        </w:tc>
        <w:tc>
          <w:tcPr>
            <w:tcW w:w="80" w:type="dxa"/>
            <w:vAlign w:val="bottom"/>
            <w:vMerge w:val="restart"/>
          </w:tcPr>
          <w:p>
            <w:pPr>
              <w:spacing w:after="0"/>
              <w:rPr>
                <w:sz w:val="14"/>
                <w:szCs w:val="14"/>
                <w:color w:val="auto"/>
              </w:rPr>
            </w:pPr>
          </w:p>
        </w:tc>
        <w:tc>
          <w:tcPr>
            <w:tcW w:w="156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rPr>
              <w:t>Profit Commission</w:t>
            </w:r>
          </w:p>
        </w:tc>
        <w:tc>
          <w:tcPr>
            <w:tcW w:w="0" w:type="dxa"/>
            <w:vAlign w:val="bottom"/>
          </w:tcPr>
          <w:p>
            <w:pPr>
              <w:spacing w:after="0"/>
              <w:rPr>
                <w:sz w:val="1"/>
                <w:szCs w:val="1"/>
                <w:color w:val="auto"/>
              </w:rPr>
            </w:pPr>
          </w:p>
        </w:tc>
      </w:tr>
      <w:tr>
        <w:trPr>
          <w:trHeight w:val="184"/>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QSR-2019</w:t>
            </w:r>
          </w:p>
        </w:tc>
        <w:tc>
          <w:tcPr>
            <w:tcW w:w="4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September 1, 2019 - December 31, 2020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63%</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18"/>
        </w:trPr>
        <w:tc>
          <w:tcPr>
            <w:tcW w:w="242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QSR-2022</w:t>
            </w:r>
          </w:p>
        </w:tc>
        <w:tc>
          <w:tcPr>
            <w:tcW w:w="40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January 1, 2022 - December 31, 2022</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80" w:type="dxa"/>
            <w:vAlign w:val="bottom"/>
          </w:tcPr>
          <w:p>
            <w:pPr>
              <w:spacing w:after="0"/>
              <w:rPr>
                <w:sz w:val="18"/>
                <w:szCs w:val="18"/>
                <w:color w:val="auto"/>
              </w:rPr>
            </w:pPr>
          </w:p>
        </w:tc>
        <w:tc>
          <w:tcPr>
            <w:tcW w:w="960" w:type="dxa"/>
            <w:vAlign w:val="bottom"/>
          </w:tcPr>
          <w:p>
            <w:pPr>
              <w:jc w:val="right"/>
              <w:ind w:right="138"/>
              <w:spacing w:after="0"/>
              <w:rPr>
                <w:sz w:val="20"/>
                <w:szCs w:val="20"/>
                <w:color w:val="auto"/>
              </w:rPr>
            </w:pPr>
            <w:r>
              <w:rPr>
                <w:rFonts w:ascii="Arial" w:cs="Arial" w:eastAsia="Arial" w:hAnsi="Arial"/>
                <w:sz w:val="17"/>
                <w:szCs w:val="17"/>
                <w:color w:val="auto"/>
              </w:rPr>
              <w:t>62%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QSR-2023</w:t>
            </w:r>
          </w:p>
        </w:tc>
        <w:tc>
          <w:tcPr>
            <w:tcW w:w="4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January 1, 2023 - December 31, 2023</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58%</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380" w:hanging="377"/>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QSR-2019, Essent Guaranty cedes 40% of premiums on singles policies and 20% on all other policies.</w:t>
      </w:r>
    </w:p>
    <w:p>
      <w:pPr>
        <w:spacing w:after="0" w:line="20" w:lineRule="exact"/>
        <w:rPr>
          <w:rFonts w:ascii="Arial" w:cs="Arial" w:eastAsia="Arial" w:hAnsi="Arial"/>
          <w:sz w:val="17"/>
          <w:szCs w:val="17"/>
          <w:color w:val="auto"/>
        </w:rPr>
      </w:pPr>
    </w:p>
    <w:p>
      <w:pPr>
        <w:ind w:left="380" w:right="100" w:hanging="377"/>
        <w:spacing w:after="0" w:line="298" w:lineRule="auto"/>
        <w:tabs>
          <w:tab w:leader="none" w:pos="37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original profit commission on QSR-2019 was up to 60%; however because Essent Guaranty did not exercise its option to terminate the QSR Agreement on December 31, 2021, the maximum profit commission that Essent Guaranty could earn increased to 63% in 2022 and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Total RIF ceded under the QSR agreements was $8.1 billion as of September 30, 2023.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Excess of Loss Reinsurance</w:t>
      </w:r>
    </w:p>
    <w:p>
      <w:pPr>
        <w:spacing w:after="0" w:line="249" w:lineRule="exact"/>
        <w:rPr>
          <w:sz w:val="20"/>
          <w:szCs w:val="20"/>
          <w:color w:val="auto"/>
        </w:rPr>
      </w:pPr>
    </w:p>
    <w:p>
      <w:pPr>
        <w:ind w:right="40" w:firstLine="619"/>
        <w:spacing w:after="0" w:line="297" w:lineRule="auto"/>
        <w:rPr>
          <w:sz w:val="20"/>
          <w:szCs w:val="20"/>
          <w:color w:val="auto"/>
        </w:rPr>
      </w:pPr>
      <w:r>
        <w:rPr>
          <w:rFonts w:ascii="Arial" w:cs="Arial" w:eastAsia="Arial" w:hAnsi="Arial"/>
          <w:sz w:val="15"/>
          <w:szCs w:val="15"/>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04" w:lineRule="exact"/>
        <w:rPr>
          <w:sz w:val="20"/>
          <w:szCs w:val="20"/>
          <w:color w:val="auto"/>
        </w:rPr>
      </w:pPr>
    </w:p>
    <w:p>
      <w:pPr>
        <w:ind w:right="80" w:firstLine="387"/>
        <w:spacing w:after="0" w:line="290"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84"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Essent Guaranty entered into a reinsurance agreement with a panel of reinsurers that provides excess of loss coverage on new insurance written from October 1, 2021 through December 31, 2022. For the reinsurance coverage period, Essent Guaranty and its affiliates retain the first layer of the respective aggregate losses, and the reinsurance panel will then provide second layer coverage up to the outstanding reinsurance coverage amount. Essent Guaranty and its affiliates retain losses in excess of the outstanding reinsurance coverage amount.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Essent Guaranty's excess of loss coverages and retentions provided by insurance linked notes as of September 30, 2023:</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3"/>
                <w:szCs w:val="13"/>
                <w:color w:val="auto"/>
              </w:rPr>
            </w:pPr>
          </w:p>
        </w:tc>
        <w:tc>
          <w:tcPr>
            <w:tcW w:w="1060" w:type="dxa"/>
            <w:vAlign w:val="bottom"/>
          </w:tcPr>
          <w:p>
            <w:pPr>
              <w:jc w:val="center"/>
              <w:ind w:right="105"/>
              <w:spacing w:after="0" w:line="157" w:lineRule="exact"/>
              <w:rPr>
                <w:sz w:val="20"/>
                <w:szCs w:val="20"/>
                <w:color w:val="auto"/>
              </w:rPr>
            </w:pPr>
            <w:r>
              <w:rPr>
                <w:rFonts w:ascii="Arial" w:cs="Arial" w:eastAsia="Arial" w:hAnsi="Arial"/>
                <w:sz w:val="14"/>
                <w:szCs w:val="14"/>
                <w:b w:val="1"/>
                <w:bCs w:val="1"/>
                <w:color w:val="auto"/>
                <w:w w:val="89"/>
              </w:rPr>
              <w:t>Remaining</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2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Vintage</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87"/>
              </w:rPr>
              <w:t>Insurance</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4"/>
              </w:rPr>
              <w:t>Risk</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7"/>
              </w:rPr>
              <w:t>Reinsurance in</w:t>
            </w:r>
          </w:p>
        </w:tc>
        <w:tc>
          <w:tcPr>
            <w:tcW w:w="180" w:type="dxa"/>
            <w:vAlign w:val="bottom"/>
          </w:tcPr>
          <w:p>
            <w:pPr>
              <w:spacing w:after="0"/>
              <w:rPr>
                <w:sz w:val="12"/>
                <w:szCs w:val="12"/>
                <w:color w:val="auto"/>
              </w:rPr>
            </w:pPr>
          </w:p>
        </w:tc>
        <w:tc>
          <w:tcPr>
            <w:tcW w:w="106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92"/>
              </w:rPr>
              <w:t>First Layer</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 Termination Date</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Deal Name</w:t>
            </w: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8"/>
              </w:rPr>
              <w:t>in Force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8"/>
              </w:rPr>
              <w:t>in Force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3"/>
              </w:rPr>
              <w:t>Force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Retention</w:t>
            </w: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Radnor Re 2019-1</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Jan. 2018 - Dec. 2018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5,730,888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1,496,891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21,467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246,939</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February 25, 2026</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Arial" w:cs="Arial" w:eastAsia="Arial" w:hAnsi="Arial"/>
                <w:sz w:val="15"/>
                <w:szCs w:val="15"/>
                <w:color w:val="auto"/>
                <w:w w:val="92"/>
              </w:rPr>
              <w:t>Radnor Re 2020-1</w:t>
            </w:r>
          </w:p>
        </w:tc>
        <w:tc>
          <w:tcPr>
            <w:tcW w:w="206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Jan. 2019 - Aug. 2019</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7,185,440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1,864,143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50,596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213,798</w:t>
            </w:r>
          </w:p>
        </w:tc>
        <w:tc>
          <w:tcPr>
            <w:tcW w:w="1700" w:type="dxa"/>
            <w:vAlign w:val="bottom"/>
          </w:tcPr>
          <w:p>
            <w:pPr>
              <w:jc w:val="center"/>
              <w:spacing w:after="0"/>
              <w:rPr>
                <w:sz w:val="20"/>
                <w:szCs w:val="20"/>
                <w:color w:val="auto"/>
              </w:rPr>
            </w:pPr>
            <w:r>
              <w:rPr>
                <w:rFonts w:ascii="Arial" w:cs="Arial" w:eastAsia="Arial" w:hAnsi="Arial"/>
                <w:sz w:val="15"/>
                <w:szCs w:val="15"/>
                <w:color w:val="auto"/>
                <w:w w:val="91"/>
              </w:rPr>
              <w:t>January 25, 2027</w:t>
            </w: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Radnor Re 2021-1</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5"/>
              </w:rPr>
              <w:t>Aug. 2020 - Mar. 2021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33,594,368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8,642,916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339,120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278,796</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June 26, 2028</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Arial" w:cs="Arial" w:eastAsia="Arial" w:hAnsi="Arial"/>
                <w:sz w:val="15"/>
                <w:szCs w:val="15"/>
                <w:color w:val="auto"/>
                <w:w w:val="92"/>
              </w:rPr>
              <w:t>Radnor Re 2021-2</w:t>
            </w:r>
          </w:p>
        </w:tc>
        <w:tc>
          <w:tcPr>
            <w:tcW w:w="206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Apr. 2021 - Sep. 2021</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37,420,329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10,079,502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361,449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279,231</w:t>
            </w:r>
          </w:p>
        </w:tc>
        <w:tc>
          <w:tcPr>
            <w:tcW w:w="1700" w:type="dxa"/>
            <w:vAlign w:val="bottom"/>
          </w:tcPr>
          <w:p>
            <w:pPr>
              <w:jc w:val="center"/>
              <w:spacing w:after="0"/>
              <w:rPr>
                <w:sz w:val="20"/>
                <w:szCs w:val="20"/>
                <w:color w:val="auto"/>
              </w:rPr>
            </w:pPr>
            <w:r>
              <w:rPr>
                <w:rFonts w:ascii="Arial" w:cs="Arial" w:eastAsia="Arial" w:hAnsi="Arial"/>
                <w:sz w:val="15"/>
                <w:szCs w:val="15"/>
                <w:color w:val="auto"/>
                <w:w w:val="94"/>
              </w:rPr>
              <w:t>November 25, 2027</w:t>
            </w: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Radnor Re 2022-1</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Oct. 2021 - Jul. 2022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32,132,944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8,669,748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237,868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303,660</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September 25, 2028</w:t>
            </w:r>
          </w:p>
        </w:tc>
        <w:tc>
          <w:tcPr>
            <w:tcW w:w="0" w:type="dxa"/>
            <w:vAlign w:val="bottom"/>
          </w:tcPr>
          <w:p>
            <w:pPr>
              <w:spacing w:after="0"/>
              <w:rPr>
                <w:sz w:val="1"/>
                <w:szCs w:val="1"/>
                <w:color w:val="auto"/>
              </w:rPr>
            </w:pPr>
          </w:p>
        </w:tc>
      </w:tr>
      <w:tr>
        <w:trPr>
          <w:trHeight w:val="203"/>
        </w:trPr>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2"/>
              </w:rPr>
              <w:t>Radnor Re 2023-1</w:t>
            </w:r>
          </w:p>
        </w:tc>
        <w:tc>
          <w:tcPr>
            <w:tcW w:w="2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5"/>
                <w:szCs w:val="15"/>
                <w:color w:val="auto"/>
                <w:w w:val="94"/>
              </w:rPr>
              <w:t>Aug. 2022 - Jun. 2023</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31,014,596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8,478,658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281,462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281,462</w:t>
            </w: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4"/>
              </w:rPr>
              <w:t>July 25, 2028</w:t>
            </w:r>
          </w:p>
        </w:tc>
        <w:tc>
          <w:tcPr>
            <w:tcW w:w="0" w:type="dxa"/>
            <w:vAlign w:val="bottom"/>
          </w:tcPr>
          <w:p>
            <w:pPr>
              <w:spacing w:after="0"/>
              <w:rPr>
                <w:sz w:val="1"/>
                <w:szCs w:val="1"/>
                <w:color w:val="auto"/>
              </w:rPr>
            </w:pPr>
          </w:p>
        </w:tc>
      </w:tr>
      <w:tr>
        <w:trPr>
          <w:trHeight w:val="227"/>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Total</w:t>
            </w: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147,078,565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39,231,858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1,291,962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1,603,887</w:t>
            </w: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Essent Guaranty's excess of loss reinsurance coverages and retentions provided by panels of reinsurers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3"/>
                <w:szCs w:val="13"/>
                <w:color w:val="auto"/>
              </w:rPr>
            </w:pPr>
          </w:p>
        </w:tc>
        <w:tc>
          <w:tcPr>
            <w:tcW w:w="1040" w:type="dxa"/>
            <w:vAlign w:val="bottom"/>
          </w:tcPr>
          <w:p>
            <w:pPr>
              <w:jc w:val="center"/>
              <w:ind w:right="126"/>
              <w:spacing w:after="0" w:line="153"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Deal Name</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Vintage</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7"/>
              </w:rPr>
              <w:t>Insurance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Risk</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Reinsurance in</w:t>
            </w:r>
          </w:p>
        </w:tc>
        <w:tc>
          <w:tcPr>
            <w:tcW w:w="180" w:type="dxa"/>
            <w:vAlign w:val="bottom"/>
          </w:tcPr>
          <w:p>
            <w:pPr>
              <w:spacing w:after="0"/>
              <w:rPr>
                <w:sz w:val="11"/>
                <w:szCs w:val="11"/>
                <w:color w:val="auto"/>
              </w:rPr>
            </w:pPr>
          </w:p>
        </w:tc>
        <w:tc>
          <w:tcPr>
            <w:tcW w:w="104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2"/>
              </w:rPr>
              <w:t>First Layer</w:t>
            </w:r>
          </w:p>
        </w:tc>
        <w:tc>
          <w:tcPr>
            <w:tcW w:w="28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 Termination Date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220" w:type="dxa"/>
            <w:vAlign w:val="bottom"/>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 Force</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Force</w:t>
            </w:r>
          </w:p>
        </w:tc>
        <w:tc>
          <w:tcPr>
            <w:tcW w:w="180" w:type="dxa"/>
            <w:vAlign w:val="bottom"/>
          </w:tcPr>
          <w:p>
            <w:pPr>
              <w:spacing w:after="0"/>
              <w:rPr>
                <w:sz w:val="15"/>
                <w:szCs w:val="15"/>
                <w:color w:val="auto"/>
              </w:rPr>
            </w:pPr>
          </w:p>
        </w:tc>
        <w:tc>
          <w:tcPr>
            <w:tcW w:w="104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Retention</w:t>
            </w:r>
          </w:p>
        </w:tc>
        <w:tc>
          <w:tcPr>
            <w:tcW w:w="2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XOL 2018-1</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Jan. 2017 - Dec. 2017</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4,920,622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1,297,126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421,003</w:t>
            </w:r>
          </w:p>
        </w:tc>
        <w:tc>
          <w:tcPr>
            <w:tcW w:w="2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October 1, 2023</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7"/>
              </w:rPr>
              <w:t>(2)</w:t>
            </w:r>
          </w:p>
        </w:tc>
        <w:tc>
          <w:tcPr>
            <w:tcW w:w="0" w:type="dxa"/>
            <w:vAlign w:val="bottom"/>
          </w:tcPr>
          <w:p>
            <w:pPr>
              <w:spacing w:after="0"/>
              <w:rPr>
                <w:sz w:val="1"/>
                <w:szCs w:val="1"/>
                <w:color w:val="auto"/>
              </w:rPr>
            </w:pPr>
          </w:p>
        </w:tc>
      </w:tr>
      <w:tr>
        <w:trPr>
          <w:trHeight w:val="204"/>
        </w:trPr>
        <w:tc>
          <w:tcPr>
            <w:tcW w:w="1220" w:type="dxa"/>
            <w:vAlign w:val="bottom"/>
          </w:tcPr>
          <w:p>
            <w:pPr>
              <w:jc w:val="center"/>
              <w:spacing w:after="0"/>
              <w:rPr>
                <w:sz w:val="20"/>
                <w:szCs w:val="20"/>
                <w:color w:val="auto"/>
              </w:rPr>
            </w:pPr>
            <w:r>
              <w:rPr>
                <w:rFonts w:ascii="Arial" w:cs="Arial" w:eastAsia="Arial" w:hAnsi="Arial"/>
                <w:sz w:val="15"/>
                <w:szCs w:val="15"/>
                <w:color w:val="auto"/>
                <w:w w:val="96"/>
              </w:rPr>
              <w:t>XOL 2019-1</w:t>
            </w:r>
          </w:p>
        </w:tc>
        <w:tc>
          <w:tcPr>
            <w:tcW w:w="192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Jan. 2018 - Dec. 2018</w:t>
            </w:r>
          </w:p>
        </w:tc>
        <w:tc>
          <w:tcPr>
            <w:tcW w:w="26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5,730,888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1,496,891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76,144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246,939</w:t>
            </w:r>
          </w:p>
        </w:tc>
        <w:tc>
          <w:tcPr>
            <w:tcW w:w="280" w:type="dxa"/>
            <w:vAlign w:val="bottom"/>
          </w:tcPr>
          <w:p>
            <w:pPr>
              <w:jc w:val="right"/>
              <w:ind w:right="3"/>
              <w:spacing w:after="0"/>
              <w:rPr>
                <w:sz w:val="20"/>
                <w:szCs w:val="20"/>
                <w:color w:val="auto"/>
              </w:rPr>
            </w:pPr>
            <w:r>
              <w:rPr>
                <w:rFonts w:ascii="Arial" w:cs="Arial" w:eastAsia="Arial" w:hAnsi="Arial"/>
                <w:sz w:val="15"/>
                <w:szCs w:val="15"/>
                <w:b w:val="1"/>
                <w:bCs w:val="1"/>
                <w:color w:val="auto"/>
                <w:w w:val="97"/>
              </w:rPr>
              <w:t>(1)</w:t>
            </w:r>
          </w:p>
        </w:tc>
        <w:tc>
          <w:tcPr>
            <w:tcW w:w="1780" w:type="dxa"/>
            <w:vAlign w:val="bottom"/>
          </w:tcPr>
          <w:p>
            <w:pPr>
              <w:jc w:val="center"/>
              <w:spacing w:after="0"/>
              <w:rPr>
                <w:sz w:val="20"/>
                <w:szCs w:val="20"/>
                <w:color w:val="auto"/>
              </w:rPr>
            </w:pPr>
            <w:r>
              <w:rPr>
                <w:rFonts w:ascii="Arial" w:cs="Arial" w:eastAsia="Arial" w:hAnsi="Arial"/>
                <w:sz w:val="15"/>
                <w:szCs w:val="15"/>
                <w:color w:val="auto"/>
                <w:w w:val="92"/>
              </w:rPr>
              <w:t>February 25, 2026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XOL 2020-1</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Jan. 2019 - Dec. 2019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7,185,440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1,864,143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213,798</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7"/>
              </w:rPr>
              <w:t>(1)</w:t>
            </w:r>
          </w:p>
        </w:tc>
        <w:tc>
          <w:tcPr>
            <w:tcW w:w="1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January 25, 2027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6"/>
              </w:rPr>
              <w:t>XOL 2022-1</w:t>
            </w:r>
          </w:p>
        </w:tc>
        <w:tc>
          <w:tcPr>
            <w:tcW w:w="19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5"/>
                <w:szCs w:val="15"/>
                <w:color w:val="auto"/>
                <w:w w:val="94"/>
              </w:rPr>
              <w:t>Oct. 2021 - Dec. 2022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71,671,369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19,351,146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141,992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506,301</w:t>
            </w:r>
          </w:p>
        </w:tc>
        <w:tc>
          <w:tcPr>
            <w:tcW w:w="28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1"/>
              </w:rPr>
              <w:t>January 1, 2030</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Total</w:t>
            </w: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89,508,319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24,009,306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313,965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1,388,041</w:t>
            </w:r>
          </w:p>
        </w:tc>
        <w:tc>
          <w:tcPr>
            <w:tcW w:w="2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20" w:hanging="217"/>
        <w:spacing w:after="0"/>
        <w:tabs>
          <w:tab w:leader="none" w:pos="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First layer retentions shown are ILN retention levels as a result of overlapping coverage within the vintage.</w:t>
      </w:r>
    </w:p>
    <w:p>
      <w:pPr>
        <w:spacing w:after="0" w:line="23" w:lineRule="exact"/>
        <w:rPr>
          <w:rFonts w:ascii="Arial" w:cs="Arial" w:eastAsia="Arial" w:hAnsi="Arial"/>
          <w:sz w:val="15"/>
          <w:szCs w:val="15"/>
          <w:color w:val="auto"/>
        </w:rPr>
      </w:pPr>
    </w:p>
    <w:p>
      <w:pPr>
        <w:ind w:left="220" w:hanging="217"/>
        <w:spacing w:after="0"/>
        <w:tabs>
          <w:tab w:leader="none" w:pos="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This reinsurance agreement was terminated on the optional termination date.</w:t>
      </w:r>
    </w:p>
    <w:p>
      <w:pPr>
        <w:spacing w:after="0" w:line="233" w:lineRule="exact"/>
        <w:rPr>
          <w:sz w:val="20"/>
          <w:szCs w:val="20"/>
          <w:color w:val="auto"/>
        </w:rPr>
      </w:pPr>
    </w:p>
    <w:p>
      <w:pPr>
        <w:ind w:right="80" w:firstLine="172"/>
        <w:spacing w:after="0" w:line="259"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 Radnor Re 2020-1 was no longer subject to a trigger event as of July 25, 2022. During the second quarter of 2023, Radnor Re 2019-1 and Radnor Re 2020-1 retired approximately 90% of their outstanding notes though a tender offer made by these special purpose insurers.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80" w:firstLine="619"/>
        <w:spacing w:after="0" w:line="283" w:lineRule="auto"/>
        <w:rPr>
          <w:sz w:val="20"/>
          <w:szCs w:val="20"/>
          <w:color w:val="auto"/>
        </w:rPr>
      </w:pPr>
      <w:r>
        <w:rPr>
          <w:rFonts w:ascii="Arial" w:cs="Arial" w:eastAsia="Arial" w:hAnsi="Arial"/>
          <w:sz w:val="16"/>
          <w:szCs w:val="16"/>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189"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8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September 30, 2023:</w:t>
      </w:r>
    </w:p>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3"/>
              </w:rPr>
              <w:t>Maximum Exposure to Loss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8"/>
              </w:rPr>
              <w:t>Total VIE Assets</w:t>
            </w: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On - Balance Sheet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3"/>
              </w:rPr>
              <w:t>Off - Balance Sheet</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2019-1 Ltd.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8"/>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Radnor Re 2020-1 Ltd.</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50,596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2021-1 Ltd.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(4,814)</w:t>
            </w:r>
          </w:p>
        </w:tc>
        <w:tc>
          <w:tcPr>
            <w:tcW w:w="0" w:type="dxa"/>
            <w:vAlign w:val="bottom"/>
          </w:tcPr>
          <w:p>
            <w:pPr>
              <w:spacing w:after="0"/>
              <w:rPr>
                <w:sz w:val="1"/>
                <w:szCs w:val="1"/>
                <w:color w:val="auto"/>
              </w:rPr>
            </w:pPr>
          </w:p>
        </w:tc>
      </w:tr>
      <w:tr>
        <w:trPr>
          <w:trHeight w:val="218"/>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Radnor Re 2021-2 Ltd.</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361,449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(5,139)</w:t>
            </w:r>
          </w:p>
        </w:tc>
        <w:tc>
          <w:tcPr>
            <w:tcW w:w="0" w:type="dxa"/>
            <w:vAlign w:val="bottom"/>
          </w:tcPr>
          <w:p>
            <w:pPr>
              <w:spacing w:after="0"/>
              <w:rPr>
                <w:sz w:val="1"/>
                <w:szCs w:val="1"/>
                <w:color w:val="auto"/>
              </w:rPr>
            </w:pP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2022-1 Ltd.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8"/>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Radnor Re 2023-1 Ltd.</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281,462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3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1,291,962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(9,161)</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Reserve for Losses and Loss Adjustment Expenses</w:t>
      </w:r>
    </w:p>
    <w:p>
      <w:pPr>
        <w:spacing w:after="0" w:line="22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following table provides a reconciliation of the beginning and ending reserve balances for losses and loss adjustment expenses (“LAE”) for the nine months ended September 30: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4"/>
        </w:trPr>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period</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r>
      <w:tr>
        <w:trPr>
          <w:trHeight w:val="218"/>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Reinsurance recoverables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381,505</w:t>
            </w:r>
          </w:p>
        </w:tc>
      </w:tr>
      <w:tr>
        <w:trPr>
          <w:trHeight w:val="211"/>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Net reserves acquired during the period</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14,513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 provision for losses and LAE, net of reinsurance, occurring in: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Current period</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101,547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63,236</w:t>
            </w:r>
          </w:p>
        </w:tc>
      </w:tr>
      <w:tr>
        <w:trPr>
          <w:trHeight w:val="22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Prior years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(242,041)</w:t>
            </w:r>
          </w:p>
        </w:tc>
      </w:tr>
      <w:tr>
        <w:trPr>
          <w:trHeight w:val="211"/>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incurred losses and LAE during the current period</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(178,805)</w:t>
            </w:r>
          </w:p>
        </w:tc>
      </w:tr>
      <w:tr>
        <w:trPr>
          <w:trHeight w:val="20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Deduct payments for losses and LAE, net of reinsurance, occurring in:</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8"/>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Current period</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2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Prior years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w:t>
            </w:r>
          </w:p>
        </w:tc>
      </w:tr>
      <w:tr>
        <w:trPr>
          <w:trHeight w:val="211"/>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loss and LAE payments during the current period</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end of period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199,250</w:t>
            </w:r>
          </w:p>
        </w:tc>
      </w:tr>
      <w:tr>
        <w:trPr>
          <w:trHeight w:val="218"/>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Plus: Reinsurance recoverables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13,244</w:t>
            </w:r>
          </w:p>
        </w:tc>
      </w:tr>
      <w:tr>
        <w:trPr>
          <w:trHeight w:val="237"/>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end of period</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241,333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212,494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For the nine months ended September 30, 2023, $7.5 million was paid for incurred claims and claim adjustment expenses attributable to insured events of prior years. There has been a $89.6 million favorable prior year development during the nine months ended September 30, 2023. Reserves remaining as of September 30, 2023 for prior years are $104.7 million as a result of re-estimation of unpaid losses and loss adjustment expenses. For the nine months ended September 30, 2022, $3.3 million was paid for incurred claims and claim adjustment expenses attributable to insured events of prior years. There was a $242.0 million favorable prior year development during the nine months ended September 30, 2022. Reserves remaining as of September 30, 2022 for prior years were $136.1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 During the nine months ended September 30, 2023, we acquired $14.5 million of reserves, excluding $0.1 million of reinsurance recoverables, in connection with the acquisition of our title insurance operations.</w:t>
      </w:r>
    </w:p>
    <w:p>
      <w:pPr>
        <w:spacing w:after="0" w:line="210"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through 2022. As unemployment is one of the most common reasons for borrowers to default on their mortgage, the increase in unemployment has increased the number of delinquencies on the mortgages that we insure and has the potential to increase claim frequencies on defaults.</w:t>
      </w:r>
    </w:p>
    <w:p>
      <w:pPr>
        <w:spacing w:after="0" w:line="204" w:lineRule="exact"/>
        <w:rPr>
          <w:sz w:val="20"/>
          <w:szCs w:val="20"/>
          <w:color w:val="auto"/>
        </w:rPr>
      </w:pPr>
    </w:p>
    <w:p>
      <w:pPr>
        <w:ind w:firstLine="425"/>
        <w:spacing w:after="0" w:line="276" w:lineRule="auto"/>
        <w:rPr>
          <w:sz w:val="20"/>
          <w:szCs w:val="20"/>
          <w:color w:val="auto"/>
        </w:rPr>
      </w:pPr>
      <w:r>
        <w:rPr>
          <w:rFonts w:ascii="Arial" w:cs="Arial" w:eastAsia="Arial" w:hAnsi="Arial"/>
          <w:sz w:val="16"/>
          <w:szCs w:val="16"/>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firstLine="425"/>
        <w:spacing w:after="0" w:line="293" w:lineRule="auto"/>
        <w:rPr>
          <w:sz w:val="20"/>
          <w:szCs w:val="20"/>
          <w:color w:val="auto"/>
        </w:rPr>
      </w:pPr>
      <w:r>
        <w:rPr>
          <w:rFonts w:ascii="Arial" w:cs="Arial" w:eastAsia="Arial" w:hAnsi="Arial"/>
          <w:sz w:val="15"/>
          <w:szCs w:val="15"/>
          <w:color w:val="auto"/>
        </w:rPr>
        <w:t>The defaulted loans reported to us in the second and third quarters of 2020 (“Early COVID Defaults”)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six months ended June 30, 2022. Due to the level of Early COVID Defaults remaining in the default inventory, beginning in the third quarter of 2022, we resumed reserving for the Early COVID Defaults using our normal reserve methodology. The transition of defaults to foreclosure or claim has not returned to pre-pandemic levels. As a result, the level of defaults in the default inventory that have missed twelve or more payments is above pre-pandemic levels.</w:t>
      </w:r>
    </w:p>
    <w:p>
      <w:pPr>
        <w:spacing w:after="0" w:line="189" w:lineRule="exact"/>
        <w:rPr>
          <w:sz w:val="20"/>
          <w:szCs w:val="20"/>
          <w:color w:val="auto"/>
        </w:rPr>
      </w:pPr>
    </w:p>
    <w:p>
      <w:pPr>
        <w:ind w:right="20" w:firstLine="425"/>
        <w:spacing w:after="0" w:line="258"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 The impact on our reserves in future periods will be dependent upon the amount of delinquent notices received from loan servicers and our expectations for the amount of ultimate losses on these delinquencies.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 Obligations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Facility</w:t>
      </w:r>
    </w:p>
    <w:p>
      <w:pPr>
        <w:spacing w:after="0" w:line="249" w:lineRule="exact"/>
        <w:rPr>
          <w:sz w:val="20"/>
          <w:szCs w:val="20"/>
          <w:color w:val="auto"/>
        </w:rPr>
      </w:pPr>
    </w:p>
    <w:p>
      <w:pPr>
        <w:ind w:firstLine="387"/>
        <w:spacing w:after="0" w:line="292" w:lineRule="auto"/>
        <w:rPr>
          <w:sz w:val="20"/>
          <w:szCs w:val="20"/>
          <w:color w:val="auto"/>
        </w:rPr>
      </w:pPr>
      <w:r>
        <w:rPr>
          <w:rFonts w:ascii="Arial" w:cs="Arial" w:eastAsia="Arial" w:hAnsi="Arial"/>
          <w:sz w:val="15"/>
          <w:szCs w:val="15"/>
          <w:color w:val="auto"/>
        </w:rPr>
        <w:t>Essent Group and its subsidiaries, Essent Irish Intermediate Holdings Limited and Essent US Holdings, Inc. (collectively, the "Borrowers"), are parties to a five-year secured credit facility with a committed capacity of $825 million (the Credit Facility").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September 30, 2023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December 10, 2026. As of September 30, 2023, the Company was in compliance with the covenants and $425 million had been borrowed under the term loan portion of the Credit Facility with a weighted average interest rate of 7.07%. As of December 31, 2022, $425 million had been borrowed with a weighted average interest rate of 6.02%.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under Guarantees</w:t>
      </w:r>
    </w:p>
    <w:p>
      <w:pPr>
        <w:spacing w:after="0" w:line="22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No remedy payments were made in the nine months ended September 30, 2023, and we paid less than $0.1 million related to remedies in the nine months ended September 30, 2022. As of September 30, 2023, management believes any potential claims for indemnification related to contract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underwriting services through September 30, 2023 are not material to our consolidated financial position or results of operations.</w:t>
      </w:r>
    </w:p>
    <w:p>
      <w:pPr>
        <w:spacing w:after="0" w:line="217" w:lineRule="exact"/>
        <w:rPr>
          <w:sz w:val="20"/>
          <w:szCs w:val="20"/>
          <w:color w:val="auto"/>
        </w:rPr>
      </w:pPr>
    </w:p>
    <w:p>
      <w:pPr>
        <w:ind w:firstLine="619"/>
        <w:spacing w:after="0" w:line="292" w:lineRule="auto"/>
        <w:rPr>
          <w:sz w:val="20"/>
          <w:szCs w:val="20"/>
          <w:color w:val="auto"/>
        </w:rPr>
      </w:pPr>
      <w:r>
        <w:rPr>
          <w:rFonts w:ascii="Arial" w:cs="Arial" w:eastAsia="Arial" w:hAnsi="Arial"/>
          <w:sz w:val="15"/>
          <w:szCs w:val="15"/>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2023,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Capital Stock</w:t>
      </w:r>
    </w:p>
    <w:p>
      <w:pPr>
        <w:spacing w:after="0" w:line="223"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amounts declared and paid per common share each quarter: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40" w:type="dxa"/>
            <w:vAlign w:val="bottom"/>
          </w:tcPr>
          <w:p>
            <w:pPr>
              <w:jc w:val="right"/>
              <w:ind w:right="6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57"/>
              <w:spacing w:after="0"/>
              <w:rPr>
                <w:sz w:val="20"/>
                <w:szCs w:val="20"/>
                <w:color w:val="auto"/>
              </w:rPr>
            </w:pPr>
            <w:r>
              <w:rPr>
                <w:rFonts w:ascii="Arial" w:cs="Arial" w:eastAsia="Arial" w:hAnsi="Arial"/>
                <w:sz w:val="14"/>
                <w:szCs w:val="14"/>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March 31</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June 30</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22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December 31</w:t>
            </w:r>
          </w:p>
        </w:tc>
        <w:tc>
          <w:tcPr>
            <w:tcW w:w="4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0.23</w:t>
            </w:r>
          </w:p>
        </w:tc>
      </w:tr>
      <w:tr>
        <w:trPr>
          <w:trHeight w:val="238"/>
        </w:trPr>
        <w:tc>
          <w:tcPr>
            <w:tcW w:w="7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dividends per common share declared and paid</w:t>
            </w: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In October 2023, the Board of Directors declared a quarterly cash dividend of $0.25 per common share payable on December 11, 2023 to shareholders of record on December 1, 2023.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Plan</w:t>
      </w:r>
    </w:p>
    <w:p>
      <w:pPr>
        <w:spacing w:after="0" w:line="24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In May 2022, the Board of Directors approved a share repurchase plan that authorizes the Company to repurchase up to $250 million of its common shares in the open market by the end of 2023. Through September 30, 2023, the Company repurchased 1,233,638 common shares at a cost of $51.0 million under the 2022 plan, leaving $199.0 million remaining unused under the authorized repurchase plan as of September 30, 2023. In October 2023, the Board of Directors approved a share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repurchase plan that authorizes the Company to repurchase $250 million of common shares in the open market between January 1, 2024 and December 31, 2025.</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Stock-Based Compensation</w:t>
      </w:r>
    </w:p>
    <w:p>
      <w:pPr>
        <w:spacing w:after="0" w:line="223" w:lineRule="exact"/>
        <w:rPr>
          <w:sz w:val="20"/>
          <w:szCs w:val="20"/>
          <w:color w:val="auto"/>
        </w:rPr>
      </w:pPr>
    </w:p>
    <w:p>
      <w:pPr>
        <w:ind w:right="20" w:firstLine="619"/>
        <w:spacing w:after="0" w:line="288" w:lineRule="auto"/>
        <w:rPr>
          <w:sz w:val="20"/>
          <w:szCs w:val="20"/>
          <w:color w:val="auto"/>
        </w:rPr>
      </w:pPr>
      <w:r>
        <w:rPr>
          <w:rFonts w:ascii="Arial" w:cs="Arial" w:eastAsia="Arial" w:hAnsi="Arial"/>
          <w:sz w:val="15"/>
          <w:szCs w:val="15"/>
          <w:color w:val="auto"/>
        </w:rPr>
        <w:t xml:space="preserve">In 2013, Essent Group's Board of Directors adopted, and Essent Group's shareholders </w:t>
      </w:r>
      <w:r>
        <w:rPr>
          <w:rFonts w:ascii="Arial" w:cs="Arial" w:eastAsia="Arial" w:hAnsi="Arial"/>
          <w:sz w:val="15"/>
          <w:szCs w:val="15"/>
          <w:color w:val="242021"/>
        </w:rPr>
        <w:t>approved, the Essent Group Ltd. 2013 Long-Term Incentive Plan</w:t>
      </w:r>
      <w:r>
        <w:rPr>
          <w:rFonts w:ascii="Arial" w:cs="Arial" w:eastAsia="Arial" w:hAnsi="Arial"/>
          <w:sz w:val="15"/>
          <w:szCs w:val="15"/>
          <w:color w:val="auto"/>
        </w:rPr>
        <w:t xml:space="preserve"> </w:t>
      </w:r>
      <w:r>
        <w:rPr>
          <w:rFonts w:ascii="Arial" w:cs="Arial" w:eastAsia="Arial" w:hAnsi="Arial"/>
          <w:sz w:val="15"/>
          <w:szCs w:val="15"/>
          <w:color w:val="242021"/>
        </w:rPr>
        <w:t>(the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Arial" w:cs="Arial" w:eastAsia="Arial" w:hAnsi="Arial"/>
          <w:sz w:val="15"/>
          <w:szCs w:val="15"/>
          <w:color w:val="000000"/>
        </w:rPr>
        <w:t>qualified share options, incentive stock options, share appreciation rights, and other share-based or</w:t>
      </w:r>
      <w:r>
        <w:rPr>
          <w:rFonts w:ascii="Arial" w:cs="Arial" w:eastAsia="Arial" w:hAnsi="Arial"/>
          <w:sz w:val="15"/>
          <w:szCs w:val="15"/>
          <w:color w:val="242021"/>
        </w:rPr>
        <w:t xml:space="preserve"> </w:t>
      </w:r>
      <w:r>
        <w:rPr>
          <w:rFonts w:ascii="Arial" w:cs="Arial" w:eastAsia="Arial" w:hAnsi="Arial"/>
          <w:sz w:val="15"/>
          <w:szCs w:val="15"/>
          <w:color w:val="000000"/>
        </w:rPr>
        <w:t>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5.6 million under the 2013 Plan, as amended. As of September 30, 2023, there were 3.8 million common shares available for future grant under the 2013 Plan.</w:t>
      </w:r>
    </w:p>
    <w:p>
      <w:pPr>
        <w:spacing w:after="0" w:line="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nonvested common share, nonvested common share unit and DEU activity for the nine months ended September 30,</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2023:</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Time and Performance-</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Time-Based</w:t>
            </w:r>
          </w:p>
        </w:tc>
        <w:tc>
          <w:tcPr>
            <w:tcW w:w="210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Share Units</w:t>
            </w:r>
          </w:p>
        </w:tc>
        <w:tc>
          <w:tcPr>
            <w:tcW w:w="12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DEUs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Based Share Awards</w:t>
            </w:r>
          </w:p>
        </w:tc>
        <w:tc>
          <w:tcPr>
            <w:tcW w:w="2100" w:type="dxa"/>
            <w:vAlign w:val="bottom"/>
            <w:gridSpan w:val="5"/>
          </w:tcPr>
          <w:p>
            <w:pPr>
              <w:ind w:left="580"/>
              <w:spacing w:after="0"/>
              <w:rPr>
                <w:sz w:val="20"/>
                <w:szCs w:val="20"/>
                <w:color w:val="auto"/>
              </w:rPr>
            </w:pPr>
            <w:r>
              <w:rPr>
                <w:rFonts w:ascii="Arial" w:cs="Arial" w:eastAsia="Arial" w:hAnsi="Arial"/>
                <w:sz w:val="14"/>
                <w:szCs w:val="14"/>
                <w:b w:val="1"/>
                <w:bCs w:val="1"/>
                <w:color w:val="auto"/>
              </w:rPr>
              <w:t>Share Awards</w:t>
            </w:r>
          </w:p>
        </w:tc>
        <w:tc>
          <w:tcPr>
            <w:tcW w:w="2100" w:type="dxa"/>
            <w:vAlign w:val="bottom"/>
            <w:gridSpan w:val="5"/>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2"/>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vMerge w:val="restart"/>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Grant Date</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Grant Date</w:t>
            </w: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Equivalent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20.99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45.94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02"/>
              <w:spacing w:after="0"/>
              <w:rPr>
                <w:sz w:val="20"/>
                <w:szCs w:val="20"/>
                <w:color w:val="auto"/>
              </w:rPr>
            </w:pPr>
            <w:r>
              <w:rPr>
                <w:rFonts w:ascii="Arial" w:cs="Arial" w:eastAsia="Arial" w:hAnsi="Arial"/>
                <w:sz w:val="17"/>
                <w:szCs w:val="17"/>
                <w:color w:val="auto"/>
                <w:w w:val="94"/>
              </w:rPr>
              <w:t>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w:t>
            </w:r>
          </w:p>
        </w:tc>
        <w:tc>
          <w:tcPr>
            <w:tcW w:w="0" w:type="dxa"/>
            <w:vAlign w:val="bottom"/>
          </w:tcPr>
          <w:p>
            <w:pPr>
              <w:spacing w:after="0"/>
              <w:rPr>
                <w:sz w:val="1"/>
                <w:szCs w:val="1"/>
                <w:color w:val="auto"/>
              </w:rPr>
            </w:pPr>
          </w:p>
        </w:tc>
      </w:tr>
      <w:tr>
        <w:trPr>
          <w:trHeight w:val="218"/>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96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7"/>
                <w:szCs w:val="17"/>
                <w:color w:val="auto"/>
              </w:rPr>
              <w:t>12.66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7"/>
                <w:szCs w:val="17"/>
                <w:color w:val="auto"/>
              </w:rPr>
              <w:t>43.51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40.74</w:t>
            </w:r>
          </w:p>
        </w:tc>
        <w:tc>
          <w:tcPr>
            <w:tcW w:w="100" w:type="dxa"/>
            <w:vAlign w:val="bottom"/>
          </w:tcPr>
          <w:p>
            <w:pPr>
              <w:spacing w:after="0"/>
              <w:rPr>
                <w:sz w:val="18"/>
                <w:szCs w:val="18"/>
                <w:color w:val="auto"/>
              </w:rPr>
            </w:pPr>
          </w:p>
        </w:tc>
        <w:tc>
          <w:tcPr>
            <w:tcW w:w="980" w:type="dxa"/>
            <w:vAlign w:val="bottom"/>
          </w:tcPr>
          <w:p>
            <w:pPr>
              <w:jc w:val="center"/>
              <w:ind w:left="602"/>
              <w:spacing w:after="0"/>
              <w:rPr>
                <w:sz w:val="20"/>
                <w:szCs w:val="20"/>
                <w:color w:val="auto"/>
              </w:rPr>
            </w:pPr>
            <w:r>
              <w:rPr>
                <w:rFonts w:ascii="Arial" w:cs="Arial" w:eastAsia="Arial" w:hAnsi="Arial"/>
                <w:sz w:val="17"/>
                <w:szCs w:val="17"/>
                <w:color w:val="auto"/>
                <w:w w:val="94"/>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44.18</w:t>
            </w:r>
          </w:p>
        </w:tc>
        <w:tc>
          <w:tcPr>
            <w:tcW w:w="0" w:type="dxa"/>
            <w:vAlign w:val="bottom"/>
          </w:tcPr>
          <w:p>
            <w:pPr>
              <w:spacing w:after="0"/>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51.52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2"/>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46.65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82"/>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40.29</w:t>
            </w:r>
          </w:p>
        </w:tc>
        <w:tc>
          <w:tcPr>
            <w:tcW w:w="0" w:type="dxa"/>
            <w:vAlign w:val="bottom"/>
          </w:tcPr>
          <w:p>
            <w:pPr>
              <w:spacing w:after="0"/>
              <w:rPr>
                <w:sz w:val="1"/>
                <w:szCs w:val="1"/>
                <w:color w:val="auto"/>
              </w:rPr>
            </w:pPr>
          </w:p>
        </w:tc>
      </w:tr>
      <w:tr>
        <w:trPr>
          <w:trHeight w:val="218"/>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39.19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60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41.30</w:t>
            </w:r>
          </w:p>
        </w:tc>
        <w:tc>
          <w:tcPr>
            <w:tcW w:w="0" w:type="dxa"/>
            <w:vAlign w:val="bottom"/>
          </w:tcPr>
          <w:p>
            <w:pPr>
              <w:spacing w:after="0"/>
              <w:rPr>
                <w:sz w:val="1"/>
                <w:szCs w:val="1"/>
                <w:color w:val="auto"/>
              </w:rPr>
            </w:pPr>
          </w:p>
        </w:tc>
      </w:tr>
      <w:tr>
        <w:trPr>
          <w:trHeight w:val="238"/>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14.29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left="602"/>
              <w:spacing w:after="0"/>
              <w:rPr>
                <w:sz w:val="20"/>
                <w:szCs w:val="20"/>
                <w:color w:val="auto"/>
              </w:rPr>
            </w:pPr>
            <w:r>
              <w:rPr>
                <w:rFonts w:ascii="Arial" w:cs="Arial" w:eastAsia="Arial" w:hAnsi="Arial"/>
                <w:sz w:val="17"/>
                <w:szCs w:val="17"/>
                <w:color w:val="auto"/>
                <w:w w:val="94"/>
              </w:rPr>
              <w:t>51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right="80" w:firstLine="425"/>
        <w:spacing w:after="0" w:line="302" w:lineRule="auto"/>
        <w:rPr>
          <w:sz w:val="20"/>
          <w:szCs w:val="20"/>
          <w:color w:val="auto"/>
        </w:rPr>
      </w:pPr>
      <w:r>
        <w:rPr>
          <w:rFonts w:ascii="Arial" w:cs="Arial" w:eastAsia="Arial" w:hAnsi="Arial"/>
          <w:sz w:val="15"/>
          <w:szCs w:val="15"/>
          <w:color w:val="auto"/>
        </w:rPr>
        <w:t>In February 2023, certain members of senior management were granted nonvested common shares under the 2013 Plan that were subject to time-based and performance-based vesting. The time-based share awards granted in February 2023 vest in three equal installments commencing on March 1 of the year following the grant year. The performance-based share awards granted in February 2023 vest based upon our compounded annual book value per share growth percentage and relative total shareholder return during a three-year performance period that commenced on January 1, 2023 and vest on March 1, 2026. Shares were issued at the maximum 200% of target. The portion of these nonvested performance-based share awards that will be earned is as follows:</w:t>
      </w:r>
    </w:p>
    <w:p>
      <w:pPr>
        <w:spacing w:after="0" w:line="211" w:lineRule="exact"/>
        <w:rPr>
          <w:sz w:val="20"/>
          <w:szCs w:val="20"/>
          <w:color w:val="auto"/>
        </w:rPr>
      </w:pPr>
    </w:p>
    <w:p>
      <w:pPr>
        <w:jc w:val="center"/>
        <w:ind w:left="4200"/>
        <w:spacing w:after="0"/>
        <w:rPr>
          <w:sz w:val="20"/>
          <w:szCs w:val="20"/>
          <w:color w:val="auto"/>
        </w:rPr>
      </w:pPr>
      <w:r>
        <w:rPr>
          <w:rFonts w:ascii="Arial" w:cs="Arial" w:eastAsia="Arial" w:hAnsi="Arial"/>
          <w:sz w:val="17"/>
          <w:szCs w:val="17"/>
          <w:b w:val="1"/>
          <w:bCs w:val="1"/>
          <w:color w:val="auto"/>
        </w:rPr>
        <w:t>Relative Total Shareholder Return</w:t>
      </w:r>
    </w:p>
    <w:p>
      <w:pPr>
        <w:spacing w:after="0" w:line="5" w:lineRule="exact"/>
        <w:rPr>
          <w:sz w:val="20"/>
          <w:szCs w:val="20"/>
          <w:color w:val="auto"/>
        </w:rPr>
      </w:pPr>
    </w:p>
    <w:p>
      <w:pPr>
        <w:jc w:val="center"/>
        <w:ind w:left="4200"/>
        <w:spacing w:after="0"/>
        <w:rPr>
          <w:sz w:val="20"/>
          <w:szCs w:val="20"/>
          <w:color w:val="auto"/>
        </w:rPr>
      </w:pPr>
      <w:r>
        <w:rPr>
          <w:rFonts w:ascii="Arial" w:cs="Arial" w:eastAsia="Arial" w:hAnsi="Arial"/>
          <w:sz w:val="17"/>
          <w:szCs w:val="17"/>
          <w:b w:val="1"/>
          <w:bCs w:val="1"/>
          <w:color w:val="auto"/>
        </w:rPr>
        <w:t>vs. S&amp;P 1500 Financial Services Index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80" w:type="dxa"/>
            <w:vAlign w:val="bottom"/>
            <w:tcBorders>
              <w:top w:val="single" w:sz="8" w:color="auto"/>
            </w:tcBorders>
            <w:gridSpan w:val="2"/>
            <w:vMerge w:val="restart"/>
          </w:tcPr>
          <w:p>
            <w:pPr>
              <w:ind w:left="540"/>
              <w:spacing w:after="0"/>
              <w:rPr>
                <w:sz w:val="20"/>
                <w:szCs w:val="20"/>
                <w:color w:val="auto"/>
              </w:rPr>
            </w:pPr>
            <w:r>
              <w:rPr>
                <w:rFonts w:ascii="Arial" w:cs="Arial" w:eastAsia="Arial" w:hAnsi="Arial"/>
                <w:sz w:val="17"/>
                <w:szCs w:val="17"/>
                <w:b w:val="1"/>
                <w:bCs w:val="1"/>
                <w:color w:val="auto"/>
              </w:rPr>
              <w:t>≤25th percentile</w:t>
            </w:r>
          </w:p>
        </w:tc>
        <w:tc>
          <w:tcPr>
            <w:tcW w:w="2360" w:type="dxa"/>
            <w:vAlign w:val="bottom"/>
            <w:tcBorders>
              <w:top w:val="single" w:sz="8" w:color="auto"/>
            </w:tcBorders>
            <w:gridSpan w:val="2"/>
          </w:tcPr>
          <w:p>
            <w:pPr>
              <w:jc w:val="center"/>
              <w:ind w:right="100"/>
              <w:spacing w:after="0" w:line="170" w:lineRule="exact"/>
              <w:rPr>
                <w:sz w:val="20"/>
                <w:szCs w:val="20"/>
                <w:color w:val="auto"/>
              </w:rPr>
            </w:pPr>
            <w:r>
              <w:rPr>
                <w:rFonts w:ascii="Arial" w:cs="Arial" w:eastAsia="Arial" w:hAnsi="Arial"/>
                <w:sz w:val="17"/>
                <w:szCs w:val="17"/>
                <w:b w:val="1"/>
                <w:bCs w:val="1"/>
                <w:color w:val="auto"/>
                <w:w w:val="91"/>
              </w:rPr>
              <w:t>50th percentile</w:t>
            </w:r>
          </w:p>
        </w:tc>
        <w:tc>
          <w:tcPr>
            <w:tcW w:w="228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7"/>
                <w:szCs w:val="17"/>
                <w:b w:val="1"/>
                <w:bCs w:val="1"/>
                <w:color w:val="auto"/>
              </w:rPr>
              <w:t>≥75th percentile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236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6"/>
              </w:rPr>
              <w:t>"Target"</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60" w:type="dxa"/>
            <w:vAlign w:val="bottom"/>
            <w:gridSpan w:val="2"/>
            <w:vMerge w:val="continue"/>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600" w:type="dxa"/>
            <w:vAlign w:val="bottom"/>
          </w:tcPr>
          <w:p>
            <w:pPr>
              <w:spacing w:after="0"/>
              <w:rPr>
                <w:sz w:val="20"/>
                <w:szCs w:val="20"/>
                <w:color w:val="auto"/>
              </w:rPr>
            </w:pPr>
          </w:p>
        </w:tc>
        <w:tc>
          <w:tcPr>
            <w:tcW w:w="1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10%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8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200 %</w:t>
            </w:r>
          </w:p>
        </w:tc>
        <w:tc>
          <w:tcPr>
            <w:tcW w:w="0" w:type="dxa"/>
            <w:vAlign w:val="bottom"/>
          </w:tcPr>
          <w:p>
            <w:pPr>
              <w:spacing w:after="0"/>
              <w:rPr>
                <w:sz w:val="1"/>
                <w:szCs w:val="1"/>
                <w:color w:val="auto"/>
              </w:rPr>
            </w:pPr>
          </w:p>
        </w:tc>
      </w:tr>
      <w:tr>
        <w:trPr>
          <w:trHeight w:val="258"/>
        </w:trPr>
        <w:tc>
          <w:tcPr>
            <w:tcW w:w="2600" w:type="dxa"/>
            <w:vAlign w:val="bottom"/>
          </w:tcPr>
          <w:p>
            <w:pPr>
              <w:jc w:val="center"/>
              <w:spacing w:after="0"/>
              <w:rPr>
                <w:sz w:val="20"/>
                <w:szCs w:val="20"/>
                <w:color w:val="auto"/>
              </w:rPr>
            </w:pPr>
            <w:r>
              <w:rPr>
                <w:rFonts w:ascii="Arial" w:cs="Arial" w:eastAsia="Arial" w:hAnsi="Arial"/>
                <w:sz w:val="17"/>
                <w:szCs w:val="17"/>
                <w:b w:val="1"/>
                <w:bCs w:val="1"/>
                <w:color w:val="auto"/>
                <w:w w:val="92"/>
              </w:rPr>
              <w:t>Three-Year Book</w:t>
            </w: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b w:val="1"/>
                <w:bCs w:val="1"/>
                <w:color w:val="auto"/>
              </w:rPr>
              <w:t>9%</w:t>
            </w: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75 %</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125 %</w:t>
            </w:r>
          </w:p>
        </w:tc>
        <w:tc>
          <w:tcPr>
            <w:tcW w:w="80" w:type="dxa"/>
            <w:vAlign w:val="bottom"/>
            <w:tcBorders>
              <w:bottom w:val="single" w:sz="8" w:color="CCEEFF"/>
            </w:tcBorders>
          </w:tcPr>
          <w:p>
            <w:pPr>
              <w:spacing w:after="0"/>
              <w:rPr>
                <w:sz w:val="22"/>
                <w:szCs w:val="22"/>
                <w:color w:val="auto"/>
              </w:rPr>
            </w:pP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175 %</w:t>
            </w:r>
          </w:p>
        </w:tc>
        <w:tc>
          <w:tcPr>
            <w:tcW w:w="0" w:type="dxa"/>
            <w:vAlign w:val="bottom"/>
          </w:tcPr>
          <w:p>
            <w:pPr>
              <w:spacing w:after="0"/>
              <w:rPr>
                <w:sz w:val="1"/>
                <w:szCs w:val="1"/>
                <w:color w:val="auto"/>
              </w:rPr>
            </w:pPr>
          </w:p>
        </w:tc>
      </w:tr>
      <w:tr>
        <w:trPr>
          <w:trHeight w:val="218"/>
        </w:trPr>
        <w:tc>
          <w:tcPr>
            <w:tcW w:w="26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2"/>
              </w:rPr>
              <w:t>Value Per Share</w:t>
            </w:r>
          </w:p>
        </w:tc>
        <w:tc>
          <w:tcPr>
            <w:tcW w:w="162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7"/>
                <w:szCs w:val="17"/>
                <w:b w:val="1"/>
                <w:bCs w:val="1"/>
                <w:color w:val="auto"/>
              </w:rPr>
              <w:t>8%</w:t>
            </w:r>
          </w:p>
        </w:tc>
        <w:tc>
          <w:tcPr>
            <w:tcW w:w="2280" w:type="dxa"/>
            <w:vAlign w:val="bottom"/>
            <w:tcBorders>
              <w:bottom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50 %</w:t>
            </w:r>
          </w:p>
        </w:tc>
        <w:tc>
          <w:tcPr>
            <w:tcW w:w="10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172"/>
        </w:trPr>
        <w:tc>
          <w:tcPr>
            <w:tcW w:w="2600" w:type="dxa"/>
            <w:vAlign w:val="bottom"/>
          </w:tcPr>
          <w:p>
            <w:pPr>
              <w:jc w:val="center"/>
              <w:spacing w:after="0" w:line="172" w:lineRule="exact"/>
              <w:rPr>
                <w:sz w:val="20"/>
                <w:szCs w:val="20"/>
                <w:color w:val="auto"/>
              </w:rPr>
            </w:pPr>
            <w:r>
              <w:rPr>
                <w:rFonts w:ascii="Arial" w:cs="Arial" w:eastAsia="Arial" w:hAnsi="Arial"/>
                <w:sz w:val="17"/>
                <w:szCs w:val="17"/>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w:t>
            </w: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4"/>
                <w:szCs w:val="14"/>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75 %</w:t>
            </w:r>
          </w:p>
        </w:tc>
        <w:tc>
          <w:tcPr>
            <w:tcW w:w="80" w:type="dxa"/>
            <w:vAlign w:val="bottom"/>
          </w:tcPr>
          <w:p>
            <w:pPr>
              <w:spacing w:after="0"/>
              <w:rPr>
                <w:sz w:val="14"/>
                <w:szCs w:val="14"/>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r>
        <w:trPr>
          <w:trHeight w:val="86"/>
        </w:trPr>
        <w:tc>
          <w:tcPr>
            <w:tcW w:w="26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600" w:type="dxa"/>
            <w:vAlign w:val="bottom"/>
          </w:tcPr>
          <w:p>
            <w:pPr>
              <w:spacing w:after="0"/>
              <w:rPr>
                <w:sz w:val="22"/>
                <w:szCs w:val="2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5%</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8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862"/>
        </w:trPr>
        <w:tc>
          <w:tcPr>
            <w:tcW w:w="2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tcPr>
          <w:p>
            <w:pPr>
              <w:jc w:val="right"/>
              <w:ind w:right="714"/>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4" w:lineRule="exact"/>
        <w:rPr>
          <w:sz w:val="20"/>
          <w:szCs w:val="20"/>
          <w:color w:val="auto"/>
        </w:rPr>
      </w:pPr>
    </w:p>
    <w:p>
      <w:pPr>
        <w:ind w:right="260" w:firstLine="425"/>
        <w:spacing w:after="0" w:line="307" w:lineRule="auto"/>
        <w:rPr>
          <w:sz w:val="20"/>
          <w:szCs w:val="20"/>
          <w:color w:val="auto"/>
        </w:rPr>
      </w:pPr>
      <w:r>
        <w:rPr>
          <w:rFonts w:ascii="Arial" w:cs="Arial" w:eastAsia="Arial" w:hAnsi="Arial"/>
          <w:sz w:val="15"/>
          <w:szCs w:val="15"/>
          <w:color w:val="auto"/>
        </w:rPr>
        <w:t>In January 2023, nonvested common share units were issued to all vice president and staff level employees and are subject to time-based vesting in three equal installments on January 6, 2024, 2025 and 2026. In connection with our incentive program covering bonus awards for performance year 2022, in February 2023, time-based share units were issued to certain employees that vest in three equal installments on March 1, 2024, 2025 and 2026. In August 2023, time-based share units were granted to certain members of senior management that vest in three equal installments on October 1, 2026, 2027 and 2028.</w:t>
      </w:r>
    </w:p>
    <w:p>
      <w:pPr>
        <w:spacing w:after="0" w:line="175"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Quoted market prices are used for the valuation of common shares granted that do not contain a market condition under ASC 718. The performance-based share awards granted in February 2021, 2022 and 2023 contain a market condition and were valued based on analysis provided by a third-party valuation firm using a risk neutral simulation taking into effect the vesting conditions of the grant.</w:t>
      </w:r>
    </w:p>
    <w:p>
      <w:pPr>
        <w:spacing w:after="0" w:line="201" w:lineRule="exact"/>
        <w:rPr>
          <w:sz w:val="20"/>
          <w:szCs w:val="20"/>
          <w:color w:val="auto"/>
        </w:rPr>
      </w:pPr>
    </w:p>
    <w:p>
      <w:pPr>
        <w:jc w:val="both"/>
        <w:ind w:right="20" w:firstLine="619"/>
        <w:spacing w:after="0" w:line="290" w:lineRule="auto"/>
        <w:rPr>
          <w:sz w:val="20"/>
          <w:szCs w:val="20"/>
          <w:color w:val="auto"/>
        </w:rPr>
      </w:pPr>
      <w:r>
        <w:rPr>
          <w:rFonts w:ascii="Arial" w:cs="Arial" w:eastAsia="Arial" w:hAnsi="Arial"/>
          <w:sz w:val="16"/>
          <w:szCs w:val="16"/>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shares subject to the amended 2019 and 2020 awards vested on March 1, 2022 and March 1, 2023, respectively.</w:t>
      </w:r>
    </w:p>
    <w:p>
      <w:pPr>
        <w:spacing w:after="0" w:line="184" w:lineRule="exact"/>
        <w:rPr>
          <w:sz w:val="20"/>
          <w:szCs w:val="20"/>
          <w:color w:val="auto"/>
        </w:rPr>
      </w:pPr>
    </w:p>
    <w:p>
      <w:pPr>
        <w:jc w:val="both"/>
        <w:ind w:right="400" w:firstLine="619"/>
        <w:spacing w:after="0" w:line="318" w:lineRule="auto"/>
        <w:rPr>
          <w:sz w:val="20"/>
          <w:szCs w:val="20"/>
          <w:color w:val="auto"/>
        </w:rPr>
      </w:pPr>
      <w:r>
        <w:rPr>
          <w:rFonts w:ascii="Arial" w:cs="Arial" w:eastAsia="Arial" w:hAnsi="Arial"/>
          <w:sz w:val="15"/>
          <w:szCs w:val="15"/>
          <w:color w:val="auto"/>
        </w:rPr>
        <w:t>The total fair value on the vesting date of nonvested shares, share units or DEUs that vested was $14.6 million and $17.3 million for the nine months ended September 30, 2023 and 2022, respectively. As of September 30, 2023, there was $31.2 million of total unrecognized compensation expense related to nonvested shares or share units outstanding at September 30, 2023 and we expect to recognize the expense over a weighted average period of 2.6 years.</w:t>
      </w:r>
    </w:p>
    <w:p>
      <w:pPr>
        <w:spacing w:after="0" w:line="165" w:lineRule="exact"/>
        <w:rPr>
          <w:sz w:val="20"/>
          <w:szCs w:val="20"/>
          <w:color w:val="auto"/>
        </w:rPr>
      </w:pPr>
    </w:p>
    <w:p>
      <w:pPr>
        <w:ind w:right="180" w:firstLine="619"/>
        <w:spacing w:after="0" w:line="290"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114,471 in the nine months ended September 30, 2023. The tendered shares were recorded at cost and included in treasury stock. All treasury stock has been cancelled as of September 30, 2023.</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Compensation expense, net of forfeitures, and related tax effects recognized in connection with nonvested shares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13,939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13,707</w:t>
            </w:r>
          </w:p>
        </w:tc>
        <w:tc>
          <w:tcPr>
            <w:tcW w:w="0" w:type="dxa"/>
            <w:vAlign w:val="bottom"/>
          </w:tcPr>
          <w:p>
            <w:pPr>
              <w:spacing w:after="0"/>
              <w:rPr>
                <w:sz w:val="1"/>
                <w:szCs w:val="1"/>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Income tax benefit</w:t>
            </w:r>
          </w:p>
        </w:tc>
        <w:tc>
          <w:tcPr>
            <w:tcW w:w="2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888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2,767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2,715</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Dividends Restrictions</w:t>
      </w:r>
    </w:p>
    <w:p>
      <w:pPr>
        <w:spacing w:after="0" w:line="249"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September 30, 2023, Essent Guaranty had unassigned surplus of approximately $284.6 million and Essent PA had unassigned surplus of approximately $13.3 million. In three and nine months ended September 30, 2023, Essent Guaranty paid dividends of $60 million and $240 million, respectively, to its parent, Essent US Holdings, Inc. In three and nine months ended September 30, 2022, Essent Guaranty paid dividends of $60 million and $260 million, respectively, to its parent, Essent US Holdings, Inc. Essent PA did not pay a dividend in the three and nine months ended September 30, 2023 or 2022. As of September 30, 2023, Essent Guaranty and Essent PA could pay additional ordinary dividends in 2023 of $284.6 million and $5.3 million,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2023, Essent Re had total equity of $1.7 billion. At September 30, 2023, our insurance subsidiaries were in compliance with these rules, regulations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Earnings per Share (EPS)</w:t>
      </w:r>
    </w:p>
    <w:p>
      <w:pPr>
        <w:spacing w:after="0" w:line="223"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 reconciles the net income and the weighted average common shares outstanding used in the computations of basic and diluted earnings per common share: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89"/>
              </w:rPr>
              <w:t>2022</w:t>
            </w: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521,019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683,987</w:t>
            </w:r>
          </w:p>
        </w:tc>
      </w:tr>
      <w:tr>
        <w:trPr>
          <w:trHeight w:val="52"/>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107,314</w:t>
            </w:r>
          </w:p>
        </w:tc>
      </w:tr>
      <w:tr>
        <w:trPr>
          <w:trHeight w:val="21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Dilutive effect of nonvested shares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418</w:t>
            </w:r>
          </w:p>
        </w:tc>
      </w:tr>
      <w:tr>
        <w:trPr>
          <w:trHeight w:val="22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shares outstanding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107,732</w:t>
            </w:r>
          </w:p>
        </w:tc>
      </w:tr>
      <w:tr>
        <w:trPr>
          <w:trHeight w:val="52"/>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r>
      <w:tr>
        <w:trPr>
          <w:trHeight w:val="21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Diluted earnings per share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6.35</w:t>
            </w:r>
          </w:p>
        </w:tc>
      </w:tr>
    </w:tbl>
    <w:p>
      <w:pPr>
        <w:spacing w:after="0" w:line="273" w:lineRule="exact"/>
        <w:rPr>
          <w:sz w:val="20"/>
          <w:szCs w:val="20"/>
          <w:color w:val="auto"/>
        </w:rPr>
      </w:pPr>
    </w:p>
    <w:p>
      <w:pPr>
        <w:ind w:right="680" w:firstLine="619"/>
        <w:spacing w:after="0" w:line="279" w:lineRule="auto"/>
        <w:rPr>
          <w:sz w:val="20"/>
          <w:szCs w:val="20"/>
          <w:color w:val="auto"/>
        </w:rPr>
      </w:pPr>
      <w:r>
        <w:rPr>
          <w:rFonts w:ascii="Arial" w:cs="Arial" w:eastAsia="Arial" w:hAnsi="Arial"/>
          <w:sz w:val="17"/>
          <w:szCs w:val="17"/>
          <w:color w:val="auto"/>
        </w:rPr>
        <w:t>There were 65,435 and 10,417 antidilutive shares for the three months ended September 30, 2023 and 2022, respectively, and 64,108 and 90,413 antidilutive shares for the nine months ended September 30, 2023 and 2022, respectively.</w:t>
      </w:r>
    </w:p>
    <w:p>
      <w:pPr>
        <w:spacing w:after="0" w:line="164"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Nonvested performance-based share awards are considered contingently issuable for purposes of the EPS calculation. The 2023, 2022 and 2021 performance-based share awards vest based upon our compounded annual book value per share growth percentage and relative total shareholder return during a three-year performance period. The performance-based share awards granted in years before 2021 vest based upon our compounded annual book value per share growth percentage during a three-year performance period. The following table summarizes the performance-based shares issuable if the reporting date was the end of the contingency period.</w:t>
      </w:r>
    </w:p>
    <w:p>
      <w:pPr>
        <w:spacing w:after="0" w:line="21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0"/>
              </w:rPr>
              <w:t>2023 Performance-Based Grants</w:t>
            </w:r>
          </w:p>
        </w:tc>
        <w:tc>
          <w:tcPr>
            <w:tcW w:w="80" w:type="dxa"/>
            <w:vAlign w:val="bottom"/>
            <w:vMerge w:val="restart"/>
          </w:tcPr>
          <w:p>
            <w:pPr>
              <w:spacing w:after="0"/>
              <w:rPr>
                <w:sz w:val="12"/>
                <w:szCs w:val="12"/>
                <w:color w:val="auto"/>
              </w:rPr>
            </w:pPr>
          </w:p>
        </w:tc>
        <w:tc>
          <w:tcPr>
            <w:tcW w:w="2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5"/>
              </w:rPr>
              <w:t>2022 Performance-Based Grants</w:t>
            </w:r>
          </w:p>
        </w:tc>
        <w:tc>
          <w:tcPr>
            <w:tcW w:w="100" w:type="dxa"/>
            <w:vAlign w:val="bottom"/>
            <w:vMerge w:val="restart"/>
          </w:tcPr>
          <w:p>
            <w:pPr>
              <w:spacing w:after="0"/>
              <w:rPr>
                <w:sz w:val="12"/>
                <w:szCs w:val="12"/>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6"/>
              </w:rPr>
              <w:t>2021 Performance-Based Grants</w:t>
            </w:r>
          </w:p>
        </w:tc>
        <w:tc>
          <w:tcPr>
            <w:tcW w:w="80" w:type="dxa"/>
            <w:vAlign w:val="bottom"/>
            <w:vMerge w:val="restart"/>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Performance-</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6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6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Based Grants</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8"/>
              </w:rPr>
              <w:t>Percent Issuable</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89"/>
              </w:rPr>
              <w:t>As a Percent of</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Percent Issuable</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9"/>
              </w:rPr>
              <w:t>As a Percent of</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8"/>
              </w:rPr>
              <w:t>Percent Issuable</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9"/>
              </w:rPr>
              <w:t>As a Percent of</w:t>
            </w:r>
          </w:p>
        </w:tc>
        <w:tc>
          <w:tcPr>
            <w:tcW w:w="11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Percent Issuable</w:t>
            </w:r>
          </w:p>
        </w:tc>
        <w:tc>
          <w:tcPr>
            <w:tcW w:w="0" w:type="dxa"/>
            <w:vAlign w:val="bottom"/>
          </w:tcPr>
          <w:p>
            <w:pPr>
              <w:spacing w:after="0"/>
              <w:rPr>
                <w:sz w:val="1"/>
                <w:szCs w:val="1"/>
                <w:color w:val="auto"/>
              </w:rPr>
            </w:pPr>
          </w:p>
        </w:tc>
      </w:tr>
      <w:tr>
        <w:trPr>
          <w:trHeight w:val="121"/>
        </w:trPr>
        <w:tc>
          <w:tcPr>
            <w:tcW w:w="22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Reporting Date</w:t>
            </w:r>
          </w:p>
        </w:tc>
        <w:tc>
          <w:tcPr>
            <w:tcW w:w="8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1"/>
              </w:rPr>
              <w:t>Relative to Target</w:t>
            </w:r>
          </w:p>
        </w:tc>
        <w:tc>
          <w:tcPr>
            <w:tcW w:w="0" w:type="dxa"/>
            <w:vAlign w:val="bottom"/>
          </w:tcPr>
          <w:p>
            <w:pPr>
              <w:spacing w:after="0"/>
              <w:rPr>
                <w:sz w:val="1"/>
                <w:szCs w:val="1"/>
                <w:color w:val="auto"/>
              </w:rPr>
            </w:pPr>
          </w:p>
        </w:tc>
      </w:tr>
      <w:tr>
        <w:trPr>
          <w:trHeight w:val="162"/>
        </w:trPr>
        <w:tc>
          <w:tcPr>
            <w:tcW w:w="22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Relative to Target</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Relative to Target</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Relative to Target</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and Shares Issued</w:t>
            </w:r>
          </w:p>
        </w:tc>
        <w:tc>
          <w:tcPr>
            <w:tcW w:w="0" w:type="dxa"/>
            <w:vAlign w:val="bottom"/>
          </w:tcPr>
          <w:p>
            <w:pPr>
              <w:spacing w:after="0"/>
              <w:rPr>
                <w:sz w:val="1"/>
                <w:szCs w:val="1"/>
                <w:color w:val="auto"/>
              </w:rPr>
            </w:pPr>
          </w:p>
        </w:tc>
      </w:tr>
      <w:tr>
        <w:trPr>
          <w:trHeight w:val="216"/>
        </w:trPr>
        <w:tc>
          <w:tcPr>
            <w:tcW w:w="2320" w:type="dxa"/>
            <w:vAlign w:val="bottom"/>
            <w:gridSpan w:val="2"/>
          </w:tcPr>
          <w:p>
            <w:pPr>
              <w:ind w:left="120"/>
              <w:spacing w:after="0"/>
              <w:rPr>
                <w:sz w:val="20"/>
                <w:szCs w:val="20"/>
                <w:color w:val="auto"/>
              </w:rPr>
            </w:pPr>
            <w:r>
              <w:rPr>
                <w:rFonts w:ascii="Arial" w:cs="Arial" w:eastAsia="Arial" w:hAnsi="Arial"/>
                <w:sz w:val="17"/>
                <w:szCs w:val="17"/>
                <w:color w:val="auto"/>
              </w:rPr>
              <w:t>September 30, 2023</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200%</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200%</w:t>
            </w:r>
          </w:p>
        </w:tc>
        <w:tc>
          <w:tcPr>
            <w:tcW w:w="80" w:type="dxa"/>
            <w:vAlign w:val="bottom"/>
          </w:tcPr>
          <w:p>
            <w:pPr>
              <w:spacing w:after="0"/>
              <w:rPr>
                <w:sz w:val="18"/>
                <w:szCs w:val="18"/>
                <w:color w:val="auto"/>
              </w:rPr>
            </w:pPr>
          </w:p>
        </w:tc>
        <w:tc>
          <w:tcPr>
            <w:tcW w:w="1080" w:type="dxa"/>
            <w:vAlign w:val="bottom"/>
          </w:tcPr>
          <w:p>
            <w:pPr>
              <w:jc w:val="right"/>
              <w:ind w:right="267"/>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157%</w:t>
            </w:r>
          </w:p>
        </w:tc>
        <w:tc>
          <w:tcPr>
            <w:tcW w:w="80" w:type="dxa"/>
            <w:vAlign w:val="bottom"/>
          </w:tcPr>
          <w:p>
            <w:pPr>
              <w:spacing w:after="0"/>
              <w:rPr>
                <w:sz w:val="18"/>
                <w:szCs w:val="18"/>
                <w:color w:val="auto"/>
              </w:rPr>
            </w:pPr>
          </w:p>
        </w:tc>
        <w:tc>
          <w:tcPr>
            <w:tcW w:w="1100" w:type="dxa"/>
            <w:vAlign w:val="bottom"/>
          </w:tcPr>
          <w:p>
            <w:pPr>
              <w:jc w:val="right"/>
              <w:ind w:right="247"/>
              <w:spacing w:after="0"/>
              <w:rPr>
                <w:sz w:val="20"/>
                <w:szCs w:val="20"/>
                <w:color w:val="auto"/>
              </w:rPr>
            </w:pPr>
            <w:r>
              <w:rPr>
                <w:rFonts w:ascii="Arial" w:cs="Arial" w:eastAsia="Arial" w:hAnsi="Arial"/>
                <w:sz w:val="17"/>
                <w:szCs w:val="17"/>
                <w:color w:val="auto"/>
              </w:rPr>
              <w:t>78.5%</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September 30, 2022</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7"/>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7"/>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Accumulated Other Comprehensive Income (Loss)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rollforward of accumulated other comprehensive loss for the three and nine months ended September 30, 2023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 September 30,</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3"/>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3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3"/>
              </w:rPr>
              <w:t>Before Tax</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7"/>
              </w:rPr>
              <w:t>Net of Tax</w:t>
            </w:r>
          </w:p>
        </w:tc>
      </w:tr>
      <w:tr>
        <w:trPr>
          <w:trHeight w:val="218"/>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Balance at beginning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(416,193)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(360,135)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(332,126)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(286,567)</w:t>
            </w:r>
          </w:p>
        </w:tc>
      </w:tr>
      <w:tr>
        <w:trPr>
          <w:trHeight w:val="20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8"/>
        </w:trPr>
        <w:tc>
          <w:tcPr>
            <w:tcW w:w="3880" w:type="dxa"/>
            <w:vAlign w:val="bottom"/>
            <w:gridSpan w:val="3"/>
          </w:tcPr>
          <w:p>
            <w:pPr>
              <w:ind w:left="220"/>
              <w:spacing w:after="0"/>
              <w:rPr>
                <w:sz w:val="20"/>
                <w:szCs w:val="20"/>
                <w:color w:val="auto"/>
              </w:rPr>
            </w:pPr>
            <w:r>
              <w:rPr>
                <w:rFonts w:ascii="Arial" w:cs="Arial" w:eastAsia="Arial" w:hAnsi="Arial"/>
                <w:sz w:val="17"/>
                <w:szCs w:val="17"/>
                <w:color w:val="auto"/>
                <w:w w:val="97"/>
              </w:rPr>
              <w:t>Unrealized holding gains (losses) on investments: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9"/>
        </w:trPr>
        <w:tc>
          <w:tcPr>
            <w:tcW w:w="3880" w:type="dxa"/>
            <w:vAlign w:val="bottom"/>
            <w:gridSpan w:val="3"/>
            <w:shd w:val="clear" w:color="auto" w:fill="CCEEFF"/>
          </w:tcPr>
          <w:p>
            <w:pPr>
              <w:ind w:left="320"/>
              <w:spacing w:after="0" w:line="169" w:lineRule="exact"/>
              <w:rPr>
                <w:sz w:val="20"/>
                <w:szCs w:val="20"/>
                <w:color w:val="auto"/>
              </w:rPr>
            </w:pPr>
            <w:r>
              <w:rPr>
                <w:rFonts w:ascii="Arial" w:cs="Arial" w:eastAsia="Arial" w:hAnsi="Arial"/>
                <w:sz w:val="17"/>
                <w:szCs w:val="17"/>
                <w:color w:val="auto"/>
                <w:w w:val="99"/>
              </w:rPr>
              <w:t>Unrealized holding (losses) gains arising during</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2"/>
        </w:trPr>
        <w:tc>
          <w:tcPr>
            <w:tcW w:w="38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the period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(136,936)</w:t>
            </w:r>
          </w:p>
        </w:tc>
      </w:tr>
      <w:tr>
        <w:trPr>
          <w:trHeight w:val="168"/>
        </w:trPr>
        <w:tc>
          <w:tcPr>
            <w:tcW w:w="3880" w:type="dxa"/>
            <w:vAlign w:val="bottom"/>
            <w:gridSpan w:val="3"/>
          </w:tcPr>
          <w:p>
            <w:pPr>
              <w:ind w:left="320"/>
              <w:spacing w:after="0" w:line="168" w:lineRule="exact"/>
              <w:rPr>
                <w:sz w:val="20"/>
                <w:szCs w:val="20"/>
                <w:color w:val="auto"/>
              </w:rPr>
            </w:pPr>
            <w:r>
              <w:rPr>
                <w:rFonts w:ascii="Arial" w:cs="Arial" w:eastAsia="Arial" w:hAnsi="Arial"/>
                <w:sz w:val="17"/>
                <w:szCs w:val="17"/>
                <w:color w:val="auto"/>
              </w:rPr>
              <w:t>Less: Reclassification adjustment for gains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1"/>
        </w:trPr>
        <w:tc>
          <w:tcPr>
            <w:tcW w:w="3880" w:type="dxa"/>
            <w:vAlign w:val="bottom"/>
            <w:tcBorders>
              <w:bottom w:val="single" w:sz="8" w:color="CCEEFF"/>
            </w:tcBorders>
            <w:gridSpan w:val="3"/>
          </w:tcPr>
          <w:p>
            <w:pPr>
              <w:ind w:left="480"/>
              <w:spacing w:after="0"/>
              <w:rPr>
                <w:sz w:val="20"/>
                <w:szCs w:val="20"/>
                <w:color w:val="auto"/>
              </w:rPr>
            </w:pPr>
            <w:r>
              <w:rPr>
                <w:rFonts w:ascii="Arial" w:cs="Arial" w:eastAsia="Arial" w:hAnsi="Arial"/>
                <w:sz w:val="17"/>
                <w:szCs w:val="17"/>
                <w:color w:val="auto"/>
              </w:rPr>
              <w:t>included in net income (1)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r>
      <w:tr>
        <w:trPr>
          <w:trHeight w:val="213"/>
        </w:trPr>
        <w:tc>
          <w:tcPr>
            <w:tcW w:w="38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Net unrealized (losses) gains on investments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(159,010)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(137,010)</w:t>
            </w:r>
          </w:p>
        </w:tc>
      </w:tr>
      <w:tr>
        <w:trPr>
          <w:trHeight w:val="211"/>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comprehensive (loss) income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(76,248)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(159,010)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(137,010)</w:t>
            </w:r>
          </w:p>
        </w:tc>
      </w:tr>
      <w:tr>
        <w:trPr>
          <w:trHeight w:val="237"/>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(423,577)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Nine Months Ended September 30,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3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3"/>
              </w:rPr>
              <w:t>Before Tax</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7"/>
              </w:rPr>
              <w:t>Net of Tax</w:t>
            </w:r>
          </w:p>
        </w:tc>
      </w:tr>
      <w:tr>
        <w:trPr>
          <w:trHeight w:val="218"/>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Balance at beginning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60,440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(382,790)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50,707</w:t>
            </w:r>
          </w:p>
        </w:tc>
      </w:tr>
      <w:tr>
        <w:trPr>
          <w:trHeight w:val="20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8"/>
        </w:trPr>
        <w:tc>
          <w:tcPr>
            <w:tcW w:w="3880" w:type="dxa"/>
            <w:vAlign w:val="bottom"/>
            <w:gridSpan w:val="3"/>
          </w:tcPr>
          <w:p>
            <w:pPr>
              <w:ind w:left="220"/>
              <w:spacing w:after="0"/>
              <w:rPr>
                <w:sz w:val="20"/>
                <w:szCs w:val="20"/>
                <w:color w:val="auto"/>
              </w:rPr>
            </w:pPr>
            <w:r>
              <w:rPr>
                <w:rFonts w:ascii="Arial" w:cs="Arial" w:eastAsia="Arial" w:hAnsi="Arial"/>
                <w:sz w:val="17"/>
                <w:szCs w:val="17"/>
                <w:color w:val="auto"/>
                <w:w w:val="97"/>
              </w:rPr>
              <w:t>Unrealized holding gains (losses) on investments: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9"/>
        </w:trPr>
        <w:tc>
          <w:tcPr>
            <w:tcW w:w="3880" w:type="dxa"/>
            <w:vAlign w:val="bottom"/>
            <w:gridSpan w:val="3"/>
            <w:shd w:val="clear" w:color="auto" w:fill="CCEEFF"/>
          </w:tcPr>
          <w:p>
            <w:pPr>
              <w:ind w:left="320"/>
              <w:spacing w:after="0" w:line="169" w:lineRule="exact"/>
              <w:rPr>
                <w:sz w:val="20"/>
                <w:szCs w:val="20"/>
                <w:color w:val="auto"/>
              </w:rPr>
            </w:pPr>
            <w:r>
              <w:rPr>
                <w:rFonts w:ascii="Arial" w:cs="Arial" w:eastAsia="Arial" w:hAnsi="Arial"/>
                <w:sz w:val="17"/>
                <w:szCs w:val="17"/>
                <w:color w:val="auto"/>
                <w:w w:val="99"/>
              </w:rPr>
              <w:t>Unrealized holding gains (losses) arising during</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2"/>
        </w:trPr>
        <w:tc>
          <w:tcPr>
            <w:tcW w:w="38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the period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(564,064)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(483,013)</w:t>
            </w:r>
          </w:p>
        </w:tc>
      </w:tr>
      <w:tr>
        <w:trPr>
          <w:trHeight w:val="168"/>
        </w:trPr>
        <w:tc>
          <w:tcPr>
            <w:tcW w:w="3880" w:type="dxa"/>
            <w:vAlign w:val="bottom"/>
            <w:gridSpan w:val="3"/>
          </w:tcPr>
          <w:p>
            <w:pPr>
              <w:ind w:left="320"/>
              <w:spacing w:after="0" w:line="168" w:lineRule="exact"/>
              <w:rPr>
                <w:sz w:val="20"/>
                <w:szCs w:val="20"/>
                <w:color w:val="auto"/>
              </w:rPr>
            </w:pPr>
            <w:r>
              <w:rPr>
                <w:rFonts w:ascii="Arial" w:cs="Arial" w:eastAsia="Arial" w:hAnsi="Arial"/>
                <w:sz w:val="17"/>
                <w:szCs w:val="17"/>
                <w:color w:val="auto"/>
              </w:rPr>
              <w:t>Less: Reclassification adjustment for losses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1"/>
        </w:trPr>
        <w:tc>
          <w:tcPr>
            <w:tcW w:w="3880" w:type="dxa"/>
            <w:vAlign w:val="bottom"/>
            <w:tcBorders>
              <w:bottom w:val="single" w:sz="8" w:color="CCEEFF"/>
            </w:tcBorders>
            <w:gridSpan w:val="3"/>
          </w:tcPr>
          <w:p>
            <w:pPr>
              <w:ind w:left="480"/>
              <w:spacing w:after="0"/>
              <w:rPr>
                <w:sz w:val="20"/>
                <w:szCs w:val="20"/>
                <w:color w:val="auto"/>
              </w:rPr>
            </w:pPr>
            <w:r>
              <w:rPr>
                <w:rFonts w:ascii="Arial" w:cs="Arial" w:eastAsia="Arial" w:hAnsi="Arial"/>
                <w:sz w:val="17"/>
                <w:szCs w:val="17"/>
                <w:color w:val="auto"/>
              </w:rPr>
              <w:t>included in net income (1)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8,729</w:t>
            </w:r>
          </w:p>
        </w:tc>
      </w:tr>
      <w:tr>
        <w:trPr>
          <w:trHeight w:val="213"/>
        </w:trPr>
        <w:tc>
          <w:tcPr>
            <w:tcW w:w="38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Net unrealized gains (losses) on investments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(53,593)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(556,416)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82,132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(474,284)</w:t>
            </w:r>
          </w:p>
        </w:tc>
      </w:tr>
      <w:tr>
        <w:trPr>
          <w:trHeight w:val="211"/>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comprehensive income (loss)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(556,416)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(474,284)</w:t>
            </w:r>
          </w:p>
        </w:tc>
      </w:tr>
      <w:tr>
        <w:trPr>
          <w:trHeight w:val="237"/>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(423,577)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21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Included in net realized investment losses on our condensed consolidated statements of comprehensive income.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Fair Value of Financial Instruments</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carry certain of our financial instruments at fair value. We define fair value as the current amount that would be exchanged to sell an asset or transfer a liability, other than in a forced liquidation.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Hierarchy</w:t>
      </w:r>
    </w:p>
    <w:p>
      <w:pPr>
        <w:spacing w:after="0" w:line="223"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4"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Quoted prices for identical instruments in active markets accessible at the measurement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620" w:right="60" w:hanging="307"/>
        <w:spacing w:after="0" w:line="349" w:lineRule="auto"/>
        <w:tabs>
          <w:tab w:leader="none" w:pos="616" w:val="left"/>
        </w:tabs>
        <w:numPr>
          <w:ilvl w:val="0"/>
          <w:numId w:val="8"/>
        </w:numPr>
        <w:rPr>
          <w:rFonts w:ascii="Arial" w:cs="Arial" w:eastAsia="Arial" w:hAnsi="Arial"/>
          <w:sz w:val="15"/>
          <w:szCs w:val="15"/>
          <w:color w:val="auto"/>
        </w:rPr>
      </w:pPr>
      <w:r>
        <w:rPr>
          <w:rFonts w:ascii="Arial" w:cs="Arial" w:eastAsia="Arial" w:hAnsi="Arial"/>
          <w:sz w:val="15"/>
          <w:szCs w:val="15"/>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4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 Valuations derived from one or more significant inputs that are unobservable.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w:t>
      </w:r>
    </w:p>
    <w:p>
      <w:pPr>
        <w:spacing w:after="0" w:line="223" w:lineRule="exact"/>
        <w:rPr>
          <w:sz w:val="20"/>
          <w:szCs w:val="20"/>
          <w:color w:val="auto"/>
        </w:rPr>
      </w:pPr>
    </w:p>
    <w:p>
      <w:pPr>
        <w:jc w:val="both"/>
        <w:ind w:right="300" w:firstLine="619"/>
        <w:spacing w:after="0" w:line="292" w:lineRule="auto"/>
        <w:rPr>
          <w:sz w:val="20"/>
          <w:szCs w:val="20"/>
          <w:color w:val="auto"/>
        </w:rPr>
      </w:pPr>
      <w:r>
        <w:rPr>
          <w:rFonts w:ascii="Arial" w:cs="Arial" w:eastAsia="Arial" w:hAnsi="Arial"/>
          <w:sz w:val="15"/>
          <w:szCs w:val="15"/>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w:t>
      </w:r>
    </w:p>
    <w:p>
      <w:pPr>
        <w:ind w:right="200"/>
        <w:spacing w:after="0" w:line="266" w:lineRule="auto"/>
        <w:rPr>
          <w:sz w:val="20"/>
          <w:szCs w:val="20"/>
          <w:color w:val="auto"/>
        </w:rPr>
      </w:pPr>
      <w:r>
        <w:rPr>
          <w:rFonts w:ascii="Arial" w:cs="Arial" w:eastAsia="Arial" w:hAnsi="Arial"/>
          <w:sz w:val="17"/>
          <w:szCs w:val="17"/>
          <w:color w:val="auto"/>
        </w:rPr>
        <w:t>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used the following methods and assumptions in estimating fair values of financial instruments:</w:t>
      </w:r>
    </w:p>
    <w:p>
      <w:pPr>
        <w:spacing w:after="0" w:line="243" w:lineRule="exact"/>
        <w:rPr>
          <w:sz w:val="20"/>
          <w:szCs w:val="20"/>
          <w:color w:val="auto"/>
        </w:rPr>
      </w:pPr>
    </w:p>
    <w:p>
      <w:pPr>
        <w:ind w:left="620" w:right="60" w:hanging="307"/>
        <w:spacing w:after="0" w:line="277" w:lineRule="auto"/>
        <w:tabs>
          <w:tab w:leader="none" w:pos="61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9" w:lineRule="exact"/>
        <w:rPr>
          <w:rFonts w:ascii="Arial" w:cs="Arial" w:eastAsia="Arial" w:hAnsi="Arial"/>
          <w:sz w:val="16"/>
          <w:szCs w:val="16"/>
          <w:color w:val="auto"/>
        </w:rPr>
      </w:pPr>
    </w:p>
    <w:p>
      <w:pPr>
        <w:ind w:left="620"/>
        <w:spacing w:after="0" w:line="272"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223"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All assets measured at fair value are categorized in the table below based upon the lowest level of significant input to the valuations. All fair value measurements at the reporting date were on a recurring basis.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Unobservable</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2023 (In thousands)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2"/>
                <w:szCs w:val="12"/>
                <w:color w:val="auto"/>
              </w:rPr>
            </w:pPr>
          </w:p>
        </w:tc>
        <w:tc>
          <w:tcPr>
            <w:tcW w:w="11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7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(Level 2)</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Financial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879,185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879,185</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7,180</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750,938</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562,510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562,510</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48,571</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1,280,433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1,280,433</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493,693</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Asset-backed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614,818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614,818</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360,360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360,360</w:t>
            </w:r>
          </w:p>
        </w:tc>
        <w:tc>
          <w:tcPr>
            <w:tcW w:w="0" w:type="dxa"/>
            <w:vAlign w:val="bottom"/>
          </w:tcPr>
          <w:p>
            <w:pPr>
              <w:spacing w:after="0"/>
              <w:rPr>
                <w:sz w:val="1"/>
                <w:szCs w:val="1"/>
                <w:color w:val="auto"/>
              </w:rPr>
            </w:pPr>
          </w:p>
        </w:tc>
      </w:tr>
      <w:tr>
        <w:trPr>
          <w:trHeight w:val="211"/>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Total assets at fair value (1) (2)</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1,239,545</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3,758,143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4,997,688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Unobservable</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1"/>
                <w:szCs w:val="11"/>
                <w:color w:val="auto"/>
              </w:rPr>
            </w:pPr>
          </w:p>
        </w:tc>
        <w:tc>
          <w:tcPr>
            <w:tcW w:w="11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(Level 2)</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Financial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49,058</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602,690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602,690</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1,414,321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1,414,321</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Asset-backed securities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624,561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624,561</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0" w:type="dxa"/>
            <w:vAlign w:val="bottom"/>
          </w:tcPr>
          <w:p>
            <w:pPr>
              <w:spacing w:after="0"/>
              <w:rPr>
                <w:sz w:val="1"/>
                <w:szCs w:val="1"/>
                <w:color w:val="auto"/>
              </w:rPr>
            </w:pPr>
          </w:p>
        </w:tc>
      </w:tr>
      <w:tr>
        <w:trPr>
          <w:trHeight w:val="211"/>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Total assets at fair value (1) (2)</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693,029</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4,048,596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4,741,625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right="80" w:hanging="307"/>
        <w:spacing w:after="0" w:line="259" w:lineRule="auto"/>
        <w:tabs>
          <w:tab w:leader="none" w:pos="6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1" w:lineRule="exact"/>
        <w:rPr>
          <w:rFonts w:ascii="Arial" w:cs="Arial" w:eastAsia="Arial" w:hAnsi="Arial"/>
          <w:sz w:val="17"/>
          <w:szCs w:val="17"/>
          <w:color w:val="auto"/>
        </w:rPr>
      </w:pPr>
    </w:p>
    <w:p>
      <w:pPr>
        <w:ind w:left="620" w:hanging="307"/>
        <w:spacing w:after="0" w:line="266" w:lineRule="auto"/>
        <w:tabs>
          <w:tab w:leader="none" w:pos="6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Statutory Accounting</w:t>
      </w:r>
    </w:p>
    <w:p>
      <w:pPr>
        <w:spacing w:after="0" w:line="22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1640" w:type="dxa"/>
            <w:vAlign w:val="bottom"/>
          </w:tcPr>
          <w:p>
            <w:pPr>
              <w:jc w:val="right"/>
              <w:ind w:right="8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tcPr>
          <w:p>
            <w:pPr>
              <w:jc w:val="right"/>
              <w:ind w:right="857"/>
              <w:spacing w:after="0"/>
              <w:rPr>
                <w:sz w:val="20"/>
                <w:szCs w:val="20"/>
                <w:color w:val="auto"/>
              </w:rPr>
            </w:pPr>
            <w:r>
              <w:rPr>
                <w:rFonts w:ascii="Arial" w:cs="Arial" w:eastAsia="Arial" w:hAnsi="Arial"/>
                <w:sz w:val="14"/>
                <w:szCs w:val="14"/>
                <w:b w:val="1"/>
                <w:bCs w:val="1"/>
                <w:color w:val="auto"/>
              </w:rPr>
              <w:t>2022</w:t>
            </w:r>
          </w:p>
        </w:tc>
      </w:tr>
      <w:tr>
        <w:trPr>
          <w:trHeight w:val="24"/>
        </w:trPr>
        <w:tc>
          <w:tcPr>
            <w:tcW w:w="6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2"/>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Essent Guaranty</w:t>
            </w: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8"/>
        </w:trPr>
        <w:tc>
          <w:tcPr>
            <w:tcW w:w="6720" w:type="dxa"/>
            <w:vAlign w:val="bottom"/>
            <w:gridSpan w:val="2"/>
          </w:tcPr>
          <w:p>
            <w:pPr>
              <w:ind w:left="220"/>
              <w:spacing w:after="0"/>
              <w:rPr>
                <w:sz w:val="20"/>
                <w:szCs w:val="20"/>
                <w:color w:val="auto"/>
              </w:rPr>
            </w:pPr>
            <w:r>
              <w:rPr>
                <w:rFonts w:ascii="Arial" w:cs="Arial" w:eastAsia="Arial" w:hAnsi="Arial"/>
                <w:sz w:val="17"/>
                <w:szCs w:val="17"/>
                <w:color w:val="auto"/>
              </w:rPr>
              <w:t>Statutory net income</w:t>
            </w: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312,583</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479,389</w:t>
            </w:r>
          </w:p>
        </w:tc>
      </w:tr>
      <w:tr>
        <w:trPr>
          <w:trHeight w:val="220"/>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989,933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1,023,440</w:t>
            </w:r>
          </w:p>
        </w:tc>
      </w:tr>
      <w:tr>
        <w:trPr>
          <w:trHeight w:val="218"/>
        </w:trPr>
        <w:tc>
          <w:tcPr>
            <w:tcW w:w="6720" w:type="dxa"/>
            <w:vAlign w:val="bottom"/>
            <w:gridSpan w:val="2"/>
          </w:tcPr>
          <w:p>
            <w:pPr>
              <w:ind w:left="220"/>
              <w:spacing w:after="0"/>
              <w:rPr>
                <w:sz w:val="20"/>
                <w:szCs w:val="20"/>
                <w:color w:val="auto"/>
              </w:rPr>
            </w:pPr>
            <w:r>
              <w:rPr>
                <w:rFonts w:ascii="Arial" w:cs="Arial" w:eastAsia="Arial" w:hAnsi="Arial"/>
                <w:sz w:val="17"/>
                <w:szCs w:val="17"/>
                <w:color w:val="auto"/>
              </w:rPr>
              <w:t>Contingency reserve liability</w:t>
            </w: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2,213,400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1,990,536</w:t>
            </w:r>
          </w:p>
        </w:tc>
      </w:tr>
      <w:tr>
        <w:trPr>
          <w:trHeight w:val="246"/>
        </w:trPr>
        <w:tc>
          <w:tcPr>
            <w:tcW w:w="6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18"/>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Essent PA</w:t>
            </w: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0"/>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Statutory net (loss) income</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r>
      <w:tr>
        <w:trPr>
          <w:trHeight w:val="218"/>
        </w:trPr>
        <w:tc>
          <w:tcPr>
            <w:tcW w:w="6720" w:type="dxa"/>
            <w:vAlign w:val="bottom"/>
            <w:gridSpan w:val="2"/>
          </w:tcPr>
          <w:p>
            <w:pPr>
              <w:ind w:left="220"/>
              <w:spacing w:after="0"/>
              <w:rPr>
                <w:sz w:val="20"/>
                <w:szCs w:val="20"/>
                <w:color w:val="auto"/>
              </w:rPr>
            </w:pPr>
            <w:r>
              <w:rPr>
                <w:rFonts w:ascii="Arial" w:cs="Arial" w:eastAsia="Arial" w:hAnsi="Arial"/>
                <w:sz w:val="17"/>
                <w:szCs w:val="17"/>
                <w:color w:val="auto"/>
              </w:rPr>
              <w:t>Statutory surplus</w:t>
            </w: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52,292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57,489</w:t>
            </w:r>
          </w:p>
        </w:tc>
      </w:tr>
      <w:tr>
        <w:trPr>
          <w:trHeight w:val="220"/>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w:t>
            </w:r>
          </w:p>
        </w:tc>
      </w:tr>
    </w:tbl>
    <w:p>
      <w:pPr>
        <w:spacing w:after="0" w:line="297" w:lineRule="exact"/>
        <w:rPr>
          <w:sz w:val="20"/>
          <w:szCs w:val="20"/>
          <w:color w:val="auto"/>
        </w:rPr>
      </w:pPr>
    </w:p>
    <w:p>
      <w:pPr>
        <w:ind w:right="40" w:firstLine="619"/>
        <w:spacing w:after="0" w:line="294" w:lineRule="auto"/>
        <w:rPr>
          <w:sz w:val="20"/>
          <w:szCs w:val="20"/>
          <w:color w:val="auto"/>
        </w:rPr>
      </w:pPr>
      <w:r>
        <w:rPr>
          <w:rFonts w:ascii="Arial" w:cs="Arial" w:eastAsia="Arial" w:hAnsi="Arial"/>
          <w:sz w:val="15"/>
          <w:szCs w:val="15"/>
          <w:color w:val="auto"/>
        </w:rPr>
        <w:t>Net income determined in accordance with statutory accounting practices differs from GAAP. In 2023 and 2022, the more significant differences between net income determined under statutory accounting practices and GAAP for Essent Guaranty and Essent PA relate to policy acquisition costs and income</w:t>
      </w:r>
    </w:p>
    <w:p>
      <w:pPr>
        <w:spacing w:after="0" w:line="1"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5" w:lineRule="exact"/>
        <w:rPr>
          <w:sz w:val="20"/>
          <w:szCs w:val="20"/>
          <w:color w:val="auto"/>
        </w:rPr>
      </w:pPr>
    </w:p>
    <w:p>
      <w:pPr>
        <w:ind w:right="880" w:firstLine="619"/>
        <w:spacing w:after="0" w:line="279" w:lineRule="auto"/>
        <w:rPr>
          <w:sz w:val="20"/>
          <w:szCs w:val="20"/>
          <w:color w:val="auto"/>
        </w:rPr>
      </w:pPr>
      <w:r>
        <w:rPr>
          <w:rFonts w:ascii="Arial" w:cs="Arial" w:eastAsia="Arial" w:hAnsi="Arial"/>
          <w:sz w:val="17"/>
          <w:szCs w:val="17"/>
          <w:color w:val="auto"/>
        </w:rPr>
        <w:t>At September 30, 2023 and 2022, the statutory capital of our U.S. insurance subsidiaries, which is defined as the total of statutory surplus and contingency reserves, was in excess of the statutory capital necessary to satisfy their regulatory requirements.</w:t>
      </w:r>
    </w:p>
    <w:p>
      <w:pPr>
        <w:spacing w:after="0" w:line="190"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2023, Essent Guaranty, our GSE-approved mortgage insurance company, was in compliance with PMIERs 2.0.</w:t>
      </w:r>
    </w:p>
    <w:p>
      <w:pPr>
        <w:spacing w:after="0" w:line="19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nine months ended September 30, 2023, Essent Guaranty increased its contingency reserve by $164.7 million and Essent PA decreased its contingency reserve by $2.9 million. During the nine months ended September 30, 2023 and 2022, Essent Guaranty released contingency reserves of $38.2 million and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$11.8 million, respectively, and Essent PA released contingency reserves of $3.3 million and $0.9 million, respectively, to unassigned funds upon completion of the 120 month holding period.</w:t>
      </w:r>
    </w:p>
    <w:p>
      <w:pPr>
        <w:spacing w:after="0" w:line="190"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2022, all such requirements were met.</w:t>
      </w:r>
    </w:p>
    <w:p>
      <w:pPr>
        <w:spacing w:after="0" w:line="209" w:lineRule="exact"/>
        <w:rPr>
          <w:sz w:val="20"/>
          <w:szCs w:val="20"/>
          <w:color w:val="auto"/>
        </w:rPr>
      </w:pPr>
    </w:p>
    <w:p>
      <w:pPr>
        <w:ind w:right="260" w:firstLine="619"/>
        <w:spacing w:after="0" w:line="262" w:lineRule="auto"/>
        <w:rPr>
          <w:sz w:val="20"/>
          <w:szCs w:val="20"/>
          <w:color w:val="auto"/>
        </w:rPr>
      </w:pPr>
      <w:r>
        <w:rPr>
          <w:rFonts w:ascii="Arial" w:cs="Arial" w:eastAsia="Arial" w:hAnsi="Arial"/>
          <w:sz w:val="17"/>
          <w:szCs w:val="17"/>
          <w:color w:val="auto"/>
        </w:rPr>
        <w:t>Essent Re's statutory capital and surplus was $1.7 billion as of September 30, 2023 and $1.5 billion as of December 31, 2022. Essent Re's statutory net income was $227.5 million and $178.5 million for the nine months ended September 30, 2023 and 2022, respectively. Statutory capital and surplus as of September 30, 2023 and December 31, 2022 and statutory net income in the nine months ended September 30, 2023 and 2022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Acquisitions</w:t>
      </w:r>
    </w:p>
    <w:p>
      <w:pPr>
        <w:spacing w:after="0" w:line="249" w:lineRule="exact"/>
        <w:rPr>
          <w:sz w:val="20"/>
          <w:szCs w:val="20"/>
          <w:color w:val="auto"/>
        </w:rPr>
      </w:pPr>
    </w:p>
    <w:p>
      <w:pPr>
        <w:ind w:right="200" w:firstLine="619"/>
        <w:spacing w:after="0" w:line="258" w:lineRule="auto"/>
        <w:rPr>
          <w:sz w:val="20"/>
          <w:szCs w:val="20"/>
          <w:color w:val="auto"/>
        </w:rPr>
      </w:pPr>
      <w:r>
        <w:rPr>
          <w:rFonts w:ascii="Arial" w:cs="Arial" w:eastAsia="Arial" w:hAnsi="Arial"/>
          <w:sz w:val="17"/>
          <w:szCs w:val="17"/>
          <w:color w:val="auto"/>
        </w:rPr>
        <w:t>Effective July 1, 2023, Essent Holdings acquired all of the issued and outstanding shares of capital stock of Agents National Title Holding Company (“Agents National Title”) and the issued and outstanding membership interests of Boston National Holdings LLC (“Boston National Title”) for $92.6 million in cash in a single settlement with the seller. The purchase price is subject to further customary post-closing adjustments as described in a securities purchase agreement among the parties to the transaction.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w:t>
      </w:r>
    </w:p>
    <w:p>
      <w:pPr>
        <w:spacing w:after="0" w:line="209" w:lineRule="exact"/>
        <w:rPr>
          <w:sz w:val="20"/>
          <w:szCs w:val="20"/>
          <w:color w:val="auto"/>
        </w:rPr>
      </w:pPr>
    </w:p>
    <w:p>
      <w:pPr>
        <w:ind w:right="400" w:firstLine="619"/>
        <w:spacing w:after="0" w:line="262" w:lineRule="auto"/>
        <w:rPr>
          <w:sz w:val="20"/>
          <w:szCs w:val="20"/>
          <w:color w:val="auto"/>
        </w:rPr>
      </w:pPr>
      <w:r>
        <w:rPr>
          <w:rFonts w:ascii="Arial" w:cs="Arial" w:eastAsia="Arial" w:hAnsi="Arial"/>
          <w:sz w:val="17"/>
          <w:szCs w:val="17"/>
          <w:color w:val="auto"/>
        </w:rPr>
        <w:t>The acquired businesses contributed revenues of $23.5 million, principally comprised of $20.6 million of net premiums earned and $2.0 million of settlement services revenues, which are included in other income, and pre-tax net losses of $4.0 million to our results for the three and nine months ended September 30, 2023. The following unaudited pro forma summary presents consolidated information for Essent as if the business combination had occurred on January 1, 2022.</w:t>
      </w:r>
    </w:p>
    <w:p>
      <w:pPr>
        <w:spacing w:after="0" w:line="200" w:lineRule="exact"/>
        <w:rPr>
          <w:sz w:val="20"/>
          <w:szCs w:val="20"/>
          <w:color w:val="auto"/>
        </w:rPr>
      </w:pPr>
    </w:p>
    <w:p>
      <w:pPr>
        <w:spacing w:after="0" w:line="264"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Pro Forma</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r>
      <w:tr>
        <w:trPr>
          <w:trHeight w:val="179"/>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5"/>
                <w:szCs w:val="15"/>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1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286,512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856,595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Earnings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178,139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172,799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514,823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r>
    </w:tbl>
    <w:p>
      <w:pPr>
        <w:spacing w:after="0" w:line="311"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We did not have any material, nonrecurring pro forma adjustments directly attributable to the business combination included in the reported pro forma revenue and earnings. These pro forma amounts have been calculated after applying our accounting policies and adjusting the results of Agents National Title and Boston National Title to reflect the additional amortization that would have been charged to earnings assuming the fair value adjustments for the intangible assets acquired had been applied from January 1, 2022, including consequential income tax effects.</w:t>
      </w:r>
    </w:p>
    <w:p>
      <w:pPr>
        <w:spacing w:after="0" w:line="204" w:lineRule="exact"/>
        <w:rPr>
          <w:sz w:val="20"/>
          <w:szCs w:val="20"/>
          <w:color w:val="auto"/>
        </w:rPr>
      </w:pPr>
    </w:p>
    <w:p>
      <w:pPr>
        <w:ind w:right="340" w:firstLine="619"/>
        <w:spacing w:after="0" w:line="318" w:lineRule="auto"/>
        <w:rPr>
          <w:sz w:val="20"/>
          <w:szCs w:val="20"/>
          <w:color w:val="auto"/>
        </w:rPr>
      </w:pPr>
      <w:r>
        <w:rPr>
          <w:rFonts w:ascii="Arial" w:cs="Arial" w:eastAsia="Arial" w:hAnsi="Arial"/>
          <w:sz w:val="15"/>
          <w:szCs w:val="15"/>
          <w:color w:val="auto"/>
        </w:rPr>
        <w:t>We incurred $0.2 million and $4.4 million of acquisition-related costs for the three and nine months ended September 30, 2023, respectively, as well as $3 million of acquisition-related costs during the fourth quarter of 2022. These expenses are included in other underwriting and operating expenses on our condensed consolidated income statement and are reflected in pro forma earnings for the three and nine months ended September 30, 2022 in the table above.</w:t>
      </w:r>
    </w:p>
    <w:p>
      <w:pPr>
        <w:spacing w:after="0" w:line="165" w:lineRule="exact"/>
        <w:rPr>
          <w:sz w:val="20"/>
          <w:szCs w:val="20"/>
          <w:color w:val="auto"/>
        </w:rPr>
      </w:pPr>
    </w:p>
    <w:p>
      <w:pPr>
        <w:ind w:right="360" w:firstLine="619"/>
        <w:spacing w:after="0" w:line="279" w:lineRule="auto"/>
        <w:rPr>
          <w:sz w:val="20"/>
          <w:szCs w:val="20"/>
          <w:color w:val="auto"/>
        </w:rPr>
      </w:pPr>
      <w:r>
        <w:rPr>
          <w:rFonts w:ascii="Arial" w:cs="Arial" w:eastAsia="Arial" w:hAnsi="Arial"/>
          <w:sz w:val="17"/>
          <w:szCs w:val="17"/>
          <w:color w:val="auto"/>
        </w:rPr>
        <w:t>The following table summarizes the consideration transferred to acquire Agents National Title and Boston National Title and the amounts of identified assets acquired and liabilities assumed at the acquisition date: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6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Consideration Paid:</w:t>
            </w:r>
          </w:p>
        </w:tc>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7"/>
                <w:szCs w:val="17"/>
                <w:color w:val="auto"/>
              </w:rPr>
              <w:t>Cash</w:t>
            </w:r>
          </w:p>
        </w:tc>
        <w:tc>
          <w:tcPr>
            <w:tcW w:w="3000" w:type="dxa"/>
            <w:vAlign w:val="bottom"/>
            <w:gridSpan w:val="2"/>
          </w:tcPr>
          <w:p>
            <w:pPr>
              <w:jc w:val="right"/>
              <w:ind w:right="47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92,625</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Assets Acquired:</w:t>
            </w:r>
          </w:p>
        </w:tc>
        <w:tc>
          <w:tcPr>
            <w:tcW w:w="2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60" w:type="dxa"/>
            <w:vAlign w:val="bottom"/>
          </w:tcPr>
          <w:p>
            <w:pPr>
              <w:spacing w:after="0"/>
              <w:rPr>
                <w:sz w:val="19"/>
                <w:szCs w:val="19"/>
                <w:color w:val="auto"/>
              </w:rPr>
            </w:pPr>
          </w:p>
        </w:tc>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5,864</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2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21,108</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60" w:type="dxa"/>
            <w:vAlign w:val="bottom"/>
          </w:tcPr>
          <w:p>
            <w:pPr>
              <w:spacing w:after="0"/>
              <w:rPr>
                <w:sz w:val="19"/>
                <w:szCs w:val="19"/>
                <w:color w:val="auto"/>
              </w:rPr>
            </w:pPr>
          </w:p>
        </w:tc>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Fixed maturities available for sale</w:t>
            </w:r>
          </w:p>
        </w:tc>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7"/>
                <w:szCs w:val="17"/>
                <w:color w:val="auto"/>
              </w:rPr>
              <w:t>Identifiable intangible assets</w:t>
            </w:r>
          </w:p>
        </w:tc>
        <w:tc>
          <w:tcPr>
            <w:tcW w:w="2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26,300</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60" w:type="dxa"/>
            <w:vAlign w:val="bottom"/>
          </w:tcPr>
          <w:p>
            <w:pPr>
              <w:spacing w:after="0"/>
              <w:rPr>
                <w:sz w:val="19"/>
                <w:szCs w:val="19"/>
                <w:color w:val="auto"/>
              </w:rPr>
            </w:pPr>
          </w:p>
        </w:tc>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16,366</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Liabilities Assumed:</w:t>
            </w:r>
          </w:p>
        </w:tc>
        <w:tc>
          <w:tcPr>
            <w:tcW w:w="2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60" w:type="dxa"/>
            <w:vAlign w:val="bottom"/>
          </w:tcPr>
          <w:p>
            <w:pPr>
              <w:spacing w:after="0"/>
              <w:rPr>
                <w:sz w:val="19"/>
                <w:szCs w:val="19"/>
                <w:color w:val="auto"/>
              </w:rPr>
            </w:pPr>
          </w:p>
        </w:tc>
        <w:tc>
          <w:tcPr>
            <w:tcW w:w="3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Reserve for losses</w:t>
            </w:r>
          </w:p>
        </w:tc>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14,613</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3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liabilities</w:t>
            </w:r>
          </w:p>
        </w:tc>
        <w:tc>
          <w:tcPr>
            <w:tcW w:w="23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10,399</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Identifiable Net Assets</w:t>
            </w:r>
          </w:p>
        </w:tc>
        <w:tc>
          <w:tcPr>
            <w:tcW w:w="2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54,294</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Goodwill</w:t>
            </w:r>
          </w:p>
        </w:tc>
        <w:tc>
          <w:tcPr>
            <w:tcW w:w="3000" w:type="dxa"/>
            <w:vAlign w:val="bottom"/>
            <w:gridSpan w:val="2"/>
          </w:tcPr>
          <w:p>
            <w:pPr>
              <w:jc w:val="right"/>
              <w:ind w:right="47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38,331</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40" w:type="dxa"/>
            <w:vAlign w:val="bottom"/>
            <w:vMerge w:val="restart"/>
          </w:tcPr>
          <w:p>
            <w:pPr>
              <w:jc w:val="right"/>
              <w:ind w:right="1634"/>
              <w:spacing w:after="0"/>
              <w:rPr>
                <w:sz w:val="20"/>
                <w:szCs w:val="20"/>
                <w:color w:val="auto"/>
              </w:rPr>
            </w:pPr>
            <w:r>
              <w:rPr>
                <w:rFonts w:ascii="Arial" w:cs="Arial" w:eastAsia="Arial" w:hAnsi="Arial"/>
                <w:sz w:val="17"/>
                <w:szCs w:val="17"/>
                <w:color w:val="auto"/>
              </w:rPr>
              <w:t>25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2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6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intangible assets acquired relate to agency relationships and customer lists, valued at $20.6 million and $5.7 million, respectively. The goodwill is primarily attributable to the workforce and state regulatory licenses associated with the acquired businesses, and $11.6 million of the goodwill is tax deductible. The carrying amount of goodwill was unchanged from July 1, 2023 through September 30, 2023. The fair value of the intangible assets and goodwill is provisional subject to post-closing adjustments and completion of the final valuation.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2022 as filed with the Securities and Exchange Commission and referred to herein as the “Annual Report,” and our condensed consolidated financial statements and related notes as of and for the three and nine months ended September 30, 2023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jc w:val="both"/>
        <w:ind w:right="280" w:firstLine="619"/>
        <w:spacing w:after="0" w:line="266" w:lineRule="auto"/>
        <w:rPr>
          <w:sz w:val="20"/>
          <w:szCs w:val="20"/>
          <w:color w:val="auto"/>
        </w:rPr>
      </w:pPr>
      <w:r>
        <w:rPr>
          <w:rFonts w:ascii="Arial" w:cs="Arial" w:eastAsia="Arial" w:hAnsi="Arial"/>
          <w:sz w:val="17"/>
          <w:szCs w:val="17"/>
          <w:color w:val="auto"/>
        </w:rPr>
        <w:t>Essent Group Ltd. is a Bermuda-based holding company (collectively with its subsidiaries, “Essent”) serving the housing finance industry by offering private mortgage insurance, reinsurance, risk management products and title insurance and settlement services to mortgage lenders, borrowers, and investors to support homeownership.</w:t>
      </w:r>
    </w:p>
    <w:p>
      <w:pPr>
        <w:spacing w:after="0" w:line="201" w:lineRule="exact"/>
        <w:rPr>
          <w:sz w:val="20"/>
          <w:szCs w:val="20"/>
          <w:color w:val="auto"/>
        </w:rPr>
      </w:pPr>
    </w:p>
    <w:p>
      <w:pPr>
        <w:ind w:right="160" w:firstLine="619"/>
        <w:spacing w:after="0" w:line="299" w:lineRule="auto"/>
        <w:rPr>
          <w:sz w:val="20"/>
          <w:szCs w:val="20"/>
          <w:color w:val="auto"/>
        </w:rPr>
      </w:pPr>
      <w:r>
        <w:rPr>
          <w:rFonts w:ascii="Arial" w:cs="Arial" w:eastAsia="Arial" w:hAnsi="Arial"/>
          <w:sz w:val="15"/>
          <w:szCs w:val="15"/>
          <w:color w:val="auto"/>
        </w:rPr>
        <w:t>Essent Guaranty, Inc., our wholly-owned mortgage insurance subsidiary which we refer to as "Essent Guaranty," is licensed to write coverage in all 50 states and the District of Columbia. Our U.S. mortgage insurance business is headquartered in Radnor, Pennsylvania, with an additional underwriting and service center in Winston-Salem, North Carolina.The financial strength ratings of Essent Guaranty are A3 with a stable outlook by Moody’s Investors Service (“Moody's”), BBB+ with a stable outlook by S&amp;P Global Ratings (“S&amp;P”) and A (Excellent) with a stable outlook by A.M. Best. Our mortgage insurance operations generated new insurance written, or NIW, of approximately $12.5 billion and $38.9 billion for the three and nine months ended September 30, 2023, respectively, compared to approximately $17.1 billion and $50.0 billion for the three and nine months ended September 30, 2022, respectively.</w:t>
      </w:r>
    </w:p>
    <w:p>
      <w:pPr>
        <w:spacing w:after="0" w:line="180" w:lineRule="exact"/>
        <w:rPr>
          <w:sz w:val="20"/>
          <w:szCs w:val="20"/>
          <w:color w:val="auto"/>
        </w:rPr>
      </w:pPr>
    </w:p>
    <w:p>
      <w:pPr>
        <w:ind w:firstLine="662"/>
        <w:spacing w:after="0" w:line="255"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September 30, 2023, Essent Re provided insurance or reinsurance relating to GSE risk share and other reinsurance transactions covering approximately $2.2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BBB+ with a stable outlook by S&amp;P and A (Excellent) with a stable outlook by A.M. Best.</w:t>
      </w:r>
    </w:p>
    <w:p>
      <w:pPr>
        <w:spacing w:after="0" w:line="1"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As a result of our acquisitions of Agents National Title Insurance Company and Boston National Holdings LLC effective July 1, 2023, we now offer title insurance products and title and settlement services. Our title insurance operations are headquartered in Columbia, Missouri, and we operate our title agency operations in Charlotte, North Carolina and Pittsburgh, Pennsylvania.</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a highly experienced, talented team with 589 employees as of September 30, 2023.</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Economic Developments</w:t>
      </w:r>
    </w:p>
    <w:p>
      <w:pPr>
        <w:spacing w:after="0" w:line="243"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September 30, 2023. Future increases in defaults may result in an increase in our provisions for loss and loss adjustment expenses compared to prior periods, reduced profit commission under our quota share reinsurance agreements with panels of third-party reinsurers ("the QSR Agreements") and an increase in our Minimum Required Assets.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and Regulatory Developments</w:t>
      </w:r>
    </w:p>
    <w:p>
      <w:pPr>
        <w:spacing w:after="0" w:line="22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 —Legislative and Regulatory Developments” in our Annual Report for a discussion of the laws and regulations to which we are subject as well as legislative and regulatory developments affecting the housing finance industry.</w:t>
      </w:r>
    </w:p>
    <w:p>
      <w:pPr>
        <w:spacing w:after="0" w:line="204" w:lineRule="exact"/>
        <w:rPr>
          <w:sz w:val="20"/>
          <w:szCs w:val="20"/>
          <w:color w:val="auto"/>
        </w:rPr>
      </w:pPr>
    </w:p>
    <w:p>
      <w:pPr>
        <w:ind w:right="80" w:firstLine="172"/>
        <w:spacing w:after="0" w:line="259" w:lineRule="auto"/>
        <w:rPr>
          <w:sz w:val="20"/>
          <w:szCs w:val="20"/>
          <w:color w:val="auto"/>
        </w:rPr>
      </w:pPr>
      <w:r>
        <w:rPr>
          <w:rFonts w:ascii="Arial" w:cs="Arial" w:eastAsia="Arial" w:hAnsi="Arial"/>
          <w:sz w:val="17"/>
          <w:szCs w:val="17"/>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“non-passive assets” within the PFIC asset test of a foreign holding company.</w:t>
      </w:r>
    </w:p>
    <w:p>
      <w:pPr>
        <w:spacing w:after="0" w:line="209" w:lineRule="exact"/>
        <w:rPr>
          <w:sz w:val="20"/>
          <w:szCs w:val="20"/>
          <w:color w:val="auto"/>
        </w:rPr>
      </w:pPr>
    </w:p>
    <w:p>
      <w:pPr>
        <w:ind w:right="340" w:firstLine="619"/>
        <w:spacing w:after="0" w:line="262" w:lineRule="auto"/>
        <w:rPr>
          <w:sz w:val="20"/>
          <w:szCs w:val="20"/>
          <w:color w:val="auto"/>
        </w:rPr>
      </w:pPr>
      <w:r>
        <w:rPr>
          <w:rFonts w:ascii="Arial" w:cs="Arial" w:eastAsia="Arial" w:hAnsi="Arial"/>
          <w:sz w:val="17"/>
          <w:szCs w:val="17"/>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191" w:lineRule="exact"/>
        <w:rPr>
          <w:sz w:val="20"/>
          <w:szCs w:val="20"/>
          <w:color w:val="auto"/>
        </w:rPr>
      </w:pPr>
    </w:p>
    <w:p>
      <w:pPr>
        <w:ind w:right="40" w:firstLine="619"/>
        <w:spacing w:after="0" w:line="284" w:lineRule="auto"/>
        <w:rPr>
          <w:sz w:val="20"/>
          <w:szCs w:val="20"/>
          <w:color w:val="auto"/>
        </w:rPr>
      </w:pPr>
      <w:r>
        <w:rPr>
          <w:rFonts w:ascii="Arial" w:cs="Arial" w:eastAsia="Arial" w:hAnsi="Arial"/>
          <w:sz w:val="15"/>
          <w:szCs w:val="15"/>
          <w:color w:val="auto"/>
        </w:rPr>
        <w:t>The SEC issued a proposed rule in January 2023 that, among other things, prohibits certain participants in an asset-backed security, including a synthetic asset-backed security (synthetic ABS), from engaging in transactions that would involve or result in any material conflict of interest with respect to any investor in a transaction arising out of such activity (conflicted transaction). The definition of conflicted transactions is broadly defined and synthetic ABS could be broadly interpreted to include mortgage insurance linked notes (“ILNs”). If this SEC proposal is adopted as proposed, it could affect or prohibit our ability to enter into reinsurance transactions using ILNs. We are assessing the potential impact of the rule on future ILN reinsurance transactions if the rule is adopted as proposed.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Results of Operations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17" w:lineRule="exact"/>
        <w:rPr>
          <w:sz w:val="20"/>
          <w:szCs w:val="20"/>
          <w:color w:val="auto"/>
        </w:rPr>
      </w:pPr>
    </w:p>
    <w:p>
      <w:pPr>
        <w:ind w:right="260" w:firstLine="619"/>
        <w:spacing w:after="0" w:line="307" w:lineRule="auto"/>
        <w:rPr>
          <w:sz w:val="20"/>
          <w:szCs w:val="20"/>
          <w:color w:val="auto"/>
        </w:rPr>
      </w:pPr>
      <w:r>
        <w:rPr>
          <w:rFonts w:ascii="Arial" w:cs="Arial" w:eastAsia="Arial" w:hAnsi="Arial"/>
          <w:sz w:val="15"/>
          <w:szCs w:val="15"/>
          <w:color w:val="auto"/>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49" w:lineRule="exact"/>
        <w:rPr>
          <w:sz w:val="20"/>
          <w:szCs w:val="20"/>
          <w:color w:val="auto"/>
        </w:rPr>
      </w:pPr>
    </w:p>
    <w:p>
      <w:pPr>
        <w:ind w:left="620" w:right="140" w:hanging="307"/>
        <w:spacing w:after="0" w:line="290"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58" w:lineRule="exact"/>
        <w:rPr>
          <w:rFonts w:ascii="Arial" w:cs="Arial" w:eastAsia="Arial" w:hAnsi="Arial"/>
          <w:sz w:val="16"/>
          <w:szCs w:val="16"/>
          <w:color w:val="auto"/>
        </w:rPr>
      </w:pPr>
    </w:p>
    <w:p>
      <w:pPr>
        <w:ind w:left="620" w:right="500" w:hanging="307"/>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4" w:lineRule="exact"/>
        <w:rPr>
          <w:rFonts w:ascii="Arial" w:cs="Arial" w:eastAsia="Arial" w:hAnsi="Arial"/>
          <w:sz w:val="17"/>
          <w:szCs w:val="17"/>
          <w:color w:val="auto"/>
        </w:rPr>
      </w:pPr>
    </w:p>
    <w:p>
      <w:pPr>
        <w:ind w:left="620" w:right="320" w:hanging="307"/>
        <w:spacing w:after="0" w:line="312"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66" w:lineRule="exact"/>
        <w:rPr>
          <w:rFonts w:ascii="Arial" w:cs="Arial" w:eastAsia="Arial" w:hAnsi="Arial"/>
          <w:sz w:val="16"/>
          <w:szCs w:val="16"/>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Premiums ceded or assumed under reinsurance arrangements. See Note 4 to our condensed consolidated financial statements.</w:t>
      </w:r>
    </w:p>
    <w:p>
      <w:pPr>
        <w:spacing w:after="0" w:line="21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2023 were non-refundable. Premiums collected on annual policies are recognized as net premiums earned on a straight-line basis over the year of coverage. For the nine months ended September 30, 2023 and 2022, monthly premium policies comprised 96% and 94% of our NIW, respectively.</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54"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Title insurance premiums are based on the number of title insurance policies issued and generally recognized as income at the transaction closing date which approximates the policy effective date.</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Persistency and Business Mix</w:t>
      </w:r>
    </w:p>
    <w:p>
      <w:pPr>
        <w:spacing w:after="0" w:line="217"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86.6% at September 30, 2023. Generally, higher prepayment speeds lead to lower persistency.</w:t>
      </w:r>
    </w:p>
    <w:p>
      <w:pPr>
        <w:spacing w:after="0" w:line="201" w:lineRule="exact"/>
        <w:rPr>
          <w:sz w:val="20"/>
          <w:szCs w:val="20"/>
          <w:color w:val="auto"/>
        </w:rPr>
      </w:pPr>
    </w:p>
    <w:p>
      <w:pPr>
        <w:ind w:right="100" w:firstLine="662"/>
        <w:spacing w:after="0" w:line="258"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17" w:lineRule="exact"/>
        <w:rPr>
          <w:sz w:val="20"/>
          <w:szCs w:val="20"/>
          <w:color w:val="auto"/>
        </w:rPr>
      </w:pPr>
    </w:p>
    <w:p>
      <w:pPr>
        <w:ind w:right="100" w:firstLine="619"/>
        <w:spacing w:after="0" w:line="276"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September 30, 2023.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3"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w:t>
      </w:r>
    </w:p>
    <w:p>
      <w:pPr>
        <w:spacing w:after="0" w:line="217" w:lineRule="exact"/>
        <w:rPr>
          <w:sz w:val="20"/>
          <w:szCs w:val="20"/>
          <w:color w:val="auto"/>
        </w:rPr>
      </w:pPr>
    </w:p>
    <w:p>
      <w:pPr>
        <w:ind w:right="300" w:firstLine="619"/>
        <w:spacing w:after="0" w:line="259" w:lineRule="auto"/>
        <w:rPr>
          <w:sz w:val="20"/>
          <w:szCs w:val="20"/>
          <w:color w:val="auto"/>
        </w:rPr>
      </w:pPr>
      <w:r>
        <w:rPr>
          <w:rFonts w:ascii="Arial" w:cs="Arial" w:eastAsia="Arial" w:hAnsi="Arial"/>
          <w:sz w:val="17"/>
          <w:szCs w:val="17"/>
          <w:color w:val="auto"/>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spacing w:after="0" w:line="209" w:lineRule="exact"/>
        <w:rPr>
          <w:sz w:val="20"/>
          <w:szCs w:val="20"/>
          <w:color w:val="auto"/>
        </w:rPr>
      </w:pPr>
    </w:p>
    <w:p>
      <w:pPr>
        <w:jc w:val="both"/>
        <w:ind w:right="200" w:firstLine="619"/>
        <w:spacing w:after="0" w:line="283"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2022, Triad exercised its one year renewal option extending the services agreement through November 2023.</w:t>
      </w:r>
    </w:p>
    <w:p>
      <w:pPr>
        <w:spacing w:after="0" w:line="164" w:lineRule="exact"/>
        <w:rPr>
          <w:sz w:val="20"/>
          <w:szCs w:val="20"/>
          <w:color w:val="auto"/>
        </w:rPr>
      </w:pPr>
    </w:p>
    <w:p>
      <w:pPr>
        <w:ind w:right="20" w:firstLine="172"/>
        <w:spacing w:after="0" w:line="290"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17" w:lineRule="exact"/>
        <w:rPr>
          <w:sz w:val="20"/>
          <w:szCs w:val="20"/>
          <w:color w:val="auto"/>
        </w:rPr>
      </w:pPr>
    </w:p>
    <w:p>
      <w:pPr>
        <w:ind w:right="600" w:firstLine="619"/>
        <w:spacing w:after="0" w:line="279" w:lineRule="auto"/>
        <w:rPr>
          <w:sz w:val="20"/>
          <w:szCs w:val="20"/>
          <w:color w:val="auto"/>
        </w:rPr>
      </w:pPr>
      <w:r>
        <w:rPr>
          <w:rFonts w:ascii="Arial" w:cs="Arial" w:eastAsia="Arial" w:hAnsi="Arial"/>
          <w:sz w:val="17"/>
          <w:szCs w:val="17"/>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Losses incurred are generally affected by:</w:t>
      </w:r>
    </w:p>
    <w:p>
      <w:pPr>
        <w:spacing w:after="0" w:line="217"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overall state of the economy, which broadly affects the likelihood that borrowers may default on their loans and have the ability to cure such defaults;</w:t>
      </w:r>
    </w:p>
    <w:p>
      <w:pPr>
        <w:spacing w:after="0" w:line="240" w:lineRule="exact"/>
        <w:rPr>
          <w:rFonts w:ascii="Arial" w:cs="Arial" w:eastAsia="Arial" w:hAnsi="Arial"/>
          <w:sz w:val="15"/>
          <w:szCs w:val="15"/>
          <w:color w:val="auto"/>
        </w:rPr>
      </w:pPr>
    </w:p>
    <w:p>
      <w:pPr>
        <w:ind w:left="620" w:right="660" w:hanging="307"/>
        <w:spacing w:after="0" w:line="349" w:lineRule="auto"/>
        <w:tabs>
          <w:tab w:leader="none" w:pos="6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42"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product mix of IIF, with loans having higher risk characteristics generally resulting in higher defaults and claims;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size of loans insured, with higher average loan amounts tending to increase losses incurred;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loan-to-value ratio, with higher average loan-to-value ratios tending to increase losses incurred;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percentage of coverage on insured loans, with deeper average coverage tending to increase losses incurred;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credit quality of borrowers, including higher debt-to-income ratios and lower FICO scores, which tend to increase incurred losses;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level and amount of reinsurance coverage maintained with third parties;</w:t>
      </w:r>
    </w:p>
    <w:p>
      <w:pPr>
        <w:spacing w:after="0" w:line="242" w:lineRule="exact"/>
        <w:rPr>
          <w:rFonts w:ascii="Arial" w:cs="Arial" w:eastAsia="Arial" w:hAnsi="Arial"/>
          <w:sz w:val="17"/>
          <w:szCs w:val="17"/>
          <w:color w:val="auto"/>
        </w:rPr>
      </w:pPr>
    </w:p>
    <w:p>
      <w:pPr>
        <w:ind w:left="620" w:right="220" w:hanging="307"/>
        <w:spacing w:after="0" w:line="26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0" w:lineRule="exact"/>
        <w:rPr>
          <w:rFonts w:ascii="Arial" w:cs="Arial" w:eastAsia="Arial" w:hAnsi="Arial"/>
          <w:sz w:val="17"/>
          <w:szCs w:val="17"/>
          <w:color w:val="auto"/>
        </w:rPr>
      </w:pPr>
    </w:p>
    <w:p>
      <w:pPr>
        <w:ind w:left="620" w:hanging="307"/>
        <w:spacing w:after="0" w:line="262"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distribution of claims over the life of a book. As of September 30, 2023, 67% of our IIF relates to business written since January 1, 2021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3" w:lineRule="exact"/>
        <w:rPr>
          <w:sz w:val="20"/>
          <w:szCs w:val="20"/>
          <w:color w:val="auto"/>
        </w:rPr>
      </w:pPr>
    </w:p>
    <w:p>
      <w:pPr>
        <w:ind w:right="160" w:firstLine="619"/>
        <w:spacing w:after="0" w:line="265" w:lineRule="auto"/>
        <w:rPr>
          <w:sz w:val="20"/>
          <w:szCs w:val="20"/>
          <w:color w:val="auto"/>
        </w:rPr>
      </w:pPr>
      <w:r>
        <w:rPr>
          <w:rFonts w:ascii="Arial" w:cs="Arial" w:eastAsia="Arial" w:hAnsi="Arial"/>
          <w:sz w:val="16"/>
          <w:szCs w:val="16"/>
          <w:color w:val="auto"/>
        </w:rPr>
        <w:t>Based upon our experience and industry data, claims incidence for mortgage insurance is generally highest in the third through sixth years after loan origination. As of September 30, 2023, 67% of our IIF relates to business written since January 1, 2021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89" w:lineRule="exact"/>
        <w:rPr>
          <w:sz w:val="20"/>
          <w:szCs w:val="20"/>
          <w:color w:val="auto"/>
        </w:rPr>
      </w:pPr>
    </w:p>
    <w:p>
      <w:pPr>
        <w:ind w:right="80" w:firstLine="619"/>
        <w:spacing w:after="0" w:line="275" w:lineRule="auto"/>
        <w:rPr>
          <w:sz w:val="20"/>
          <w:szCs w:val="20"/>
          <w:color w:val="auto"/>
        </w:rPr>
      </w:pPr>
      <w:r>
        <w:rPr>
          <w:rFonts w:ascii="Arial" w:cs="Arial" w:eastAsia="Arial" w:hAnsi="Arial"/>
          <w:sz w:val="16"/>
          <w:szCs w:val="16"/>
          <w:color w:val="auto"/>
        </w:rPr>
        <w:t>Due to business restrictions, stay-at-home orders and travel restrictions initially implemented in March 2020 as a result of the novel coronavirus disease 2019 ("COVID-19"), unemployment in the United States increased significantly in the second quarter of 2020, declining during the second half of 2020 through 2022. As unemployment is one of the most common reasons for borrowers to default on their mortgage, the increase in unemployment increased the number of delinquencies on the mortgages we insure, and has the potential to increase claim frequencies on defaults. We experienced a significant increase in the amount of new defaults reported in 2020, especially during the second and third quarters of 2020. We received 36,784 defaults in the three months ended June 30, 2020 and 12,614 defaults in the three months ended September 30, 2020, which resulted in a significant increase in our default rate from 0.83% at March 31, 2020 to 4.54% at September 30, 2020. We segmented these two quarters’ 49,398 defaults as specifically COVID-19 related (“Early COVID Defaults”) and provided losses for these two cohorts differently as compared to our normal loss reserving methodology.</w:t>
      </w:r>
    </w:p>
    <w:p>
      <w:pPr>
        <w:spacing w:after="0" w:line="196" w:lineRule="exact"/>
        <w:rPr>
          <w:sz w:val="20"/>
          <w:szCs w:val="20"/>
          <w:color w:val="auto"/>
        </w:rPr>
      </w:pPr>
    </w:p>
    <w:p>
      <w:pPr>
        <w:ind w:right="40" w:firstLine="425"/>
        <w:spacing w:after="0" w:line="293" w:lineRule="auto"/>
        <w:rPr>
          <w:sz w:val="20"/>
          <w:szCs w:val="20"/>
          <w:color w:val="auto"/>
        </w:rPr>
      </w:pPr>
      <w:r>
        <w:rPr>
          <w:rFonts w:ascii="Arial" w:cs="Arial" w:eastAsia="Arial" w:hAnsi="Arial"/>
          <w:sz w:val="15"/>
          <w:szCs w:val="15"/>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and Fannie Mae and Freddie Mac (collectively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while extending traditional default-to-claim timelines. Based on the forbearance programs in place and the credit characteristics of the Early COVID Defaults, we believe that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189" w:lineRule="exact"/>
        <w:rPr>
          <w:sz w:val="20"/>
          <w:szCs w:val="20"/>
          <w:color w:val="auto"/>
        </w:rPr>
      </w:pPr>
    </w:p>
    <w:p>
      <w:pPr>
        <w:ind w:firstLine="425"/>
        <w:spacing w:after="0" w:line="273" w:lineRule="auto"/>
        <w:rPr>
          <w:sz w:val="20"/>
          <w:szCs w:val="20"/>
          <w:color w:val="auto"/>
        </w:rPr>
      </w:pPr>
      <w:r>
        <w:rPr>
          <w:rFonts w:ascii="Arial" w:cs="Arial" w:eastAsia="Arial" w:hAnsi="Arial"/>
          <w:sz w:val="16"/>
          <w:szCs w:val="16"/>
          <w:color w:val="auto"/>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Due to the level of Early COVID Defaults remaining in the default inventory, beginning in the third quarter of 2022, we resumed reserving for the Early COVID Defaults using our normal reserve methodology. As of September 30, 2023, approximately 99% of the Early COVID Defaults had cured. While the level of cure activity for the Early COVID Defaults exceeded our initial expectations, the transition of defaults to foreclosure or claim has not returned to pre-pandemic levels as of September 30, 2023. As a result, the level of defaults in the default inventory that have missed twelve or more payments is above pre-pandemic levels.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40" w:firstLine="425"/>
        <w:spacing w:after="0" w:line="259" w:lineRule="auto"/>
        <w:rPr>
          <w:sz w:val="20"/>
          <w:szCs w:val="20"/>
          <w:color w:val="auto"/>
        </w:rPr>
      </w:pPr>
      <w:r>
        <w:rPr>
          <w:rFonts w:ascii="Arial" w:cs="Arial" w:eastAsia="Arial" w:hAnsi="Arial"/>
          <w:sz w:val="17"/>
          <w:szCs w:val="17"/>
          <w:color w:val="auto"/>
        </w:rPr>
        <w:t>The economy in the United States has been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09" w:lineRule="exact"/>
        <w:rPr>
          <w:sz w:val="20"/>
          <w:szCs w:val="20"/>
          <w:color w:val="auto"/>
        </w:rPr>
      </w:pPr>
    </w:p>
    <w:p>
      <w:pPr>
        <w:jc w:val="both"/>
        <w:ind w:right="100" w:firstLine="425"/>
        <w:spacing w:after="0" w:line="307" w:lineRule="auto"/>
        <w:rPr>
          <w:sz w:val="20"/>
          <w:szCs w:val="20"/>
          <w:color w:val="auto"/>
        </w:rPr>
      </w:pPr>
      <w:r>
        <w:rPr>
          <w:rFonts w:ascii="Arial" w:cs="Arial" w:eastAsia="Arial" w:hAnsi="Arial"/>
          <w:sz w:val="15"/>
          <w:szCs w:val="15"/>
          <w:color w:val="auto"/>
        </w:rPr>
        <w:t>As more fully described in Note 4 to our condensed consolidated financial statements, at September 30, 2023, we had approximately $1.6 billion of excess of loss reinsurance covering NIW from January 1, 2017 to December 31, 2022 and a quota share reinsurance on portions of our NIW effective September 1, 2019 through December 31, 2020 and January 1, 2022 through December 31, 2023. The impact on our reserves in future periods will be dependent upon the amount of delinquent notices received from loan servicers, the performance of defaults and our expectations for the amount of ultimate losses on these delinquencies.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Third-Party Reinsurance</w:t>
      </w:r>
    </w:p>
    <w:p>
      <w:pPr>
        <w:spacing w:after="0" w:line="243" w:lineRule="exact"/>
        <w:rPr>
          <w:sz w:val="20"/>
          <w:szCs w:val="20"/>
          <w:color w:val="auto"/>
        </w:rPr>
      </w:pPr>
    </w:p>
    <w:p>
      <w:pPr>
        <w:ind w:right="80" w:firstLine="619"/>
        <w:spacing w:after="0" w:line="279"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17"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Our other underwriting and operating expenses include components that are substantially fixed, as well as expenses that generally increase or decrease in line with the level of NIW.</w:t>
      </w:r>
    </w:p>
    <w:p>
      <w:pPr>
        <w:spacing w:after="0" w:line="164"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Our most significant expense is compensation and benefits for our employees, which represented 57% and 57% of other underwriting and operating expenses for the three and nine months ended September 30, 2023, respectively, compared to 59% and 60% of other underwriting and operating expenses for the three and nine months ended September 30, 2022, respectively. Compensation and benefits expense includes base and incentive cash compensation, stock compensation expense, benefits and payroll taxes.</w:t>
      </w:r>
    </w:p>
    <w:p>
      <w:pPr>
        <w:spacing w:after="0" w:line="178" w:lineRule="exact"/>
        <w:rPr>
          <w:sz w:val="20"/>
          <w:szCs w:val="20"/>
          <w:color w:val="auto"/>
        </w:rPr>
      </w:pPr>
    </w:p>
    <w:p>
      <w:pPr>
        <w:jc w:val="both"/>
        <w:ind w:right="80" w:firstLine="619"/>
        <w:spacing w:after="0" w:line="266" w:lineRule="auto"/>
        <w:rPr>
          <w:sz w:val="20"/>
          <w:szCs w:val="20"/>
          <w:color w:val="auto"/>
        </w:rPr>
      </w:pPr>
      <w:r>
        <w:rPr>
          <w:rFonts w:ascii="Arial" w:cs="Arial" w:eastAsia="Arial" w:hAnsi="Arial"/>
          <w:sz w:val="17"/>
          <w:szCs w:val="17"/>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Premiums Retained by Agents</w:t>
      </w:r>
    </w:p>
    <w:p>
      <w:pPr>
        <w:spacing w:after="0" w:line="230" w:lineRule="exact"/>
        <w:rPr>
          <w:sz w:val="20"/>
          <w:szCs w:val="20"/>
          <w:color w:val="auto"/>
        </w:rPr>
      </w:pPr>
    </w:p>
    <w:p>
      <w:pPr>
        <w:ind w:right="100" w:firstLine="619"/>
        <w:spacing w:after="0" w:line="236" w:lineRule="auto"/>
        <w:rPr>
          <w:sz w:val="20"/>
          <w:szCs w:val="20"/>
          <w:color w:val="auto"/>
        </w:rPr>
      </w:pPr>
      <w:r>
        <w:rPr>
          <w:rFonts w:ascii="Arial" w:cs="Arial" w:eastAsia="Arial" w:hAnsi="Arial"/>
          <w:sz w:val="17"/>
          <w:szCs w:val="17"/>
          <w:color w:val="auto"/>
        </w:rPr>
        <w:t>Premiums retained by agents represent the portion of title insurance premiums retained by our third-party agents pursuant to the terms of their respective agency contracts. These amounts are recorded as an expense and reported separately on the condensed consolidated statements of comprehensive income, consistent with industry practice. The percentage of premiums retained by agents vary according to regional differences in real estate closing practices and state regulations.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3" w:lineRule="exact"/>
        <w:rPr>
          <w:sz w:val="20"/>
          <w:szCs w:val="20"/>
          <w:color w:val="auto"/>
        </w:rPr>
      </w:pPr>
    </w:p>
    <w:p>
      <w:pPr>
        <w:ind w:firstLine="619"/>
        <w:spacing w:after="0" w:line="318" w:lineRule="auto"/>
        <w:rPr>
          <w:sz w:val="20"/>
          <w:szCs w:val="20"/>
          <w:color w:val="auto"/>
        </w:rPr>
      </w:pPr>
      <w:r>
        <w:rPr>
          <w:rFonts w:ascii="Arial" w:cs="Arial" w:eastAsia="Arial" w:hAnsi="Arial"/>
          <w:sz w:val="15"/>
          <w:szCs w:val="15"/>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217"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91" w:lineRule="exact"/>
        <w:rPr>
          <w:sz w:val="20"/>
          <w:szCs w:val="20"/>
          <w:color w:val="auto"/>
        </w:rPr>
      </w:pPr>
    </w:p>
    <w:p>
      <w:pPr>
        <w:jc w:val="both"/>
        <w:ind w:right="80" w:firstLine="619"/>
        <w:spacing w:after="0" w:line="273" w:lineRule="auto"/>
        <w:rPr>
          <w:sz w:val="20"/>
          <w:szCs w:val="20"/>
          <w:color w:val="auto"/>
        </w:rPr>
      </w:pPr>
      <w:r>
        <w:rPr>
          <w:rFonts w:ascii="Arial" w:cs="Arial" w:eastAsia="Arial" w:hAnsi="Arial"/>
          <w:sz w:val="16"/>
          <w:szCs w:val="16"/>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97"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The amount of income tax expense or benefit recorded in future periods will be dependent on the jurisdictions in which we operate and the tax laws and regulations in effect.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Mortgage Insurance Earnings and Cash Flow Cycle</w:t>
      </w:r>
    </w:p>
    <w:p>
      <w:pPr>
        <w:spacing w:after="0" w:line="217"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Indicators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Insurance In Force</w:t>
      </w:r>
    </w:p>
    <w:p>
      <w:pPr>
        <w:spacing w:after="0" w:line="217"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As discussed above, premiums we collect and earn are generated based on our IIF, which is a function of our NIW and cancellations. The following table includes a summary of the change in our IIF for the three and nine months ended September 30, 2023 and 2022 for our U.S. mortgage insurance portfolio. In addition, this table includes our RIF at the end of each period.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IIF, beginning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235,649,884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215,896,531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227,062,055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0" w:type="dxa"/>
            <w:vAlign w:val="bottom"/>
          </w:tcPr>
          <w:p>
            <w:pPr>
              <w:spacing w:after="0"/>
              <w:rPr>
                <w:sz w:val="1"/>
                <w:szCs w:val="1"/>
                <w:color w:val="auto"/>
              </w:rPr>
            </w:pPr>
          </w:p>
        </w:tc>
      </w:tr>
      <w:tr>
        <w:trPr>
          <w:trHeight w:val="218"/>
        </w:trPr>
        <w:tc>
          <w:tcPr>
            <w:tcW w:w="5220" w:type="dxa"/>
            <w:vAlign w:val="bottom"/>
            <w:gridSpan w:val="2"/>
          </w:tcPr>
          <w:p>
            <w:pPr>
              <w:ind w:left="220"/>
              <w:spacing w:after="0"/>
              <w:rPr>
                <w:sz w:val="20"/>
                <w:szCs w:val="20"/>
                <w:color w:val="auto"/>
              </w:rPr>
            </w:pPr>
            <w:r>
              <w:rPr>
                <w:rFonts w:ascii="Arial" w:cs="Arial" w:eastAsia="Arial" w:hAnsi="Arial"/>
                <w:sz w:val="17"/>
                <w:szCs w:val="17"/>
                <w:color w:val="auto"/>
              </w:rPr>
              <w:t>NIW - Flow</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12,505,823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17,112,017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38,897,692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50,049,634</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NIW - Bulk</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Cancellations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(9,494,095)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(10,465,979)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(27,298,135)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(34,697,805)</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IIF, end of period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238,661,612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222,542,569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238,661,612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222,542,569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Average IIF during the period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20" w:type="dxa"/>
            <w:vAlign w:val="bottom"/>
            <w:gridSpan w:val="2"/>
            <w:vMerge w:val="continue"/>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line="191" w:lineRule="exact"/>
              <w:rPr>
                <w:sz w:val="20"/>
                <w:szCs w:val="20"/>
                <w:color w:val="auto"/>
              </w:rPr>
            </w:pPr>
            <w:r>
              <w:rPr>
                <w:rFonts w:ascii="Arial" w:cs="Arial" w:eastAsia="Arial" w:hAnsi="Arial"/>
                <w:sz w:val="17"/>
                <w:szCs w:val="17"/>
                <w:color w:val="auto"/>
              </w:rPr>
              <w:t>237,270,093</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line="191" w:lineRule="exact"/>
              <w:rPr>
                <w:sz w:val="20"/>
                <w:szCs w:val="20"/>
                <w:color w:val="auto"/>
              </w:rPr>
            </w:pPr>
            <w:r>
              <w:rPr>
                <w:rFonts w:ascii="Arial" w:cs="Arial" w:eastAsia="Arial" w:hAnsi="Arial"/>
                <w:sz w:val="17"/>
                <w:szCs w:val="17"/>
                <w:color w:val="auto"/>
              </w:rPr>
              <w:t>219,280,350</w:t>
            </w:r>
          </w:p>
        </w:tc>
        <w:tc>
          <w:tcPr>
            <w:tcW w:w="100" w:type="dxa"/>
            <w:vAlign w:val="bottom"/>
          </w:tcPr>
          <w:p>
            <w:pPr>
              <w:spacing w:after="0"/>
              <w:rPr>
                <w:sz w:val="16"/>
                <w:szCs w:val="16"/>
                <w:color w:val="auto"/>
              </w:rPr>
            </w:pPr>
          </w:p>
        </w:tc>
        <w:tc>
          <w:tcPr>
            <w:tcW w:w="280" w:type="dxa"/>
            <w:vAlign w:val="bottom"/>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line="191" w:lineRule="exact"/>
              <w:rPr>
                <w:sz w:val="20"/>
                <w:szCs w:val="20"/>
                <w:color w:val="auto"/>
              </w:rPr>
            </w:pPr>
            <w:r>
              <w:rPr>
                <w:rFonts w:ascii="Arial" w:cs="Arial" w:eastAsia="Arial" w:hAnsi="Arial"/>
                <w:sz w:val="17"/>
                <w:szCs w:val="17"/>
                <w:color w:val="auto"/>
              </w:rPr>
              <w:t>233,137,353</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1" w:lineRule="exact"/>
              <w:rPr>
                <w:sz w:val="20"/>
                <w:szCs w:val="20"/>
                <w:color w:val="auto"/>
              </w:rPr>
            </w:pPr>
            <w:r>
              <w:rPr>
                <w:rFonts w:ascii="Arial" w:cs="Arial" w:eastAsia="Arial" w:hAnsi="Arial"/>
                <w:sz w:val="17"/>
                <w:szCs w:val="17"/>
                <w:color w:val="auto"/>
              </w:rPr>
              <w:t>212,449,160</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RIF, end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53,920,308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48,690,571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53,920,308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48,690,571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our IIF at September 30, 2023 by vintage: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6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160" w:type="dxa"/>
            <w:vAlign w:val="bottom"/>
          </w:tcPr>
          <w:p>
            <w:pPr>
              <w:jc w:val="right"/>
              <w:ind w:right="6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60" w:type="dxa"/>
            <w:vAlign w:val="bottom"/>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24"/>
        </w:trPr>
        <w:tc>
          <w:tcPr>
            <w:tcW w:w="7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2"/>
        </w:trPr>
        <w:tc>
          <w:tcPr>
            <w:tcW w:w="82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2023 (through September 30)</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37,608,034</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15.8 %</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57,742,660</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24.2 %</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64,048,451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26.8</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49,162,995</w:t>
            </w:r>
          </w:p>
        </w:tc>
        <w:tc>
          <w:tcPr>
            <w:tcW w:w="120" w:type="dxa"/>
            <w:vAlign w:val="bottom"/>
          </w:tcPr>
          <w:p>
            <w:pPr>
              <w:spacing w:after="0"/>
              <w:rPr>
                <w:sz w:val="18"/>
                <w:szCs w:val="18"/>
                <w:color w:val="auto"/>
              </w:rPr>
            </w:pPr>
          </w:p>
        </w:tc>
        <w:tc>
          <w:tcPr>
            <w:tcW w:w="1660" w:type="dxa"/>
            <w:vAlign w:val="bottom"/>
          </w:tcPr>
          <w:p>
            <w:pPr>
              <w:jc w:val="right"/>
              <w:ind w:right="136"/>
              <w:spacing w:after="0"/>
              <w:rPr>
                <w:sz w:val="20"/>
                <w:szCs w:val="20"/>
                <w:color w:val="auto"/>
              </w:rPr>
            </w:pPr>
            <w:r>
              <w:rPr>
                <w:rFonts w:ascii="Arial" w:cs="Arial" w:eastAsia="Arial" w:hAnsi="Arial"/>
                <w:sz w:val="17"/>
                <w:szCs w:val="17"/>
                <w:color w:val="auto"/>
              </w:rPr>
              <w:t>20.6</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12,907,957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5.4</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5,805,471</w:t>
            </w:r>
          </w:p>
        </w:tc>
        <w:tc>
          <w:tcPr>
            <w:tcW w:w="120" w:type="dxa"/>
            <w:vAlign w:val="bottom"/>
          </w:tcPr>
          <w:p>
            <w:pPr>
              <w:spacing w:after="0"/>
              <w:rPr>
                <w:sz w:val="18"/>
                <w:szCs w:val="18"/>
                <w:color w:val="auto"/>
              </w:rPr>
            </w:pPr>
          </w:p>
        </w:tc>
        <w:tc>
          <w:tcPr>
            <w:tcW w:w="1660" w:type="dxa"/>
            <w:vAlign w:val="bottom"/>
          </w:tcPr>
          <w:p>
            <w:pPr>
              <w:jc w:val="right"/>
              <w:ind w:right="136"/>
              <w:spacing w:after="0"/>
              <w:rPr>
                <w:sz w:val="20"/>
                <w:szCs w:val="20"/>
                <w:color w:val="auto"/>
              </w:rPr>
            </w:pPr>
            <w:r>
              <w:rPr>
                <w:rFonts w:ascii="Arial" w:cs="Arial" w:eastAsia="Arial" w:hAnsi="Arial"/>
                <w:sz w:val="17"/>
                <w:szCs w:val="17"/>
                <w:color w:val="auto"/>
              </w:rPr>
              <w:t>2.4</w:t>
            </w:r>
          </w:p>
        </w:tc>
      </w:tr>
      <w:tr>
        <w:trPr>
          <w:trHeight w:val="21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2017 and prior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11,386,044</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4.8</w:t>
            </w:r>
          </w:p>
        </w:tc>
      </w:tr>
      <w:tr>
        <w:trPr>
          <w:trHeight w:val="212"/>
        </w:trPr>
        <w:tc>
          <w:tcPr>
            <w:tcW w:w="8260" w:type="dxa"/>
            <w:vAlign w:val="bottom"/>
            <w:gridSpan w:val="3"/>
          </w:tcPr>
          <w:p>
            <w:pPr>
              <w:ind w:left="79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238,661,612</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Average Net Premium Rate</w:t>
      </w:r>
    </w:p>
    <w:p>
      <w:pPr>
        <w:spacing w:after="0" w:line="217"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ectPr>
          <w:pgSz w:w="11900" w:h="16838" w:orient="portrait"/>
          <w:cols w:equalWidth="0" w:num="1">
            <w:col w:w="11240"/>
          </w:cols>
          <w:pgMar w:left="320" w:top="127" w:right="339" w:bottom="1440" w:gutter="0" w:footer="0" w:header="0"/>
        </w:sectPr>
      </w:pPr>
    </w:p>
    <w:p>
      <w:pPr>
        <w:spacing w:after="0" w:line="237" w:lineRule="exact"/>
        <w:rPr>
          <w:sz w:val="20"/>
          <w:szCs w:val="20"/>
          <w:color w:val="auto"/>
        </w:rPr>
      </w:pPr>
    </w:p>
    <w:p>
      <w:pPr>
        <w:jc w:val="center"/>
        <w:ind w:left="506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48260</wp:posOffset>
            </wp:positionV>
            <wp:extent cx="19729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2945" cy="8255"/>
                    </a:xfrm>
                    <a:prstGeom prst="rect">
                      <a:avLst/>
                    </a:prstGeom>
                    <a:noFill/>
                  </pic:spPr>
                </pic:pic>
              </a:graphicData>
            </a:graphic>
          </wp:anchor>
        </w:drawing>
      </w:r>
    </w:p>
    <w:p>
      <w:pPr>
        <w:spacing w:after="0" w:line="60" w:lineRule="exact"/>
        <w:rPr>
          <w:sz w:val="20"/>
          <w:szCs w:val="20"/>
          <w:color w:val="auto"/>
        </w:rPr>
      </w:pPr>
    </w:p>
    <w:p>
      <w:pPr>
        <w:ind w:left="5560"/>
        <w:spacing w:after="0"/>
        <w:tabs>
          <w:tab w:leader="none" w:pos="71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48260</wp:posOffset>
            </wp:positionV>
            <wp:extent cx="1972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72945" cy="8255"/>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2" w:lineRule="exact"/>
        <w:rPr>
          <w:sz w:val="20"/>
          <w:szCs w:val="20"/>
          <w:color w:val="auto"/>
        </w:rPr>
      </w:pPr>
    </w:p>
    <w:p>
      <w:pPr>
        <w:sectPr>
          <w:pgSz w:w="11900" w:h="16838" w:orient="portrait"/>
          <w:cols w:equalWidth="0" w:num="2">
            <w:col w:w="7940" w:space="720"/>
            <w:col w:w="25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Base average premium rate</w:t>
            </w:r>
          </w:p>
        </w:tc>
        <w:tc>
          <w:tcPr>
            <w:tcW w:w="10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0.40 %</w:t>
            </w:r>
          </w:p>
        </w:tc>
        <w:tc>
          <w:tcPr>
            <w:tcW w:w="10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0"/>
              </w:rPr>
              <w:t>0.40 %</w:t>
            </w:r>
          </w:p>
        </w:tc>
        <w:tc>
          <w:tcPr>
            <w:tcW w:w="10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0.40 %</w:t>
            </w:r>
          </w:p>
        </w:tc>
        <w:tc>
          <w:tcPr>
            <w:tcW w:w="10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0"/>
              </w:rPr>
              <w:t>0.41 %</w:t>
            </w:r>
          </w:p>
        </w:tc>
      </w:tr>
      <w:tr>
        <w:trPr>
          <w:trHeight w:val="218"/>
        </w:trPr>
        <w:tc>
          <w:tcPr>
            <w:tcW w:w="4940" w:type="dxa"/>
            <w:vAlign w:val="bottom"/>
            <w:gridSpan w:val="2"/>
          </w:tcPr>
          <w:p>
            <w:pPr>
              <w:ind w:left="20"/>
              <w:spacing w:after="0"/>
              <w:rPr>
                <w:sz w:val="20"/>
                <w:szCs w:val="20"/>
                <w:color w:val="auto"/>
              </w:rPr>
            </w:pPr>
            <w:r>
              <w:rPr>
                <w:rFonts w:ascii="Arial" w:cs="Arial" w:eastAsia="Arial" w:hAnsi="Arial"/>
                <w:sz w:val="17"/>
                <w:szCs w:val="17"/>
                <w:color w:val="auto"/>
              </w:rPr>
              <w:t>Single premium cancellations</w:t>
            </w:r>
          </w:p>
        </w:tc>
        <w:tc>
          <w:tcPr>
            <w:tcW w:w="1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00" w:type="dxa"/>
            <w:vAlign w:val="bottom"/>
          </w:tcPr>
          <w:p>
            <w:pPr>
              <w:ind w:left="1000"/>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00" w:type="dxa"/>
            <w:vAlign w:val="bottom"/>
          </w:tcPr>
          <w:p>
            <w:pPr>
              <w:ind w:left="1000"/>
              <w:spacing w:after="0"/>
              <w:rPr>
                <w:sz w:val="20"/>
                <w:szCs w:val="20"/>
                <w:color w:val="auto"/>
              </w:rPr>
            </w:pPr>
            <w:r>
              <w:rPr>
                <w:rFonts w:ascii="Arial" w:cs="Arial" w:eastAsia="Arial" w:hAnsi="Arial"/>
                <w:sz w:val="17"/>
                <w:szCs w:val="17"/>
                <w:color w:val="auto"/>
              </w:rPr>
              <w:t>0.01</w:t>
            </w:r>
          </w:p>
        </w:tc>
      </w:tr>
      <w:tr>
        <w:trPr>
          <w:trHeight w:val="213"/>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average premium rate</w:t>
            </w:r>
          </w:p>
        </w:tc>
        <w:tc>
          <w:tcPr>
            <w:tcW w:w="15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0.40</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0.41</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0.40</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0.42</w:t>
            </w:r>
          </w:p>
        </w:tc>
      </w:tr>
      <w:tr>
        <w:trPr>
          <w:trHeight w:val="21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Ceded premiums</w:t>
            </w: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(0.05)</w:t>
            </w: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average premium rate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0.35 %</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0"/>
              </w:rPr>
              <w:t>0.35 %</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0.34 %</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0"/>
              </w:rPr>
              <w:t>0.37 %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The continued use of third-party reinsurance along with changes to the level of future cancellations of non-refundable single premium policies and mix of IIF may reduce our average net premium rate in future periods.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Persistency Rate</w:t>
      </w:r>
    </w:p>
    <w:p>
      <w:pPr>
        <w:spacing w:after="0" w:line="217"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Risk-to-Capital</w:t>
      </w:r>
    </w:p>
    <w:p>
      <w:pPr>
        <w:spacing w:after="0" w:line="217" w:lineRule="exact"/>
        <w:rPr>
          <w:sz w:val="20"/>
          <w:szCs w:val="20"/>
          <w:color w:val="auto"/>
        </w:rPr>
      </w:pPr>
    </w:p>
    <w:p>
      <w:pPr>
        <w:jc w:val="both"/>
        <w:ind w:right="60" w:firstLine="619"/>
        <w:spacing w:after="0" w:line="283"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64"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As of September 30, 2023, our combined net risk in force for our U.S. mortgage insurance companies was $34.2 billion and our combined statutory capital was $3.3 billion, resulting in a risk-to-capital ratio of 10.3:1.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results of operations for the periods indicated: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240,574</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209,230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656,095</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619,303</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Decrease in unearned premiums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15,972</w:t>
            </w:r>
          </w:p>
        </w:tc>
        <w:tc>
          <w:tcPr>
            <w:tcW w:w="0" w:type="dxa"/>
            <w:vAlign w:val="bottom"/>
          </w:tcPr>
          <w:p>
            <w:pPr>
              <w:spacing w:after="0"/>
              <w:rPr>
                <w:sz w:val="1"/>
                <w:szCs w:val="1"/>
                <w:color w:val="auto"/>
              </w:rPr>
            </w:pPr>
          </w:p>
        </w:tc>
      </w:tr>
      <w:tr>
        <w:trPr>
          <w:trHeight w:val="21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246,805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207,934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671,292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635,275</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86,613</w:t>
            </w:r>
          </w:p>
        </w:tc>
        <w:tc>
          <w:tcPr>
            <w:tcW w:w="0" w:type="dxa"/>
            <w:vAlign w:val="bottom"/>
          </w:tcPr>
          <w:p>
            <w:pPr>
              <w:spacing w:after="0"/>
              <w:rPr>
                <w:sz w:val="1"/>
                <w:szCs w:val="1"/>
                <w:color w:val="auto"/>
              </w:rPr>
            </w:pPr>
          </w:p>
        </w:tc>
      </w:tr>
      <w:tr>
        <w:trPr>
          <w:trHeight w:val="21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Realized investment (losses) gains, net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(7,648)</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other invested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36,275</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20,272</w:t>
            </w: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296,108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812,482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770,787</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Provision (benefit) for losses and LAE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10,822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(178,805)</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124,838</w:t>
            </w:r>
          </w:p>
        </w:tc>
        <w:tc>
          <w:tcPr>
            <w:tcW w:w="0" w:type="dxa"/>
            <w:vAlign w:val="bottom"/>
          </w:tcPr>
          <w:p>
            <w:pPr>
              <w:spacing w:after="0"/>
              <w:rPr>
                <w:sz w:val="1"/>
                <w:szCs w:val="1"/>
                <w:color w:val="auto"/>
              </w:rPr>
            </w:pPr>
          </w:p>
        </w:tc>
      </w:tr>
      <w:tr>
        <w:trPr>
          <w:trHeight w:val="21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Premiums retained by agents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losses and expenses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192,444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(44,404)</w:t>
            </w:r>
          </w:p>
        </w:tc>
        <w:tc>
          <w:tcPr>
            <w:tcW w:w="0" w:type="dxa"/>
            <w:vAlign w:val="bottom"/>
          </w:tcPr>
          <w:p>
            <w:pPr>
              <w:spacing w:after="0"/>
              <w:rPr>
                <w:sz w:val="1"/>
                <w:szCs w:val="1"/>
                <w:color w:val="auto"/>
              </w:rPr>
            </w:pPr>
          </w:p>
        </w:tc>
      </w:tr>
      <w:tr>
        <w:trPr>
          <w:trHeight w:val="21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620,038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815,191</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131,204</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177,959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178,051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521,019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683,987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and Nine Months Ended September 30, 2023 Compared to the Three and Nine Months Ended September 30, 2022</w:t>
      </w:r>
    </w:p>
    <w:p>
      <w:pPr>
        <w:spacing w:after="0" w:line="210" w:lineRule="exact"/>
        <w:rPr>
          <w:sz w:val="20"/>
          <w:szCs w:val="20"/>
          <w:color w:val="auto"/>
        </w:rPr>
      </w:pPr>
    </w:p>
    <w:p>
      <w:pPr>
        <w:ind w:right="120" w:firstLine="619"/>
        <w:spacing w:after="0" w:line="234" w:lineRule="auto"/>
        <w:rPr>
          <w:sz w:val="20"/>
          <w:szCs w:val="20"/>
          <w:color w:val="auto"/>
        </w:rPr>
      </w:pPr>
      <w:r>
        <w:rPr>
          <w:rFonts w:ascii="Arial" w:cs="Arial" w:eastAsia="Arial" w:hAnsi="Arial"/>
          <w:sz w:val="17"/>
          <w:szCs w:val="17"/>
          <w:color w:val="auto"/>
        </w:rPr>
        <w:t>For the three months ended September 30, 2023, we reported net income of $178.0 million, compared to net income of $178.1 million for the three months ended September 30, 2022. For the nine months ended September 30, 2023, we reported net income of $521.0 million, compared to net income of $684.0 million for the nine months ended September 30, 2022. The decreases in our operating results in 2023 over the same periods in 2022 were primarily due to increases in the provision for losses and LAE, decreases in income from other invested assets and increases in expenses, in part due to the title insurance and settlement services operations that we acquired effective July 1, 2023, partially offset by increases in net premiums earned, net interest income and decreases in income tax expense.</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17" w:lineRule="exact"/>
        <w:rPr>
          <w:sz w:val="20"/>
          <w:szCs w:val="20"/>
          <w:color w:val="auto"/>
        </w:rPr>
      </w:pPr>
    </w:p>
    <w:p>
      <w:pPr>
        <w:ind w:right="20" w:firstLine="619"/>
        <w:spacing w:after="0" w:line="281" w:lineRule="auto"/>
        <w:rPr>
          <w:sz w:val="20"/>
          <w:szCs w:val="20"/>
          <w:color w:val="auto"/>
        </w:rPr>
      </w:pPr>
      <w:r>
        <w:rPr>
          <w:rFonts w:ascii="Arial" w:cs="Arial" w:eastAsia="Arial" w:hAnsi="Arial"/>
          <w:sz w:val="15"/>
          <w:szCs w:val="15"/>
          <w:color w:val="auto"/>
        </w:rPr>
        <w:t>Net premiums earned increased in the three and nine months ended September 30, 2023 by 19% and 6%, respectively, compared to the three and nine months ended September 30, 2022. Net premiums earned in the three and nine months ended September 30, 2023 include $20.6 million of net premiums earned by our title insurance operations. The increase in net premiums earned in the three months ended September 30, 2023 was also due to the increase in our average IIF from $219.3 billion at September 30, 2022 to $237.3 billion at September 30, 2023. The increase in net premiums earned in the nine months ended September 30, 2023 was also due to the increase in our average IIF from $212.4 billion at September 30, 2022 to $233.1 billion at September 30, 2023, partially offset by a decrease in the average net premium rate. The average net premium rate was 0.35% and 0.35% for the three months ended September 30, 2023 and 2022, respectively, and 0.34% and 0.37% in the nine months ended September 30, 2023 and 2022, respectively. See "—Key Performance Indicators—Average Net Premium Rate" above. In the nine months ended September 30, 2023, ceded premiums increased to $103.4 million from $73.4 million, due to reduced profit commission under our QSR Agreement as a result of higher ceded losses, new third-party reinsurance agreements entered in 2023 a full nine months of premiums ceded under third-party reinsurance agreements entered in 2022 and additional net ceded premium of approximately $8 million to retire approximately 90% of the outstanding notes for two of our seasoned ILN transactions in the second quarter of 2023. In the three and nine months ended September 30, 2023, premiums earned on the cancellation of non-refundable single premium policies decreased to $1.6 million and $5.0 million, respectively,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760"/>
        <w:spacing w:after="0" w:line="264" w:lineRule="auto"/>
        <w:rPr>
          <w:sz w:val="20"/>
          <w:szCs w:val="20"/>
          <w:color w:val="auto"/>
        </w:rPr>
      </w:pPr>
      <w:r>
        <w:rPr>
          <w:rFonts w:ascii="Arial" w:cs="Arial" w:eastAsia="Arial" w:hAnsi="Arial"/>
          <w:sz w:val="17"/>
          <w:szCs w:val="17"/>
          <w:color w:val="auto"/>
        </w:rPr>
        <w:t>from $4.0 million and $18.3 million in the three and nine months ended September 30, 2022, respectively, as a result of a decrease in existing borrowers refinancing their mortgages during 2023 as compared to 2022.</w:t>
      </w:r>
    </w:p>
    <w:p>
      <w:pPr>
        <w:spacing w:after="0" w:line="176"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Net premiums written increased by 15% in the three months ended September 30, 2023 and increased by 6% in the nine months ended September 30, 2023 compared to the three and nine months ended September 30, 2022. Net premiums written in the three and nine months ended September 30, 2023 include $20.6 million of net premiums written by our title insurance operations. The increase in net premiums written was also due to an increase in average IIF in the respective periods, partially offset by a decrease in new single premium policies written, changes in the mix of mortgages we insure and changes in our pricing. In the nine months ended September 30, 2023, the increase in net premiums written was also partially offset by an increase in premiums ceded under third-party reinsurance agreements.</w:t>
      </w:r>
    </w:p>
    <w:p>
      <w:pPr>
        <w:spacing w:after="0" w:line="209"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In the three months ended September 30, 2023 and 2022, unearned premiums decreased by $6.2 million and $1.3 million, respectively. The change in unearned premiums was a result of net premiums written on single premium policies of $4.7 million and $16.1 million, respectively, which was offset by $10.9 million and $14.8 million, respectively, of unearned premium that was recognized in earnings during the periods. In the nine months ended September 30, 2023 and 2022, unearned premiums decreased by $15.2 million and $16.0 million, respectively. This was a result of net premiums written on single premium policies of $18.9 million and $34.5 million, respectively, which was offset by $34.1 million and $50.5 million, respectively, of unearned premium that was recognized in earnings during the periods.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net investment income was derived from the following sources for the periods indicated: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91,245</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investments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1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investment income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92,377</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Investment expenses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(5,764)</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135,558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86,613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The changes in net investment income for the three and nine months ended September 30, 2023 as compared to the same periods in 2022 was due to an increase in the pre-tax investment income yield as well as the increase in the weighted average balance of our investment portfolio. The pre-tax investment income yield increased from 2.7% and 2.5% in the three and nine months ended September 30, 2022 to 3.6% and 3.5% in the three and nine months ended September 30, 2023, respectively, primarily due to a general increase in investment yields due to rising interest rates. The pre-tax investment income yields are calculated based on amortized cost and exclude investment expenses. The average cash and investment portfolio balance was $5.5 billion and $5.4 billion for the three and nine months ended September 30, 2023, respectively, compared to $5.1 billion and $5.0 billion for the three and nine months ended September 30, 2022, respectively. The increase in the average cash and investment portfolio was primarily due to investing cash flows from operations. See “— Liquidity and Capital Resources” for further details of our investment portfolio.</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3" w:lineRule="exact"/>
        <w:rPr>
          <w:sz w:val="20"/>
          <w:szCs w:val="20"/>
          <w:color w:val="auto"/>
        </w:rPr>
      </w:pPr>
    </w:p>
    <w:p>
      <w:pPr>
        <w:ind w:right="40" w:firstLine="619"/>
        <w:spacing w:after="0" w:line="307" w:lineRule="auto"/>
        <w:rPr>
          <w:sz w:val="20"/>
          <w:szCs w:val="20"/>
          <w:color w:val="auto"/>
        </w:rPr>
      </w:pPr>
      <w:r>
        <w:rPr>
          <w:rFonts w:ascii="Arial" w:cs="Arial" w:eastAsia="Arial" w:hAnsi="Arial"/>
          <w:sz w:val="15"/>
          <w:szCs w:val="15"/>
          <w:color w:val="auto"/>
        </w:rPr>
        <w:t>Income from other invested assets for the three months ended September 30, 2023 was a loss of $3.1 million as compared to a gain of $9.6 million for the three months ended September 30, 2022. Income from other invested assets for the nine months ended September 30, 2023 was a loss of $10.7 million as compared to a gain of $36.3 million for the nine months ended September 30, 2022. The decrease in income from other invested assets was primarily due to lower fair value adjustments recorded during the three and nine months ended September 30, 2023 as compared to the same periods in 2022.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w:t>
      </w:r>
    </w:p>
    <w:p>
      <w:pPr>
        <w:spacing w:after="0" w:line="217"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Other income for the three months ended September 30, 2023 was $5.6 million as compared to $11.4 million for the three months ended September 30, 2022. Other income for the nine months ended September 30, 2023 was $18.6 million compared to $20.3 million for the nine months ended September 30, 2022. The decreases in other income for the three and nine months ended September 30, 2023 as compared to the same periods in 2022 were primarily due to changes in the fair value of the embedded derivatives contained in certain of our reinsurance agreements. In the three months ended September 30, 2023, we recorded an unfavorable decrease in the fair value of these embedded derivatives of $0.9 million compared to a favorable increase in the fair value of the embedded derivatives of $5.2 million in the three months ended September 30, 2022. In the nine months ended September 30, 2023, we recorded a favorable increase in the fair value of these embedded derivatives of $1.5 million compared to a favorable increase in the fair value of the embedded derivatives of $4.0 million in the nine months ended September 30, 2022. Other income also includes Triad service fee income, contract underwriting revenues and underwriting consulting services to third-party reinsurers. In the three and nine months ended September 30, 2023, other income includes settlement services revenues from our title operations.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17" w:lineRule="exact"/>
        <w:rPr>
          <w:sz w:val="20"/>
          <w:szCs w:val="20"/>
          <w:color w:val="auto"/>
        </w:rPr>
      </w:pPr>
    </w:p>
    <w:p>
      <w:pPr>
        <w:ind w:firstLine="619"/>
        <w:spacing w:after="0" w:line="290" w:lineRule="auto"/>
        <w:rPr>
          <w:sz w:val="20"/>
          <w:szCs w:val="20"/>
          <w:color w:val="auto"/>
        </w:rPr>
      </w:pPr>
      <w:r>
        <w:rPr>
          <w:rFonts w:ascii="Arial" w:cs="Arial" w:eastAsia="Arial" w:hAnsi="Arial"/>
          <w:sz w:val="15"/>
          <w:szCs w:val="15"/>
          <w:color w:val="auto"/>
        </w:rPr>
        <w:t>In the three and nine months ended September 30, 2023 we recorded a provision for losses of $10.8 million and $11.9 million, respectively, primarily due to a provision for losses recorded for current year defaults partially offset by cure activity for defaults reported in prior years. The increase in the provision for losses and LAE in the three months ended September 30, 2023 as compared to the same period in 2022 was primarily due to an increase in defaults during the three months ended September 30, 2023, compared to a decrease in defaults during the same period in 2022, offset by an increase in the average reserve per default in the third quarter of 2022. The increase in the provision for losses and LAE in the nine months ended September 30, 2023 as compared to the same period in</w:t>
      </w:r>
    </w:p>
    <w:p>
      <w:pPr>
        <w:ind w:right="100"/>
        <w:spacing w:after="0" w:line="334" w:lineRule="auto"/>
        <w:rPr>
          <w:sz w:val="20"/>
          <w:szCs w:val="20"/>
          <w:color w:val="auto"/>
        </w:rPr>
      </w:pPr>
      <w:r>
        <w:rPr>
          <w:rFonts w:ascii="Arial" w:cs="Arial" w:eastAsia="Arial" w:hAnsi="Arial"/>
          <w:sz w:val="15"/>
          <w:szCs w:val="15"/>
          <w:color w:val="auto"/>
        </w:rPr>
        <w:t>2022 was primarily due to a decrease in the estimate of ultimate loss for Early COVID Defaults during the nine months ended September 30, 2022 which resulted in a benefit recorded to the provision for losses of $164.1 million, as well as cure activity for defaults with reserves using our normal reserve methodology.</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30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960" w:type="dxa"/>
            <w:vAlign w:val="bottom"/>
            <w:gridSpan w:val="3"/>
          </w:tcPr>
          <w:p>
            <w:pPr>
              <w:jc w:val="right"/>
              <w:ind w:right="377"/>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6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79"/>
        </w:trPr>
        <w:tc>
          <w:tcPr>
            <w:tcW w:w="52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default 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12,480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16,963</w:t>
            </w:r>
          </w:p>
        </w:tc>
      </w:tr>
      <w:tr>
        <w:trPr>
          <w:trHeight w:val="218"/>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Plus: new defaults</w:t>
            </w:r>
          </w:p>
        </w:tc>
        <w:tc>
          <w:tcPr>
            <w:tcW w:w="560" w:type="dxa"/>
            <w:vAlign w:val="bottom"/>
          </w:tcPr>
          <w:p>
            <w:pPr>
              <w:jc w:val="right"/>
              <w:spacing w:after="0"/>
              <w:rPr>
                <w:sz w:val="20"/>
                <w:szCs w:val="20"/>
                <w:color w:val="auto"/>
              </w:rPr>
            </w:pPr>
            <w:r>
              <w:rPr>
                <w:rFonts w:ascii="Arial" w:cs="Arial" w:eastAsia="Arial" w:hAnsi="Arial"/>
                <w:sz w:val="17"/>
                <w:szCs w:val="17"/>
                <w:color w:val="auto"/>
              </w:rPr>
              <w:t>7,953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6,448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21,543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18,131</w:t>
            </w:r>
          </w:p>
        </w:tc>
      </w:tr>
      <w:tr>
        <w:trPr>
          <w:trHeight w:val="22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(6,902)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(22,448)</w:t>
            </w:r>
          </w:p>
        </w:tc>
      </w:tr>
      <w:tr>
        <w:trPr>
          <w:trHeight w:val="218"/>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Less: claims paid</w:t>
            </w:r>
          </w:p>
        </w:tc>
        <w:tc>
          <w:tcPr>
            <w:tcW w:w="56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2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rescissions and denials, net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1"/>
        </w:trPr>
        <w:tc>
          <w:tcPr>
            <w:tcW w:w="5220" w:type="dxa"/>
            <w:vAlign w:val="bottom"/>
          </w:tcPr>
          <w:p>
            <w:pPr>
              <w:ind w:left="20"/>
              <w:spacing w:after="0"/>
              <w:rPr>
                <w:sz w:val="20"/>
                <w:szCs w:val="20"/>
                <w:color w:val="auto"/>
              </w:rPr>
            </w:pPr>
            <w:r>
              <w:rPr>
                <w:rFonts w:ascii="Arial" w:cs="Arial" w:eastAsia="Arial" w:hAnsi="Arial"/>
                <w:sz w:val="17"/>
                <w:szCs w:val="17"/>
                <w:color w:val="auto"/>
              </w:rPr>
              <w:t>Ending default inventory</w:t>
            </w:r>
          </w:p>
        </w:tc>
        <w:tc>
          <w:tcPr>
            <w:tcW w:w="8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13,391</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12,435</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13,391</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12,435</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includes additional information about our loans in default as of the dates indicated for our U.S. mortgage insurance portfolio: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1040" w:type="dxa"/>
            <w:vAlign w:val="bottom"/>
          </w:tcPr>
          <w:p>
            <w:pPr>
              <w:spacing w:after="0"/>
              <w:rPr>
                <w:sz w:val="15"/>
                <w:szCs w:val="15"/>
                <w:color w:val="auto"/>
              </w:rPr>
            </w:pPr>
          </w:p>
        </w:tc>
      </w:tr>
      <w:tr>
        <w:trPr>
          <w:trHeight w:val="24"/>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9"/>
        </w:trPr>
        <w:tc>
          <w:tcPr>
            <w:tcW w:w="78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Case reserves (in thousands) </w:t>
            </w:r>
            <w:r>
              <w:rPr>
                <w:rFonts w:ascii="Arial" w:cs="Arial" w:eastAsia="Arial" w:hAnsi="Arial"/>
                <w:sz w:val="17"/>
                <w:szCs w:val="17"/>
                <w:b w:val="1"/>
                <w:bCs w:val="1"/>
                <w:color w:val="auto"/>
              </w:rPr>
              <w:t>(1)</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208,882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195,839</w:t>
            </w:r>
          </w:p>
        </w:tc>
      </w:tr>
      <w:tr>
        <w:trPr>
          <w:trHeight w:val="219"/>
        </w:trPr>
        <w:tc>
          <w:tcPr>
            <w:tcW w:w="7800" w:type="dxa"/>
            <w:vAlign w:val="bottom"/>
          </w:tcPr>
          <w:p>
            <w:pPr>
              <w:ind w:left="20"/>
              <w:spacing w:after="0"/>
              <w:rPr>
                <w:sz w:val="20"/>
                <w:szCs w:val="20"/>
                <w:color w:val="auto"/>
              </w:rPr>
            </w:pPr>
            <w:r>
              <w:rPr>
                <w:rFonts w:ascii="Arial" w:cs="Arial" w:eastAsia="Arial" w:hAnsi="Arial"/>
                <w:sz w:val="17"/>
                <w:szCs w:val="17"/>
                <w:color w:val="auto"/>
              </w:rPr>
              <w:t xml:space="preserve">Total reserves (in thousands) </w:t>
            </w:r>
            <w:r>
              <w:rPr>
                <w:rFonts w:ascii="Arial" w:cs="Arial" w:eastAsia="Arial" w:hAnsi="Arial"/>
                <w:sz w:val="17"/>
                <w:szCs w:val="17"/>
                <w:b w:val="1"/>
                <w:bCs w:val="1"/>
                <w:color w:val="auto"/>
              </w:rPr>
              <w:t>(1)</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8"/>
              <w:spacing w:after="0"/>
              <w:rPr>
                <w:sz w:val="20"/>
                <w:szCs w:val="20"/>
                <w:color w:val="auto"/>
              </w:rPr>
            </w:pPr>
            <w:r>
              <w:rPr>
                <w:rFonts w:ascii="Arial" w:cs="Arial" w:eastAsia="Arial" w:hAnsi="Arial"/>
                <w:sz w:val="17"/>
                <w:szCs w:val="17"/>
                <w:color w:val="auto"/>
              </w:rPr>
              <w:t>226,617</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6"/>
              <w:spacing w:after="0"/>
              <w:rPr>
                <w:sz w:val="20"/>
                <w:szCs w:val="20"/>
                <w:color w:val="auto"/>
              </w:rPr>
            </w:pPr>
            <w:r>
              <w:rPr>
                <w:rFonts w:ascii="Arial" w:cs="Arial" w:eastAsia="Arial" w:hAnsi="Arial"/>
                <w:sz w:val="17"/>
                <w:szCs w:val="17"/>
                <w:color w:val="auto"/>
              </w:rPr>
              <w:t>212,392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13,391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12,435</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Average case reserve per default (in thousands)</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8"/>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6"/>
              <w:spacing w:after="0"/>
              <w:rPr>
                <w:sz w:val="20"/>
                <w:szCs w:val="20"/>
                <w:color w:val="auto"/>
              </w:rPr>
            </w:pPr>
            <w:r>
              <w:rPr>
                <w:rFonts w:ascii="Arial" w:cs="Arial" w:eastAsia="Arial" w:hAnsi="Arial"/>
                <w:sz w:val="17"/>
                <w:szCs w:val="17"/>
                <w:color w:val="auto"/>
              </w:rPr>
              <w:t>15.7</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total reserve per default (in thousands)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17.1</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Default rate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1.55 %</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3836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25" w:lineRule="exact"/>
        <w:rPr>
          <w:sz w:val="20"/>
          <w:szCs w:val="20"/>
          <w:color w:val="auto"/>
        </w:rPr>
      </w:pPr>
    </w:p>
    <w:p>
      <w:pPr>
        <w:ind w:left="620" w:right="300" w:hanging="307"/>
        <w:spacing w:after="0" w:line="279" w:lineRule="auto"/>
        <w:tabs>
          <w:tab w:leader="none" w:pos="6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as well as title insurance reserves of $14.7 million, as of September 30,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losses and LAE: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Reinsurance recoverables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c>
          <w:tcPr>
            <w:tcW w:w="0" w:type="dxa"/>
            <w:vAlign w:val="bottom"/>
          </w:tcPr>
          <w:p>
            <w:pPr>
              <w:spacing w:after="0"/>
              <w:rPr>
                <w:sz w:val="1"/>
                <w:szCs w:val="1"/>
                <w:color w:val="auto"/>
              </w:rPr>
            </w:pPr>
          </w:p>
        </w:tc>
      </w:tr>
      <w:tr>
        <w:trPr>
          <w:trHeight w:val="21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period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381,505</w:t>
            </w:r>
          </w:p>
        </w:tc>
        <w:tc>
          <w:tcPr>
            <w:tcW w:w="0" w:type="dxa"/>
            <w:vAlign w:val="bottom"/>
          </w:tcPr>
          <w:p>
            <w:pPr>
              <w:spacing w:after="0"/>
              <w:rPr>
                <w:sz w:val="1"/>
                <w:szCs w:val="1"/>
                <w:color w:val="auto"/>
              </w:rPr>
            </w:pPr>
          </w:p>
        </w:tc>
      </w:tr>
      <w:tr>
        <w:trPr>
          <w:trHeight w:val="21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reserves acquired during the period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14,513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14,513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 provision for losses and LAE occurring in: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gridSpan w:val="2"/>
          </w:tcPr>
          <w:p>
            <w:pPr>
              <w:ind w:left="220"/>
              <w:spacing w:after="0"/>
              <w:rPr>
                <w:sz w:val="20"/>
                <w:szCs w:val="20"/>
                <w:color w:val="auto"/>
              </w:rPr>
            </w:pPr>
            <w:r>
              <w:rPr>
                <w:rFonts w:ascii="Arial" w:cs="Arial" w:eastAsia="Arial" w:hAnsi="Arial"/>
                <w:sz w:val="17"/>
                <w:szCs w:val="17"/>
                <w:color w:val="auto"/>
              </w:rPr>
              <w:t>Current period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101,547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63,236</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Prior years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(242,041)</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Incurred losses and LAE during the current period</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(178,805)</w:t>
            </w:r>
          </w:p>
        </w:tc>
        <w:tc>
          <w:tcPr>
            <w:tcW w:w="0" w:type="dxa"/>
            <w:vAlign w:val="bottom"/>
          </w:tcPr>
          <w:p>
            <w:pPr>
              <w:spacing w:after="0"/>
              <w:rPr>
                <w:sz w:val="1"/>
                <w:szCs w:val="1"/>
                <w:color w:val="auto"/>
              </w:rPr>
            </w:pPr>
          </w:p>
        </w:tc>
      </w:tr>
      <w:tr>
        <w:trPr>
          <w:trHeight w:val="20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Deduct payments for losses and LAE occurring in:</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20" w:type="dxa"/>
            <w:vAlign w:val="bottom"/>
            <w:gridSpan w:val="2"/>
          </w:tcPr>
          <w:p>
            <w:pPr>
              <w:ind w:left="220"/>
              <w:spacing w:after="0"/>
              <w:rPr>
                <w:sz w:val="20"/>
                <w:szCs w:val="20"/>
                <w:color w:val="auto"/>
              </w:rPr>
            </w:pPr>
            <w:r>
              <w:rPr>
                <w:rFonts w:ascii="Arial" w:cs="Arial" w:eastAsia="Arial" w:hAnsi="Arial"/>
                <w:sz w:val="17"/>
                <w:szCs w:val="17"/>
                <w:color w:val="auto"/>
              </w:rPr>
              <w:t>Current period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Prior years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w:t>
            </w:r>
          </w:p>
        </w:tc>
        <w:tc>
          <w:tcPr>
            <w:tcW w:w="0" w:type="dxa"/>
            <w:vAlign w:val="bottom"/>
          </w:tcPr>
          <w:p>
            <w:pPr>
              <w:spacing w:after="0"/>
              <w:rPr>
                <w:sz w:val="1"/>
                <w:szCs w:val="1"/>
                <w:color w:val="auto"/>
              </w:rPr>
            </w:pPr>
          </w:p>
        </w:tc>
      </w:tr>
      <w:tr>
        <w:trPr>
          <w:trHeight w:val="21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Loss and LAE payments during the current period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3,450</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end of period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199,250</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Plus: Reinsurance recoverables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13,244</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end of period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241,333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212,494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241,333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212,494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The following tables provide a detail of reserves and defaulted RIF by the number of missed payments and pending claims for our U.S. mortgage insurance portfolio:</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September 30, 2023</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Number of</w:t>
            </w:r>
          </w:p>
        </w:tc>
        <w:tc>
          <w:tcPr>
            <w:tcW w:w="14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4"/>
              </w:rPr>
              <w:t>Percentage of</w:t>
            </w:r>
          </w:p>
        </w:tc>
        <w:tc>
          <w:tcPr>
            <w:tcW w:w="160" w:type="dxa"/>
            <w:vAlign w:val="bottom"/>
          </w:tcPr>
          <w:p>
            <w:pPr>
              <w:spacing w:after="0"/>
              <w:rPr>
                <w:sz w:val="10"/>
                <w:szCs w:val="10"/>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0"/>
                <w:szCs w:val="10"/>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0"/>
                <w:szCs w:val="10"/>
                <w:color w:val="auto"/>
              </w:rPr>
            </w:pPr>
          </w:p>
        </w:tc>
        <w:tc>
          <w:tcPr>
            <w:tcW w:w="9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7"/>
              </w:rPr>
              <w:t>Defaulted</w:t>
            </w:r>
          </w:p>
        </w:tc>
        <w:tc>
          <w:tcPr>
            <w:tcW w:w="100" w:type="dxa"/>
            <w:vAlign w:val="bottom"/>
          </w:tcPr>
          <w:p>
            <w:pPr>
              <w:spacing w:after="0"/>
              <w:rPr>
                <w:sz w:val="10"/>
                <w:szCs w:val="10"/>
                <w:color w:val="auto"/>
              </w:rPr>
            </w:pPr>
          </w:p>
        </w:tc>
        <w:tc>
          <w:tcPr>
            <w:tcW w:w="13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38"/>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6"/>
              </w:rPr>
              <w:t>Policies in</w:t>
            </w:r>
          </w:p>
        </w:tc>
        <w:tc>
          <w:tcPr>
            <w:tcW w:w="14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3"/>
              </w:rPr>
              <w:t>Policies in</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6"/>
              </w:rPr>
              <w:t>Reserves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RIF</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18"/>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7"/>
                <w:szCs w:val="17"/>
                <w:color w:val="auto"/>
              </w:rPr>
              <w:t>6,383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38,412</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448,039</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0"/>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87,025</w:t>
            </w:r>
          </w:p>
        </w:tc>
        <w:tc>
          <w:tcPr>
            <w:tcW w:w="146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369,711</w:t>
            </w:r>
          </w:p>
        </w:tc>
        <w:tc>
          <w:tcPr>
            <w:tcW w:w="14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8"/>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7"/>
                <w:szCs w:val="17"/>
                <w:color w:val="auto"/>
              </w:rPr>
              <w:t>1,989</w:t>
            </w:r>
          </w:p>
        </w:tc>
        <w:tc>
          <w:tcPr>
            <w:tcW w:w="1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77,369</w:t>
            </w:r>
          </w:p>
        </w:tc>
        <w:tc>
          <w:tcPr>
            <w:tcW w:w="1460" w:type="dxa"/>
            <w:vAlign w:val="bottom"/>
            <w:gridSpan w:val="2"/>
          </w:tcPr>
          <w:p>
            <w:pPr>
              <w:jc w:val="right"/>
              <w:ind w:right="146"/>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126,317</w:t>
            </w:r>
          </w:p>
        </w:tc>
        <w:tc>
          <w:tcPr>
            <w:tcW w:w="1440" w:type="dxa"/>
            <w:vAlign w:val="bottom"/>
            <w:gridSpan w:val="2"/>
          </w:tcPr>
          <w:p>
            <w:pPr>
              <w:jc w:val="right"/>
              <w:ind w:right="131"/>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6,924</w:t>
            </w:r>
          </w:p>
        </w:tc>
        <w:tc>
          <w:tcPr>
            <w:tcW w:w="14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3"/>
        </w:trPr>
        <w:tc>
          <w:tcPr>
            <w:tcW w:w="3440" w:type="dxa"/>
            <w:vAlign w:val="bottom"/>
            <w:gridSpan w:val="3"/>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(1)</w:t>
            </w:r>
          </w:p>
        </w:tc>
        <w:tc>
          <w:tcPr>
            <w:tcW w:w="1080" w:type="dxa"/>
            <w:vAlign w:val="bottom"/>
          </w:tcPr>
          <w:p>
            <w:pPr>
              <w:jc w:val="right"/>
              <w:spacing w:after="0"/>
              <w:rPr>
                <w:sz w:val="20"/>
                <w:szCs w:val="20"/>
                <w:color w:val="auto"/>
              </w:rPr>
            </w:pPr>
            <w:r>
              <w:rPr>
                <w:rFonts w:ascii="Arial" w:cs="Arial" w:eastAsia="Arial" w:hAnsi="Arial"/>
                <w:sz w:val="17"/>
                <w:szCs w:val="17"/>
                <w:color w:val="auto"/>
              </w:rPr>
              <w:t>13,391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208,882</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950,991</w:t>
            </w:r>
          </w:p>
        </w:tc>
        <w:tc>
          <w:tcPr>
            <w:tcW w:w="1440" w:type="dxa"/>
            <w:vAlign w:val="bottom"/>
            <w:gridSpan w:val="2"/>
          </w:tcPr>
          <w:p>
            <w:pPr>
              <w:jc w:val="right"/>
              <w:ind w:right="131"/>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4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color w:val="auto"/>
              </w:rPr>
              <w:t>IBNR</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15,666</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LAE</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2,069</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(1)</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226,617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300" w:hanging="307"/>
        <w:spacing w:after="0" w:line="279" w:lineRule="auto"/>
        <w:tabs>
          <w:tab w:leader="none" w:pos="6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as well as title insurance reserves of $14.7 million, as of September 30, 2023.</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September 30, 2022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Number of</w:t>
            </w:r>
          </w:p>
        </w:tc>
        <w:tc>
          <w:tcPr>
            <w:tcW w:w="14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4"/>
              </w:rPr>
              <w:t>Percentage of</w:t>
            </w:r>
          </w:p>
        </w:tc>
        <w:tc>
          <w:tcPr>
            <w:tcW w:w="160" w:type="dxa"/>
            <w:vAlign w:val="bottom"/>
          </w:tcPr>
          <w:p>
            <w:pPr>
              <w:spacing w:after="0"/>
              <w:rPr>
                <w:sz w:val="10"/>
                <w:szCs w:val="10"/>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0"/>
                <w:szCs w:val="10"/>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0"/>
                <w:szCs w:val="10"/>
                <w:color w:val="auto"/>
              </w:rPr>
            </w:pPr>
          </w:p>
        </w:tc>
        <w:tc>
          <w:tcPr>
            <w:tcW w:w="9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7"/>
              </w:rPr>
              <w:t>Defaulted</w:t>
            </w:r>
          </w:p>
        </w:tc>
        <w:tc>
          <w:tcPr>
            <w:tcW w:w="100" w:type="dxa"/>
            <w:vAlign w:val="bottom"/>
          </w:tcPr>
          <w:p>
            <w:pPr>
              <w:spacing w:after="0"/>
              <w:rPr>
                <w:sz w:val="10"/>
                <w:szCs w:val="10"/>
                <w:color w:val="auto"/>
              </w:rPr>
            </w:pPr>
          </w:p>
        </w:tc>
        <w:tc>
          <w:tcPr>
            <w:tcW w:w="13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38"/>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6"/>
              </w:rPr>
              <w:t>Policies in</w:t>
            </w:r>
          </w:p>
        </w:tc>
        <w:tc>
          <w:tcPr>
            <w:tcW w:w="14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3"/>
              </w:rPr>
              <w:t>Policies in</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6"/>
              </w:rPr>
              <w:t>Reserves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RIF</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18"/>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7"/>
                <w:szCs w:val="17"/>
                <w:color w:val="auto"/>
              </w:rPr>
              <w:t>4,971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22,279</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313,531</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0"/>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55,431</w:t>
            </w:r>
          </w:p>
        </w:tc>
        <w:tc>
          <w:tcPr>
            <w:tcW w:w="146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292,644</w:t>
            </w:r>
          </w:p>
        </w:tc>
        <w:tc>
          <w:tcPr>
            <w:tcW w:w="14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7"/>
                <w:szCs w:val="17"/>
                <w:color w:val="auto"/>
              </w:rPr>
              <w:t>2,923</w:t>
            </w:r>
          </w:p>
        </w:tc>
        <w:tc>
          <w:tcPr>
            <w:tcW w:w="1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114,250</w:t>
            </w:r>
          </w:p>
        </w:tc>
        <w:tc>
          <w:tcPr>
            <w:tcW w:w="1460" w:type="dxa"/>
            <w:vAlign w:val="bottom"/>
            <w:gridSpan w:val="2"/>
          </w:tcPr>
          <w:p>
            <w:pPr>
              <w:jc w:val="right"/>
              <w:ind w:right="146"/>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174,589</w:t>
            </w:r>
          </w:p>
        </w:tc>
        <w:tc>
          <w:tcPr>
            <w:tcW w:w="1440" w:type="dxa"/>
            <w:vAlign w:val="bottom"/>
            <w:gridSpan w:val="2"/>
          </w:tcPr>
          <w:p>
            <w:pPr>
              <w:jc w:val="right"/>
              <w:ind w:right="131"/>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3,879</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4,611</w:t>
            </w:r>
          </w:p>
        </w:tc>
        <w:tc>
          <w:tcPr>
            <w:tcW w:w="14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3"/>
        </w:trPr>
        <w:tc>
          <w:tcPr>
            <w:tcW w:w="3440" w:type="dxa"/>
            <w:vAlign w:val="bottom"/>
            <w:gridSpan w:val="3"/>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(2)</w:t>
            </w:r>
          </w:p>
        </w:tc>
        <w:tc>
          <w:tcPr>
            <w:tcW w:w="1080" w:type="dxa"/>
            <w:vAlign w:val="bottom"/>
          </w:tcPr>
          <w:p>
            <w:pPr>
              <w:jc w:val="right"/>
              <w:spacing w:after="0"/>
              <w:rPr>
                <w:sz w:val="20"/>
                <w:szCs w:val="20"/>
                <w:color w:val="auto"/>
              </w:rPr>
            </w:pPr>
            <w:r>
              <w:rPr>
                <w:rFonts w:ascii="Arial" w:cs="Arial" w:eastAsia="Arial" w:hAnsi="Arial"/>
                <w:sz w:val="17"/>
                <w:szCs w:val="17"/>
                <w:color w:val="auto"/>
              </w:rPr>
              <w:t>12,435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195,839</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785,375</w:t>
            </w:r>
          </w:p>
        </w:tc>
        <w:tc>
          <w:tcPr>
            <w:tcW w:w="1440" w:type="dxa"/>
            <w:vAlign w:val="bottom"/>
            <w:gridSpan w:val="2"/>
          </w:tcPr>
          <w:p>
            <w:pPr>
              <w:jc w:val="right"/>
              <w:ind w:right="131"/>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4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color w:val="auto"/>
              </w:rPr>
              <w:t>IBNR</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14,688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LAE</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1,865</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(2)</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212,392</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1000" w:hanging="307"/>
        <w:spacing w:after="0" w:line="279" w:lineRule="auto"/>
        <w:tabs>
          <w:tab w:leader="none" w:pos="6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as of September 30, 2022.</w:t>
      </w:r>
    </w:p>
    <w:p>
      <w:pPr>
        <w:spacing w:after="0" w:line="190"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During the three months ended September 30, 2023, the provision for losses and LAE was $10.8 million, comprised of $37.5 million of current year losses partially offset by $26.7 million of favorable prior years’ loss development. During the three months ended September 30, 2022, the provision for losses and LAE was a benefit of $4.3 million, comprised of $15.9 million of favorable prior years’ loss development partially offset by a provision of $20.1 million for current year losses. In both periods, the prior years’ loss development was the result of a re-estimation of amounts ultimately to be paid on prior year defaults in the default inventory, including the impact of previously identified defaults that cured.</w:t>
      </w:r>
    </w:p>
    <w:p>
      <w:pPr>
        <w:spacing w:after="0" w:line="20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During the nine months ended September 30, 2023, the provision for losses and LAE was $11.9 million, comprised of $101.5 million of current year losses partially offset by $89.6 million of favorable prior years’ loss development. During the nine months ended September 30, 2022, the provision for losses and LAE was a benefit of $178.8 million, comprised of $242.0 million of favorable prior years’ loss development partially offset by a provision of $63.2 million for current year losses. In both periods, the prior years’ loss development was the result of a re-estimation of amounts ultimately to be paid on prior year defaults in the default inventory, including the impact of previously identified defaults that cured.</w:t>
      </w:r>
    </w:p>
    <w:p>
      <w:pPr>
        <w:spacing w:after="0" w:line="209"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The following table includes additional information about our claims paid and claim severity for our U.S. mortgage insurance portfolio for the periods indicated: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5"/>
                <w:szCs w:val="15"/>
                <w:color w:val="auto"/>
              </w:rPr>
            </w:pPr>
          </w:p>
        </w:tc>
        <w:tc>
          <w:tcPr>
            <w:tcW w:w="2800" w:type="dxa"/>
            <w:vAlign w:val="bottom"/>
            <w:gridSpan w:val="4"/>
          </w:tcPr>
          <w:p>
            <w:pPr>
              <w:jc w:val="right"/>
              <w:ind w:right="45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Number of claims paid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8"/>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Amount of claims paid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41"/>
              <w:spacing w:after="0"/>
              <w:rPr>
                <w:sz w:val="20"/>
                <w:szCs w:val="20"/>
                <w:color w:val="auto"/>
              </w:rPr>
            </w:pPr>
            <w:r>
              <w:rPr>
                <w:rFonts w:ascii="Arial" w:cs="Arial" w:eastAsia="Arial" w:hAnsi="Arial"/>
                <w:sz w:val="17"/>
                <w:szCs w:val="17"/>
                <w:color w:val="auto"/>
              </w:rPr>
              <w:t>2,956</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1,261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41"/>
              <w:spacing w:after="0"/>
              <w:rPr>
                <w:sz w:val="20"/>
                <w:szCs w:val="20"/>
                <w:color w:val="auto"/>
              </w:rPr>
            </w:pPr>
            <w:r>
              <w:rPr>
                <w:rFonts w:ascii="Arial" w:cs="Arial" w:eastAsia="Arial" w:hAnsi="Arial"/>
                <w:sz w:val="17"/>
                <w:szCs w:val="17"/>
                <w:color w:val="auto"/>
              </w:rPr>
              <w:t>6,806</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3,224</w:t>
            </w:r>
          </w:p>
        </w:tc>
        <w:tc>
          <w:tcPr>
            <w:tcW w:w="0" w:type="dxa"/>
            <w:vAlign w:val="bottom"/>
          </w:tcPr>
          <w:p>
            <w:pPr>
              <w:spacing w:after="0"/>
              <w:rPr>
                <w:sz w:val="1"/>
                <w:szCs w:val="1"/>
                <w:color w:val="auto"/>
              </w:rPr>
            </w:pPr>
          </w:p>
        </w:tc>
      </w:tr>
      <w:tr>
        <w:trPr>
          <w:trHeight w:val="22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Claim severity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Following are the components of our other underwriting and operating expenses for the periods indicated: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8"/>
              </w:rPr>
              <w:t>Nine Months Ended September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31,368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75,097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0" w:type="dxa"/>
            <w:vAlign w:val="bottom"/>
          </w:tcPr>
          <w:p>
            <w:pPr>
              <w:spacing w:after="0"/>
              <w:rPr>
                <w:sz w:val="1"/>
                <w:szCs w:val="1"/>
                <w:color w:val="auto"/>
              </w:rPr>
            </w:pPr>
          </w:p>
        </w:tc>
      </w:tr>
      <w:tr>
        <w:trPr>
          <w:trHeight w:val="218"/>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Premium taxes</w:t>
            </w:r>
          </w:p>
        </w:tc>
        <w:tc>
          <w:tcPr>
            <w:tcW w:w="2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7"/>
                <w:szCs w:val="17"/>
                <w:color w:val="auto"/>
              </w:rPr>
              <w:t>4,803</w:t>
            </w:r>
          </w:p>
        </w:tc>
        <w:tc>
          <w:tcPr>
            <w:tcW w:w="100" w:type="dxa"/>
            <w:vAlign w:val="bottom"/>
          </w:tcPr>
          <w:p>
            <w:pPr>
              <w:spacing w:after="0"/>
              <w:rPr>
                <w:sz w:val="18"/>
                <w:szCs w:val="18"/>
                <w:color w:val="auto"/>
              </w:rPr>
            </w:pPr>
          </w:p>
        </w:tc>
        <w:tc>
          <w:tcPr>
            <w:tcW w:w="800" w:type="dxa"/>
            <w:vAlign w:val="bottom"/>
          </w:tcPr>
          <w:p>
            <w:pPr>
              <w:jc w:val="right"/>
              <w:ind w:right="118"/>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18"/>
                <w:szCs w:val="18"/>
                <w:color w:val="auto"/>
              </w:rPr>
            </w:pPr>
          </w:p>
        </w:tc>
        <w:tc>
          <w:tcPr>
            <w:tcW w:w="820" w:type="dxa"/>
            <w:vAlign w:val="bottom"/>
          </w:tcPr>
          <w:p>
            <w:pPr>
              <w:jc w:val="right"/>
              <w:ind w:right="138"/>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14,194</w:t>
            </w:r>
          </w:p>
        </w:tc>
        <w:tc>
          <w:tcPr>
            <w:tcW w:w="980" w:type="dxa"/>
            <w:vAlign w:val="bottom"/>
            <w:gridSpan w:val="3"/>
          </w:tcPr>
          <w:p>
            <w:pPr>
              <w:jc w:val="right"/>
              <w:ind w:right="12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13,193</w:t>
            </w:r>
          </w:p>
        </w:tc>
        <w:tc>
          <w:tcPr>
            <w:tcW w:w="120" w:type="dxa"/>
            <w:vAlign w:val="bottom"/>
          </w:tcPr>
          <w:p>
            <w:pPr>
              <w:spacing w:after="0"/>
              <w:rPr>
                <w:sz w:val="18"/>
                <w:szCs w:val="18"/>
                <w:color w:val="auto"/>
              </w:rPr>
            </w:pPr>
          </w:p>
        </w:tc>
        <w:tc>
          <w:tcPr>
            <w:tcW w:w="800" w:type="dxa"/>
            <w:vAlign w:val="bottom"/>
          </w:tcPr>
          <w:p>
            <w:pPr>
              <w:jc w:val="right"/>
              <w:ind w:right="11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18,643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12,487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36,548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61"/>
        </w:trPr>
        <w:tc>
          <w:tcPr>
            <w:tcW w:w="3280" w:type="dxa"/>
            <w:vAlign w:val="bottom"/>
            <w:gridSpan w:val="2"/>
          </w:tcPr>
          <w:p>
            <w:pPr>
              <w:ind w:left="20"/>
              <w:spacing w:after="0" w:line="161" w:lineRule="exact"/>
              <w:rPr>
                <w:sz w:val="20"/>
                <w:szCs w:val="20"/>
                <w:color w:val="auto"/>
              </w:rPr>
            </w:pPr>
            <w:r>
              <w:rPr>
                <w:rFonts w:ascii="Arial" w:cs="Arial" w:eastAsia="Arial" w:hAnsi="Arial"/>
                <w:sz w:val="17"/>
                <w:szCs w:val="17"/>
                <w:color w:val="auto"/>
              </w:rPr>
              <w:t>Total other underwriting and operating</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720" w:type="dxa"/>
            <w:vAlign w:val="bottom"/>
            <w:vMerge w:val="restart"/>
          </w:tcPr>
          <w:p>
            <w:pPr>
              <w:jc w:val="right"/>
              <w:ind w:right="1"/>
              <w:spacing w:after="0"/>
              <w:rPr>
                <w:sz w:val="20"/>
                <w:szCs w:val="20"/>
                <w:color w:val="auto"/>
              </w:rPr>
            </w:pPr>
            <w:r>
              <w:rPr>
                <w:rFonts w:ascii="Arial" w:cs="Arial" w:eastAsia="Arial" w:hAnsi="Arial"/>
                <w:sz w:val="17"/>
                <w:szCs w:val="17"/>
                <w:color w:val="auto"/>
              </w:rPr>
              <w:t>54,814</w:t>
            </w: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42,144</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3"/>
                <w:szCs w:val="13"/>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145,183</w:t>
            </w:r>
          </w:p>
        </w:tc>
        <w:tc>
          <w:tcPr>
            <w:tcW w:w="980" w:type="dxa"/>
            <w:vAlign w:val="bottom"/>
            <w:gridSpan w:val="3"/>
            <w:vMerge w:val="restart"/>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3"/>
                <w:szCs w:val="13"/>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124,838</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193"/>
        </w:trPr>
        <w:tc>
          <w:tcPr>
            <w:tcW w:w="3280" w:type="dxa"/>
            <w:vAlign w:val="bottom"/>
            <w:gridSpan w:val="2"/>
          </w:tcPr>
          <w:p>
            <w:pPr>
              <w:ind w:left="180"/>
              <w:spacing w:after="0" w:line="193" w:lineRule="exact"/>
              <w:rPr>
                <w:sz w:val="20"/>
                <w:szCs w:val="20"/>
                <w:color w:val="auto"/>
              </w:rPr>
            </w:pPr>
            <w:r>
              <w:rPr>
                <w:rFonts w:ascii="Arial" w:cs="Arial" w:eastAsia="Arial" w:hAnsi="Arial"/>
                <w:sz w:val="17"/>
                <w:szCs w:val="17"/>
                <w:color w:val="auto"/>
              </w:rPr>
              <w:t>expenses</w:t>
            </w:r>
          </w:p>
        </w:tc>
        <w:tc>
          <w:tcPr>
            <w:tcW w:w="2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Number of employees at end of period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3"/>
          </w:tcPr>
          <w:p>
            <w:pPr>
              <w:jc w:val="right"/>
              <w:ind w:right="123"/>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7"/>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825"/>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99"/>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significant factors contributing to the change in other underwriting and operating expenses are:</w:t>
      </w:r>
    </w:p>
    <w:p>
      <w:pPr>
        <w:spacing w:after="0" w:line="217" w:lineRule="exact"/>
        <w:rPr>
          <w:sz w:val="20"/>
          <w:szCs w:val="20"/>
          <w:color w:val="auto"/>
        </w:rPr>
      </w:pPr>
    </w:p>
    <w:p>
      <w:pPr>
        <w:ind w:left="620" w:right="300" w:hanging="307"/>
        <w:spacing w:after="0" w:line="318" w:lineRule="auto"/>
        <w:tabs>
          <w:tab w:leader="none" w:pos="616"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Compensation and benefits increased in the three and nine months ended September 30, 2023 as compared to the three and nine months ended September 30, 2022 primarily due to an increase in the number of employees resulting from the acquisition of the title operations, as well as increased stock compensation expense. Compensation and benefits includes salaries, wages and bonus, stock compensation expense, benefits and payroll taxes.</w:t>
      </w:r>
    </w:p>
    <w:p>
      <w:pPr>
        <w:spacing w:after="0" w:line="165" w:lineRule="exact"/>
        <w:rPr>
          <w:rFonts w:ascii="Arial" w:cs="Arial" w:eastAsia="Arial" w:hAnsi="Arial"/>
          <w:sz w:val="15"/>
          <w:szCs w:val="15"/>
          <w:color w:val="auto"/>
        </w:rPr>
      </w:pPr>
    </w:p>
    <w:p>
      <w:pPr>
        <w:ind w:left="620" w:right="68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Premium taxes increased primarily due to an increase in premiums written, including title insurance premiums written in the three months ended September 30, 2023.</w:t>
      </w:r>
    </w:p>
    <w:p>
      <w:pPr>
        <w:spacing w:after="0" w:line="190" w:lineRule="exact"/>
        <w:rPr>
          <w:rFonts w:ascii="Arial" w:cs="Arial" w:eastAsia="Arial" w:hAnsi="Arial"/>
          <w:sz w:val="17"/>
          <w:szCs w:val="17"/>
          <w:color w:val="auto"/>
        </w:rPr>
      </w:pPr>
    </w:p>
    <w:p>
      <w:pPr>
        <w:ind w:left="620" w:right="40" w:hanging="307"/>
        <w:spacing w:after="0" w:line="25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expenses increased primarily as a result of the title and settlement services direct cost incurred in the three months ended September 30, 2023, and increases in professional fees and software related expenses partially offset by an increase in ceding commission earned under the QSR Agreement. In the three and nine months ended September 30, 2023, other expenses included approximately $0.2 million and $4.3 million, respectively, of transaction costs associated with the Company's title business acquisition. Other expenses include professional fees, travel, marketing, hardware, software, rent, depreciation and amortization and other facilities expenses.</w:t>
      </w:r>
    </w:p>
    <w:p>
      <w:pPr>
        <w:spacing w:after="0" w:line="20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Interest Expense</w:t>
      </w:r>
    </w:p>
    <w:p>
      <w:pPr>
        <w:spacing w:after="0" w:line="243"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For the three and nine months ended September 30, 2023, we incurred interest expense of $7.9 million and $22.2 million, respectively, as compared to $4.5 million and $9.6 million for the three and nine months ended September 30, 2022, respectively. The increases were primarily due to an increase in the weighted average interest rate for borrowings outstanding. For the three and nine months ended September 30, 2023, the borrowings under the Credit Facility had a weighted average interest rate of 7.14% and 6.71%, respectively, as compared to 3.94% and 2.75% for the three and nine months ended September 30, 2022, respectively.</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217"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$31.5 million and $32.9 million for the three months ended September 30, 2023 and 2022, respectively, and $99.0 million and $131.2 million for the nine months ended September 30, 2023 and 2022, respectively. The provision for income taxes for the nine months ended September 30, 2023 was calculated using an estimated annual effective tax rate of 15.2% as compared to an estimated annual effective tax rate of 15.8% for the nine months ended September 30, 2022. For the nine months ended September 30, 2023 income tax expense includes $2.0 million of discrete tax benefit associated with realized and unrealized losses recognized during the period partially offset by excess tax deficits associated with the vesting of common shares and common share units. For the nine months ended September 30, 2023, income tax expense also includes $5.3 million of net expense associated with prior year tax returns. For the nine months ended September 30, 2022, income tax expense includes $9.6 million of discrete tax expense associated with realized and unrealized gains and losses. The tax effects associated with the realized and unrealized gains and losses, vesting of common shares and common share units, and prior year tax return items are treated as discrete items in the reporting period in which they occur and are not considered in determining the annual effective tax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sources of funds consist primarily of:</w:t>
      </w:r>
    </w:p>
    <w:p>
      <w:pPr>
        <w:spacing w:after="0" w:line="217"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investment portfolio and interest income on the portfolio;</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premiums that we will receive from our existing IIF as well as policies that we write in the future;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borrowings under our Credit Facility;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issuance of capital shares.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obligations consist primarily of:</w:t>
      </w:r>
    </w:p>
    <w:p>
      <w:pPr>
        <w:spacing w:after="0" w:line="243"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claim payments under our policies;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payments and repayment of borrowings under our Credit Facility;</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other costs and operating expenses of our business;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repurchase of common shares under the share repurchase plan approved by our Board of Directors;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payment of dividends on our common shares.</w:t>
      </w:r>
    </w:p>
    <w:p>
      <w:pPr>
        <w:spacing w:after="0" w:line="217" w:lineRule="exact"/>
        <w:rPr>
          <w:sz w:val="20"/>
          <w:szCs w:val="20"/>
          <w:color w:val="auto"/>
        </w:rPr>
      </w:pPr>
    </w:p>
    <w:p>
      <w:pPr>
        <w:ind w:right="260" w:firstLine="619"/>
        <w:spacing w:after="0" w:line="258" w:lineRule="auto"/>
        <w:rPr>
          <w:sz w:val="20"/>
          <w:szCs w:val="20"/>
          <w:color w:val="auto"/>
        </w:rPr>
      </w:pPr>
      <w:r>
        <w:rPr>
          <w:rFonts w:ascii="Arial" w:cs="Arial" w:eastAsia="Arial" w:hAnsi="Arial"/>
          <w:sz w:val="17"/>
          <w:szCs w:val="17"/>
          <w:color w:val="auto"/>
        </w:rPr>
        <w:t>As of September 30, 2023, we had substantial liquidity with cash of $96.8 million, short-term investments of $755.9 million and fixed maturity investments of $4.2 billion. We also had $400 million available capacity under the revolving credit component of our Credit Facility, with $425 million of borrowings outstanding under our Credit Facility. Borrowings under the Credit Facility contractually mature on December 10, 2026. Holding company net cash and investments available for sale totaled $648.7 million at September 30, 2023.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2023.</w:t>
      </w:r>
    </w:p>
    <w:p>
      <w:pPr>
        <w:spacing w:after="0" w:line="209" w:lineRule="exact"/>
        <w:rPr>
          <w:sz w:val="20"/>
          <w:szCs w:val="20"/>
          <w:color w:val="auto"/>
        </w:rPr>
      </w:pPr>
    </w:p>
    <w:p>
      <w:pPr>
        <w:ind w:right="780" w:firstLine="619"/>
        <w:spacing w:after="0" w:line="279" w:lineRule="auto"/>
        <w:rPr>
          <w:sz w:val="20"/>
          <w:szCs w:val="20"/>
          <w:color w:val="auto"/>
        </w:rPr>
      </w:pPr>
      <w:r>
        <w:rPr>
          <w:rFonts w:ascii="Arial" w:cs="Arial" w:eastAsia="Arial" w:hAnsi="Arial"/>
          <w:sz w:val="17"/>
          <w:szCs w:val="17"/>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51" w:lineRule="exact"/>
        <w:rPr>
          <w:sz w:val="20"/>
          <w:szCs w:val="20"/>
          <w:color w:val="auto"/>
        </w:rPr>
      </w:pPr>
    </w:p>
    <w:p>
      <w:pPr>
        <w:ind w:firstLine="619"/>
        <w:spacing w:after="0" w:line="259"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At the operating subsidiary level, liquidity could be impacted by any one of the following factors:</w:t>
      </w:r>
    </w:p>
    <w:p>
      <w:pPr>
        <w:spacing w:after="0" w:line="217"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significant decline in the value of our investments;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sell investment assets to provide cash to fund operating needs;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decline in expected revenues generated from operations;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in expected claim payments related to our IIF; or</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in operating expenses.</w:t>
      </w:r>
    </w:p>
    <w:p>
      <w:pPr>
        <w:spacing w:after="0" w:line="243" w:lineRule="exact"/>
        <w:rPr>
          <w:sz w:val="20"/>
          <w:szCs w:val="20"/>
          <w:color w:val="auto"/>
        </w:rPr>
      </w:pPr>
    </w:p>
    <w:p>
      <w:pPr>
        <w:ind w:right="240" w:firstLine="619"/>
        <w:spacing w:after="0" w:line="257" w:lineRule="auto"/>
        <w:rPr>
          <w:sz w:val="20"/>
          <w:szCs w:val="20"/>
          <w:color w:val="auto"/>
        </w:rPr>
      </w:pPr>
      <w:r>
        <w:rPr>
          <w:rFonts w:ascii="Arial" w:cs="Arial" w:eastAsia="Arial" w:hAnsi="Arial"/>
          <w:sz w:val="17"/>
          <w:szCs w:val="17"/>
          <w:color w:val="auto"/>
        </w:rPr>
        <w:t>Our U.S. mortgage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September 30, 2023, Essent Guaranty had unassigned surplus of approximately $284.6 million and Essent PA had unassigned surplus of approximately $13.3 million. As of September 30, 2023, Essent Guaranty and Essent PA could pay additional ordinary dividends in 2023 of $284.6 million and $5.3 million, respectively.</w:t>
      </w:r>
    </w:p>
    <w:p>
      <w:pPr>
        <w:spacing w:after="0" w:line="211"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2023, Essent Re had total equity of $1.7 billion. In connection with its insurance and reinsurance activities, Essent Re is required to maintain assets in trusts for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benefit of its contractual counterparties. See Note 3 to our condensed consolidated financial statements. At September 30, 2023, our insurance subsidiaries were in compliance with these rules, regulations and agreements.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Cash Flows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consolidated cash flows from operating, investing and financing activities: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4"/>
          </w:tcPr>
          <w:p>
            <w:pPr>
              <w:jc w:val="right"/>
              <w:ind w:right="69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547,548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416,456</w:t>
            </w:r>
          </w:p>
        </w:tc>
        <w:tc>
          <w:tcPr>
            <w:tcW w:w="0" w:type="dxa"/>
            <w:vAlign w:val="bottom"/>
          </w:tcPr>
          <w:p>
            <w:pPr>
              <w:spacing w:after="0"/>
              <w:rPr>
                <w:sz w:val="1"/>
                <w:szCs w:val="1"/>
                <w:color w:val="auto"/>
              </w:rPr>
            </w:pPr>
          </w:p>
        </w:tc>
      </w:tr>
      <w:tr>
        <w:trPr>
          <w:trHeight w:val="218"/>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(396,342)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(253,010)</w:t>
            </w:r>
          </w:p>
        </w:tc>
        <w:tc>
          <w:tcPr>
            <w:tcW w:w="0" w:type="dxa"/>
            <w:vAlign w:val="bottom"/>
          </w:tcPr>
          <w:p>
            <w:pPr>
              <w:spacing w:after="0"/>
              <w:rPr>
                <w:sz w:val="1"/>
                <w:szCs w:val="1"/>
                <w:color w:val="auto"/>
              </w:rPr>
            </w:pPr>
          </w:p>
        </w:tc>
      </w:tr>
      <w:tr>
        <w:trPr>
          <w:trHeight w:val="21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(165,470)</w:t>
            </w:r>
          </w:p>
        </w:tc>
        <w:tc>
          <w:tcPr>
            <w:tcW w:w="0" w:type="dxa"/>
            <w:vAlign w:val="bottom"/>
          </w:tcPr>
          <w:p>
            <w:pPr>
              <w:spacing w:after="0"/>
              <w:rPr>
                <w:sz w:val="1"/>
                <w:szCs w:val="1"/>
                <w:color w:val="auto"/>
              </w:rPr>
            </w:pPr>
          </w:p>
        </w:tc>
      </w:tr>
      <w:tr>
        <w:trPr>
          <w:trHeight w:val="213"/>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Net increase (decrease) in cash</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15,539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17"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Cash flow provided by operating activities totaled $547.5 million for the nine months ended September 30, 2023, as compared to $416.5 million for the nine months ended September 30, 2022. The increase in cash flow provided by operating activities was primarily due to an increase in prepayments, a component of other assets, in the nine months ended September 30, 2022 and increases in net premiums written and investment income partially offset by an increase in operating expenses paid in the nine months ended September 30, 2023.</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7"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Cash flow used in investing activities totaled $396.3 million for nine months ended September 30, 2023 compared to $253.0 million used in investing activities for the nine months ended September 30, 2022. In both periods, cash flow used in investing activities relates primarily to investing cash flows from operations. For the nine months ended September 30, 2023, cash used in investing activities also includes $86.8 million of net cash paid for the title business acquisition.</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17"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Cash flow used in financing activities totaled $135.7 million and $165.5 million for the nine months ended September 30, 2023 and 2022, respectively, primarily related to the quarterly cash dividends paid, repurchases of common stock under our share repurchase plans and treasury stock acquired from employees to satisfy tax withholding obligations.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Insurance Company Capital</w:t>
      </w:r>
    </w:p>
    <w:p>
      <w:pPr>
        <w:spacing w:after="0" w:line="217" w:lineRule="exact"/>
        <w:rPr>
          <w:sz w:val="20"/>
          <w:szCs w:val="20"/>
          <w:color w:val="auto"/>
        </w:rPr>
      </w:pPr>
    </w:p>
    <w:p>
      <w:pPr>
        <w:ind w:right="40" w:firstLine="619"/>
        <w:spacing w:after="0" w:line="275" w:lineRule="auto"/>
        <w:rPr>
          <w:sz w:val="20"/>
          <w:szCs w:val="20"/>
          <w:color w:val="auto"/>
        </w:rPr>
      </w:pPr>
      <w:r>
        <w:rPr>
          <w:rFonts w:ascii="Arial" w:cs="Arial" w:eastAsia="Arial" w:hAnsi="Arial"/>
          <w:sz w:val="16"/>
          <w:szCs w:val="16"/>
          <w:color w:val="auto"/>
        </w:rPr>
        <w:t>We compute a risk-to-capital ratio for our U.S. mortgage insurance companies on a separate company statutory basis, as well as for our combined mortgage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96" w:lineRule="exact"/>
        <w:rPr>
          <w:sz w:val="20"/>
          <w:szCs w:val="20"/>
          <w:color w:val="auto"/>
        </w:rPr>
      </w:pPr>
    </w:p>
    <w:p>
      <w:pPr>
        <w:jc w:val="both"/>
        <w:ind w:right="80" w:firstLine="619"/>
        <w:spacing w:after="0" w:line="266" w:lineRule="auto"/>
        <w:rPr>
          <w:sz w:val="20"/>
          <w:szCs w:val="20"/>
          <w:color w:val="auto"/>
        </w:rPr>
      </w:pPr>
      <w:r>
        <w:rPr>
          <w:rFonts w:ascii="Arial" w:cs="Arial" w:eastAsia="Arial" w:hAnsi="Arial"/>
          <w:sz w:val="17"/>
          <w:szCs w:val="17"/>
          <w:color w:val="auto"/>
        </w:rPr>
        <w:t>During the nine months ended September 30, 2023 and 2022, no capital contributions were made to our U.S. mortgage insurance subsidiaries and Essent Guaranty paid dividends to Essent US Holdings, Inc. of $260 million, respectively. During the nine months ended September 30, 2023, Essent US Holdings made a capital contribution of $6 million to its title insurance subsidiary.</w:t>
      </w:r>
    </w:p>
    <w:p>
      <w:pPr>
        <w:spacing w:after="0" w:line="188" w:lineRule="exact"/>
        <w:rPr>
          <w:sz w:val="20"/>
          <w:szCs w:val="20"/>
          <w:color w:val="auto"/>
        </w:rPr>
      </w:pPr>
    </w:p>
    <w:p>
      <w:pPr>
        <w:ind w:right="100" w:firstLine="172"/>
        <w:spacing w:after="0" w:line="246" w:lineRule="auto"/>
        <w:rPr>
          <w:sz w:val="20"/>
          <w:szCs w:val="20"/>
          <w:color w:val="auto"/>
        </w:rPr>
      </w:pPr>
      <w:r>
        <w:rPr>
          <w:rFonts w:ascii="Arial" w:cs="Arial" w:eastAsia="Arial" w:hAnsi="Arial"/>
          <w:sz w:val="17"/>
          <w:szCs w:val="17"/>
          <w:color w:val="auto"/>
        </w:rPr>
        <w:t>Essent Guaranty has entered into reinsurance agreements that provide excess of loss reinsurance coverage for new defaults on portfolios of mortgage insurance policies issued in 2017 through June 30, 2023. The aggregate excess of loss reinsurance coverages decrease over a ten-year period as the underlying covered mortgages amortize. Based on the level of delinquencies reported to us, the insurance-linked note transactions (the "ILNs") that Essent Guaranty has entered into prior to</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800"/>
        <w:spacing w:after="0" w:line="264" w:lineRule="auto"/>
        <w:rPr>
          <w:sz w:val="20"/>
          <w:szCs w:val="20"/>
          <w:color w:val="auto"/>
        </w:rPr>
      </w:pPr>
      <w:r>
        <w:rPr>
          <w:rFonts w:ascii="Arial" w:cs="Arial" w:eastAsia="Arial" w:hAnsi="Arial"/>
          <w:sz w:val="17"/>
          <w:szCs w:val="17"/>
          <w:color w:val="auto"/>
        </w:rPr>
        <w:t>March 31, 2020 became subject to a "trigger event" as of June 25, 2020. The aggregate excess of loss reinsurance coverage will not amortize during the continuation of a trigger event. Radnor Re 2020-1 was no longer subject to a trigger event as of July 25, 2022.</w:t>
      </w:r>
    </w:p>
    <w:p>
      <w:pPr>
        <w:spacing w:after="0" w:line="202"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color w:val="auto"/>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Essent Guaranty's QSR agreements as of September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QSR Agreement</w:t>
            </w:r>
          </w:p>
        </w:tc>
        <w:tc>
          <w:tcPr>
            <w:tcW w:w="4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Eligible Policy Period</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Ceding Percentage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Ceding Commission</w:t>
            </w:r>
          </w:p>
        </w:tc>
        <w:tc>
          <w:tcPr>
            <w:tcW w:w="16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Profit Commission</w:t>
            </w:r>
          </w:p>
        </w:tc>
      </w:tr>
      <w:tr>
        <w:trPr>
          <w:trHeight w:val="24"/>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2"/>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QSR-2019</w:t>
            </w:r>
          </w:p>
        </w:tc>
        <w:tc>
          <w:tcPr>
            <w:tcW w:w="45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September 1, 2019 - December 31, 2020</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63%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r>
      <w:tr>
        <w:trPr>
          <w:trHeight w:val="218"/>
        </w:trPr>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QSR-2022</w:t>
            </w:r>
          </w:p>
        </w:tc>
        <w:tc>
          <w:tcPr>
            <w:tcW w:w="45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January 1, 2022 - December 31, 2022</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62%</w:t>
            </w:r>
          </w:p>
        </w:tc>
        <w:tc>
          <w:tcPr>
            <w:tcW w:w="560" w:type="dxa"/>
            <w:vAlign w:val="bottom"/>
          </w:tcPr>
          <w:p>
            <w:pPr>
              <w:spacing w:after="0"/>
              <w:rPr>
                <w:sz w:val="18"/>
                <w:szCs w:val="18"/>
                <w:color w:val="auto"/>
              </w:rPr>
            </w:pPr>
          </w:p>
        </w:tc>
      </w:tr>
      <w:tr>
        <w:trPr>
          <w:trHeight w:val="220"/>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QSR-2023</w:t>
            </w:r>
          </w:p>
        </w:tc>
        <w:tc>
          <w:tcPr>
            <w:tcW w:w="45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January 1, 2023 - December 31, 2023</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58%</w:t>
            </w:r>
          </w:p>
        </w:tc>
        <w:tc>
          <w:tcPr>
            <w:tcW w:w="560" w:type="dxa"/>
            <w:vAlign w:val="bottom"/>
            <w:shd w:val="clear" w:color="auto" w:fill="CCEEFF"/>
          </w:tcPr>
          <w:p>
            <w:pPr>
              <w:spacing w:after="0"/>
              <w:rPr>
                <w:sz w:val="19"/>
                <w:szCs w:val="19"/>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380" w:hanging="377"/>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Under QSR-2019, Essent Guaranty cedes 40% of premiums on singles policies and 20% on all other policies.</w:t>
      </w:r>
    </w:p>
    <w:p>
      <w:pPr>
        <w:spacing w:after="0" w:line="7" w:lineRule="exact"/>
        <w:rPr>
          <w:rFonts w:ascii="Arial" w:cs="Arial" w:eastAsia="Arial" w:hAnsi="Arial"/>
          <w:sz w:val="17"/>
          <w:szCs w:val="17"/>
          <w:color w:val="auto"/>
        </w:rPr>
      </w:pPr>
    </w:p>
    <w:p>
      <w:pPr>
        <w:ind w:left="380" w:right="80" w:hanging="377"/>
        <w:spacing w:after="0" w:line="266" w:lineRule="auto"/>
        <w:tabs>
          <w:tab w:leader="none" w:pos="37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initial profit commission on QSR-2019 was up to 60%. Since Essent Guaranty did not exercise its option to terminate this QSR agreement on December 31, 2021, the maximum profit commission that Essent Guaranty could earn increased to 63% in 2022 and thereafter.</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combined risk-to-capital calculation for our U.S. mortgage insurance subsidiaries as of September 30, 2023 was as follows: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Combined statutory capital:</w:t>
      </w: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Policyholders’ surplus</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1,042,240</w:t>
            </w:r>
          </w:p>
        </w:tc>
        <w:tc>
          <w:tcPr>
            <w:tcW w:w="0" w:type="dxa"/>
            <w:vAlign w:val="bottom"/>
          </w:tcPr>
          <w:p>
            <w:pPr>
              <w:spacing w:after="0"/>
              <w:rPr>
                <w:sz w:val="1"/>
                <w:szCs w:val="1"/>
                <w:color w:val="auto"/>
              </w:rPr>
            </w:pPr>
          </w:p>
        </w:tc>
      </w:tr>
      <w:tr>
        <w:trPr>
          <w:trHeight w:val="218"/>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Contingency reserves</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2,267,283</w:t>
            </w:r>
          </w:p>
        </w:tc>
        <w:tc>
          <w:tcPr>
            <w:tcW w:w="0" w:type="dxa"/>
            <w:vAlign w:val="bottom"/>
          </w:tcPr>
          <w:p>
            <w:pPr>
              <w:spacing w:after="0"/>
              <w:rPr>
                <w:sz w:val="1"/>
                <w:szCs w:val="1"/>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statutory capital</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3,309,522</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6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jc w:val="right"/>
              <w:ind w:right="314"/>
              <w:spacing w:after="0" w:line="190"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34,203,678</w:t>
            </w:r>
          </w:p>
        </w:tc>
        <w:tc>
          <w:tcPr>
            <w:tcW w:w="0" w:type="dxa"/>
            <w:vAlign w:val="bottom"/>
          </w:tcPr>
          <w:p>
            <w:pPr>
              <w:spacing w:after="0"/>
              <w:rPr>
                <w:sz w:val="1"/>
                <w:szCs w:val="1"/>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risk-to-capital ratio</w:t>
            </w:r>
          </w:p>
        </w:tc>
        <w:tc>
          <w:tcPr>
            <w:tcW w:w="5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70" w:lineRule="exact"/>
        <w:rPr>
          <w:sz w:val="20"/>
          <w:szCs w:val="20"/>
          <w:color w:val="auto"/>
        </w:rPr>
      </w:pPr>
    </w:p>
    <w:p>
      <w:pPr>
        <w:ind w:right="140" w:firstLine="619"/>
        <w:spacing w:after="0" w:line="307" w:lineRule="auto"/>
        <w:rPr>
          <w:sz w:val="20"/>
          <w:szCs w:val="20"/>
          <w:color w:val="auto"/>
        </w:rPr>
      </w:pPr>
      <w:r>
        <w:rPr>
          <w:rFonts w:ascii="Arial" w:cs="Arial" w:eastAsia="Arial" w:hAnsi="Arial"/>
          <w:sz w:val="15"/>
          <w:szCs w:val="15"/>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nine months ended September 30, 2023 and 2022, Essent Re paid no dividends to Essent Group and Essent Group made no capital contributions to Essent Re. As of September 30, 2023, Essent Re had total stockholders’ equity of $1.7 billion and net risk in force of $21.7 billion.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Financial Strength Ratings</w:t>
      </w:r>
    </w:p>
    <w:p>
      <w:pPr>
        <w:spacing w:after="0" w:line="217" w:lineRule="exact"/>
        <w:rPr>
          <w:sz w:val="20"/>
          <w:szCs w:val="20"/>
          <w:color w:val="auto"/>
        </w:rPr>
      </w:pPr>
    </w:p>
    <w:p>
      <w:pPr>
        <w:ind w:right="500" w:firstLine="619"/>
        <w:spacing w:after="0" w:line="279"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A3 with a stable outlook by Moody’s Investors Service (“Moody's”), BBB+ with a stable outlook by S&amp;P and A (Excellent) with stable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outlook by A.M. Best. The insurer financial strength rating of Essent Re is BBB+ with a stable outlook by S&amp;P and A (Excellent) with stable outlook by A.M.</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Best.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Private Mortgage Insurer Eligibility Requirements</w:t>
      </w:r>
    </w:p>
    <w:p>
      <w:pPr>
        <w:spacing w:after="0" w:line="217"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2023, Essent Guaranty, our GSE-approved mortgage insurance company, was in compliance with PMIERs 2.0. As of September 30, 2023, Essent Guaranty's Available Assets were $3.32 billion or 174% of its Minimum Required Assets of $1.91 billion based on our interpretation of PMIERs 2.0.</w:t>
      </w:r>
    </w:p>
    <w:p>
      <w:pPr>
        <w:spacing w:after="0" w:line="198" w:lineRule="exact"/>
        <w:rPr>
          <w:sz w:val="20"/>
          <w:szCs w:val="20"/>
          <w:color w:val="auto"/>
        </w:rPr>
      </w:pPr>
    </w:p>
    <w:p>
      <w:pPr>
        <w:ind w:firstLine="619"/>
        <w:spacing w:after="0" w:line="271"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95" w:lineRule="exact"/>
        <w:rPr>
          <w:sz w:val="20"/>
          <w:szCs w:val="20"/>
          <w:color w:val="auto"/>
        </w:rPr>
      </w:pPr>
    </w:p>
    <w:p>
      <w:pPr>
        <w:ind w:right="80" w:firstLine="619"/>
        <w:spacing w:after="0" w:line="264" w:lineRule="auto"/>
        <w:rPr>
          <w:sz w:val="20"/>
          <w:szCs w:val="20"/>
          <w:color w:val="auto"/>
        </w:rPr>
      </w:pPr>
      <w:r>
        <w:rPr>
          <w:rFonts w:ascii="Arial" w:cs="Arial" w:eastAsia="Arial" w:hAnsi="Arial"/>
          <w:sz w:val="17"/>
          <w:szCs w:val="17"/>
          <w:color w:val="auto"/>
        </w:rPr>
        <w:t>FHFA and the GSEs announced that effective November 1, 2023, defaulted loans will be no longer eligible for COVID forbearance plans and will follow the GSEs standard forbearance plans going forward.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Stockholders’ Equity</w:t>
      </w:r>
    </w:p>
    <w:p>
      <w:pPr>
        <w:spacing w:after="0" w:line="217" w:lineRule="exact"/>
        <w:rPr>
          <w:sz w:val="20"/>
          <w:szCs w:val="20"/>
          <w:color w:val="auto"/>
        </w:rPr>
      </w:pPr>
    </w:p>
    <w:p>
      <w:pPr>
        <w:ind w:right="340" w:firstLine="619"/>
        <w:spacing w:after="0" w:line="266" w:lineRule="auto"/>
        <w:rPr>
          <w:sz w:val="20"/>
          <w:szCs w:val="20"/>
          <w:color w:val="auto"/>
        </w:rPr>
      </w:pPr>
      <w:r>
        <w:rPr>
          <w:rFonts w:ascii="Arial" w:cs="Arial" w:eastAsia="Arial" w:hAnsi="Arial"/>
          <w:sz w:val="17"/>
          <w:szCs w:val="17"/>
          <w:color w:val="auto"/>
        </w:rPr>
        <w:t>As of September 30, 2023, stockholders’ equity was $4.8 billion, compared to $4.5 billion as of December 31, 2022. Stockholders' equity increased primarily due to net income generated in 2023, partially offset by dividends paid and the repurchase of common shares under our share repurchase plan and an increase in accumulated other comprehensive loss related to an increase in our net unrealized investment losses.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Investments</w:t>
      </w:r>
    </w:p>
    <w:p>
      <w:pPr>
        <w:spacing w:after="0" w:line="217" w:lineRule="exact"/>
        <w:rPr>
          <w:sz w:val="20"/>
          <w:szCs w:val="20"/>
          <w:color w:val="auto"/>
        </w:rPr>
      </w:pPr>
    </w:p>
    <w:p>
      <w:pPr>
        <w:ind w:right="120" w:firstLine="619"/>
        <w:spacing w:after="0" w:line="290" w:lineRule="auto"/>
        <w:rPr>
          <w:sz w:val="20"/>
          <w:szCs w:val="20"/>
          <w:color w:val="auto"/>
        </w:rPr>
      </w:pPr>
      <w:r>
        <w:rPr>
          <w:rFonts w:ascii="Arial" w:cs="Arial" w:eastAsia="Arial" w:hAnsi="Arial"/>
          <w:sz w:val="16"/>
          <w:szCs w:val="16"/>
          <w:color w:val="auto"/>
        </w:rPr>
        <w:t>As of September 30, 2023, investments totaled $5.3 billion compared to $5.0 billion as of December 31, 2022. In addition, our total cash was $96.8 million as of September 30, 2023, compared to $81.2 million as of December 31, 2022. The increase in investments was primarily due to investing net cash flows from operations during the nine months ended September 30, 2023 and partially offset by a decrease in our net unrealized investment losses.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Investments Available for Sale by Asset Class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8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Class</w:t>
            </w:r>
          </w:p>
        </w:tc>
        <w:tc>
          <w:tcPr>
            <w:tcW w:w="280" w:type="dxa"/>
            <w:vAlign w:val="bottom"/>
          </w:tcPr>
          <w:p>
            <w:pPr>
              <w:spacing w:after="0"/>
              <w:rPr>
                <w:sz w:val="15"/>
                <w:szCs w:val="15"/>
                <w:color w:val="auto"/>
              </w:rPr>
            </w:pPr>
          </w:p>
        </w:tc>
        <w:tc>
          <w:tcPr>
            <w:tcW w:w="2020" w:type="dxa"/>
            <w:vAlign w:val="bottom"/>
            <w:gridSpan w:val="3"/>
          </w:tcPr>
          <w:p>
            <w:pPr>
              <w:ind w:left="840"/>
              <w:spacing w:after="0"/>
              <w:rPr>
                <w:sz w:val="20"/>
                <w:szCs w:val="20"/>
                <w:color w:val="auto"/>
              </w:rPr>
            </w:pPr>
            <w:r>
              <w:rPr>
                <w:rFonts w:ascii="Arial" w:cs="Arial" w:eastAsia="Arial" w:hAnsi="Arial"/>
                <w:sz w:val="14"/>
                <w:szCs w:val="14"/>
                <w:b w:val="1"/>
                <w:bCs w:val="1"/>
                <w:color w:val="auto"/>
                <w:w w:val="88"/>
              </w:rPr>
              <w:t>September 30, 2023</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4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6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w w:val="85"/>
              </w:rPr>
              <w:t>Percent</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gridSpan w:val="2"/>
          </w:tcPr>
          <w:p>
            <w:pPr>
              <w:spacing w:after="0"/>
              <w:rPr>
                <w:sz w:val="15"/>
                <w:szCs w:val="15"/>
                <w:color w:val="auto"/>
              </w:rPr>
            </w:pPr>
          </w:p>
        </w:tc>
        <w:tc>
          <w:tcPr>
            <w:tcW w:w="154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9"/>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879,185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11.7 %</w:t>
            </w:r>
          </w:p>
        </w:tc>
        <w:tc>
          <w:tcPr>
            <w:tcW w:w="0" w:type="dxa"/>
            <w:vAlign w:val="bottom"/>
          </w:tcPr>
          <w:p>
            <w:pPr>
              <w:spacing w:after="0"/>
              <w:rPr>
                <w:sz w:val="1"/>
                <w:szCs w:val="1"/>
                <w:color w:val="auto"/>
              </w:rPr>
            </w:pPr>
          </w:p>
        </w:tc>
      </w:tr>
      <w:tr>
        <w:trPr>
          <w:trHeight w:val="218"/>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U.S. agency securities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7,180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49,058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750,938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Municipal debt securities(1)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562,510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602,690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Corporate debt securities(2)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1,280,433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1,414,321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493,693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614,818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624,561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360,360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ind w:left="20"/>
              <w:spacing w:after="0"/>
              <w:rPr>
                <w:sz w:val="20"/>
                <w:szCs w:val="20"/>
                <w:color w:val="auto"/>
              </w:rPr>
            </w:pPr>
            <w:r>
              <w:rPr>
                <w:rFonts w:ascii="Arial" w:cs="Arial" w:eastAsia="Arial" w:hAnsi="Arial"/>
                <w:sz w:val="17"/>
                <w:szCs w:val="17"/>
                <w:b w:val="1"/>
                <w:bCs w:val="1"/>
                <w:color w:val="auto"/>
              </w:rPr>
              <w:t>Total Investments Available for Sale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4,997,688</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4,741,625</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78"/>
        </w:trPr>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40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(1) The following table summarizes municipal debt securities as of :</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9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Special revenue bonds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81.1 %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4080" w:type="dxa"/>
            <w:vAlign w:val="bottom"/>
            <w:gridSpan w:val="3"/>
          </w:tcPr>
          <w:p>
            <w:pPr>
              <w:ind w:left="20"/>
              <w:spacing w:after="0"/>
              <w:rPr>
                <w:sz w:val="20"/>
                <w:szCs w:val="20"/>
                <w:color w:val="auto"/>
              </w:rPr>
            </w:pPr>
            <w:r>
              <w:rPr>
                <w:rFonts w:ascii="Arial" w:cs="Arial" w:eastAsia="Arial" w:hAnsi="Arial"/>
                <w:sz w:val="17"/>
                <w:szCs w:val="17"/>
                <w:color w:val="auto"/>
              </w:rPr>
              <w:t>General obligation bonds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20.9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Tax allocation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4080" w:type="dxa"/>
            <w:vAlign w:val="bottom"/>
            <w:gridSpan w:val="3"/>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100.0 %</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40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(2) The following table summarizes corporate debt securities as of :</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9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Financial</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43.1 %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4080" w:type="dxa"/>
            <w:vAlign w:val="bottom"/>
            <w:gridSpan w:val="3"/>
          </w:tcPr>
          <w:p>
            <w:pPr>
              <w:ind w:left="20"/>
              <w:spacing w:after="0"/>
              <w:rPr>
                <w:sz w:val="20"/>
                <w:szCs w:val="20"/>
                <w:color w:val="auto"/>
              </w:rPr>
            </w:pPr>
            <w:r>
              <w:rPr>
                <w:rFonts w:ascii="Arial" w:cs="Arial" w:eastAsia="Arial" w:hAnsi="Arial"/>
                <w:sz w:val="17"/>
                <w:szCs w:val="17"/>
                <w:color w:val="auto"/>
              </w:rPr>
              <w:t>Consumer, non-cyclical</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Consumer, cyclical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4080" w:type="dxa"/>
            <w:vAlign w:val="bottom"/>
            <w:gridSpan w:val="3"/>
          </w:tcPr>
          <w:p>
            <w:pPr>
              <w:ind w:left="20"/>
              <w:spacing w:after="0"/>
              <w:rPr>
                <w:sz w:val="20"/>
                <w:szCs w:val="20"/>
                <w:color w:val="auto"/>
              </w:rPr>
            </w:pPr>
            <w:r>
              <w:rPr>
                <w:rFonts w:ascii="Arial" w:cs="Arial" w:eastAsia="Arial" w:hAnsi="Arial"/>
                <w:sz w:val="17"/>
                <w:szCs w:val="17"/>
                <w:color w:val="auto"/>
              </w:rPr>
              <w:t>Industrial</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Utilities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4080" w:type="dxa"/>
            <w:vAlign w:val="bottom"/>
            <w:gridSpan w:val="3"/>
          </w:tcPr>
          <w:p>
            <w:pPr>
              <w:ind w:left="20"/>
              <w:spacing w:after="0"/>
              <w:rPr>
                <w:sz w:val="20"/>
                <w:szCs w:val="20"/>
                <w:color w:val="auto"/>
              </w:rPr>
            </w:pPr>
            <w:r>
              <w:rPr>
                <w:rFonts w:ascii="Arial" w:cs="Arial" w:eastAsia="Arial" w:hAnsi="Arial"/>
                <w:sz w:val="17"/>
                <w:szCs w:val="17"/>
                <w:color w:val="auto"/>
              </w:rPr>
              <w:t>Communications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4080" w:type="dxa"/>
            <w:vAlign w:val="bottom"/>
            <w:gridSpan w:val="3"/>
          </w:tcPr>
          <w:p>
            <w:pPr>
              <w:ind w:left="20"/>
              <w:spacing w:after="0"/>
              <w:rPr>
                <w:sz w:val="20"/>
                <w:szCs w:val="20"/>
                <w:color w:val="auto"/>
              </w:rPr>
            </w:pPr>
            <w:r>
              <w:rPr>
                <w:rFonts w:ascii="Arial" w:cs="Arial" w:eastAsia="Arial" w:hAnsi="Arial"/>
                <w:sz w:val="17"/>
                <w:szCs w:val="17"/>
                <w:color w:val="auto"/>
              </w:rPr>
              <w:t>Energy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4080" w:type="dxa"/>
            <w:vAlign w:val="bottom"/>
            <w:gridSpan w:val="3"/>
          </w:tcPr>
          <w:p>
            <w:pPr>
              <w:ind w:left="20"/>
              <w:spacing w:after="0"/>
              <w:rPr>
                <w:sz w:val="20"/>
                <w:szCs w:val="20"/>
                <w:color w:val="auto"/>
              </w:rPr>
            </w:pPr>
            <w:r>
              <w:rPr>
                <w:rFonts w:ascii="Arial" w:cs="Arial" w:eastAsia="Arial" w:hAnsi="Arial"/>
                <w:sz w:val="17"/>
                <w:szCs w:val="17"/>
                <w:color w:val="auto"/>
              </w:rPr>
              <w:t>Government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408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Investments Available for Sale by Rating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gridSpan w:val="3"/>
          </w:tcPr>
          <w:p>
            <w:pPr>
              <w:ind w:left="20"/>
              <w:spacing w:after="0"/>
              <w:rPr>
                <w:sz w:val="20"/>
                <w:szCs w:val="20"/>
                <w:color w:val="auto"/>
              </w:rPr>
            </w:pPr>
            <w:r>
              <w:rPr>
                <w:rFonts w:ascii="Arial" w:cs="Arial" w:eastAsia="Arial" w:hAnsi="Arial"/>
                <w:sz w:val="14"/>
                <w:szCs w:val="14"/>
                <w:b w:val="1"/>
                <w:bCs w:val="1"/>
                <w:color w:val="auto"/>
              </w:rPr>
              <w:t>Rating (1)</w:t>
            </w:r>
          </w:p>
        </w:tc>
        <w:tc>
          <w:tcPr>
            <w:tcW w:w="320" w:type="dxa"/>
            <w:vAlign w:val="bottom"/>
          </w:tcPr>
          <w:p>
            <w:pPr>
              <w:spacing w:after="0"/>
              <w:rPr>
                <w:sz w:val="15"/>
                <w:szCs w:val="15"/>
                <w:color w:val="auto"/>
              </w:rPr>
            </w:pPr>
          </w:p>
        </w:tc>
        <w:tc>
          <w:tcPr>
            <w:tcW w:w="2080" w:type="dxa"/>
            <w:vAlign w:val="bottom"/>
            <w:gridSpan w:val="3"/>
          </w:tcPr>
          <w:p>
            <w:pPr>
              <w:ind w:left="880"/>
              <w:spacing w:after="0"/>
              <w:rPr>
                <w:sz w:val="20"/>
                <w:szCs w:val="20"/>
                <w:color w:val="auto"/>
              </w:rPr>
            </w:pPr>
            <w:r>
              <w:rPr>
                <w:rFonts w:ascii="Arial" w:cs="Arial" w:eastAsia="Arial" w:hAnsi="Arial"/>
                <w:sz w:val="14"/>
                <w:szCs w:val="14"/>
                <w:b w:val="1"/>
                <w:bCs w:val="1"/>
                <w:color w:val="auto"/>
                <w:w w:val="90"/>
              </w:rPr>
              <w:t>September 30, 2023</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3"/>
          </w:tcPr>
          <w:p>
            <w:pPr>
              <w:ind w:left="920"/>
              <w:spacing w:after="0"/>
              <w:rPr>
                <w:sz w:val="20"/>
                <w:szCs w:val="20"/>
                <w:color w:val="auto"/>
              </w:rPr>
            </w:pPr>
            <w:r>
              <w:rPr>
                <w:rFonts w:ascii="Arial" w:cs="Arial" w:eastAsia="Arial" w:hAnsi="Arial"/>
                <w:sz w:val="14"/>
                <w:szCs w:val="14"/>
                <w:b w:val="1"/>
                <w:bCs w:val="1"/>
                <w:color w:val="auto"/>
                <w:w w:val="90"/>
              </w:rPr>
              <w:t>December 31, 2022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Percent</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Aaa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2,393,047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2,122,599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46.2 %</w:t>
            </w:r>
          </w:p>
        </w:tc>
        <w:tc>
          <w:tcPr>
            <w:tcW w:w="0" w:type="dxa"/>
            <w:vAlign w:val="bottom"/>
          </w:tcPr>
          <w:p>
            <w:pPr>
              <w:spacing w:after="0"/>
              <w:rPr>
                <w:sz w:val="1"/>
                <w:szCs w:val="1"/>
                <w:color w:val="auto"/>
              </w:rPr>
            </w:pPr>
          </w:p>
        </w:tc>
      </w:tr>
      <w:tr>
        <w:trPr>
          <w:trHeight w:val="218"/>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Aa1</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108,593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111,262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Aa2</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325,241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8"/>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Aa3</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210,967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232,500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A1</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381,479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8"/>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A2</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314,587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410,163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A3</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8"/>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Baa1</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227,543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236,793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Baa2</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231,612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8"/>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Baa3</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151,078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187,117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Below Baa3</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82,422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93,028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2"/>
        </w:trPr>
        <w:tc>
          <w:tcPr>
            <w:tcW w:w="402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(2)</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4,637,328</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100.0 %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4,605,034</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Ratings ("Fitch") rating utilized if Moody’s not available.</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$360,360 and $136,591 of money market funds at September 30, 2023 and December 31, 2022, respectively.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Investments Available for Sale by Effective Duration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Pr>
          <w:p>
            <w:pPr>
              <w:spacing w:after="0"/>
              <w:rPr>
                <w:sz w:val="15"/>
                <w:szCs w:val="15"/>
                <w:color w:val="auto"/>
              </w:rPr>
            </w:pPr>
          </w:p>
        </w:tc>
        <w:tc>
          <w:tcPr>
            <w:tcW w:w="2080" w:type="dxa"/>
            <w:vAlign w:val="bottom"/>
            <w:gridSpan w:val="3"/>
          </w:tcPr>
          <w:p>
            <w:pPr>
              <w:ind w:left="900"/>
              <w:spacing w:after="0"/>
              <w:rPr>
                <w:sz w:val="20"/>
                <w:szCs w:val="20"/>
                <w:color w:val="auto"/>
              </w:rPr>
            </w:pPr>
            <w:r>
              <w:rPr>
                <w:rFonts w:ascii="Arial" w:cs="Arial" w:eastAsia="Arial" w:hAnsi="Arial"/>
                <w:sz w:val="14"/>
                <w:szCs w:val="14"/>
                <w:b w:val="1"/>
                <w:bCs w:val="1"/>
                <w:color w:val="auto"/>
                <w:w w:val="88"/>
              </w:rPr>
              <w:t>September 30, 2023</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3"/>
          </w:tcPr>
          <w:p>
            <w:pPr>
              <w:ind w:left="920"/>
              <w:spacing w:after="0"/>
              <w:rPr>
                <w:sz w:val="20"/>
                <w:szCs w:val="20"/>
                <w:color w:val="auto"/>
              </w:rPr>
            </w:pPr>
            <w:r>
              <w:rPr>
                <w:rFonts w:ascii="Arial" w:cs="Arial" w:eastAsia="Arial" w:hAnsi="Arial"/>
                <w:sz w:val="14"/>
                <w:szCs w:val="14"/>
                <w:b w:val="1"/>
                <w:bCs w:val="1"/>
                <w:color w:val="auto"/>
                <w:w w:val="90"/>
              </w:rPr>
              <w:t>December 31, 2022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Percent</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&lt; 1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1,713,199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1,245,839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26.3 %</w:t>
            </w:r>
          </w:p>
        </w:tc>
        <w:tc>
          <w:tcPr>
            <w:tcW w:w="0" w:type="dxa"/>
            <w:vAlign w:val="bottom"/>
          </w:tcPr>
          <w:p>
            <w:pPr>
              <w:spacing w:after="0"/>
              <w:rPr>
                <w:sz w:val="1"/>
                <w:szCs w:val="1"/>
                <w:color w:val="auto"/>
              </w:rPr>
            </w:pPr>
          </w:p>
        </w:tc>
      </w:tr>
      <w:tr>
        <w:trPr>
          <w:trHeight w:val="218"/>
        </w:trPr>
        <w:tc>
          <w:tcPr>
            <w:tcW w:w="4040" w:type="dxa"/>
            <w:vAlign w:val="bottom"/>
            <w:gridSpan w:val="2"/>
          </w:tcPr>
          <w:p>
            <w:pPr>
              <w:ind w:left="20"/>
              <w:spacing w:after="0"/>
              <w:rPr>
                <w:sz w:val="20"/>
                <w:szCs w:val="20"/>
                <w:color w:val="auto"/>
              </w:rPr>
            </w:pPr>
            <w:r>
              <w:rPr>
                <w:rFonts w:ascii="Arial" w:cs="Arial" w:eastAsia="Arial" w:hAnsi="Arial"/>
                <w:sz w:val="17"/>
                <w:szCs w:val="17"/>
                <w:color w:val="auto"/>
              </w:rPr>
              <w:t>1 to &lt; 2 Years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484,032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534,038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6"/>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456,987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511,701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8"/>
        </w:trPr>
        <w:tc>
          <w:tcPr>
            <w:tcW w:w="4040" w:type="dxa"/>
            <w:vAlign w:val="bottom"/>
            <w:gridSpan w:val="2"/>
          </w:tcPr>
          <w:p>
            <w:pPr>
              <w:ind w:left="20"/>
              <w:spacing w:after="0"/>
              <w:rPr>
                <w:sz w:val="20"/>
                <w:szCs w:val="20"/>
                <w:color w:val="auto"/>
              </w:rPr>
            </w:pPr>
            <w:r>
              <w:rPr>
                <w:rFonts w:ascii="Arial" w:cs="Arial" w:eastAsia="Arial" w:hAnsi="Arial"/>
                <w:sz w:val="17"/>
                <w:szCs w:val="17"/>
                <w:color w:val="auto"/>
              </w:rPr>
              <w:t>3 to &lt; 4 Years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418,831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525,683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156"/>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389,441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400,540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8"/>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5 or more Years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1,535,198</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1,523,824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Investments Available for Sale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4,997,688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4,741,625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Top Ten Investments Available for Sale Holdings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26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Rank</w:t>
            </w:r>
          </w:p>
        </w:tc>
        <w:tc>
          <w:tcPr>
            <w:tcW w:w="3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460" w:type="dxa"/>
            <w:vAlign w:val="bottom"/>
            <w:gridSpan w:val="3"/>
            <w:vMerge w:val="continue"/>
          </w:tcPr>
          <w:p>
            <w:pPr>
              <w:spacing w:after="0"/>
              <w:rPr>
                <w:sz w:val="10"/>
                <w:szCs w:val="10"/>
                <w:color w:val="auto"/>
              </w:rPr>
            </w:pPr>
          </w:p>
        </w:tc>
        <w:tc>
          <w:tcPr>
            <w:tcW w:w="304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Security</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0"/>
                <w:szCs w:val="10"/>
                <w:color w:val="auto"/>
              </w:rPr>
            </w:pPr>
          </w:p>
        </w:tc>
        <w:tc>
          <w:tcPr>
            <w:tcW w:w="1120" w:type="dxa"/>
            <w:vAlign w:val="bottom"/>
          </w:tcPr>
          <w:p>
            <w:pPr>
              <w:jc w:val="right"/>
              <w:ind w:right="237"/>
              <w:spacing w:after="0" w:line="122"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Gain (Loss)(1)</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Rating(2)</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Bill 07/11/2024</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54,462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18"/>
        </w:trPr>
        <w:tc>
          <w:tcPr>
            <w:tcW w:w="2180" w:type="dxa"/>
            <w:vAlign w:val="bottom"/>
          </w:tcPr>
          <w:p>
            <w:pPr>
              <w:ind w:left="2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7"/>
                <w:szCs w:val="17"/>
                <w:color w:val="auto"/>
              </w:rPr>
              <w:t>US Treasury 2.875% 06/15/2025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39,727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1.500% 08/15/2026</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30,993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18"/>
        </w:trPr>
        <w:tc>
          <w:tcPr>
            <w:tcW w:w="2180" w:type="dxa"/>
            <w:vAlign w:val="bottom"/>
          </w:tcPr>
          <w:p>
            <w:pPr>
              <w:ind w:left="2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7"/>
                <w:szCs w:val="17"/>
                <w:color w:val="auto"/>
              </w:rPr>
              <w:t>Freddie Mac 5.500% 11/01/2052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27,222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(1,573)</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Bill 09/05/2024</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25,621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18"/>
        </w:trPr>
        <w:tc>
          <w:tcPr>
            <w:tcW w:w="2180" w:type="dxa"/>
            <w:vAlign w:val="bottom"/>
          </w:tcPr>
          <w:p>
            <w:pPr>
              <w:ind w:left="2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7"/>
                <w:szCs w:val="17"/>
                <w:color w:val="auto"/>
              </w:rPr>
              <w:t>US Treasury Bill 12/28/2023</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25,601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Bill 08/08/2024</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23,793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18"/>
        </w:trPr>
        <w:tc>
          <w:tcPr>
            <w:tcW w:w="2180" w:type="dxa"/>
            <w:vAlign w:val="bottom"/>
          </w:tcPr>
          <w:p>
            <w:pPr>
              <w:ind w:left="2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7"/>
                <w:szCs w:val="17"/>
                <w:color w:val="auto"/>
              </w:rPr>
              <w:t>US Treasury 0.250% 05/31/2025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23,609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(1,984)</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Bill 10/10/2023</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22,474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18"/>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US Treasury Bill 03/21/2024</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21,253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33"/>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294,755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303,101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(8,346)</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500" w:type="dxa"/>
            <w:vAlign w:val="bottom"/>
            <w:gridSpan w:val="4"/>
          </w:tcPr>
          <w:p>
            <w:pPr>
              <w:ind w:left="20"/>
              <w:spacing w:after="0" w:line="191" w:lineRule="exact"/>
              <w:rPr>
                <w:sz w:val="20"/>
                <w:szCs w:val="20"/>
                <w:color w:val="auto"/>
              </w:rPr>
            </w:pPr>
            <w:r>
              <w:rPr>
                <w:rFonts w:ascii="Arial" w:cs="Arial" w:eastAsia="Arial" w:hAnsi="Arial"/>
                <w:sz w:val="17"/>
                <w:szCs w:val="17"/>
                <w:b w:val="1"/>
                <w:bCs w:val="1"/>
                <w:color w:val="auto"/>
              </w:rPr>
              <w:t>Percent of Investments Available for Sale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5.9 %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307"/>
        <w:spacing w:after="0" w:line="262" w:lineRule="auto"/>
        <w:tabs>
          <w:tab w:leader="none" w:pos="6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September 30, 2023,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3"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6480" w:type="dxa"/>
            <w:vAlign w:val="bottom"/>
            <w:tcBorders>
              <w:bottom w:val="single" w:sz="8" w:color="auto"/>
            </w:tcBorders>
            <w:gridSpan w:val="2"/>
          </w:tcPr>
          <w:p>
            <w:pPr>
              <w:ind w:left="34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8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638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2.875% 06/15/2025</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39,908</w:t>
            </w:r>
          </w:p>
        </w:tc>
      </w:tr>
      <w:tr>
        <w:trPr>
          <w:trHeight w:val="218"/>
        </w:trPr>
        <w:tc>
          <w:tcPr>
            <w:tcW w:w="3160" w:type="dxa"/>
            <w:vAlign w:val="bottom"/>
          </w:tcPr>
          <w:p>
            <w:pPr>
              <w:ind w:lef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1.500% 08/15/2026</w:t>
            </w:r>
          </w:p>
        </w:tc>
        <w:tc>
          <w:tcPr>
            <w:tcW w:w="260" w:type="dxa"/>
            <w:vAlign w:val="bottom"/>
          </w:tcPr>
          <w:p>
            <w:pPr>
              <w:spacing w:after="0"/>
              <w:rPr>
                <w:sz w:val="18"/>
                <w:szCs w:val="18"/>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31,025</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Federal Home Loan Banks 0.000% 01/03/2023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27,080</w:t>
            </w:r>
          </w:p>
        </w:tc>
      </w:tr>
      <w:tr>
        <w:trPr>
          <w:trHeight w:val="218"/>
        </w:trPr>
        <w:tc>
          <w:tcPr>
            <w:tcW w:w="3160" w:type="dxa"/>
            <w:vAlign w:val="bottom"/>
          </w:tcPr>
          <w:p>
            <w:pPr>
              <w:ind w:lef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0.250% 05/31/2025</w:t>
            </w:r>
          </w:p>
        </w:tc>
        <w:tc>
          <w:tcPr>
            <w:tcW w:w="260" w:type="dxa"/>
            <w:vAlign w:val="bottom"/>
          </w:tcPr>
          <w:p>
            <w:pPr>
              <w:spacing w:after="0"/>
              <w:rPr>
                <w:sz w:val="18"/>
                <w:szCs w:val="18"/>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23,249</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2.500% 01/31/2024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19,911</w:t>
            </w:r>
          </w:p>
        </w:tc>
      </w:tr>
      <w:tr>
        <w:trPr>
          <w:trHeight w:val="218"/>
        </w:trPr>
        <w:tc>
          <w:tcPr>
            <w:tcW w:w="3160" w:type="dxa"/>
            <w:vAlign w:val="bottom"/>
          </w:tcPr>
          <w:p>
            <w:pPr>
              <w:ind w:left="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0.000% 02/23/2023</w:t>
            </w:r>
          </w:p>
        </w:tc>
        <w:tc>
          <w:tcPr>
            <w:tcW w:w="260" w:type="dxa"/>
            <w:vAlign w:val="bottom"/>
          </w:tcPr>
          <w:p>
            <w:pPr>
              <w:spacing w:after="0"/>
              <w:rPr>
                <w:sz w:val="18"/>
                <w:szCs w:val="18"/>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19,879</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2.625% 06/30/2023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19,562</w:t>
            </w:r>
          </w:p>
        </w:tc>
      </w:tr>
      <w:tr>
        <w:trPr>
          <w:trHeight w:val="218"/>
        </w:trPr>
        <w:tc>
          <w:tcPr>
            <w:tcW w:w="3160" w:type="dxa"/>
            <w:vAlign w:val="bottom"/>
          </w:tcPr>
          <w:p>
            <w:pPr>
              <w:ind w:left="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2.000% 04/30/2024</w:t>
            </w:r>
          </w:p>
        </w:tc>
        <w:tc>
          <w:tcPr>
            <w:tcW w:w="260" w:type="dxa"/>
            <w:vAlign w:val="bottom"/>
          </w:tcPr>
          <w:p>
            <w:pPr>
              <w:spacing w:after="0"/>
              <w:rPr>
                <w:sz w:val="18"/>
                <w:szCs w:val="18"/>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19,369</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0.875% 06/30/2026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17,584</w:t>
            </w:r>
          </w:p>
        </w:tc>
      </w:tr>
      <w:tr>
        <w:trPr>
          <w:trHeight w:val="21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US Treasury 0.125% 10/15/2023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17,003</w:t>
            </w:r>
          </w:p>
        </w:tc>
      </w:tr>
      <w:tr>
        <w:trPr>
          <w:trHeight w:val="23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234,570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260" w:type="dxa"/>
            <w:vAlign w:val="bottom"/>
            <w:gridSpan w:val="2"/>
          </w:tcPr>
          <w:p>
            <w:pPr>
              <w:ind w:left="20"/>
              <w:spacing w:after="0" w:line="191" w:lineRule="exact"/>
              <w:rPr>
                <w:sz w:val="20"/>
                <w:szCs w:val="20"/>
                <w:color w:val="auto"/>
              </w:rPr>
            </w:pPr>
            <w:r>
              <w:rPr>
                <w:rFonts w:ascii="Arial" w:cs="Arial" w:eastAsia="Arial" w:hAnsi="Arial"/>
                <w:sz w:val="17"/>
                <w:szCs w:val="17"/>
                <w:b w:val="1"/>
                <w:bCs w:val="1"/>
                <w:color w:val="auto"/>
                <w:w w:val="96"/>
              </w:rPr>
              <w:t>Percent of Investments Available for Sale</w:t>
            </w:r>
          </w:p>
        </w:tc>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4.9 %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include municipal debt securities for states that represent more than 10% of the total municipal bond position as of September 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6"/>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4"/>
        </w:trPr>
        <w:tc>
          <w:tcPr>
            <w:tcW w:w="6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 (1), (2)</w:t>
            </w: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New York City Transitional Fin Auth</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12,684</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13,804</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Dormitory Authority of State of New York</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Aa2</w:t>
            </w:r>
          </w:p>
        </w:tc>
        <w:tc>
          <w:tcPr>
            <w:tcW w:w="0" w:type="dxa"/>
            <w:vAlign w:val="bottom"/>
          </w:tcPr>
          <w:p>
            <w:pPr>
              <w:spacing w:after="0"/>
              <w:rPr>
                <w:sz w:val="1"/>
                <w:szCs w:val="1"/>
                <w:color w:val="auto"/>
              </w:rPr>
            </w:pP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City of New York</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8,659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8,955</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Triborough Bridge &amp; Tunnel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Metropolitan Transportation Authority</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6,424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6,898</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 St Urban Dev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Port Authority of New York and New Jersey</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7,053</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Monroe Cnty NY Indl Dev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New York City Municipal Water Finance Authority</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2,921</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2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City of Yonkers NY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New York Transportation Development Corp</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Aa2</w:t>
            </w:r>
          </w:p>
        </w:tc>
        <w:tc>
          <w:tcPr>
            <w:tcW w:w="0" w:type="dxa"/>
            <w:vAlign w:val="bottom"/>
          </w:tcPr>
          <w:p>
            <w:pPr>
              <w:spacing w:after="0"/>
              <w:rPr>
                <w:sz w:val="1"/>
                <w:szCs w:val="1"/>
                <w:color w:val="auto"/>
              </w:rPr>
            </w:pPr>
          </w:p>
        </w:tc>
      </w:tr>
      <w:tr>
        <w:trPr>
          <w:trHeight w:val="22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 Island Power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New York St Twy Auth</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1,281</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 (State of)</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8"/>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Nassau Cnty NY</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78,656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680" w:type="dxa"/>
            <w:vAlign w:val="bottom"/>
          </w:tcPr>
          <w:p>
            <w:pPr>
              <w:jc w:val="right"/>
              <w:ind w:right="555"/>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84"/>
        </w:trPr>
        <w:tc>
          <w:tcPr>
            <w:tcW w:w="5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Rating (1), (2)</w:t>
            </w:r>
          </w:p>
        </w:tc>
        <w:tc>
          <w:tcPr>
            <w:tcW w:w="0" w:type="dxa"/>
            <w:vAlign w:val="bottom"/>
          </w:tcPr>
          <w:p>
            <w:pPr>
              <w:spacing w:after="0"/>
              <w:rPr>
                <w:sz w:val="1"/>
                <w:szCs w:val="1"/>
                <w:color w:val="auto"/>
              </w:rPr>
            </w:pPr>
          </w:p>
        </w:tc>
      </w:tr>
      <w:tr>
        <w:trPr>
          <w:trHeight w:val="218"/>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State of California</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8,526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8,993</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Bay Area Toll Authority</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Los Angeles Calif Uni Sch Dist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6,559</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7,292</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San Joaquin Hills Calif Transn Corridor Agy Toll Road Rev</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Anaheim Calif Pub Fing Auth</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7,725</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 St Muni Fin Auth</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Golden State Tobacco Securitization Corp</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3,735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5,027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Airport Commission Of The City And County Of San Francisco</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Carson Calif</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3,203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4,392</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 Health Facs Fing Auth</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San Jose Calif Uni Sch Dist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3,075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4,090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Aaa</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Tuolumne Wind Proj Auth Calif Rev</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California Mun Fin Auth Environmental Impt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2,880</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3,740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Kern Cnty Calif</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Baa2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Chabot-Las Positas Cmnty College Dist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2,534</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2,693</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Port Oakland Calif</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City Of Inglewood Ca</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2,251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3,117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Riverside Cnty Calif</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Monterey Pk Ca Pensn Oblig</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1,993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2,968</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San Francisco Calif City &amp; Cnty Pub Utils Commn</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Foothill Eastern Transn Corridor Agy Calif</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1,605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2,350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Bay Area Calif Wtr Spply &amp; Conservation</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Riverside County Transportation Commission</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1,261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1,665</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Regents Of The University Of California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University Of California</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1,226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1,276</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Torrance Calif Jt Pwrs Fing Auth</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El Cajon Calif</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918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1,282</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El Monte Calif</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Alameda Corridor Transn Auth Calif</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 Angeles Department Of Airports Los Angeles International Air</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Cathedral City Calif Redev Agy</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Pomona Calif Redev Agy</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California Statewide Cmntys Dev Auth</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Sacramento Cnty Calif</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California Cnty Calif Tob Sec</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 State University</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Oxnard Calif Un High Sch Dist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San Jose Calif Fing Auth</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18"/>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Riverside Calif Pension Oblig</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Aa2</w:t>
            </w: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Compton Calif</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18"/>
        </w:trPr>
        <w:tc>
          <w:tcPr>
            <w:tcW w:w="6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Los Angeles Calif Mun Impt Corp</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Aa3</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113,830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right="540" w:hanging="307"/>
        <w:spacing w:after="0" w:line="279" w:lineRule="auto"/>
        <w:tabs>
          <w:tab w:leader="none" w:pos="6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of the above securities may include financial guaranty insurance or state enhancements. The above ratings include the effect of these credit enhancements, if applicable.</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3" w:lineRule="exact"/>
        <w:rPr>
          <w:sz w:val="20"/>
          <w:szCs w:val="20"/>
          <w:color w:val="auto"/>
        </w:rPr>
      </w:pPr>
    </w:p>
    <w:p>
      <w:pPr>
        <w:ind w:firstLine="172"/>
        <w:spacing w:after="0" w:line="302" w:lineRule="auto"/>
        <w:rPr>
          <w:sz w:val="20"/>
          <w:szCs w:val="20"/>
          <w:color w:val="auto"/>
        </w:rPr>
      </w:pPr>
      <w:r>
        <w:rPr>
          <w:rFonts w:ascii="Arial" w:cs="Arial" w:eastAsia="Arial" w:hAnsi="Arial"/>
          <w:sz w:val="15"/>
          <w:szCs w:val="15"/>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September 30, 2023, our estimated off-balance sheet maximum exposure to loss from the Radnor Re entities was $0.3 million, representing the estimated net present value of investment earnings on the assets in the reinsurance trusts. See Note 4 to our condensed consolidated financial statements for additional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3"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2022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3" w:lineRule="exact"/>
        <w:rPr>
          <w:sz w:val="20"/>
          <w:szCs w:val="20"/>
          <w:color w:val="auto"/>
        </w:rPr>
      </w:pPr>
    </w:p>
    <w:p>
      <w:pPr>
        <w:ind w:right="20" w:firstLine="619"/>
        <w:spacing w:after="0" w:line="318" w:lineRule="auto"/>
        <w:rPr>
          <w:sz w:val="20"/>
          <w:szCs w:val="20"/>
          <w:color w:val="auto"/>
        </w:rPr>
      </w:pPr>
      <w:r>
        <w:rPr>
          <w:rFonts w:ascii="Arial" w:cs="Arial" w:eastAsia="Arial" w:hAnsi="Arial"/>
          <w:sz w:val="15"/>
          <w:szCs w:val="15"/>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39"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4" w:lineRule="exact"/>
        <w:rPr>
          <w:sz w:val="20"/>
          <w:szCs w:val="20"/>
          <w:color w:val="auto"/>
        </w:rPr>
      </w:pPr>
    </w:p>
    <w:p>
      <w:pPr>
        <w:ind w:left="620" w:right="40" w:hanging="307"/>
        <w:spacing w:after="0" w:line="283" w:lineRule="auto"/>
        <w:tabs>
          <w:tab w:leader="none" w:pos="616"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63" w:lineRule="exact"/>
        <w:rPr>
          <w:rFonts w:ascii="Arial" w:cs="Arial" w:eastAsia="Arial" w:hAnsi="Arial"/>
          <w:sz w:val="16"/>
          <w:szCs w:val="16"/>
          <w:i w:val="1"/>
          <w:iCs w:val="1"/>
          <w:color w:val="auto"/>
        </w:rPr>
      </w:pPr>
    </w:p>
    <w:p>
      <w:pPr>
        <w:ind w:left="620" w:right="240" w:hanging="307"/>
        <w:spacing w:after="0" w:line="279"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Changes to the term structure of interest rates. </w:t>
      </w:r>
      <w:r>
        <w:rPr>
          <w:rFonts w:ascii="Arial" w:cs="Arial" w:eastAsia="Arial" w:hAnsi="Arial"/>
          <w:sz w:val="17"/>
          <w:szCs w:val="17"/>
          <w:color w:val="auto"/>
        </w:rPr>
        <w:t>Rising or falling rates typically change by different amounts along the yield curve. These changes may</w:t>
      </w:r>
      <w:r>
        <w:rPr>
          <w:rFonts w:ascii="Arial" w:cs="Arial" w:eastAsia="Arial" w:hAnsi="Arial"/>
          <w:sz w:val="17"/>
          <w:szCs w:val="17"/>
          <w:i w:val="1"/>
          <w:iCs w:val="1"/>
          <w:color w:val="auto"/>
        </w:rPr>
        <w:t xml:space="preserve"> </w:t>
      </w:r>
      <w:r>
        <w:rPr>
          <w:rFonts w:ascii="Arial" w:cs="Arial" w:eastAsia="Arial" w:hAnsi="Arial"/>
          <w:sz w:val="17"/>
          <w:szCs w:val="17"/>
          <w:color w:val="auto"/>
        </w:rPr>
        <w:t>have unforeseen impacts on the value of certain assets.</w:t>
      </w:r>
    </w:p>
    <w:p>
      <w:pPr>
        <w:spacing w:after="0" w:line="190" w:lineRule="exact"/>
        <w:rPr>
          <w:rFonts w:ascii="Arial" w:cs="Arial" w:eastAsia="Arial" w:hAnsi="Arial"/>
          <w:sz w:val="17"/>
          <w:szCs w:val="17"/>
          <w:i w:val="1"/>
          <w:iCs w:val="1"/>
          <w:color w:val="auto"/>
        </w:rPr>
      </w:pPr>
    </w:p>
    <w:p>
      <w:pPr>
        <w:ind w:left="620" w:right="60" w:hanging="307"/>
        <w:spacing w:after="0" w:line="279"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Market volatility/changes in the real or perceived credit quality of investments. </w:t>
      </w:r>
      <w:r>
        <w:rPr>
          <w:rFonts w:ascii="Arial" w:cs="Arial" w:eastAsia="Arial" w:hAnsi="Arial"/>
          <w:sz w:val="17"/>
          <w:szCs w:val="17"/>
          <w:color w:val="auto"/>
        </w:rPr>
        <w:t>Deterioration in the quality of investments, identified through changes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own or third-party (e.g., rating agency) assessments, will reduce the value and potentially the liquidity of investments.</w:t>
      </w:r>
    </w:p>
    <w:p>
      <w:pPr>
        <w:spacing w:after="0" w:line="190" w:lineRule="exact"/>
        <w:rPr>
          <w:rFonts w:ascii="Arial" w:cs="Arial" w:eastAsia="Arial" w:hAnsi="Arial"/>
          <w:sz w:val="17"/>
          <w:szCs w:val="17"/>
          <w:i w:val="1"/>
          <w:iCs w:val="1"/>
          <w:color w:val="auto"/>
        </w:rPr>
      </w:pPr>
    </w:p>
    <w:p>
      <w:pPr>
        <w:ind w:left="620" w:right="120" w:hanging="307"/>
        <w:spacing w:after="0" w:line="279"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Concentration Risk. </w:t>
      </w:r>
      <w:r>
        <w:rPr>
          <w:rFonts w:ascii="Arial" w:cs="Arial" w:eastAsia="Arial" w:hAnsi="Arial"/>
          <w:sz w:val="17"/>
          <w:szCs w:val="17"/>
          <w:color w:val="auto"/>
        </w:rPr>
        <w:t>If the investment portfolio is highly concentrated in one asset, or in multiple assets whose values are highly correlated,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total portfolio may be greatly affected by the change in value of just one asset or a group of highly correlated assets.</w:t>
      </w:r>
    </w:p>
    <w:p>
      <w:pPr>
        <w:spacing w:after="0" w:line="190" w:lineRule="exact"/>
        <w:rPr>
          <w:rFonts w:ascii="Arial" w:cs="Arial" w:eastAsia="Arial" w:hAnsi="Arial"/>
          <w:sz w:val="17"/>
          <w:szCs w:val="17"/>
          <w:i w:val="1"/>
          <w:iCs w:val="1"/>
          <w:color w:val="auto"/>
        </w:rPr>
      </w:pPr>
    </w:p>
    <w:p>
      <w:pPr>
        <w:ind w:left="620" w:right="40" w:hanging="307"/>
        <w:spacing w:after="0" w:line="279"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Prepayment Risk. </w:t>
      </w:r>
      <w:r>
        <w:rPr>
          <w:rFonts w:ascii="Arial" w:cs="Arial" w:eastAsia="Arial" w:hAnsi="Arial"/>
          <w:sz w:val="17"/>
          <w:szCs w:val="17"/>
          <w:color w:val="auto"/>
        </w:rPr>
        <w:t>Bonds may have call provisions that permit debtors to repay prior to maturity when it is to their advantage. This typically occurs when</w:t>
      </w:r>
      <w:r>
        <w:rPr>
          <w:rFonts w:ascii="Arial" w:cs="Arial" w:eastAsia="Arial" w:hAnsi="Arial"/>
          <w:sz w:val="17"/>
          <w:szCs w:val="17"/>
          <w:i w:val="1"/>
          <w:iCs w:val="1"/>
          <w:color w:val="auto"/>
        </w:rPr>
        <w:t xml:space="preserve"> </w:t>
      </w:r>
      <w:r>
        <w:rPr>
          <w:rFonts w:ascii="Arial" w:cs="Arial" w:eastAsia="Arial" w:hAnsi="Arial"/>
          <w:sz w:val="17"/>
          <w:szCs w:val="17"/>
          <w:color w:val="auto"/>
        </w:rPr>
        <w:t>rates fall below the interest rate of the debt.</w:t>
      </w:r>
    </w:p>
    <w:p>
      <w:pPr>
        <w:spacing w:after="0" w:line="164"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5"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At September 30, 2023, the effective duration of our investments available for sale was 3.4 years, which means that an instantaneous parallel shift (movement up or down) in the yield curve of 100 basis points would result in a change of 3.4% in fair value of our investments available for sale. Excluding short-term investments, our investments available for sale effective duration was 4.0 years, which means that an instantaneous parallel shift (movement up or down) in the yield curve of 100 basis points would result in a change of 4.0% in fair value of our investments available for sale.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3"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2023, the end of the period covered by this Quarterly Report.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right="40" w:firstLine="619"/>
        <w:spacing w:after="0" w:line="349" w:lineRule="auto"/>
        <w:rPr>
          <w:sz w:val="20"/>
          <w:szCs w:val="20"/>
          <w:color w:val="auto"/>
        </w:rPr>
      </w:pPr>
      <w:r>
        <w:rPr>
          <w:rFonts w:ascii="Arial" w:cs="Arial" w:eastAsia="Arial" w:hAnsi="Arial"/>
          <w:sz w:val="15"/>
          <w:szCs w:val="15"/>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not currently subject to any material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3"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in our Annual Report on Form 10-K for the year ended December 31, 2022.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Repurchases of Securities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information regarding repurchases of our common shares during the three months ended September 30,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Number of</w:t>
            </w:r>
          </w:p>
        </w:tc>
        <w:tc>
          <w:tcPr>
            <w:tcW w:w="200" w:type="dxa"/>
            <w:vAlign w:val="bottom"/>
          </w:tcPr>
          <w:p>
            <w:pPr>
              <w:spacing w:after="0"/>
              <w:rPr>
                <w:sz w:val="14"/>
                <w:szCs w:val="14"/>
                <w:color w:val="auto"/>
              </w:rPr>
            </w:pPr>
          </w:p>
        </w:tc>
        <w:tc>
          <w:tcPr>
            <w:tcW w:w="158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9"/>
              <w:spacing w:after="0" w:line="142"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Shares Purchased</w:t>
            </w:r>
          </w:p>
        </w:tc>
        <w:tc>
          <w:tcPr>
            <w:tcW w:w="200" w:type="dxa"/>
            <w:vAlign w:val="bottom"/>
          </w:tcPr>
          <w:p>
            <w:pPr>
              <w:spacing w:after="0"/>
              <w:rPr>
                <w:sz w:val="11"/>
                <w:szCs w:val="11"/>
                <w:color w:val="auto"/>
              </w:rPr>
            </w:pPr>
          </w:p>
        </w:tc>
        <w:tc>
          <w:tcPr>
            <w:tcW w:w="1580" w:type="dxa"/>
            <w:vAlign w:val="bottom"/>
          </w:tcPr>
          <w:p>
            <w:pPr>
              <w:jc w:val="center"/>
              <w:ind w:right="149"/>
              <w:spacing w:after="0" w:line="12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2"/>
        </w:trPr>
        <w:tc>
          <w:tcPr>
            <w:tcW w:w="3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8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8"/>
              </w:rPr>
              <w:t>as Part of Publicly</w:t>
            </w:r>
          </w:p>
        </w:tc>
        <w:tc>
          <w:tcPr>
            <w:tcW w:w="200" w:type="dxa"/>
            <w:vAlign w:val="bottom"/>
          </w:tcPr>
          <w:p>
            <w:pPr>
              <w:spacing w:after="0"/>
              <w:rPr>
                <w:sz w:val="12"/>
                <w:szCs w:val="12"/>
                <w:color w:val="auto"/>
              </w:rPr>
            </w:pPr>
          </w:p>
        </w:tc>
        <w:tc>
          <w:tcPr>
            <w:tcW w:w="1580" w:type="dxa"/>
            <w:vAlign w:val="bottom"/>
          </w:tcPr>
          <w:p>
            <w:pPr>
              <w:jc w:val="center"/>
              <w:ind w:right="129"/>
              <w:spacing w:after="0" w:line="142" w:lineRule="exact"/>
              <w:rPr>
                <w:sz w:val="20"/>
                <w:szCs w:val="20"/>
                <w:color w:val="auto"/>
              </w:rPr>
            </w:pPr>
            <w:r>
              <w:rPr>
                <w:rFonts w:ascii="Arial" w:cs="Arial" w:eastAsia="Arial" w:hAnsi="Arial"/>
                <w:sz w:val="14"/>
                <w:szCs w:val="14"/>
                <w:b w:val="1"/>
                <w:bCs w:val="1"/>
                <w:color w:val="auto"/>
                <w:w w:val="87"/>
              </w:rPr>
              <w:t>Purchased Under</w:t>
            </w:r>
          </w:p>
        </w:tc>
        <w:tc>
          <w:tcPr>
            <w:tcW w:w="0" w:type="dxa"/>
            <w:vAlign w:val="bottom"/>
          </w:tcPr>
          <w:p>
            <w:pPr>
              <w:spacing w:after="0"/>
              <w:rPr>
                <w:sz w:val="1"/>
                <w:szCs w:val="1"/>
                <w:color w:val="auto"/>
              </w:rPr>
            </w:pPr>
          </w:p>
        </w:tc>
      </w:tr>
      <w:tr>
        <w:trPr>
          <w:trHeight w:val="142"/>
        </w:trPr>
        <w:tc>
          <w:tcPr>
            <w:tcW w:w="3880" w:type="dxa"/>
            <w:vAlign w:val="bottom"/>
            <w:gridSpan w:val="3"/>
            <w:vMerge w:val="continue"/>
          </w:tcPr>
          <w:p>
            <w:pPr>
              <w:spacing w:after="0"/>
              <w:rPr>
                <w:sz w:val="12"/>
                <w:szCs w:val="12"/>
                <w:color w:val="auto"/>
              </w:rPr>
            </w:pP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Announced Plans</w:t>
            </w:r>
          </w:p>
        </w:tc>
        <w:tc>
          <w:tcPr>
            <w:tcW w:w="200" w:type="dxa"/>
            <w:vAlign w:val="bottom"/>
          </w:tcPr>
          <w:p>
            <w:pPr>
              <w:spacing w:after="0"/>
              <w:rPr>
                <w:sz w:val="12"/>
                <w:szCs w:val="12"/>
                <w:color w:val="auto"/>
              </w:rPr>
            </w:pPr>
          </w:p>
        </w:tc>
        <w:tc>
          <w:tcPr>
            <w:tcW w:w="1580" w:type="dxa"/>
            <w:vAlign w:val="bottom"/>
          </w:tcPr>
          <w:p>
            <w:pPr>
              <w:jc w:val="center"/>
              <w:ind w:right="129"/>
              <w:spacing w:after="0" w:line="142"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86"/>
        </w:trPr>
        <w:tc>
          <w:tcPr>
            <w:tcW w:w="3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0"/>
              </w:rPr>
              <w:t>Programs (1)</w:t>
            </w:r>
          </w:p>
        </w:tc>
        <w:tc>
          <w:tcPr>
            <w:tcW w:w="0" w:type="dxa"/>
            <w:vAlign w:val="bottom"/>
          </w:tcPr>
          <w:p>
            <w:pPr>
              <w:spacing w:after="0"/>
              <w:rPr>
                <w:sz w:val="1"/>
                <w:szCs w:val="1"/>
                <w:color w:val="auto"/>
              </w:rPr>
            </w:pPr>
          </w:p>
        </w:tc>
      </w:tr>
      <w:tr>
        <w:trPr>
          <w:trHeight w:val="219"/>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July 1 - July 31, 2023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45.00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7"/>
                <w:szCs w:val="17"/>
                <w:color w:val="auto"/>
              </w:rPr>
              <w:t>August 1 - August 31, 2023</w:t>
            </w:r>
          </w:p>
        </w:tc>
        <w:tc>
          <w:tcPr>
            <w:tcW w:w="1760" w:type="dxa"/>
            <w:vAlign w:val="bottom"/>
          </w:tcPr>
          <w:p>
            <w:pPr>
              <w:jc w:val="right"/>
              <w:spacing w:after="0"/>
              <w:rPr>
                <w:sz w:val="20"/>
                <w:szCs w:val="20"/>
                <w:color w:val="auto"/>
              </w:rPr>
            </w:pPr>
            <w:r>
              <w:rPr>
                <w:rFonts w:ascii="Arial" w:cs="Arial" w:eastAsia="Arial" w:hAnsi="Arial"/>
                <w:sz w:val="17"/>
                <w:szCs w:val="17"/>
                <w:color w:val="auto"/>
              </w:rPr>
              <w:t>13,300</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
              <w:spacing w:after="0"/>
              <w:rPr>
                <w:sz w:val="20"/>
                <w:szCs w:val="20"/>
                <w:color w:val="auto"/>
              </w:rPr>
            </w:pPr>
            <w:r>
              <w:rPr>
                <w:rFonts w:ascii="Arial" w:cs="Arial" w:eastAsia="Arial" w:hAnsi="Arial"/>
                <w:sz w:val="17"/>
                <w:szCs w:val="17"/>
                <w:color w:val="auto"/>
              </w:rPr>
              <w:t>49.89</w:t>
            </w:r>
          </w:p>
        </w:tc>
        <w:tc>
          <w:tcPr>
            <w:tcW w:w="100" w:type="dxa"/>
            <w:vAlign w:val="bottom"/>
          </w:tcPr>
          <w:p>
            <w:pPr>
              <w:spacing w:after="0"/>
              <w:rPr>
                <w:sz w:val="18"/>
                <w:szCs w:val="18"/>
                <w:color w:val="auto"/>
              </w:rPr>
            </w:pPr>
          </w:p>
        </w:tc>
        <w:tc>
          <w:tcPr>
            <w:tcW w:w="1780" w:type="dxa"/>
            <w:vAlign w:val="bottom"/>
          </w:tcPr>
          <w:p>
            <w:pPr>
              <w:jc w:val="right"/>
              <w:ind w:right="4"/>
              <w:spacing w:after="0"/>
              <w:rPr>
                <w:sz w:val="20"/>
                <w:szCs w:val="20"/>
                <w:color w:val="auto"/>
              </w:rPr>
            </w:pPr>
            <w:r>
              <w:rPr>
                <w:rFonts w:ascii="Arial" w:cs="Arial" w:eastAsia="Arial" w:hAnsi="Arial"/>
                <w:sz w:val="17"/>
                <w:szCs w:val="17"/>
                <w:color w:val="auto"/>
              </w:rPr>
              <w:t>13,300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September 1 - September 30,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88,042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49.23</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88,042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101,742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101,742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ind w:right="9"/>
              <w:spacing w:after="0"/>
              <w:rPr>
                <w:sz w:val="20"/>
                <w:szCs w:val="20"/>
                <w:color w:val="auto"/>
              </w:rPr>
            </w:pPr>
            <w:r>
              <w:rPr>
                <w:rFonts w:ascii="Arial" w:cs="Arial" w:eastAsia="Arial" w:hAnsi="Arial"/>
                <w:sz w:val="17"/>
                <w:szCs w:val="17"/>
                <w:color w:val="auto"/>
              </w:rPr>
              <w:t>198,952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8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right="580" w:hanging="307"/>
        <w:spacing w:after="0" w:line="266" w:lineRule="auto"/>
        <w:tabs>
          <w:tab w:leader="none" w:pos="61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September 30, 2023, the Company was authorized to purchase up to $250 million of its common shares, announced in May 2022, of which $51.0 million had been utilized. The remaining $199.0 million in the table represents the amount available to repurchase shares under the share repurchase plan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6" w:name="page57"/>
    <w:bookmarkEnd w:id="5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35" w:lineRule="exact"/>
        <w:rPr>
          <w:sz w:val="20"/>
          <w:szCs w:val="20"/>
          <w:color w:val="auto"/>
        </w:rPr>
      </w:pPr>
    </w:p>
    <w:p>
      <w:pPr>
        <w:ind w:left="640" w:hanging="637"/>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Exhibits:</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2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31.1</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31.2</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32.1</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342265</wp:posOffset>
            </wp:positionV>
            <wp:extent cx="974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26670</wp:posOffset>
            </wp:positionV>
            <wp:extent cx="61398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39815" cy="8255"/>
                    </a:xfrm>
                    <a:prstGeom prst="rect">
                      <a:avLst/>
                    </a:prstGeom>
                    <a:noFill/>
                  </pic:spPr>
                </pic:pic>
              </a:graphicData>
            </a:graphic>
          </wp:anchor>
        </w:drawing>
      </w:r>
    </w:p>
    <w:p>
      <w:pPr>
        <w:spacing w:after="0" w:line="35"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Certification of Chief Executive Officer required by Rule 13a-14(a) or Rule 15d-14(a) of the Securities Exchange Act of 1934, as adopted pursuant to Section 302 of the Sarbanes-Oxley Act of 2002</w:t>
      </w:r>
    </w:p>
    <w:p>
      <w:pPr>
        <w:spacing w:after="0" w:line="15"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Certification of Chief Financial Officer required by Rule 13a-14(a) or Rule 15d-14(a) of the Securities Exchange Act of 1934, as adopted pursuant to Section 302 of the Sarbanes-Oxley Act of 2002</w:t>
      </w:r>
    </w:p>
    <w:p>
      <w:pPr>
        <w:spacing w:after="0" w:line="1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Certification of Chief Executive Officer and Chief Financial Officer pursuant to 18 U.S.C. 1350, as adopted pursuant to Section 906 of the Sarbanes-Oxley Act of 2002</w:t>
      </w:r>
    </w:p>
    <w:p>
      <w:pPr>
        <w:spacing w:after="0" w:line="15"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The following financial information from this Quarterly Report on Form 10-Q for the quarter ended September 30, 2023, formatted in Inline XBRL: (i) the Condensed Consolidated Balance Sheets (Unaudited); (ii) the Condensed Consolidated Statements of Comprehensive Income (Unaudited); (iii) the Condensed Consolidated Statements of Changes in Stockholders’ Equity (Unaudited); (iv) the Condensed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 (Unaudited); and (v) the Notes to Condensed Consolidated Financial Statements (Unaudited).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1260" w:space="300"/>
            <w:col w:w="9540"/>
          </w:cols>
          <w:pgMar w:left="320" w:top="127" w:right="47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on the date indicated.</w:t>
      </w:r>
    </w:p>
    <w:p>
      <w:pPr>
        <w:spacing w:after="0" w:line="287"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ESSENT GROUP LTD.</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7"/>
          <w:szCs w:val="17"/>
          <w:color w:val="auto"/>
        </w:rPr>
        <w:t>Date: November 6, 2023</w:t>
      </w:r>
      <w:r>
        <w:rPr>
          <w:sz w:val="20"/>
          <w:szCs w:val="20"/>
          <w:color w:val="auto"/>
        </w:rPr>
        <w:tab/>
      </w:r>
      <w:r>
        <w:rPr>
          <w:rFonts w:ascii="Arial" w:cs="Arial" w:eastAsia="Arial" w:hAnsi="Arial"/>
          <w:sz w:val="16"/>
          <w:szCs w:val="16"/>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29718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Mark A. Casale</w:t>
      </w:r>
    </w:p>
    <w:p>
      <w:pPr>
        <w:spacing w:after="0" w:line="10"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President, Chief Executive Officer and Chairman</w:t>
      </w:r>
    </w:p>
    <w:p>
      <w:pPr>
        <w:ind w:left="536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7"/>
          <w:szCs w:val="17"/>
          <w:color w:val="auto"/>
        </w:rPr>
        <w:t>Date: November 6, 2023</w:t>
      </w:r>
      <w:r>
        <w:rPr>
          <w:sz w:val="20"/>
          <w:szCs w:val="20"/>
          <w:color w:val="auto"/>
        </w:rPr>
        <w:tab/>
      </w:r>
      <w:r>
        <w:rPr>
          <w:rFonts w:ascii="Arial" w:cs="Arial" w:eastAsia="Arial" w:hAnsi="Arial"/>
          <w:sz w:val="16"/>
          <w:szCs w:val="16"/>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29718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David B. Weinstock</w:t>
      </w:r>
    </w:p>
    <w:p>
      <w:pPr>
        <w:spacing w:after="0" w:line="10"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Senior Vice President and Chief Financial Officer</w:t>
      </w:r>
    </w:p>
    <w:p>
      <w:pPr>
        <w:ind w:left="536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00"/>
          </w:cols>
          <w:pgMar w:left="320" w:top="127" w:right="87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Mark A. Casale, certify that:</w:t>
      </w:r>
    </w:p>
    <w:p>
      <w:pPr>
        <w:spacing w:after="0" w:line="217" w:lineRule="exact"/>
        <w:rPr>
          <w:sz w:val="20"/>
          <w:szCs w:val="20"/>
          <w:color w:val="auto"/>
        </w:rPr>
      </w:pPr>
    </w:p>
    <w:p>
      <w:pPr>
        <w:ind w:left="540" w:hanging="537"/>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Essent Group Ltd.;</w:t>
      </w:r>
    </w:p>
    <w:p>
      <w:pPr>
        <w:spacing w:after="0" w:line="217" w:lineRule="exact"/>
        <w:rPr>
          <w:rFonts w:ascii="Arial" w:cs="Arial" w:eastAsia="Arial" w:hAnsi="Arial"/>
          <w:sz w:val="17"/>
          <w:szCs w:val="17"/>
          <w:color w:val="auto"/>
        </w:rPr>
      </w:pPr>
    </w:p>
    <w:p>
      <w:pPr>
        <w:jc w:val="both"/>
        <w:ind w:right="740" w:firstLine="3"/>
        <w:spacing w:after="0" w:line="349" w:lineRule="auto"/>
        <w:tabs>
          <w:tab w:leader="none" w:pos="494"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60" w:firstLine="3"/>
        <w:spacing w:after="0" w:line="279" w:lineRule="auto"/>
        <w:tabs>
          <w:tab w:leader="none" w:pos="49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66" w:lineRule="auto"/>
        <w:tabs>
          <w:tab w:leader="none" w:pos="49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right="40" w:firstLine="467"/>
        <w:spacing w:after="0" w:line="266" w:lineRule="auto"/>
        <w:tabs>
          <w:tab w:leader="none" w:pos="95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jc w:val="both"/>
        <w:ind w:right="20" w:firstLine="467"/>
        <w:spacing w:after="0" w:line="266" w:lineRule="auto"/>
        <w:tabs>
          <w:tab w:leader="none" w:pos="96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60" w:firstLine="467"/>
        <w:spacing w:after="0" w:line="279" w:lineRule="auto"/>
        <w:tabs>
          <w:tab w:leader="none" w:pos="968"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jc w:val="both"/>
        <w:ind w:right="100" w:firstLine="467"/>
        <w:spacing w:after="0" w:line="266" w:lineRule="auto"/>
        <w:tabs>
          <w:tab w:leader="none" w:pos="96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620" w:firstLine="3"/>
        <w:spacing w:after="0" w:line="312"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right="40" w:firstLine="467"/>
        <w:spacing w:after="0" w:line="279" w:lineRule="auto"/>
        <w:tabs>
          <w:tab w:leader="none" w:pos="96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80" w:firstLine="467"/>
        <w:spacing w:after="0" w:line="279" w:lineRule="auto"/>
        <w:tabs>
          <w:tab w:leader="none" w:pos="97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6, 2023</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1421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5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David B. Weinstock, certify that:</w:t>
      </w:r>
    </w:p>
    <w:p>
      <w:pPr>
        <w:spacing w:after="0" w:line="217" w:lineRule="exact"/>
        <w:rPr>
          <w:sz w:val="20"/>
          <w:szCs w:val="20"/>
          <w:color w:val="auto"/>
        </w:rPr>
      </w:pPr>
    </w:p>
    <w:p>
      <w:pPr>
        <w:ind w:left="540" w:hanging="537"/>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Essent Group Ltd.;</w:t>
      </w:r>
    </w:p>
    <w:p>
      <w:pPr>
        <w:spacing w:after="0" w:line="217" w:lineRule="exact"/>
        <w:rPr>
          <w:rFonts w:ascii="Arial" w:cs="Arial" w:eastAsia="Arial" w:hAnsi="Arial"/>
          <w:sz w:val="17"/>
          <w:szCs w:val="17"/>
          <w:color w:val="auto"/>
        </w:rPr>
      </w:pPr>
    </w:p>
    <w:p>
      <w:pPr>
        <w:jc w:val="both"/>
        <w:ind w:right="740" w:firstLine="3"/>
        <w:spacing w:after="0" w:line="349" w:lineRule="auto"/>
        <w:tabs>
          <w:tab w:leader="none" w:pos="494"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60" w:firstLine="3"/>
        <w:spacing w:after="0" w:line="279" w:lineRule="auto"/>
        <w:tabs>
          <w:tab w:leader="none" w:pos="494"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66" w:lineRule="auto"/>
        <w:tabs>
          <w:tab w:leader="none" w:pos="49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right="40" w:firstLine="467"/>
        <w:spacing w:after="0" w:line="266" w:lineRule="auto"/>
        <w:tabs>
          <w:tab w:leader="none" w:pos="955"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jc w:val="both"/>
        <w:ind w:right="20" w:firstLine="467"/>
        <w:spacing w:after="0" w:line="266" w:lineRule="auto"/>
        <w:tabs>
          <w:tab w:leader="none" w:pos="965"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60" w:firstLine="467"/>
        <w:spacing w:after="0" w:line="279" w:lineRule="auto"/>
        <w:tabs>
          <w:tab w:leader="none" w:pos="968"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jc w:val="both"/>
        <w:ind w:right="100" w:firstLine="467"/>
        <w:spacing w:after="0" w:line="266" w:lineRule="auto"/>
        <w:tabs>
          <w:tab w:leader="none" w:pos="965"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620" w:firstLine="3"/>
        <w:spacing w:after="0" w:line="312" w:lineRule="auto"/>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right="40" w:firstLine="467"/>
        <w:spacing w:after="0" w:line="279" w:lineRule="auto"/>
        <w:tabs>
          <w:tab w:leader="none" w:pos="96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80" w:firstLine="467"/>
        <w:spacing w:after="0" w:line="279" w:lineRule="auto"/>
        <w:tabs>
          <w:tab w:leader="none" w:pos="9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6, 2023</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142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B. Weinstock</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56" w:right="339" w:bottom="1440" w:gutter="0" w:footer="0" w:header="0"/>
        </w:sectPr>
      </w:pPr>
    </w:p>
    <w:bookmarkStart w:id="60" w:name="page61"/>
    <w:bookmarkEnd w:id="60"/>
    <w:p>
      <w:pPr>
        <w:ind w:left="10360"/>
        <w:spacing w:after="0"/>
        <w:rPr>
          <w:sz w:val="20"/>
          <w:szCs w:val="20"/>
          <w:color w:val="auto"/>
        </w:rPr>
      </w:pPr>
      <w:r>
        <w:rPr>
          <w:rFonts w:ascii="Arial" w:cs="Arial" w:eastAsia="Arial" w:hAnsi="Arial"/>
          <w:sz w:val="15"/>
          <w:szCs w:val="15"/>
          <w:b w:val="1"/>
          <w:bCs w:val="1"/>
          <w:color w:val="auto"/>
        </w:rPr>
        <w:t>Exhibit 32.1</w:t>
      </w:r>
    </w:p>
    <w:p>
      <w:pPr>
        <w:spacing w:after="0" w:line="240" w:lineRule="exact"/>
        <w:rPr>
          <w:sz w:val="20"/>
          <w:szCs w:val="20"/>
          <w:color w:val="auto"/>
        </w:rPr>
      </w:pPr>
    </w:p>
    <w:p>
      <w:pPr>
        <w:jc w:val="center"/>
        <w:spacing w:after="0" w:line="287" w:lineRule="auto"/>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 AS ADOPTED PURSUANT TO SECTION 906 OF THE SARBANES-OXLEY ACT OF 2002</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5" w:lineRule="exact"/>
        <w:rPr>
          <w:sz w:val="20"/>
          <w:szCs w:val="20"/>
          <w:color w:val="auto"/>
        </w:rPr>
      </w:pPr>
    </w:p>
    <w:p>
      <w:pPr>
        <w:ind w:right="300" w:firstLine="3"/>
        <w:spacing w:after="0" w:line="279" w:lineRule="auto"/>
        <w:tabs>
          <w:tab w:leader="none" w:pos="6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2023 (the “Report”) fully complies with the requirements of Section 13(a) or 15(d) of the Securities Exchange Act of 1934; and</w:t>
      </w:r>
    </w:p>
    <w:p>
      <w:pPr>
        <w:spacing w:after="0" w:line="164" w:lineRule="exact"/>
        <w:rPr>
          <w:rFonts w:ascii="Arial" w:cs="Arial" w:eastAsia="Arial" w:hAnsi="Arial"/>
          <w:sz w:val="17"/>
          <w:szCs w:val="17"/>
          <w:color w:val="auto"/>
        </w:rPr>
      </w:pPr>
    </w:p>
    <w:p>
      <w:pPr>
        <w:ind w:right="660" w:firstLine="3"/>
        <w:spacing w:after="0" w:line="533" w:lineRule="auto"/>
        <w:tabs>
          <w:tab w:leader="none" w:pos="6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November 6, 2023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1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1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B. Weinstock</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2023-11-07T05:29:55Z</dcterms:created>
  <dcterms:modified xsi:type="dcterms:W3CDTF">2023-11-07T05:29:55Z</dcterms:modified>
</cp:coreProperties>
</file>