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163195</wp:posOffset>
            </wp:positionV>
            <wp:extent cx="3077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323215</wp:posOffset>
            </wp:positionV>
            <wp:extent cx="3077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ended March 31, 2020</w:t>
      </w:r>
    </w:p>
    <w:p>
      <w:pPr>
        <w:spacing w:after="0" w:line="132"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320" w:top="233" w:right="31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6060" w:space="560"/>
            <w:col w:w="4640"/>
          </w:cols>
          <w:pgMar w:left="320" w:top="233" w:right="319" w:bottom="1440" w:gutter="0" w:footer="0" w:header="0"/>
          <w:type w:val="continuous"/>
        </w:sectPr>
      </w:pP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189230</wp:posOffset>
            </wp:positionV>
            <wp:extent cx="3077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0" w:type="dxa"/>
        <w:tblCellMar>
          <w:top w:w="0" w:type="dxa"/>
          <w:left w:w="0" w:type="dxa"/>
          <w:bottom w:w="0" w:type="dxa"/>
          <w:right w:w="0" w:type="dxa"/>
        </w:tblCellMar>
      </w:tblPr>
      <w:tr>
        <w:trPr>
          <w:trHeight w:val="373"/>
        </w:trPr>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29"/>
                <w:szCs w:val="29"/>
                <w:b w:val="1"/>
                <w:bCs w:val="1"/>
                <w:color w:val="auto"/>
                <w:w w:val="96"/>
              </w:rPr>
              <w:t>ESSENT GROUP LTD.</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6"/>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0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(Exact name of registrant as specified in its charter)</w:t>
            </w:r>
          </w:p>
        </w:tc>
        <w:tc>
          <w:tcPr>
            <w:tcW w:w="5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49"/>
        </w:trPr>
        <w:tc>
          <w:tcPr>
            <w:tcW w:w="3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0" w:type="dxa"/>
            <w:vAlign w:val="bottom"/>
          </w:tcPr>
          <w:p>
            <w:pPr>
              <w:spacing w:after="0"/>
              <w:rPr>
                <w:sz w:val="21"/>
                <w:szCs w:val="21"/>
                <w:color w:val="auto"/>
              </w:rPr>
            </w:pPr>
          </w:p>
        </w:tc>
      </w:tr>
      <w:tr>
        <w:trPr>
          <w:trHeight w:val="568"/>
        </w:trPr>
        <w:tc>
          <w:tcPr>
            <w:tcW w:w="3800" w:type="dxa"/>
            <w:vAlign w:val="bottom"/>
            <w:gridSpan w:val="2"/>
          </w:tcPr>
          <w:p>
            <w:pPr>
              <w:jc w:val="center"/>
              <w:ind w:left="1536"/>
              <w:spacing w:after="0"/>
              <w:rPr>
                <w:sz w:val="20"/>
                <w:szCs w:val="20"/>
                <w:color w:val="auto"/>
              </w:rPr>
            </w:pPr>
            <w:r>
              <w:rPr>
                <w:rFonts w:ascii="Arial" w:cs="Arial" w:eastAsia="Arial" w:hAnsi="Arial"/>
                <w:sz w:val="16"/>
                <w:szCs w:val="16"/>
                <w:b w:val="1"/>
                <w:bCs w:val="1"/>
                <w:color w:val="auto"/>
                <w:w w:val="95"/>
              </w:rPr>
              <w:t>Bermuda</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2"/>
          </w:tcPr>
          <w:p>
            <w:pPr>
              <w:jc w:val="center"/>
              <w:ind w:right="1590"/>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3800" w:type="dxa"/>
            <w:vAlign w:val="bottom"/>
            <w:gridSpan w:val="2"/>
          </w:tcPr>
          <w:p>
            <w:pPr>
              <w:jc w:val="center"/>
              <w:ind w:left="1516"/>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60" w:type="dxa"/>
            <w:vAlign w:val="bottom"/>
            <w:gridSpan w:val="2"/>
          </w:tcPr>
          <w:p>
            <w:pPr>
              <w:jc w:val="center"/>
              <w:ind w:right="1570"/>
              <w:spacing w:after="0"/>
              <w:rPr>
                <w:sz w:val="20"/>
                <w:szCs w:val="20"/>
                <w:color w:val="auto"/>
              </w:rPr>
            </w:pPr>
            <w:r>
              <w:rPr>
                <w:rFonts w:ascii="Arial" w:cs="Arial" w:eastAsia="Arial" w:hAnsi="Arial"/>
                <w:sz w:val="16"/>
                <w:szCs w:val="16"/>
                <w:color w:val="auto"/>
                <w:w w:val="93"/>
              </w:rPr>
              <w:t>(I.R.S. Employer</w:t>
            </w:r>
          </w:p>
        </w:tc>
      </w:tr>
      <w:tr>
        <w:trPr>
          <w:trHeight w:val="206"/>
        </w:trPr>
        <w:tc>
          <w:tcPr>
            <w:tcW w:w="3800" w:type="dxa"/>
            <w:vAlign w:val="bottom"/>
            <w:gridSpan w:val="2"/>
          </w:tcPr>
          <w:p>
            <w:pPr>
              <w:jc w:val="center"/>
              <w:ind w:left="1536"/>
              <w:spacing w:after="0"/>
              <w:rPr>
                <w:sz w:val="20"/>
                <w:szCs w:val="20"/>
                <w:color w:val="auto"/>
              </w:rPr>
            </w:pPr>
            <w:r>
              <w:rPr>
                <w:rFonts w:ascii="Arial" w:cs="Arial" w:eastAsia="Arial" w:hAnsi="Arial"/>
                <w:sz w:val="16"/>
                <w:szCs w:val="16"/>
                <w:color w:val="auto"/>
                <w:w w:val="93"/>
              </w:rPr>
              <w:t>incorporation or organization)</w:t>
            </w:r>
          </w:p>
        </w:tc>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60" w:type="dxa"/>
            <w:vAlign w:val="bottom"/>
            <w:gridSpan w:val="2"/>
          </w:tcPr>
          <w:p>
            <w:pPr>
              <w:jc w:val="center"/>
              <w:ind w:right="1570"/>
              <w:spacing w:after="0"/>
              <w:rPr>
                <w:sz w:val="20"/>
                <w:szCs w:val="20"/>
                <w:color w:val="auto"/>
              </w:rPr>
            </w:pPr>
            <w:r>
              <w:rPr>
                <w:rFonts w:ascii="Arial" w:cs="Arial" w:eastAsia="Arial" w:hAnsi="Arial"/>
                <w:sz w:val="16"/>
                <w:szCs w:val="16"/>
                <w:color w:val="auto"/>
                <w:w w:val="95"/>
              </w:rPr>
              <w:t>Identification Number)</w:t>
            </w:r>
          </w:p>
        </w:tc>
      </w:tr>
      <w:tr>
        <w:trPr>
          <w:trHeight w:val="208"/>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Clarendon House</w:t>
            </w:r>
          </w:p>
        </w:tc>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189"/>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2 Church Street</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Hamilton HM11, Bermuda</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85"/>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(Address of principal executive offices and zip code)</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20" w:type="dxa"/>
            <w:vAlign w:val="bottom"/>
            <w:gridSpan w:val="2"/>
          </w:tcPr>
          <w:p>
            <w:pPr>
              <w:jc w:val="center"/>
              <w:ind w:left="246"/>
              <w:spacing w:after="0"/>
              <w:rPr>
                <w:sz w:val="20"/>
                <w:szCs w:val="20"/>
                <w:color w:val="auto"/>
              </w:rPr>
            </w:pPr>
            <w:r>
              <w:rPr>
                <w:rFonts w:ascii="Arial" w:cs="Arial" w:eastAsia="Arial" w:hAnsi="Arial"/>
                <w:sz w:val="16"/>
                <w:szCs w:val="16"/>
                <w:b w:val="1"/>
                <w:bCs w:val="1"/>
                <w:color w:val="auto"/>
                <w:w w:val="93"/>
              </w:rPr>
              <w:t>(441) 297-9901</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06"/>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(Registrant’s telephone number, including area code)</w:t>
            </w:r>
          </w:p>
        </w:tc>
        <w:tc>
          <w:tcPr>
            <w:tcW w:w="5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398"/>
        </w:trPr>
        <w:tc>
          <w:tcPr>
            <w:tcW w:w="7500" w:type="dxa"/>
            <w:vAlign w:val="bottom"/>
            <w:gridSpan w:val="5"/>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35"/>
        </w:trPr>
        <w:tc>
          <w:tcPr>
            <w:tcW w:w="38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gridSpan w:val="2"/>
          </w:tcPr>
          <w:p>
            <w:pPr>
              <w:spacing w:after="0"/>
              <w:rPr>
                <w:sz w:val="11"/>
                <w:szCs w:val="11"/>
                <w:color w:val="auto"/>
              </w:rPr>
            </w:pPr>
          </w:p>
        </w:tc>
      </w:tr>
      <w:tr>
        <w:trPr>
          <w:trHeight w:val="217"/>
        </w:trPr>
        <w:tc>
          <w:tcPr>
            <w:tcW w:w="3800" w:type="dxa"/>
            <w:vAlign w:val="bottom"/>
            <w:tcBorders>
              <w:left w:val="single" w:sz="8" w:color="auto"/>
            </w:tcBorders>
            <w:gridSpan w:val="2"/>
          </w:tcPr>
          <w:p>
            <w:pPr>
              <w:jc w:val="center"/>
              <w:ind w:left="296"/>
              <w:spacing w:after="0"/>
              <w:rPr>
                <w:sz w:val="20"/>
                <w:szCs w:val="20"/>
                <w:color w:val="auto"/>
              </w:rPr>
            </w:pPr>
            <w:r>
              <w:rPr>
                <w:rFonts w:ascii="Arial" w:cs="Arial" w:eastAsia="Arial" w:hAnsi="Arial"/>
                <w:sz w:val="16"/>
                <w:szCs w:val="16"/>
                <w:b w:val="1"/>
                <w:bCs w:val="1"/>
                <w:color w:val="auto"/>
                <w:w w:val="88"/>
              </w:rPr>
              <w:t>Title of each class</w:t>
            </w:r>
          </w:p>
        </w:tc>
        <w:tc>
          <w:tcPr>
            <w:tcW w:w="3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80" w:type="dxa"/>
            <w:vAlign w:val="bottom"/>
          </w:tcPr>
          <w:p>
            <w:pPr>
              <w:spacing w:after="0"/>
              <w:rPr>
                <w:sz w:val="18"/>
                <w:szCs w:val="18"/>
                <w:color w:val="auto"/>
              </w:rPr>
            </w:pPr>
          </w:p>
        </w:tc>
        <w:tc>
          <w:tcPr>
            <w:tcW w:w="37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800" w:type="dxa"/>
            <w:vAlign w:val="bottom"/>
            <w:tcBorders>
              <w:left w:val="single" w:sz="8" w:color="auto"/>
              <w:bottom w:val="single" w:sz="8" w:color="auto"/>
            </w:tcBorders>
            <w:gridSpan w:val="2"/>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tcBorders>
            <w:gridSpan w:val="2"/>
          </w:tcPr>
          <w:p>
            <w:pPr>
              <w:jc w:val="center"/>
              <w:ind w:left="296"/>
              <w:spacing w:after="0"/>
              <w:rPr>
                <w:sz w:val="20"/>
                <w:szCs w:val="20"/>
                <w:color w:val="auto"/>
              </w:rPr>
            </w:pPr>
            <w:r>
              <w:rPr>
                <w:rFonts w:ascii="Arial" w:cs="Arial" w:eastAsia="Arial" w:hAnsi="Arial"/>
                <w:sz w:val="18"/>
                <w:szCs w:val="18"/>
                <w:color w:val="auto"/>
                <w:w w:val="89"/>
              </w:rPr>
              <w:t>Common Shares, $0.015 par value</w:t>
            </w:r>
          </w:p>
        </w:tc>
        <w:tc>
          <w:tcPr>
            <w:tcW w:w="38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20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107" w:lineRule="exact"/>
        <w:rPr>
          <w:sz w:val="24"/>
          <w:szCs w:val="24"/>
          <w:color w:val="auto"/>
        </w:rPr>
      </w:pPr>
    </w:p>
    <w:p>
      <w:pPr>
        <w:jc w:val="both"/>
        <w:ind w:right="80" w:firstLine="55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55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180" w:firstLine="55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46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80" w:firstLine="553"/>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4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May 1, 2020 was 98,623,303.</w:t>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6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Item 1.</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Statements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Condensed Consolidated Balance Sheets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Condensed Consolidated Statements of Comprehensive Income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Condensed Consolidated Statements of Changes in Stockholders’ Equity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Condensed Consolidated Statements of Cash Flows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Notes to Condensed Consolidated Financial Statements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2.</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24</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Item 3.</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Quantitative and Qualitative Disclosures About Market Risk</w:t>
              </w:r>
            </w:hyperlink>
          </w:p>
        </w:tc>
        <w:tc>
          <w:tcPr>
            <w:tcW w:w="148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44</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Item 4.</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Controls and Procedures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44</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PART II.</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OTHER INFORMATION</w:t>
              </w:r>
            </w:hyperlink>
          </w:p>
        </w:tc>
        <w:tc>
          <w:tcPr>
            <w:tcW w:w="14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45</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Item 1.</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Legal Proceedings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45</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Item 1A.</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Risk Factors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45</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Item 2.</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Unregistered Sales of Equity Securities and Use of Proceeds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47</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Item 6.</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Exhibits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SIGNATURES</w:t>
              </w:r>
            </w:hyperlink>
          </w:p>
        </w:tc>
        <w:tc>
          <w:tcPr>
            <w:tcW w:w="83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2019 filed with the Securities and Exchange Commission. These factors include, without limitation, the following:</w:t>
      </w:r>
    </w:p>
    <w:p>
      <w:pPr>
        <w:spacing w:after="0" w:line="178" w:lineRule="exact"/>
        <w:rPr>
          <w:sz w:val="20"/>
          <w:szCs w:val="20"/>
          <w:color w:val="auto"/>
        </w:rPr>
      </w:pPr>
    </w:p>
    <w:p>
      <w:pPr>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duration, spread and severity of the COVID-19 outbreak,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16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2020 — $3,061,177; 2019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7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$2,967,225)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3,110,362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3,035,385</w:t>
            </w:r>
          </w:p>
        </w:tc>
      </w:tr>
      <w:tr>
        <w:trPr>
          <w:trHeight w:val="229"/>
        </w:trPr>
        <w:tc>
          <w:tcPr>
            <w:tcW w:w="8000" w:type="dxa"/>
            <w:vAlign w:val="bottom"/>
            <w:gridSpan w:val="2"/>
          </w:tcPr>
          <w:p>
            <w:pPr>
              <w:ind w:left="280"/>
              <w:spacing w:after="0"/>
              <w:rPr>
                <w:sz w:val="20"/>
                <w:szCs w:val="20"/>
                <w:color w:val="auto"/>
              </w:rPr>
            </w:pPr>
            <w:r>
              <w:rPr>
                <w:rFonts w:ascii="Arial" w:cs="Arial" w:eastAsia="Arial" w:hAnsi="Arial"/>
                <w:sz w:val="18"/>
                <w:szCs w:val="18"/>
                <w:color w:val="auto"/>
                <w:w w:val="98"/>
              </w:rPr>
              <w:t>Short-term investments available for sale, at fair value (amortized cost: 2020 — $595,173; 2019 —</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80" w:type="dxa"/>
            <w:vAlign w:val="bottom"/>
          </w:tcPr>
          <w:p>
            <w:pPr>
              <w:ind w:left="520"/>
              <w:spacing w:after="0"/>
              <w:rPr>
                <w:sz w:val="20"/>
                <w:szCs w:val="20"/>
                <w:color w:val="auto"/>
              </w:rPr>
            </w:pPr>
            <w:r>
              <w:rPr>
                <w:rFonts w:ascii="Arial" w:cs="Arial" w:eastAsia="Arial" w:hAnsi="Arial"/>
                <w:sz w:val="18"/>
                <w:szCs w:val="18"/>
                <w:color w:val="auto"/>
              </w:rPr>
              <w:t>$315,360)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595,165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315,362</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3,350,747</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78,873</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3,780,907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3,429,620</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31,055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71,350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40,655</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w w:val="94"/>
              </w:rPr>
              <w:t>Property and equipment (at cost, less accumulated depreciation of $58,517 in 2020 and $57,639 in 2019)</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17,308</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261,885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18,367</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0"/>
        </w:trPr>
        <w:tc>
          <w:tcPr>
            <w:tcW w:w="7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69,362</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264,134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278,887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249,620</w:t>
            </w:r>
          </w:p>
        </w:tc>
      </w:tr>
      <w:tr>
        <w:trPr>
          <w:trHeight w:val="229"/>
        </w:trPr>
        <w:tc>
          <w:tcPr>
            <w:tcW w:w="8000" w:type="dxa"/>
            <w:vAlign w:val="bottom"/>
            <w:gridSpan w:val="2"/>
          </w:tcPr>
          <w:p>
            <w:pPr>
              <w:ind w:left="280"/>
              <w:spacing w:after="0"/>
              <w:rPr>
                <w:sz w:val="20"/>
                <w:szCs w:val="20"/>
                <w:color w:val="auto"/>
              </w:rPr>
            </w:pPr>
            <w:r>
              <w:rPr>
                <w:rFonts w:ascii="Arial" w:cs="Arial" w:eastAsia="Arial" w:hAnsi="Arial"/>
                <w:sz w:val="18"/>
                <w:szCs w:val="18"/>
                <w:color w:val="auto"/>
                <w:w w:val="94"/>
              </w:rPr>
              <w:t>Credit facility borrowings (at carrying value, less unamortized deferred costs of $620 in 2020 and $763</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00" w:type="dxa"/>
            <w:vAlign w:val="bottom"/>
            <w:gridSpan w:val="2"/>
          </w:tcPr>
          <w:p>
            <w:pPr>
              <w:ind w:left="520"/>
              <w:spacing w:after="0"/>
              <w:rPr>
                <w:sz w:val="20"/>
                <w:szCs w:val="20"/>
                <w:color w:val="auto"/>
              </w:rPr>
            </w:pPr>
            <w:r>
              <w:rPr>
                <w:rFonts w:ascii="Arial" w:cs="Arial" w:eastAsia="Arial" w:hAnsi="Arial"/>
                <w:sz w:val="18"/>
                <w:szCs w:val="18"/>
                <w:color w:val="auto"/>
              </w:rPr>
              <w:t>in 2019)</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424,380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224,237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66,474</w:t>
            </w:r>
          </w:p>
        </w:tc>
      </w:tr>
      <w:tr>
        <w:trPr>
          <w:trHeight w:val="237"/>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1,079,860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888,580</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shares, $0.015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6"/>
              </w:rPr>
              <w:t>Authorized - 233,333; issued and outstanding - 98,602 shares in 2020 and 98,394 shares in 2019</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1,476</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1,118,655</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56,187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1,942,196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1,808,527</w:t>
            </w:r>
          </w:p>
        </w:tc>
      </w:tr>
      <w:tr>
        <w:trPr>
          <w:trHeight w:val="236"/>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3,107,074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2,984,845</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191,743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177,644</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206,496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177,791</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19,880</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r>
      <w:tr>
        <w:trPr>
          <w:trHeight w:val="237"/>
        </w:trPr>
        <w:tc>
          <w:tcPr>
            <w:tcW w:w="80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228,840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200,526</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41,947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41,030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r>
      <w:tr>
        <w:trPr>
          <w:trHeight w:val="237"/>
        </w:trPr>
        <w:tc>
          <w:tcPr>
            <w:tcW w:w="80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52,142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50,807</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0"/>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176,698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149,719</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21,999</w:t>
            </w:r>
          </w:p>
        </w:tc>
      </w:tr>
      <w:tr>
        <w:trPr>
          <w:trHeight w:val="297"/>
        </w:trPr>
        <w:tc>
          <w:tcPr>
            <w:tcW w:w="80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149,523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127,720</w:t>
            </w:r>
          </w:p>
        </w:tc>
      </w:tr>
      <w:tr>
        <w:trPr>
          <w:trHeight w:val="270"/>
        </w:trPr>
        <w:tc>
          <w:tcPr>
            <w:tcW w:w="7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97,595</w:t>
            </w: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98,326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98,104</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149,523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127,720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3"/>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Change in unrealized (depreciation) appreciation of investments, net of tax (benefit) expense of ($6,979)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in 2020 and $7,951 in 2019</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38,366</w:t>
            </w:r>
          </w:p>
        </w:tc>
      </w:tr>
      <w:tr>
        <w:trPr>
          <w:trHeight w:val="237"/>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38,366</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139,449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166,086</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9"/>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Cancellation of treasury stock</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w:t>
            </w:r>
          </w:p>
        </w:tc>
      </w:tr>
      <w:tr>
        <w:trPr>
          <w:trHeight w:val="115"/>
        </w:trPr>
        <w:tc>
          <w:tcPr>
            <w:tcW w:w="7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1,118,655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1,110,800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Cancellation of treasury stock</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(8,097)</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1,117,286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1,106,797</w:t>
            </w:r>
          </w:p>
        </w:tc>
      </w:tr>
      <w:tr>
        <w:trPr>
          <w:trHeight w:val="115"/>
        </w:trPr>
        <w:tc>
          <w:tcPr>
            <w:tcW w:w="7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56,187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38,366</w:t>
            </w: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46,113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9,373</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15"/>
        </w:trPr>
        <w:tc>
          <w:tcPr>
            <w:tcW w:w="7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 Earnings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1,808,527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1,282,438</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127,720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1,942,196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1,410,158</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15"/>
        </w:trPr>
        <w:tc>
          <w:tcPr>
            <w:tcW w:w="7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Treasury Stock</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8,100</w:t>
            </w: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15"/>
        </w:trPr>
        <w:tc>
          <w:tcPr>
            <w:tcW w:w="7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64"/>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3,107,074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2,527,803</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36"/>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149,523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127,720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loss (income)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Distribution of income from other invested assets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4,780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4,100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17,047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15,447</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3,979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(17,303)</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138,682</w:t>
            </w:r>
          </w:p>
        </w:tc>
      </w:tr>
      <w:tr>
        <w:trPr>
          <w:trHeight w:val="155"/>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(279,803)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(56,422)</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(192,530)</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29,472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17,014</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79,714</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(1,983)</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(155,039)</w:t>
            </w:r>
          </w:p>
        </w:tc>
      </w:tr>
      <w:tr>
        <w:trPr>
          <w:trHeight w:val="155"/>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r>
      <w:tr>
        <w:trPr>
          <w:trHeight w:val="155"/>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(24,457)</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71,350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64,946</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40,489</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r>
      <w:tr>
        <w:trPr>
          <w:trHeight w:val="33"/>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17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2019,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2020 prior to the issuance of these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During 2020</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accounting for insurance losses and loss adjustment expenses ("LAE") are not within the scope of this ASU. The provisions of this update were effective for annual and interim periods beginning after December 15, 2019 and we adopted this standard on January 1, 2020 using the modified retrospective approach. The adoption of this ASU did not have a material effect on the Company's consolidated operating results or financial position.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were effective for interim and annual periods beginning after December 15, 2019, with early adoption permitted for the removed disclosures. We adopted this standard on January 1, 2020. The adoption of this ASU did not have a material impact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in this update provide temporary optional guidance to ease the potential burden in accounting for (or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reference rate reform. It provides optional expedients and exceptions for applying generally accepted accounting principles to contract, hedging relationships and other transactions affected by reference rate reform if certain criteria are met. The amendments in this update are effective as of March 12, 2020 through December 31, 2022. The Company is evaluating the impact the adoption of this ASU will have on our consolidated operating results and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2020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235,565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876,298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398,245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419,688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880,944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879,503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275,532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352,637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337,675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3,656,350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97,749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3,705,527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3"/>
                <w:szCs w:val="23"/>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339,511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856,638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326,589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3,282,585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74,231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21.3</w:t>
            </w:r>
          </w:p>
        </w:tc>
      </w:tr>
      <w:tr>
        <w:trPr>
          <w:trHeight w:val="27"/>
        </w:trPr>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Tax allocation bonds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0.8</w:t>
            </w:r>
          </w:p>
        </w:tc>
      </w:tr>
      <w:tr>
        <w:trPr>
          <w:trHeight w:val="27"/>
        </w:trPr>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96"/>
        </w:trPr>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20.1</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Consumer, cyclical</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7.6</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6.2</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Basic materials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4.1</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w:t>
            </w:r>
          </w:p>
        </w:tc>
      </w:tr>
      <w:tr>
        <w:trPr>
          <w:trHeight w:val="257"/>
        </w:trPr>
        <w:tc>
          <w:tcPr>
            <w:tcW w:w="81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73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5" w:right="359" w:bottom="73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2020,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9"/>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732"/>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72,085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72,752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66,770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72,529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224,192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235,565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21,074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205,608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216,334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398,245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24,229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51,937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150,962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151,107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277,323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274,528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880,944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879,503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838,547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876,298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281,061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352,637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337,675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595,173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595,165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3,656,350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3,705,527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gridSpan w:val="2"/>
            <w:vMerge w:val="restart"/>
          </w:tcPr>
          <w:p>
            <w:pPr>
              <w:ind w:left="640"/>
              <w:spacing w:after="0"/>
              <w:rPr>
                <w:sz w:val="20"/>
                <w:szCs w:val="20"/>
                <w:color w:val="auto"/>
              </w:rPr>
            </w:pPr>
            <w:r>
              <w:rPr>
                <w:rFonts w:ascii="Arial" w:cs="Arial" w:eastAsia="Arial" w:hAnsi="Arial"/>
                <w:sz w:val="18"/>
                <w:szCs w:val="18"/>
                <w:color w:val="auto"/>
                <w:w w:val="89"/>
              </w:rPr>
              <w:t>Gross gains and losses realized on the sale of investments available for sale were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632"/>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Realized gross gains</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Realized gross losses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2020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331,951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333,374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213,185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69,388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758,982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76,714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835,696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83,013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109,536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188,349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682,764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At March 31, 2020 and December 31, 2019, we held 601 and 365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2020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March 31, 2020 had investment grade ratings. For certain mortgage and asset-backed securities, we reviewed the available credit enhancement for the security, noting that each lot reviewed had enhancement available in the form of subordinated tranches and concluded that a credit loss had not been incurred as of March 31, 2020. For certain corporate debt securities, we obtained the current business outlook for the issuers from our investment managers, including whether an issuer's ability to make scheduled principal and interest payments had been impaired as of March 31, 2020. For the issuers reviewed, we concluded that their ability to make their scheduled principal and interest payments was not impaired as of March 31, 2020 and that a credit loss had not been incurred. Accordingly, we concluded that the decline in the market values experienced at March 31, 2020 was largely due to widening of credit spreads associated with COVID-19 along with a decline in trading activity for certain security types rather than due to credit impairment. To support our assessment, we obtained April 2020 fair values for the securities individually reviewed, noting that the fair value of virtually all those reviewed had increased since March 31, 2020. There was no other-than-temporary impairment recorded by the Company in the three months ended March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other invested assets at March 31, 2020 and December 31, 2019 totaled $75.4 million and $78.9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$9.9 million at March 31, 2020 and $9.4 million at December 31, 2019. In connection with its insurance and reinsurance activities, Essent Re is required to maintain assets in trusts for the benefit of its contractual counterparties. The fair value of the investments on deposit in these trusts was $872.7 million at March 31, 2020 and $805.5 million at December 31, 2019. Essent Guaranty is required to maintain assets on deposit in connection with its fully collateralized reinsurance agreements (see Note 4). The fair value of the assets on deposit was $8.5 million at March 31, 2020 and $6.4 million at December 31, 2019. Essent Guaranty is also required to maintain assets on deposit for the benefit of the sponsor of a fixed income investment commitment. The fair value of the assets on deposit was $6.4 million at March 31, 2020 and $6.4 million at December 31,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19,743</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1,058</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20,801</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79"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r>
      <w:tr>
        <w:trPr>
          <w:trHeight w:val="258"/>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205,980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183,682</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 (1)</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r>
      <w:tr>
        <w:trPr>
          <w:trHeight w:val="297"/>
        </w:trPr>
        <w:tc>
          <w:tcPr>
            <w:tcW w:w="7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191,743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177,644</w:t>
            </w:r>
          </w:p>
        </w:tc>
      </w:tr>
      <w:tr>
        <w:trPr>
          <w:trHeight w:val="311"/>
        </w:trPr>
        <w:tc>
          <w:tcPr>
            <w:tcW w:w="7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220,733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183,829</w:t>
            </w: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Ceded (1)</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(6,038)</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206,496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177,791</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$1.9 billion as of March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72"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March 31, 2020: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Vintage Year</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Reinsurer</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Optional Termination Date</w:t>
            </w:r>
          </w:p>
        </w:tc>
        <w:tc>
          <w:tcPr>
            <w:tcW w:w="600" w:type="dxa"/>
            <w:vAlign w:val="bottom"/>
            <w:tcBorders>
              <w:bottom w:val="single" w:sz="8" w:color="auto"/>
            </w:tcBorders>
          </w:tcPr>
          <w:p>
            <w:pPr>
              <w:spacing w:after="0"/>
              <w:rPr>
                <w:sz w:val="16"/>
                <w:szCs w:val="16"/>
                <w:color w:val="auto"/>
              </w:rPr>
            </w:pPr>
          </w:p>
        </w:tc>
      </w:tr>
      <w:tr>
        <w:trPr>
          <w:trHeight w:val="250"/>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June 25, 2024</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91"/>
              </w:rPr>
              <w:t>March 25, 2023</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October 1, 2023</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91"/>
              </w:rPr>
              <w:t>February 25, 2026</w:t>
            </w:r>
          </w:p>
        </w:tc>
        <w:tc>
          <w:tcPr>
            <w:tcW w:w="600" w:type="dxa"/>
            <w:vAlign w:val="bottom"/>
          </w:tcPr>
          <w:p>
            <w:pPr>
              <w:spacing w:after="0"/>
              <w:rPr>
                <w:sz w:val="21"/>
                <w:szCs w:val="2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February 25, 2026</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87"/>
              </w:rPr>
              <w:t>January 25, 2027</w:t>
            </w:r>
          </w:p>
        </w:tc>
        <w:tc>
          <w:tcPr>
            <w:tcW w:w="600" w:type="dxa"/>
            <w:vAlign w:val="bottom"/>
          </w:tcPr>
          <w:p>
            <w:pPr>
              <w:spacing w:after="0"/>
              <w:rPr>
                <w:sz w:val="21"/>
                <w:szCs w:val="2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January 25, 2027</w:t>
            </w:r>
          </w:p>
        </w:tc>
        <w:tc>
          <w:tcPr>
            <w:tcW w:w="600" w:type="dxa"/>
            <w:vAlign w:val="bottom"/>
            <w:shd w:val="clear" w:color="auto" w:fill="CCEEFF"/>
          </w:tcPr>
          <w:p>
            <w:pPr>
              <w:spacing w:after="0"/>
              <w:rPr>
                <w:sz w:val="21"/>
                <w:szCs w:val="2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coverages and retentions as of March 31, 2020:</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Arial" w:cs="Arial" w:eastAsia="Arial" w:hAnsi="Arial"/>
                <w:sz w:val="14"/>
                <w:szCs w:val="14"/>
                <w:b w:val="1"/>
                <w:bCs w:val="1"/>
                <w:color w:val="auto"/>
              </w:rPr>
              <w:t>Remaining</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Reinsurance in Force</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Vintage Year</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Insurance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Risk</w:t>
            </w:r>
          </w:p>
        </w:tc>
        <w:tc>
          <w:tcPr>
            <w:tcW w:w="36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ILN</w:t>
            </w:r>
          </w:p>
        </w:tc>
        <w:tc>
          <w:tcPr>
            <w:tcW w:w="220" w:type="dxa"/>
            <w:vAlign w:val="bottom"/>
          </w:tcPr>
          <w:p>
            <w:pPr>
              <w:spacing w:after="0"/>
              <w:rPr>
                <w:sz w:val="12"/>
                <w:szCs w:val="12"/>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4"/>
              </w:rPr>
              <w:t>Other Reinsurance</w:t>
            </w:r>
          </w:p>
        </w:tc>
        <w:tc>
          <w:tcPr>
            <w:tcW w:w="94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Force</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25,025,497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6,762,026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244,105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208,111</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26,279,318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6,665,183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280,180</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(4)</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445,347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221,852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31,375,687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7,923,964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377,509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87,941</w:t>
            </w:r>
          </w:p>
        </w:tc>
        <w:tc>
          <w:tcPr>
            <w:tcW w:w="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(5)</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253,081</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34,916,398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8,826,958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495,889</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55,102</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(6)</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215,605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117,596,900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30,178,131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1,397,683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308,210</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1,705,893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898,649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7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following table presents total assets of each Radnor Re special purpose insurer as well as our maximum exposure to loss associated with each Radnor Re entity, representing the fair value of the embedded derivative included in other assets (other accrued liabilities) on our condensed consolidated balance sheet and the estimated net present value of investment earnings on the assets in the reinsurance trust, each as of March 31, 2020:</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Maximum Exposure to Loss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Off - Balance Sheet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377,509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495,889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6,059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4,141</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1,397,683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4,855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r>
      <w:tr>
        <w:trPr>
          <w:trHeight w:val="22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11,828</w:t>
            </w:r>
          </w:p>
        </w:tc>
      </w:tr>
      <w:tr>
        <w:trPr>
          <w:trHeight w:val="243"/>
        </w:trPr>
        <w:tc>
          <w:tcPr>
            <w:tcW w:w="798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(4,721)</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7,107</w:t>
            </w:r>
          </w:p>
        </w:tc>
      </w:tr>
      <w:tr>
        <w:trPr>
          <w:trHeight w:val="22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43"/>
        </w:trPr>
        <w:tc>
          <w:tcPr>
            <w:tcW w:w="798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3,072</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3,087</w:t>
            </w:r>
          </w:p>
        </w:tc>
      </w:tr>
      <w:tr>
        <w:trPr>
          <w:trHeight w:val="237"/>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53,484</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53,484</w:t>
            </w:r>
          </w:p>
        </w:tc>
      </w:tr>
      <w:tr>
        <w:trPr>
          <w:trHeight w:val="67"/>
        </w:trPr>
        <w:tc>
          <w:tcPr>
            <w:tcW w:w="7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7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4,096</w:t>
            </w:r>
          </w:p>
        </w:tc>
      </w:tr>
    </w:tbl>
    <w:p>
      <w:pPr>
        <w:spacing w:after="0" w:line="200" w:lineRule="exact"/>
        <w:rPr>
          <w:sz w:val="20"/>
          <w:szCs w:val="20"/>
          <w:color w:val="auto"/>
        </w:rPr>
      </w:pPr>
    </w:p>
    <w:p>
      <w:pPr>
        <w:spacing w:after="0" w:line="24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For the three months ended March 31, 2020, $4.1 million was paid for incurred claims and claim adjustment expenses attributable to insured events of prior years. There has been a $7.4 million favorable prior year development during the three months ended March 31, 2020. Reserves remaining as of March 31, 2020 for prior years are $57.8 million as a result of re-estimation of unpaid losses and loss adjustment expenses. For the three months ended March 31, 2019, $3.1 million was paid for incurred claims and claim adjustment expenses attributable to insured events of prior years. There was a $4.7 million favorable prior year development during the three months ended March 31, 2019. Reserves remaining as of March 31, 2019 for prior years were $41.7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Due to business restrictions, stay-at-home orders and travel restrictions implemented as a result of COVID-19, unemployment in the United States has increased significantly. As unemployment is one of the most common reasons for borrowers to default on their mortgage, the increase in unemployment has the potential to increase the number of delinquencies and claim frequencies on the mortgages we insure. We expect to experience increased defaults beginning in the second quarter of 2020. COVID-19 has not materially affected our reserves as of March 31, 2020. The impact on our reserves in future periods will be dependent upon the amount of borrowers that default on their mortgage, our expectations at each reporting date for the losses we will experience on those delinquencies and the ultimate claims we pay.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March 31, 2020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May 17, 2021. As of March 31, 2020, the Company was in compliance with the covenants and $425 million had been borrowed under the Credit Facility with a weighted average interest rate of 2.87%. As of December 31, 2019, $225 million had been borrowed with a weighted average interest rate of 3.51%.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three months ended March 31, 2020 and 2019, respectively. As of March 31, 2020, management believes any potential claims for indemnification related to contract underwriting services through March 31, 2020 are not material to our consolidated financial position or results of operations.</w:t>
      </w:r>
    </w:p>
    <w:p>
      <w:pPr>
        <w:spacing w:after="0" w:line="19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2020,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$9.5 million and $10.0 million as of March 31, 2020 and December 31, 2019, respectively, are reported on our consolidated balance sheet as property and equipment. Operating lease liabilities of $11.9 million and $12.6 million as of March 31, 2020 and December 31, 2019, respectively, are reported on our consolidated balance sheet as other accrued liabilities. Total rent expense was $0.7 million and $0.6 million for the three months ended March 31, 2020 and 2019,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lease cost and other lease information for the three months ended March 31, 2020 and 2019:</w:t>
      </w:r>
    </w:p>
    <w:p>
      <w:pPr>
        <w:spacing w:after="0" w:line="37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58"/>
        </w:trPr>
        <w:tc>
          <w:tcPr>
            <w:tcW w:w="40" w:type="dxa"/>
            <w:vAlign w:val="bottom"/>
            <w:tcBorders>
              <w:bottom w:val="single" w:sz="8" w:color="auto"/>
            </w:tcBorders>
          </w:tcPr>
          <w:p>
            <w:pPr>
              <w:spacing w:after="0"/>
              <w:rPr>
                <w:sz w:val="22"/>
                <w:szCs w:val="22"/>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Lease cost: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3"/>
          </w:tcPr>
          <w:p>
            <w:pPr>
              <w:ind w:left="140"/>
              <w:spacing w:after="0"/>
              <w:rPr>
                <w:sz w:val="20"/>
                <w:szCs w:val="20"/>
                <w:color w:val="auto"/>
              </w:rPr>
            </w:pPr>
            <w:r>
              <w:rPr>
                <w:rFonts w:ascii="Arial" w:cs="Arial" w:eastAsia="Arial" w:hAnsi="Arial"/>
                <w:sz w:val="18"/>
                <w:szCs w:val="18"/>
                <w:color w:val="auto"/>
              </w:rPr>
              <w:t>Operating lease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3"/>
          </w:tcPr>
          <w:p>
            <w:pPr>
              <w:ind w:left="140"/>
              <w:spacing w:after="0"/>
              <w:rPr>
                <w:sz w:val="20"/>
                <w:szCs w:val="20"/>
                <w:color w:val="auto"/>
              </w:rPr>
            </w:pPr>
            <w:r>
              <w:rPr>
                <w:rFonts w:ascii="Arial" w:cs="Arial" w:eastAsia="Arial" w:hAnsi="Arial"/>
                <w:sz w:val="18"/>
                <w:szCs w:val="18"/>
                <w:color w:val="auto"/>
              </w:rPr>
              <w:t>Sublease income</w:t>
            </w:r>
          </w:p>
        </w:tc>
        <w:tc>
          <w:tcPr>
            <w:tcW w:w="340" w:type="dxa"/>
            <w:vAlign w:val="bottom"/>
          </w:tcPr>
          <w:p>
            <w:pPr>
              <w:spacing w:after="0"/>
              <w:rPr>
                <w:sz w:val="21"/>
                <w:szCs w:val="21"/>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601</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3"/>
          </w:tcPr>
          <w:p>
            <w:pPr>
              <w:ind w:left="140"/>
              <w:spacing w:after="0"/>
              <w:rPr>
                <w:sz w:val="20"/>
                <w:szCs w:val="20"/>
                <w:color w:val="auto"/>
              </w:rPr>
            </w:pPr>
            <w:r>
              <w:rPr>
                <w:rFonts w:ascii="Arial" w:cs="Arial" w:eastAsia="Arial" w:hAnsi="Arial"/>
                <w:sz w:val="18"/>
                <w:szCs w:val="18"/>
                <w:color w:val="auto"/>
              </w:rPr>
              <w:t>Weighted average remaining lease term - operating leases</w:t>
            </w:r>
          </w:p>
        </w:tc>
        <w:tc>
          <w:tcPr>
            <w:tcW w:w="340" w:type="dxa"/>
            <w:vAlign w:val="bottom"/>
          </w:tcPr>
          <w:p>
            <w:pPr>
              <w:spacing w:after="0"/>
              <w:rPr>
                <w:sz w:val="21"/>
                <w:szCs w:val="21"/>
                <w:color w:val="auto"/>
              </w:rPr>
            </w:pPr>
          </w:p>
        </w:tc>
        <w:tc>
          <w:tcPr>
            <w:tcW w:w="1180" w:type="dxa"/>
            <w:vAlign w:val="bottom"/>
            <w:gridSpan w:val="3"/>
          </w:tcPr>
          <w:p>
            <w:pPr>
              <w:ind w:left="240"/>
              <w:spacing w:after="0"/>
              <w:rPr>
                <w:sz w:val="20"/>
                <w:szCs w:val="20"/>
                <w:color w:val="auto"/>
              </w:rPr>
            </w:pPr>
            <w:r>
              <w:rPr>
                <w:rFonts w:ascii="Arial" w:cs="Arial" w:eastAsia="Arial" w:hAnsi="Arial"/>
                <w:sz w:val="18"/>
                <w:szCs w:val="18"/>
                <w:color w:val="auto"/>
              </w:rPr>
              <w:t>4.5 years</w:t>
            </w:r>
          </w:p>
        </w:tc>
        <w:tc>
          <w:tcPr>
            <w:tcW w:w="4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5.5 years</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 - 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48"/>
        </w:trPr>
        <w:tc>
          <w:tcPr>
            <w:tcW w:w="40" w:type="dxa"/>
            <w:vAlign w:val="bottom"/>
          </w:tcPr>
          <w:p>
            <w:pPr>
              <w:spacing w:after="0"/>
              <w:rPr>
                <w:sz w:val="24"/>
                <w:szCs w:val="24"/>
                <w:color w:val="auto"/>
              </w:rPr>
            </w:pPr>
          </w:p>
        </w:tc>
        <w:tc>
          <w:tcPr>
            <w:tcW w:w="8240" w:type="dxa"/>
            <w:vAlign w:val="bottom"/>
            <w:gridSpan w:val="3"/>
          </w:tcPr>
          <w:p>
            <w:pPr>
              <w:ind w:left="620"/>
              <w:spacing w:after="0"/>
              <w:rPr>
                <w:sz w:val="20"/>
                <w:szCs w:val="20"/>
                <w:color w:val="auto"/>
              </w:rPr>
            </w:pPr>
            <w:r>
              <w:rPr>
                <w:rFonts w:ascii="Arial" w:cs="Arial" w:eastAsia="Arial" w:hAnsi="Arial"/>
                <w:sz w:val="18"/>
                <w:szCs w:val="18"/>
                <w:color w:val="auto"/>
                <w:w w:val="96"/>
              </w:rPr>
              <w:t>The following table presents a maturity analysis of our lease liabilities as follows at March 31, 2020: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0"/>
        </w:trPr>
        <w:tc>
          <w:tcPr>
            <w:tcW w:w="4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(April 1 through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21"/>
                <w:szCs w:val="2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3,003</w:t>
            </w:r>
          </w:p>
        </w:tc>
        <w:tc>
          <w:tcPr>
            <w:tcW w:w="20" w:type="dxa"/>
            <w:vAlign w:val="bottom"/>
          </w:tcPr>
          <w:p>
            <w:pPr>
              <w:spacing w:after="0"/>
              <w:rPr>
                <w:sz w:val="21"/>
                <w:szCs w:val="2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2,752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2025 and thereafter</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payments to be paid</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Less: Future interest expense</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11,937</w:t>
            </w:r>
          </w:p>
        </w:tc>
        <w:tc>
          <w:tcPr>
            <w:tcW w:w="2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February 2020, the Board of Directors declared a quarterly cash dividend of $0.16 per common share which was paid on March 20, 2020. In May 2020, the Board of Directors declared a quarterly cash dividend of $0.16 per common share payable on June 12, 2020, to shareholders of record on June 2,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Time and Performance-</w:t>
            </w: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Time-Based</w:t>
            </w:r>
          </w:p>
        </w:tc>
        <w:tc>
          <w:tcPr>
            <w:tcW w:w="2000" w:type="dxa"/>
            <w:vAlign w:val="bottom"/>
            <w:gridSpan w:val="4"/>
            <w:vMerge w:val="restart"/>
          </w:tcPr>
          <w:p>
            <w:pPr>
              <w:jc w:val="right"/>
              <w:ind w:right="5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vMerge w:val="restart"/>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Based Share Awards</w:t>
            </w:r>
          </w:p>
        </w:tc>
        <w:tc>
          <w:tcPr>
            <w:tcW w:w="12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Share Awards</w:t>
            </w:r>
          </w:p>
        </w:tc>
        <w:tc>
          <w:tcPr>
            <w:tcW w:w="120" w:type="dxa"/>
            <w:vAlign w:val="bottom"/>
          </w:tcPr>
          <w:p>
            <w:pPr>
              <w:spacing w:after="0"/>
              <w:rPr>
                <w:sz w:val="16"/>
                <w:szCs w:val="16"/>
                <w:color w:val="auto"/>
              </w:rPr>
            </w:pPr>
          </w:p>
        </w:tc>
        <w:tc>
          <w:tcPr>
            <w:tcW w:w="20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47.09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48.21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2020, certain members of senior management were granted nonvested common shares under the Essent Group Ltd. 2013 Long-Term Incentive Plan ("2013 Plan") that were subject to time-based and performance-based vesting. The time-based share awards granted in February 2020 vest in three equal installments on March 1, 2021, 2022 and 2023. The performance-based share awards granted in February 2020 vest based upon our compounded annual book value per share growth percentage during a three-year performance period that commenced on January 1, 2020 and vest on March 1, 2023. The portion of these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6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Compounded Annual Book Value</w:t>
            </w:r>
          </w:p>
        </w:tc>
        <w:tc>
          <w:tcPr>
            <w:tcW w:w="1860" w:type="dxa"/>
            <w:vAlign w:val="bottom"/>
          </w:tcPr>
          <w:p>
            <w:pPr>
              <w:jc w:val="right"/>
              <w:ind w:right="27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020" w:type="dxa"/>
            <w:vAlign w:val="bottom"/>
            <w:gridSpan w:val="2"/>
            <w:vMerge w:val="continue"/>
          </w:tcPr>
          <w:p>
            <w:pPr>
              <w:spacing w:after="0"/>
              <w:rPr>
                <w:sz w:val="16"/>
                <w:szCs w:val="16"/>
                <w:color w:val="auto"/>
              </w:rPr>
            </w:pPr>
          </w:p>
        </w:tc>
        <w:tc>
          <w:tcPr>
            <w:tcW w:w="2360" w:type="dxa"/>
            <w:vAlign w:val="bottom"/>
          </w:tcPr>
          <w:p>
            <w:pPr>
              <w:jc w:val="right"/>
              <w:ind w:right="635"/>
              <w:spacing w:after="0"/>
              <w:rPr>
                <w:sz w:val="20"/>
                <w:szCs w:val="20"/>
                <w:color w:val="auto"/>
              </w:rPr>
            </w:pPr>
            <w:r>
              <w:rPr>
                <w:rFonts w:ascii="Arial" w:cs="Arial" w:eastAsia="Arial" w:hAnsi="Arial"/>
                <w:sz w:val="14"/>
                <w:szCs w:val="14"/>
                <w:b w:val="1"/>
                <w:bCs w:val="1"/>
                <w:color w:val="auto"/>
              </w:rPr>
              <w:t>Per Share Growth</w:t>
            </w:r>
          </w:p>
        </w:tc>
        <w:tc>
          <w:tcPr>
            <w:tcW w:w="1860" w:type="dxa"/>
            <w:vAlign w:val="bottom"/>
          </w:tcPr>
          <w:p>
            <w:pPr>
              <w:jc w:val="right"/>
              <w:ind w:right="43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49"/>
        </w:trPr>
        <w:tc>
          <w:tcPr>
            <w:tcW w:w="68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&lt;13%</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13%</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15%</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≥17%</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January 2020, time-based share units were issued to all vice president and staff level employees and vest in three equal installments on January 2021, 2022 and 2023. In connection with our incentive program covering bonus awards for performance year 2019, in February 2020, time-based share units were issued to certain employees that vest in three equal installments on March 1, 2021, 2022 and 2023. In May 2020, 38,128 time-based share units were granted to non-employee directors that vest one year from the date of grant.</w:t>
      </w:r>
    </w:p>
    <w:p>
      <w:pPr>
        <w:spacing w:after="0" w:line="18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total fair value on the vesting date of nonvested shares, share units or DEUs that vested was $17.8 million and $22.0 million for the three months ended March 31, 2020 and 2019, respectively. As of March 31, 2020, there was $37.5 million of total unrecognized compensation expense related to nonvested shares or share units outstanding at March 31, 2020 and we expect to recognize the expense over a weighted average period of 2.4 years.</w:t>
      </w:r>
    </w:p>
    <w:p>
      <w:pPr>
        <w:spacing w:after="0" w:line="14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139,853 in the three months ended March 31, 2020. The tendered shares were recorded at cost and included in treasury stock. All treasury stock has been cancelled as of March 31,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765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March 31, 2020, the statutory income tax rates of the countries where the Company does business are 21% in the United States and 0.0% in Bermuda. The statutory income tax rate of each country is applied against the taxable income from each country to calculate the income tax expense. For the three months ended March 31, 2020, our provision for income taxes was not based on an estimated annual effective rate due to uncertainty regarding the potential impacts of COVID-19 on our results of operations. Due to that uncertainty, we were unable to make a reliable estimate of pretax income and the annual effective tax rate for the full year 2020. Accordingly, the provision for income taxes for the three months ended March 31, 2020 was based on the actual effective tax rate for the year to date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6,552</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17,047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15,447</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27,175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21,999</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 of pretax</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6"/>
              <w:spacing w:after="0"/>
              <w:rPr>
                <w:sz w:val="20"/>
                <w:szCs w:val="20"/>
                <w:color w:val="auto"/>
              </w:rPr>
            </w:pPr>
            <w:r>
              <w:rPr>
                <w:rFonts w:ascii="Arial" w:cs="Arial" w:eastAsia="Arial" w:hAnsi="Arial"/>
                <w:sz w:val="16"/>
                <w:szCs w:val="16"/>
                <w:b w:val="1"/>
                <w:bCs w:val="1"/>
                <w:color w:val="auto"/>
              </w:rPr>
              <w:t>% of pretax</w:t>
            </w:r>
          </w:p>
        </w:tc>
        <w:tc>
          <w:tcPr>
            <w:tcW w:w="0" w:type="dxa"/>
            <w:vAlign w:val="bottom"/>
          </w:tcPr>
          <w:p>
            <w:pPr>
              <w:spacing w:after="0"/>
              <w:rPr>
                <w:sz w:val="1"/>
                <w:szCs w:val="1"/>
                <w:color w:val="auto"/>
              </w:rPr>
            </w:pPr>
          </w:p>
        </w:tc>
      </w:tr>
      <w:tr>
        <w:trPr>
          <w:trHeight w:val="210"/>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income</w:t>
            </w:r>
          </w:p>
        </w:tc>
        <w:tc>
          <w:tcPr>
            <w:tcW w:w="340" w:type="dxa"/>
            <w:vAlign w:val="bottom"/>
          </w:tcPr>
          <w:p>
            <w:pPr>
              <w:spacing w:after="0"/>
              <w:rPr>
                <w:sz w:val="18"/>
                <w:szCs w:val="18"/>
                <w:color w:val="auto"/>
              </w:rPr>
            </w:pPr>
          </w:p>
        </w:tc>
        <w:tc>
          <w:tcPr>
            <w:tcW w:w="84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36"/>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33"/>
        </w:trPr>
        <w:tc>
          <w:tcPr>
            <w:tcW w:w="4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1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w:t>
            </w:r>
          </w:p>
        </w:tc>
        <w:tc>
          <w:tcPr>
            <w:tcW w:w="1480" w:type="dxa"/>
            <w:vAlign w:val="bottom"/>
            <w:gridSpan w:val="3"/>
          </w:tcPr>
          <w:p>
            <w:pPr>
              <w:jc w:val="right"/>
              <w:ind w:right="159"/>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1480" w:type="dxa"/>
            <w:vAlign w:val="bottom"/>
            <w:gridSpan w:val="3"/>
          </w:tcPr>
          <w:p>
            <w:pPr>
              <w:jc w:val="right"/>
              <w:ind w:right="13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4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480" w:type="dxa"/>
            <w:vAlign w:val="bottom"/>
            <w:tcBorders>
              <w:bottom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Tax exempt interest, net of proration</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1480" w:type="dxa"/>
            <w:vAlign w:val="bottom"/>
            <w:gridSpan w:val="3"/>
          </w:tcPr>
          <w:p>
            <w:pPr>
              <w:jc w:val="right"/>
              <w:ind w:right="9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c>
          <w:tcPr>
            <w:tcW w:w="1480" w:type="dxa"/>
            <w:vAlign w:val="bottom"/>
            <w:gridSpan w:val="3"/>
          </w:tcPr>
          <w:p>
            <w:pPr>
              <w:jc w:val="right"/>
              <w:ind w:right="7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118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64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provide deferred taxes to reflect the estimated future tax effects of the differences between the financial statement and tax bases of assets and liabilities using currently enacted tax laws. The net deferred tax liability was comprised of the following: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29,392</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(279,012)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components of the net deferred tax liability were as follows: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24"/>
                <w:szCs w:val="2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Contingency reserves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(261,855)</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16,641</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Unrealized (gain) loss on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(13,214)</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Change in fair market value of derivatives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Nonvested shares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limited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8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reserves - TCJA transition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three months ended March 31, 2020, we had not purchased or sold any T&amp;L Bonds and for the year ended December 31, 2019, we had a net purchases of T&amp;L Bonds in the amount of $59.5 million. As of March 31, 2020 and December 31, 2019, we held $261.9 million of T&amp;L Bonds.</w:t>
      </w:r>
    </w:p>
    <w:p>
      <w:pPr>
        <w:spacing w:after="0" w:line="17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March 31, 2020 and December 31, 2019, after weighing all the evidence, management concluded that it was more likely than not that our deferred tax assets would be realized.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2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r>
      <w:tr>
        <w:trPr>
          <w:trHeight w:val="257"/>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149,523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127,720</w:t>
            </w:r>
          </w:p>
        </w:tc>
      </w:tr>
      <w:tr>
        <w:trPr>
          <w:trHeight w:val="122"/>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97,949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97,595</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509</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98,326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98,104</w:t>
            </w:r>
          </w:p>
        </w:tc>
      </w:tr>
      <w:tr>
        <w:trPr>
          <w:trHeight w:val="122"/>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353,230 and 142,642 antidilutive shares for the three months ended March 31, 2020 and 2019, respectively.</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March 31, 2020 and 2019, 100% of the performance-based share awards would be issuable under the terms of the arrangements at each date if March 31 was the end of the contingency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69,401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9"/>
        </w:trPr>
        <w:tc>
          <w:tcPr>
            <w:tcW w:w="3940" w:type="dxa"/>
            <w:vAlign w:val="bottom"/>
            <w:gridSpan w:val="2"/>
          </w:tcPr>
          <w:p>
            <w:pPr>
              <w:ind w:left="280"/>
              <w:spacing w:after="0"/>
              <w:rPr>
                <w:sz w:val="20"/>
                <w:szCs w:val="20"/>
                <w:color w:val="auto"/>
              </w:rPr>
            </w:pPr>
            <w:r>
              <w:rPr>
                <w:rFonts w:ascii="Arial" w:cs="Arial" w:eastAsia="Arial" w:hAnsi="Arial"/>
                <w:sz w:val="18"/>
                <w:szCs w:val="18"/>
                <w:color w:val="auto"/>
              </w:rPr>
              <w:t>Unrealized holding gains (losses) 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4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Unrealized holding gains (losses) arising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during the period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38,906</w:t>
            </w:r>
          </w:p>
        </w:tc>
      </w:tr>
      <w:tr>
        <w:trPr>
          <w:trHeight w:val="229"/>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38,366</w:t>
            </w:r>
          </w:p>
        </w:tc>
      </w:tr>
      <w:tr>
        <w:trPr>
          <w:trHeight w:val="236"/>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38,366</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hanging="328"/>
        <w:spacing w:after="0" w:line="29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40"/>
        <w:spacing w:after="0" w:line="287"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Quoted Prices</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2020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235,565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33,892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876,298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876,298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419,688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419,688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52,209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879,503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879,503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275,532</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337,675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337,675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595,165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595,165</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830,730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2,874,797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3,705,527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Quoted Prices</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557,568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2,793,179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2019</w:t>
            </w: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122,644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101,989</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1,074,153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905,534</w:t>
            </w: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1,270,864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981,207</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6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w:t>
            </w: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53,648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50,216</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53,854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49,744</w:t>
            </w:r>
          </w:p>
        </w:tc>
      </w:tr>
      <w:tr>
        <w:trPr>
          <w:trHeight w:val="27"/>
        </w:trPr>
        <w:tc>
          <w:tcPr>
            <w:tcW w:w="6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2020 and 2019,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At March 31, 2020 and 2019,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2020, Essent Guaranty, our GSE-approved mortgage insurance company, was in compliance with PMIERs 2.0. Due to business restrictions, stay-at-home orders and travel restrictions implemented as a result of COVID-19, we expect to experience increased defaults beginning in the second quarter of 2020. An increase in defaults increases our Minimum Required Assets under PMIERs, and, accordingly, we expect our Minimum Required Assets to increase in future periods.</w:t>
      </w:r>
    </w:p>
    <w:p>
      <w:pPr>
        <w:spacing w:after="0" w:line="18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the three months ended March 31, 2020, Essent Guaranty increased its contingency reserve by $73.6 million and Essent PA increased its contingency reserve by $0.9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regulatory approval, release from its contingency reserves an amount equal to the excess portion of such losses. Essent Guaranty and Essent PA did not release any amounts from their contingency reserves in the three months ended March 31, 2020 or 2019.</w:t>
      </w:r>
    </w:p>
    <w:p>
      <w:pPr>
        <w:spacing w:after="0" w:line="17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2019, all such requirements were met.</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Essent Re's statutory capital and surplus was $1.0 billion as of March 31, 2020 and $939.2 million as of December 31, 2019. Essent Re's statutory net income was $49.5 million and $39.5 million for the three months ended March 31, 2020 and 2019, respectively. Statutory capital and surplus as of March 31, 2020 and December 31, 2019 and statutory net income in the three months ended March 31, 2020 and 2019 determined in accordance with statutory accounting practices were not significantly different than the amounts determined under GAAP.</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2019 as filed with the Securities and Exchange Commission and referred to herein as the “Annual Report,” and our condensed consolidated financial statements and related notes as of and for the three months ended March 31, 2020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negative outlook by S&amp;P Global Ratings (“S&amp;P”) and A (Excellent) with a stable outlook by A.M. Best.</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381 employees as of March 31, 2020. We generated new insurance written, or NIW, of approximately $13.5 billion and $11.0 billion for the three months ended March 31, 2020 and 2019, respectively. As of March 31, 2020, we had approximately $165.6 billion of insurance in force.</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March 31, 2020, Essent Re provided insurance or reinsurance relating to GSE risk share and other reinsurance transactions covering approximately $1.1 billion of risk. Essent Re also reinsures 25% of Essent Guaranty’s NIW under a quota share reinsurance agreement. The insurer financial strength rating of Essent Re is BBB+ with a negative outlook by S&amp;P and A (Excellent) with a stable outlook by A.M. Best.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novel coronavirus disease 2019 ("COVID-19") was first identified in December 2019 in Wuhan China. On March 11, 2020 the outbreak had spread to be declared a pandemic by the World Health Organization (“WHO”). Within a week of the WHO's declaration, most major economies had announced significant and increasing restrictions on the movement and interaction of people. By the end of March 2020 it was estimated that a quarter of the world’s population was under some form of lockdown or stay-at-home order. Most state governments in the United States have implemented some form of travel and/or business restrictions to slow the spread of COVID-19. Business restrictions, stay-at-home orders and travel restrictions have resulted in a significant increase in unemployment in the United States, which has the potential to increase the number of delinquencies and claim frequencies on the mortgages we insure, as homeowners may not be able to make mortgage payments during extended periods of unemployment.</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response to the impact of COVID-19, the federal government has implemented unprecedented measures to assist borrowers in avoiding foreclosures and allow families to remain in their homes. Most notably, under the Coronavirus Aid, Relief, and Economic Security Act ("CARES Act"), consumers with federally backed mortgages were granted two financial protections: (1) a temporary moratorium on foreclosures, and (2) mortgage forbearance, either in the form of a lower monthly payment or temporarily suspending payments. Under the new law, borrowers have the right to request forbearance for up to 360 days due to hardship caused by COVID-19. We believe that these measures will likely increase the overall duration of the default resolution process, which may result in increases in claim severities for loans that proceed to claim.</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Over 95%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borrowers that have the ability to begin to pay their mortgage at the end of the forbearance period, mortgage servicers may work with them to modify the loans at which time the mortgage should be removed from delinquency status.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Essent has had a Pandemic Plan in place as part of its comprehensive Business Continuity Program for a number of years and invoked the Pandemic Plan in light of the COVID-19 event. Our workforce has been working in "full remote" mode since March 16, 2020. Through the use of technology, our national and regional account managers and customer service team have been in contact with our policyholders and their servicers, and we have made several COVID-19-related announcements which have been posted on our mortgage insurance website.</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31, 2020, COVID-19 had not had a significant impact on our financial position or results of operations. As noted in “— Liquidity and Capital Resources,” Essent had substantial liquidity and had Available Assets in excess of Minimum Required Assets under PMIERs 2.0 as of March 31, 2020. In order to maintain continuous MI coverage, mortgage servicers are required to advance MI premiums to us even if borrowers are in a forbearance plan. However, due to the increased unemployment noted above, we expect an increase in defaults, which will result in an increase in our provisions for loss and loss adjustment expenses compared to prior periods, reduced profit commission under our quota share reinsurance agreement with a panel of third-party reinsurers ("the QSR Agreement") and an increase in our Minimum Required Assets. In addition, it is possible that the volume of new mortgages could be negatively impacted by the stay-at-home orders which could result in lower NIW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The U.S. Internal Revenue Service and Department of the Treasury issued proposed regulations on July 10, 2019 relating to the tax treatment of passive foreign investment companies ("PFICs"). The proposed regulations provide guidance on various PFIC rules, including changes resulting from the 2017 Tax Cuts and Jobs Act. The Company is evaluating the potential impact of these proposed regulations to its shareholders and business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4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8" w:lineRule="exact"/>
        <w:rPr>
          <w:rFonts w:ascii="Arial" w:cs="Arial" w:eastAsia="Arial" w:hAnsi="Arial"/>
          <w:sz w:val="16"/>
          <w:szCs w:val="16"/>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2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2020 were non-refundable. Premiums collected on annual policies are recognized as net premiums earned on a straight-line basis over the year of coverage. For the three months ended March 31, 2020 and 2019, monthly premium policies comprised 90% and 87% of our NIW,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73.9% at March 31, 2020. Generally, higher prepayment speeds lead to lower persistency.</w:t>
      </w:r>
    </w:p>
    <w:p>
      <w:pPr>
        <w:spacing w:after="0" w:line="184"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March 31, 2020.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5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2021. The services agreement provides for two subsequent one-year renewals at Triad's option.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3"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March 31, 2020, 62% of our IIF relates to business written since January 1, 2018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March 31, 2020, 62% of our IIF relates to business written since January 1, 2018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profile of new business we write in the future. In addition, the default rate and the average reserve per default will be affected by future macroeconomic factors such as housing prices, interest rates and employment.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business restrictions, stay-at-home orders and travel restrictions implemented as a result of COVID-19, unemployment in the United States has increased significantly. As unemployment is one of the most common reasons for borrowers to default on their mortgage, the increase in unemployment has the potential to increase the number of delinquencies on the mortgages we insure, and the claim frequency on existing delinquencies. We expect to experience increased defaults beginning in the second quarter of 2020. It is too early to tell how many claims we ultimately may have to pay associated with COVID-19-related defaults. There are many factors contributing to the uncertainty surrounding these insured loans. For borrowers that have the ability to begin to pay their mortgage at the end of the forbearance period, mortgage servicers will work with them to modify their loans at which time the mortgage will be removed from delinquency status. We believe that the forbearance process could have a favorable effect on the frequency of claims that we ultimately pay. In addition, as more fully described in Note 4 to our condensed consolidated financial statements, at March 31, 2020, we had over $1.7 billion of excess of loss reinsurance covering NIW from January 1, 2015 to August 31, 2019 and a quota share reinsurance transaction on a portion of our NIW effective September 1, 2019 and continuing through December 31, 2020. COVID-19 has not materially affected our reserves as of March 31, 2020. The impact on our reserves in future periods will be dependent upon the amount of delinquent notices received from loan servicers and our expectations for the amount of ultimate losses on these delinquencies.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59% of other underwriting and operating expenses for the three months ended March 31, 2020, compared to 57% of other underwriting and operating expenses for the three months ended March 31, 2019. Compensation and benefits expense includes base and incentive cash compensation, stock compensation expense, benefits and payroll taxes.</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Essent Group Ltd. ("Essent Group")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2020 and 2019 for our U.S. mortgage insurance portfolio. In addition, this table includes RIF at the end of each period.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164,005,853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137,720,786</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13,549,299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10,945,307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55,002</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(11,939,800)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(5,539,454)</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165,615,503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143,181,641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gridSpan w:val="2"/>
            <w:vMerge w:val="continue"/>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164,782,361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140,137,045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38,290,022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34,744,417</w:t>
            </w:r>
          </w:p>
        </w:tc>
        <w:tc>
          <w:tcPr>
            <w:tcW w:w="0" w:type="dxa"/>
            <w:vAlign w:val="bottom"/>
          </w:tcPr>
          <w:p>
            <w:pPr>
              <w:spacing w:after="0"/>
              <w:rPr>
                <w:sz w:val="1"/>
                <w:szCs w:val="1"/>
                <w:color w:val="auto"/>
              </w:rPr>
            </w:pPr>
          </w:p>
        </w:tc>
      </w:tr>
      <w:tr>
        <w:trPr>
          <w:trHeight w:val="432"/>
        </w:trPr>
        <w:tc>
          <w:tcPr>
            <w:tcW w:w="7760" w:type="dxa"/>
            <w:vAlign w:val="bottom"/>
            <w:gridSpan w:val="2"/>
          </w:tcPr>
          <w:p>
            <w:pPr>
              <w:ind w:left="660"/>
              <w:spacing w:after="0"/>
              <w:rPr>
                <w:sz w:val="20"/>
                <w:szCs w:val="20"/>
                <w:color w:val="auto"/>
              </w:rPr>
            </w:pPr>
            <w:r>
              <w:rPr>
                <w:rFonts w:ascii="Arial" w:cs="Arial" w:eastAsia="Arial" w:hAnsi="Arial"/>
                <w:sz w:val="18"/>
                <w:szCs w:val="18"/>
                <w:color w:val="auto"/>
              </w:rPr>
              <w:t>The following is a summary of our IIF at March 31, 2020 by vintage: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(through March 31)</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13,456,039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56,579,438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32,032,954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27,127,737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17,593,372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2015 and prior</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18,825,963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165,615,503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each of the three months ended March 31, 2020 and 2019, our average net premium rate was 0.48%. In 2019 and 2020, Essent Guaranty entered into third-party reinsurance agreements. We anticipate that the continued use of third-party reinsurance will reduce our average net premium rate in future periods.</w:t>
      </w:r>
    </w:p>
    <w:p>
      <w:pPr>
        <w:sectPr>
          <w:pgSz w:w="11900" w:h="16838" w:orient="portrait"/>
          <w:cols w:equalWidth="0" w:num="1">
            <w:col w:w="11240"/>
          </w:cols>
          <w:pgMar w:left="320" w:top="125"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As of March 31, 2020, our combined net risk in force for our U.S. insurance companies was $28.7 billion and our combined statutory capital was $2.5 billion, resulting in a risk-to-capital ratio of 11.7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191,743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177,644</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36"/>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206,496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177,791</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660</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(loss)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r>
      <w:tr>
        <w:trPr>
          <w:trHeight w:val="237"/>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228,840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200,526</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7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41,947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41,030</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r>
      <w:tr>
        <w:trPr>
          <w:trHeight w:val="237"/>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52,142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50,807</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176,698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149,719</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27,175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21,999</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149,523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127,720</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the Three Months Ended March 31, 2019</w:t>
      </w:r>
    </w:p>
    <w:p>
      <w:pPr>
        <w:spacing w:after="0" w:line="229"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For the three months ended March 31, 2020, we reported net income of $149.5 million, compared to net income of $127.7 million for the three months ended March 31, 2019. The increase in our operating results in 2020 over the same period in 2019 was primarily due to the increase in net premiums earned associated with the growth of our IIF and the increases in net investment income and realized investment gains, partially offset by a decrease in other income and increases in the provision for losses and LAE, other underwriting and operating expenses and income tax expense.</w:t>
      </w:r>
    </w:p>
    <w:p>
      <w:pPr>
        <w:sectPr>
          <w:pgSz w:w="11900" w:h="16838" w:orient="portrait"/>
          <w:cols w:equalWidth="0" w:num="1">
            <w:col w:w="11240"/>
          </w:cols>
          <w:pgMar w:left="320" w:top="12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Net premiums earned increased in the three months ended March 31, 2020 by 16%, compared to the three months ended March 31, 2019 primarily due to the increase in our average IIF from $140.1 billion at March 31, 2019 to $164.8 billion at March 31, 2020. The average net premium rate was 0.48% for each of the three months ended March 31, 2020 and 2019 as an increase in ceded premiums was offset by an increase in premiums earned on the cancellation of non-refundable single premium policies. In the three months ended March 31, 2020, ceded premiums increased to $14.2 million, from $6.0 million in the three months ended March 31, 2019 due to new third-party reinsurance agreements entered in 2020 and a full year of premiums ceded under third-party reinsurance agreements entered in 2019. In the three months ended March 31, 2020, premiums earned on the cancellation of non-refundable single premium policies increased to $14.6 million, from $4.3 million in the three months ended March 31, 2019 as a result of an increase in existing borrowers refinancing their mortgages due to favorable mortgage interest rates.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premiums written increased by 8% in the three months ended March 31, 2020 compared to the three months ended March 31, 2019. The increase in net written premiums in the three months ended March 31, 2020 was primarily due to an increase in average IIF in the respective period, partially offset by an increase in premiums ceded under third-party reinsurance agreements, a decrease in new single premium policies written, changes in the mix of mortgages we insure and changes in our pricing.</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the three months ended March 31, 2020 and 2019, unearned premiums decreased by $14.8 million and $0.1 million, respectively. The change in unearned premiums was a result of net premiums written on single premium policies of $16.0 million and $20.0 million, respectively, which was offset by $30.8 million and $20.1 million, respectively, of unearned premium that was recognized in earnings during the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19,743</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1,058</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20,801</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increase in net investment income for the three months ended March 31, 2020 as compared to the same period in 2019 was due to the increase in the weighted average balance of our investment portfolio partially offset by a decrease in the pre-tax investment income yield. The average cash and investment portfolio balance increased to $3.5 billion for the three months ended March 31, 2020 from $2.9 billion for the three months ended March 31, 2019. The increase in the average cash and investment portfolio was primarily due to investing cash flows from operations. The pre-tax investment income yield decreased from 2.8% in the three months ended March 31, 2019 to 2.5% in the three months ended March 31, 2020 primarily due to an increase in the share of our investments allocated to cash,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Other income for three months ended March 31, 2019 was $2.2 million compared to a loss of $1.4 million for the three months ended March 31, 2020. The decrease in other income for the three months ended March 31, 2020 as compared to the same period in 2019 was primarily due to the changes in fair value of embedded derivatives contained in certain of our reinsurance agreements. In the three months ended March 31, 2020, we recorded an unfavorable decrease in the fair value of these embedded derivatives of $4.2 million compared to a favorable increase in the fair value of the embedded derivatives of $1.4 million in the three months ended March 31, 2019. Partially offsetting this decrease was an increase in fees earned for information technology and customer support services </w:t>
      </w:r>
      <w:r>
        <w:rPr>
          <w:rFonts w:ascii="Arial" w:cs="Arial" w:eastAsia="Arial" w:hAnsi="Arial"/>
          <w:sz w:val="17"/>
          <w:szCs w:val="17"/>
          <w:color w:val="242021"/>
        </w:rPr>
        <w:t>provided to Triad of $1.6 million for the</w:t>
      </w:r>
      <w:r>
        <w:rPr>
          <w:rFonts w:ascii="Arial" w:cs="Arial" w:eastAsia="Arial" w:hAnsi="Arial"/>
          <w:sz w:val="17"/>
          <w:szCs w:val="17"/>
          <w:color w:val="auto"/>
        </w:rPr>
        <w:t xml:space="preserve"> three months ended March 31, 2020 as compared to $0.2 million for the three months ended March 31, 2019. Effective December 1, 2019, the Triad services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agreement was amended providing for a flat monthly fee through November 30, 2021. Other income also includes contract underwriting revenues and underwriting consulting services to third-party reinsurers.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increase in the provision for losses and LAE in the three months ended March 31, 2020 as compared to the same period in 2019 was primarily due to changes in the composition (such as mark-to-market loan-to-value ratios, risk in force, and number of months past due) of the underlying loans in default.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242"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23495</wp:posOffset>
            </wp:positionV>
            <wp:extent cx="2202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gridSpan w:val="2"/>
          </w:tcPr>
          <w:p>
            <w:pPr>
              <w:ind w:left="848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4,024</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2,918</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4,096</w:t>
            </w:r>
          </w:p>
        </w:tc>
      </w:tr>
      <w:tr>
        <w:trPr>
          <w:trHeight w:val="27"/>
        </w:trPr>
        <w:tc>
          <w:tcPr>
            <w:tcW w:w="7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increase in the number of defaults at March 31, 2020 compared to March 31, 2019 was primarily due to the increase in our IIF and policies in force and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6"/>
                <w:szCs w:val="16"/>
                <w:color w:val="auto"/>
              </w:rPr>
            </w:pPr>
          </w:p>
        </w:tc>
      </w:tr>
      <w:tr>
        <w:trPr>
          <w:trHeight w:val="263"/>
        </w:trPr>
        <w:tc>
          <w:tcPr>
            <w:tcW w:w="7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67,097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49,093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73,325</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53,484</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4,096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12.0</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r>
      <w:tr>
        <w:trPr>
          <w:trHeight w:val="27"/>
        </w:trPr>
        <w:tc>
          <w:tcPr>
            <w:tcW w:w="7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$16 thousand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5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decrease in the average case reserve per default was primarily due to improvements in economic fundamentals from the beginning of 2019 into the first quarter of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year</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11,828</w:t>
            </w:r>
          </w:p>
        </w:tc>
      </w:tr>
      <w:tr>
        <w:trPr>
          <w:trHeight w:val="24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(4,721)</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3,072</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73,243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53,484</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73,341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53,484</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 March 31,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8"/>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52%  $</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15,128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170,374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30,493</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114,135</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15,235</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29,596</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6,241</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7,074</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67,097</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321,179</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5,032</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73,325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$16 thousand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 March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53%  $</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11,374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117,607</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23,599</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80,842</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11,105</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20,526</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3,015</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3,517</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case reserves</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49,093</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222,492</w:t>
            </w:r>
          </w:p>
        </w:tc>
        <w:tc>
          <w:tcPr>
            <w:tcW w:w="1420" w:type="dxa"/>
            <w:vAlign w:val="bottom"/>
            <w:tcBorders>
              <w:bottom w:val="single" w:sz="8" w:color="CCEEFF"/>
            </w:tcBorders>
            <w:gridSpan w:val="2"/>
          </w:tcPr>
          <w:p>
            <w:pPr>
              <w:ind w:left="10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reserves for losses and LAE</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53,484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three months ended March 31, 2020, the provision for losses and LAE was $8.1 million, comprised of $15.4 million of current year losses partially offset by $7.4 million of favorable prior years’ loss development. During the three months ended March 31, 2019, the provision for losses and LAE was $7.1 million, comprised of $11.8 million of current year losses partially offset by $4.7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49"/>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88</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2,899</w:t>
            </w:r>
          </w:p>
        </w:tc>
      </w:tr>
      <w:tr>
        <w:trPr>
          <w:trHeight w:val="27"/>
        </w:trPr>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24,866</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Premium taxes</w:t>
            </w: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4,433</w:t>
            </w:r>
          </w:p>
        </w:tc>
        <w:tc>
          <w:tcPr>
            <w:tcW w:w="40" w:type="dxa"/>
            <w:vAlign w:val="bottom"/>
          </w:tcPr>
          <w:p>
            <w:pPr>
              <w:spacing w:after="0"/>
              <w:rPr>
                <w:sz w:val="21"/>
                <w:szCs w:val="21"/>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12,648</w:t>
            </w: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other underwriting and operating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41,947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41,030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67"/>
        </w:trPr>
        <w:tc>
          <w:tcPr>
            <w:tcW w:w="66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78"/>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377</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jc w:val="both"/>
        <w:ind w:left="660" w:right="4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and benefits increased in the three months ended March 31, 2020 as compared to the three months ended March 31, 2019 primarily due to increased stock compensation expense associated with shares granted in 2019 and 2020 and increased salaries and overtime associated with our increased NIW. Compensation and benefits includes salaries, wages and bonus, stock compensation expense, benefits and payroll taxes.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 taxes increased primarily due to an increase in premiums written.</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decreased as a result of ceding commission earned under the QSR Agreement. Other expenses include professional fees,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For the three months ended March 31, 2020, we incurred interest expense of $2.1 million as compared to $2.7 million for the three months ended March 31, 2019. The decrease was primarily due to a decrease in the weighted average interest rate for borrowings outstanding, partially offset by an increase in the average amounts outstanding under the Credit Facility. For the three months ended March 31, 2020, the average amount outstanding under the Credit Facility was $236.0 million as compared to $225.0 million for the three months ended March 31, 2019. For the three months ended March 31, 2020, the borrowings under the Credit Facility had a weighted average interest rate of 3.08% as compared to 4.49% for the three months ended March 31,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$27.2 million and $22.0 million for the three months ended March 31, 2020 and 2019, respectively. For the three months ended March 31, 2020, our provision for income taxes was not based on an estimated annual effective rate due to uncertainty regarding the potential impacts of COVID-19 on our results of operations. Due to that uncertainty, we were unable to make a reliable estimate of pretax income and the annual effective tax rate for the full year 2020. Accordingly, the provision for income taxes for the three months ended March 31, 2020 was based on the actual effective tax rate of 15.4% for the year to date period. For the three months ended March 31, 2019, our income tax expense was calculated using an estimated annual effective tax rate of 16.0%. For the three months ended March 31, 2020 and 2019, income tax expense was reduced by excess tax benefits associated with the vesting of common shares and common share units of $0.6 million and $2.0 million, respectively. The tax effects associated with the vesting of common shares and common share units are treated as discrete items in the reporting period in which they occur and are not considered in the 2019 estimated annual effective tax rate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2020, we had substantial liquidity with cash of $31.1 million, short-term investments of $595.2 million and fixed maturity investments of $3.1 billion. We also had $75 million available capacity under the revolving credit component of our Credit Facility, with $425 million of borrowings outstanding under our Credit Facility. Borrowings under the Credit Facility contractually mature on May 17, 2021. At March 31, 2020, net cash and investments at the holding company were $279.8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2020.</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respond to changes in the business or economic environment related to COVID-19,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2020, Essent Guaranty had unassigned surplus of approximately $368.8 million. Essent Guaranty of PA, Inc. (“Essent PA") had unassigned surplus of approximately $14.6 million as of March 31, 2020.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2020, Essent Re had total equity of $1.0 billion. In connection with its insurance and reinsurance activities, Essent Re is required to maintain assets in trusts for the benefit of its contractual counterparties. See Note 3 to our condensed consolidated financial statements. At March 31, 2020, our insurance subsidiaries were in compliance with these rules, regulations and agreements.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138,682</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(381,426)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(155,039)</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(24,457)</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Cash flow provided by operating activities totaled $163.1 million for the three months ended March 31, 2020, as compared to $138.7 million for the three months ended March 31, 2019. The increase in cash flow provided by operating activities of $24.4 million was primarily due to an increase in premiums collected during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Cash flow used in investing activities totaled $381.4 million and $155.0 million for the three months ended March 31, 2020 and 2019, respectively. In both periods, cash flow used in investing activities related to investing cash flows from operations. Additionally, in 2020 cash flow used in investing activities included investing $200 million of increased borrowings under the Credit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Cash flow provided by financing activities totaled $178.0 million for the three months ended March 31, 2020, primarily related to $200 million of increased borrowings under the Credit Facility, partially offset by the quarterly cash dividend paid in March and treasury stock acquired from employees to satisfy tax withholding obligations. Cash flow used in financing activities totaled $8.1 million for the three months ended March 31, 2019 primarily related to treasury stock acquired from employees to satisfy tax withholding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2020 and 2019, no capital contributions were made to our U.S. insurance subsidiaries.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Essent Guaranty has entered into reinsurance agreements that provide excess of loss reinsurance coverage for new defaults on portfolios of mortgage insurance policies issued in 2015 through 2019. The aggregate excess of loss reinsurance coverages decrease over a ten-year period as the underlying covered mortgages amortize.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2020 was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1,128,012</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4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1,324,718</w:t>
            </w:r>
          </w:p>
        </w:tc>
      </w:tr>
      <w:tr>
        <w:trPr>
          <w:trHeight w:val="27"/>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2,452,730</w:t>
            </w:r>
          </w:p>
        </w:tc>
      </w:tr>
      <w:tr>
        <w:trPr>
          <w:trHeight w:val="20"/>
        </w:trPr>
        <w:tc>
          <w:tcPr>
            <w:tcW w:w="9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24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28,729,105</w:t>
            </w:r>
          </w:p>
        </w:tc>
      </w:tr>
      <w:tr>
        <w:trPr>
          <w:trHeight w:val="27"/>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4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r>
      <w:tr>
        <w:trPr>
          <w:trHeight w:val="20"/>
        </w:trPr>
        <w:tc>
          <w:tcPr>
            <w:tcW w:w="9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During the three months ended March 31, 2020 and 2019, Essent Re paid no dividends to Essent Group and Essent Group made no capital contributions to Essent Re. As of March 31, 2020, Essent Re had total stockholders’ equity of $1.0 billion and net risk in force of $10.6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A3 with a stable outlook by Moody’s Investors Service (“Moody's”), BBB+ with a negative outlook by S&amp;P and A (Excellent)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stable outlook by A.M. Best. The insurer financial strength rating of Essent Re is BBB+ with a negative outlook by S&amp;P and A (Excellent) with stable outlook by A.M. Best.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2020, Essent Guaranty, our GSE-approved mortgage insurance company, was in compliance with PMIERs 2.0. As of March 31, 2020, Essent Guaranty's Available Assets were $2.45 billion and its Minimum Required Assets were $1.23 billion based on our interpretation of PMIERs 2.0.</w:t>
      </w:r>
    </w:p>
    <w:p>
      <w:pPr>
        <w:spacing w:after="0" w:line="16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Due to business restrictions, stay-at-home orders and travel restrictions implemented as a result of COVID-19, we expect to experience increased defaults beginning in the second quarter of 2020, although it is too early to tell how many of our insured mortgages will default as a result of COVID-19. An increase in defaults increases our Minimum Requires Assets under PMIERs, and, accordingly, we expect our Minimum Required Assets to increase in future periods.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Consistent with the PMIERs, Essent will apply a 0.30 multiplier to the risk-based required asset amount factor for each insured loan in default backed by a property located in a Federal Emergency Management Agency (“FEMA”) Declared Major Disaster Area that either 1) is subject to a forbearance plan executed in response to a FEMA Declared Major Disaster Area eligible for Individual Assistance, the terms of which are materially consistent with terms of forbearance plans offered by Fannie Mae or Freddie Mac, or 2) has an initial default date occurring up to either (i) 30 days prior to or (ii) 90 days following the COVID 19 pandemic event. In the case of the foregoing, the 0.30 multiplier shall be applied to the risk-based required asset amount factor for each insured loan in default for no longer than 120 days from the initial default date absent a forbearance plan described in 1) above.</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Approximately 97% of Essent’s outstanding primary mortgage insurance portfolio, as of March 31, 2020, has underlying properties located in FEMA Declared Major Disaster Areas eligible for Individual Assistance. Accordingly, we believe that the majority of the non-performing loans that will be reported to the Company subsequent to March 31, 2020, will fall into categories 1) and 2) above and receive the 0.30 multiplier in calculating the PMIERs required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of March 31, 2020, stockholders’ equity was $3.1 billion, compared to $3.0 billion as of December 31, 2019. This increase was primarily due to net income generated in 2020, partially offset by a decrease in accumulated other comprehensive income related to a decrease in our unrealized investment gains.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As of March 31, 2020, investments totaled $3.8 billion compared to $3.4 billion as of December 31, 2019. In addition, our total cash was $31.1 million as of March 31, 2020, compared to $71.4 million as of December 31, 2019. The increase in investments was primarily due to investing net cash flows from operations and a $200 million credit facility borrowing during the three months ended March 31, 2020.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3"/>
        </w:trPr>
        <w:tc>
          <w:tcPr>
            <w:tcW w:w="4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235,565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242,206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33,892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876,298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419,688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52,209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879,503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275,532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337,675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595,165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315,362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3,705,527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3,350,747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6"/>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4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March 31,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2019</w:t>
            </w:r>
          </w:p>
        </w:tc>
        <w:tc>
          <w:tcPr>
            <w:tcW w:w="114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2,177,097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1,817,905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109,937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152,322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200,368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159,599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206,643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199,109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183,780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188,393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227,067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232,490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6.9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179,664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43,374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65,119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34,326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59,210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57"/>
        </w:trPr>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3,705,527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3,350,747</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388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March 31,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2019</w:t>
            </w:r>
          </w:p>
        </w:tc>
        <w:tc>
          <w:tcPr>
            <w:tcW w:w="114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3"/>
              </w:rPr>
              <w:t>Percent</w:t>
            </w:r>
          </w:p>
        </w:tc>
      </w:tr>
      <w:tr>
        <w:trPr>
          <w:trHeight w:val="249"/>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1,372,660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508,923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306,148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9.1</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402,111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348,708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330,719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361,147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10.8</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298,753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792,361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852,580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25.5</w:t>
            </w: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3,705,527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3,350,747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40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11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Rating(1)</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29,953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Freddie Mac 4.000% 11/1/2048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27,834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U.S. Treasury 5.250% 11/15/2028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20,966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18,844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Ginnie Mae 4.000% 4/20/2049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U.S. Treasury 1.500% 8/15/2026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18,523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17,447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Fannie Mae 4.500% 5/1/2048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Freddie Mac 4.500% 4/1/2049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15,968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2.625% 7/15/2021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Freddie Mac 4.000% 5/15/2050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14,406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199,659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189,941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9,718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3"/>
          </w:tcPr>
          <w:p>
            <w:pPr>
              <w:jc w:val="right"/>
              <w:ind w:right="2220"/>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tcPr>
          <w:p>
            <w:pPr>
              <w:jc w:val="right"/>
              <w:ind w:right="289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4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30,112</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5.250%</w:t>
            </w:r>
          </w:p>
        </w:tc>
        <w:tc>
          <w:tcPr>
            <w:tcW w:w="1100" w:type="dxa"/>
            <w:vAlign w:val="bottom"/>
          </w:tcPr>
          <w:p>
            <w:pPr>
              <w:ind w:left="40"/>
              <w:spacing w:after="0"/>
              <w:rPr>
                <w:sz w:val="20"/>
                <w:szCs w:val="20"/>
                <w:color w:val="auto"/>
              </w:rPr>
            </w:pPr>
            <w:r>
              <w:rPr>
                <w:rFonts w:ascii="Arial" w:cs="Arial" w:eastAsia="Arial" w:hAnsi="Arial"/>
                <w:sz w:val="18"/>
                <w:szCs w:val="18"/>
                <w:color w:val="auto"/>
              </w:rPr>
              <w:t>11/15/2028</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29,480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11/1/2048</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100" w:type="dxa"/>
            <w:vAlign w:val="bottom"/>
          </w:tcPr>
          <w:p>
            <w:pPr>
              <w:ind w:left="40"/>
              <w:spacing w:after="0"/>
              <w:rPr>
                <w:sz w:val="20"/>
                <w:szCs w:val="20"/>
                <w:color w:val="auto"/>
              </w:rPr>
            </w:pPr>
            <w:r>
              <w:rPr>
                <w:rFonts w:ascii="Arial" w:cs="Arial" w:eastAsia="Arial" w:hAnsi="Arial"/>
                <w:sz w:val="18"/>
                <w:szCs w:val="18"/>
                <w:color w:val="auto"/>
              </w:rPr>
              <w:t>6/30/2023</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8/15/2026</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Fannie Mae 4.500% 5/1/2048</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4.500% 4/1/2049</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16,585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100" w:type="dxa"/>
            <w:vAlign w:val="bottom"/>
          </w:tcPr>
          <w:p>
            <w:pPr>
              <w:ind w:left="40"/>
              <w:spacing w:after="0"/>
              <w:rPr>
                <w:sz w:val="20"/>
                <w:szCs w:val="20"/>
                <w:color w:val="auto"/>
              </w:rPr>
            </w:pPr>
            <w:r>
              <w:rPr>
                <w:rFonts w:ascii="Arial" w:cs="Arial" w:eastAsia="Arial" w:hAnsi="Arial"/>
                <w:sz w:val="18"/>
                <w:szCs w:val="18"/>
                <w:color w:val="auto"/>
              </w:rPr>
              <w:t>7/15/2021</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5/15/2050</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Fannie Mae 4.000% 5/1/2056</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202,062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Percent of Investments Available for Sale</w:t>
            </w: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41</w:t>
            </w: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32"/>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University of Houston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6,440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Texas A&amp;M University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Houston TX</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 TX</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Central Texas Turnpike System</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w w:val="96"/>
              </w:rPr>
              <w:t>Metropolitan Transit Authority of Harris County Sales &amp; Use Tax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County of Fort Bend TX</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Austin Independent School District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44,752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center"/>
              <w:ind w:right="232"/>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of New York Personal Income Tax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New York NY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w w:val="94"/>
              </w:rPr>
              <w:t>New York City Transitional Finance Authority Future Tax Secured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Yonkers NY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TSASC, Inc.</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County of Nassau NY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Long Island Power Authority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Town of Oyster Bay NY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41,852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38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2020, our estimated off-balance sheet maximum exposure to loss from the Radnor Re entities was $10.8 million, representing the estimated net present value of investment earnings on the assets in the reinsurance trusts. See Note 4 to our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2019 Form 10-K. See Note 2 to our condensed consolidated financial statements for recently issued accounting standards adopted or under evaluation.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38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At March 31, 2020, the effective duration of our investments available for sale was 2.6 years, which means that an instantaneous parallel shift (movement up or down) in the yield curve of 100 basis points would result in a change of 2.6% in fair value of our investments available for sale. Excluding short-term investments, our investments available for sale effective duration was 3.1 years, which means that an instantaneous parallel shift (movement up or down) in the yield curve of 100 basis points would result in a change of 3.1%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2020,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in our Annual Report on Form 10-K for the year ended December 31, 2019.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impact of COVID-19</w:t>
      </w:r>
    </w:p>
    <w:p>
      <w:pPr>
        <w:spacing w:after="0" w:line="3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outbreak of COVID-19 is currently spreading throughout the world, including in Asia, Europe and the United States. This outbreak is unprecedented in modern history and continues to rapidly evolve and disrupt the global economy and financial markets, including the U.S. housing and mortgage markets. On March 11, 2020, the World Health Organization declared the outbreak to be a pandemic, and on March 13, 2020, U.S. President Donald Trump declared the outbreak to be a national emergency. The rapid spread has resulted in authorities around the world implementing numerous measures to contain the virus, such as travel bans and restrictions, quarantines, shelter-in-place orders and business shutdowns. The pandemic and these containment measures have had, and are expected to continue to have, a substantial negative impact on businesses around the world and on global, regional and national economies.</w:t>
      </w:r>
    </w:p>
    <w:p>
      <w:pPr>
        <w:spacing w:after="0" w:line="19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emergence of the COVID-19 pandemic and the resulting containment measures have caused economic and financial disruptions that have adversely affected, and are expected to continue to materially adversely affect, our business, results of operations, financial condition and liquidity. The extent to which the pandemic will continue to materially adversely affect our business, results of operations, financial condition and liquidity will depend on numerous evolving factors and future developments that we are not able to predict, including the duration, spread and severity of the outbreak; the nature, extent and effectiveness of containment measures; the extent and duration of the effect on the economy, unemployment, consumer confidence and consumer and business spending; and how quickly and to what extent normal economic and operating conditions can resume.</w:t>
      </w:r>
    </w:p>
    <w:p>
      <w:pPr>
        <w:spacing w:after="0" w:line="16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Since the outbreak of the pandemic, there have been a number of governmental and GSE efforts to implement programs designed to assist individuals and businesses impacted by the virus. On March 27, 2020, the Coronavirus Aid, Relief and Economic Security Act, referred to as the CARES Act, was signed into law. The CARES Act provides financial assistance for businesses and individuals and targeted regulatory relief for financial institutions, was signed into law. Among many other things, the CARES Act suspends foreclosures and evictions for at least 60 days from March 18, 2020, on mortgages purchased or securitized by the GSEs. In addition, the CARES Act enacts into law a requirement to provide payment forbearance on such mortgages to borrowers experiencing a hardship during the COVID-19 emergency. Forbearance under the CARES Act allows for a mortgage payment to be suspended for up to 360 days due to hardship caused by COVID-19. The CARES Act also provides for enhanced unemployment benefits and direct aid to individuals, among other things.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Fannie Mae and Freddie Mac, the primary purchasers of mortgages we insure, have adopted relief measures consistent with the CARES Act to assist borrowers impacted by COVID-19. Under forbearance plans announced by the GSEs and implemented by their servicers, eligible homeowners who are adversely impacted by COVID-19 are permitted to temporarily reduce or suspend their mortgage payments for up to 12 months. The GSEs have announced that, at the end of the forbearance plan, the homeowner may not be required to pay back their reduced or suspended mortgage payments in one lump sum, but may be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ends, and a significant percentage could ultimately default and result in a mortgage insurance claim despite the GSE and other programs.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COVID-19 pandemic and containment measures have contributed to, among other things:</w:t>
      </w:r>
    </w:p>
    <w:p>
      <w:pPr>
        <w:spacing w:after="0" w:line="225" w:lineRule="exact"/>
        <w:rPr>
          <w:sz w:val="20"/>
          <w:szCs w:val="20"/>
          <w:color w:val="auto"/>
        </w:rPr>
      </w:pPr>
    </w:p>
    <w:p>
      <w:pPr>
        <w:ind w:left="660" w:hanging="328"/>
        <w:spacing w:after="0" w:line="28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of March 31, 2020, we have been notified by mortgage servicers of only a limited number of mortgage defaults, however, we expect the number of COVID-19-related defaults reported to us, and consequently our reserves for losses and loss adjustment expenses as a result of COVID-19, to increase significantly over time.</w:t>
      </w:r>
    </w:p>
    <w:p>
      <w:pPr>
        <w:spacing w:after="0" w:line="181" w:lineRule="exact"/>
        <w:rPr>
          <w:rFonts w:ascii="Arial" w:cs="Arial" w:eastAsia="Arial" w:hAnsi="Arial"/>
          <w:sz w:val="16"/>
          <w:szCs w:val="16"/>
          <w:color w:val="auto"/>
        </w:rPr>
      </w:pPr>
    </w:p>
    <w:p>
      <w:pPr>
        <w:ind w:left="660" w:right="100" w:hanging="328"/>
        <w:spacing w:after="0" w:line="29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deterioration in the ability and willingness of homeowners to continue to make mortgage payments on loans that we insure, which could result in an increase in the amount of insurance regulatory and PMIERs capital we are required to hold for delinquent loans, including forbearance-related delinquencies, as well as an increase in claims ultimately made with respect to such mortgage loans. Mortgage delinquencies are typically affected by a variety of borrower-specific factors, such as job loss, illness, death and divorce, and macroeconomic factors, such as rising unemployment, market deterioration and home price depreciation, many of which are likely exacerbated by the COVID-19 pandemic.</w:t>
      </w:r>
    </w:p>
    <w:p>
      <w:pPr>
        <w:spacing w:after="0" w:line="161" w:lineRule="exact"/>
        <w:rPr>
          <w:rFonts w:ascii="Arial" w:cs="Arial" w:eastAsia="Arial" w:hAnsi="Arial"/>
          <w:sz w:val="16"/>
          <w:szCs w:val="16"/>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potential reduction in the number of new mortgage loans available for us to insure, and consequently, on our future volumes of new insurance written, with the degree of the impact dependent in large part on the extent and duration of the economic contraction.</w:t>
      </w:r>
    </w:p>
    <w:p>
      <w:pPr>
        <w:spacing w:after="0" w:line="146" w:lineRule="exact"/>
        <w:rPr>
          <w:rFonts w:ascii="Arial" w:cs="Arial" w:eastAsia="Arial" w:hAnsi="Arial"/>
          <w:sz w:val="17"/>
          <w:szCs w:val="17"/>
          <w:color w:val="auto"/>
        </w:rPr>
      </w:pPr>
    </w:p>
    <w:p>
      <w:pPr>
        <w:ind w:left="660" w:right="22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impacts on capital, credit and reinsurance market conditions, which may limit our ability to issue ILNs, purchase reinsurance or access traditional financing methods. Such adverse impacts may increase our cost of capital and affect our ability to meet liquidity needs.</w:t>
      </w:r>
    </w:p>
    <w:p>
      <w:pPr>
        <w:spacing w:after="0" w:line="14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increased strain on our risk management policies generally, including, but not limited to, the effectiveness and accuracy of our models, given the lack of data inputs and comparable precedent.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increased risk to the value of our investments and other assets, which has the potential to result in impairment charges.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impacts on our daily business operations and our employees’ ability to perform necessary business functions, including as a result of illness or as a result of restrictions on movement.</w:t>
      </w:r>
    </w:p>
    <w:p>
      <w:pPr>
        <w:spacing w:after="0" w:line="170"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impacts on our costs structure, including the need for increased staffing in certain segments of our business, increased spending on our business continuity efforts, such as technology, and readiness efforts for returning to our offices, which may in turn limit our ability to make investments in other areas.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increased risk of an information or cyber-security incident, fraud, a failure to maintain the uninterrupted operation of our information systems or a failure in the effectiveness of our anti-money laundering and other compliance programs due to, among other things, an increase in remote work.</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above impacts of the COVID-19 pandemic and containment measures are likely to continue and in some cases, may worsen. The pandemic and containment measures may cause us to modify our strategic plans and business practices, and we may take further actions that we determine are in the best interests of our employees, customers and business partners. As a result of the above risks, COVID-19 could materially and adversely impact our business, results of operations, financial position and liquidity.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2020.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4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2020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February 1 - February 29, 2020</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2020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86,404</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8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47</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1062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4"/>
        </w:trPr>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5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0" w:type="dxa"/>
            <w:vAlign w:val="bottom"/>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31.1</w:t>
              </w:r>
            </w:hyperlink>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31.2</w:t>
              </w:r>
            </w:hyperlink>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5"/>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32.1</w:t>
              </w:r>
            </w:hyperlink>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5"/>
              </w:rPr>
              <w:t>The following financial information from this Quarterly Report on Form 10-Q for the quarter ended March 31, 2020, formatted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8"/>
              </w:rPr>
              <w:t>Inline XBRL: (i) the Condensed Consolidated Balance Sheets (Unaudited); (ii) the Condensed Consolidated Statements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1"/>
              </w:rPr>
              <w:t>Comprehensive Income (Unaudited); (iii) the Condensed Consolidated Statements of Changes in Stockholders’ Equity (Unaudited);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3"/>
              </w:rPr>
              <w:t>(iv) the Condensed Consolidated Statements of Cash Flows (Unaudited); and (v) the Notes to Condensed Consolidated Financial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Statements (Unaudited).</w:t>
            </w:r>
          </w:p>
        </w:tc>
        <w:tc>
          <w:tcPr>
            <w:tcW w:w="0" w:type="dxa"/>
            <w:vAlign w:val="bottom"/>
          </w:tcPr>
          <w:p>
            <w:pPr>
              <w:spacing w:after="0"/>
              <w:rPr>
                <w:sz w:val="1"/>
                <w:szCs w:val="1"/>
                <w:color w:val="auto"/>
              </w:rPr>
            </w:pPr>
          </w:p>
        </w:tc>
      </w:tr>
      <w:tr>
        <w:trPr>
          <w:trHeight w:val="675"/>
        </w:trPr>
        <w:tc>
          <w:tcPr>
            <w:tcW w:w="620" w:type="dxa"/>
            <w:vAlign w:val="bottom"/>
          </w:tcPr>
          <w:p>
            <w:pPr>
              <w:spacing w:after="0"/>
              <w:rPr>
                <w:sz w:val="24"/>
                <w:szCs w:val="24"/>
                <w:color w:val="auto"/>
              </w:rPr>
            </w:pPr>
          </w:p>
        </w:tc>
        <w:tc>
          <w:tcPr>
            <w:tcW w:w="10620" w:type="dxa"/>
            <w:vAlign w:val="bottom"/>
            <w:gridSpan w:val="3"/>
          </w:tcPr>
          <w:p>
            <w:pPr>
              <w:jc w:val="right"/>
              <w:ind w:right="54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jc w:val="both"/>
        <w:ind w:right="240" w:firstLine="8"/>
        <w:spacing w:after="0" w:line="395" w:lineRule="auto"/>
        <w:tabs>
          <w:tab w:leader="none" w:pos="5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220" w:firstLine="8"/>
        <w:spacing w:after="0" w:line="324" w:lineRule="auto"/>
        <w:tabs>
          <w:tab w:leader="none" w:pos="5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520" w:firstLine="494"/>
        <w:spacing w:after="0" w:line="395" w:lineRule="auto"/>
        <w:tabs>
          <w:tab w:leader="none" w:pos="10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1020" w:hanging="526"/>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780" w:firstLine="494"/>
        <w:spacing w:after="0" w:line="357" w:lineRule="auto"/>
        <w:tabs>
          <w:tab w:leader="none" w:pos="101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460" w:firstLine="494"/>
        <w:spacing w:after="0" w:line="324" w:lineRule="auto"/>
        <w:tabs>
          <w:tab w:leader="none" w:pos="10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0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jc w:val="both"/>
        <w:ind w:right="240" w:firstLine="8"/>
        <w:spacing w:after="0" w:line="395" w:lineRule="auto"/>
        <w:tabs>
          <w:tab w:leader="none" w:pos="5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220" w:firstLine="8"/>
        <w:spacing w:after="0" w:line="324"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520" w:firstLine="494"/>
        <w:spacing w:after="0" w:line="395" w:lineRule="auto"/>
        <w:tabs>
          <w:tab w:leader="none" w:pos="10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1020" w:hanging="52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780" w:firstLine="494"/>
        <w:spacing w:after="0" w:line="357" w:lineRule="auto"/>
        <w:tabs>
          <w:tab w:leader="none" w:pos="101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460" w:firstLine="494"/>
        <w:spacing w:after="0" w:line="324" w:lineRule="auto"/>
        <w:tabs>
          <w:tab w:leader="none" w:pos="10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0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55" w:name="page56"/>
    <w:bookmarkEnd w:id="5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80" w:firstLine="8"/>
        <w:spacing w:after="0" w:line="32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60" w:firstLine="8"/>
        <w:spacing w:after="0" w:line="57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2020</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decimal"/>
      <w:start w:val="5"/>
    </w:lvl>
    <w:lvl w:ilvl="1">
      <w:lvlJc w:val="left"/>
      <w:lvlText w:val="(%2)"/>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5"/>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2020-05-08T16:14:03Z</dcterms:created>
  <dcterms:modified xsi:type="dcterms:W3CDTF">2020-05-08T16:14:03Z</dcterms:modified>
</cp:coreProperties>
</file>