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542.xml.htm"/>
      <w:bookmarkStart w:id="1" w:name="kswkform4_17894205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Heise Angela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par value $0.015</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unvested restricted stock award(s) and/or unvested restricted stock unit award(s) and become vested proportionately with the award(s) to which they relate. Each dividend equivalent unit is the economic equivalent of one common share of Essent Group Ltd.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2427"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3392</Characters>
  <CharactersWithSpaces>3942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