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467.xml.htm"/>
      <w:bookmarkStart w:id="1" w:name="kswkform4_17894204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Curran Christopher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 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Essent Guaranty, Inc.</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par value $0.015</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unvested restricted stock award(s) and/or unvested restricted stock unit award(s) and become vested proportionately with the award(s) to which they relate. Each dividend equivalent unit is the economic equivalent of one common share of Essent Group Ltd.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8476"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3428</Characters>
  <CharactersWithSpaces>3982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