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660" w:right="26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period ended March 31, 2014</w:t>
      </w:r>
    </w:p>
    <w:p>
      <w:pPr>
        <w:spacing w:after="0" w:line="216" w:lineRule="exact"/>
        <w:rPr>
          <w:sz w:val="24"/>
          <w:szCs w:val="24"/>
          <w:color w:val="auto"/>
        </w:rPr>
      </w:pPr>
    </w:p>
    <w:p>
      <w:pPr>
        <w:ind w:left="660" w:right="18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60"/>
          </w:cols>
          <w:pgMar w:left="240" w:top="229" w:right="399" w:bottom="0" w:gutter="0" w:footer="0" w:header="0"/>
        </w:sectPr>
      </w:pPr>
    </w:p>
    <w:p>
      <w:pPr>
        <w:spacing w:after="0" w:line="15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200" w:space="620"/>
            <w:col w:w="4440"/>
          </w:cols>
          <w:pgMar w:left="240" w:top="229" w:right="399" w:bottom="0" w:gutter="0" w:footer="0" w:header="0"/>
          <w:type w:val="continuous"/>
        </w:sectPr>
      </w:pP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005-87689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229"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ESSENT GROUP LTD.</w:t>
      </w: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229"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2">
            <w:col w:w="7080" w:space="720"/>
            <w:col w:w="3460"/>
          </w:cols>
          <w:pgMar w:left="240" w:top="229" w:right="399" w:bottom="0"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 Church Street</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Hamilton HM11, Bermuda</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(441) 297-9901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60"/>
          </w:cols>
          <w:pgMar w:left="240" w:top="229" w:right="399" w:bottom="0" w:gutter="0" w:footer="0" w:header="0"/>
          <w:type w:val="continuous"/>
        </w:sectPr>
      </w:pPr>
    </w:p>
    <w:p>
      <w:pPr>
        <w:spacing w:after="0" w:line="218" w:lineRule="exact"/>
        <w:rPr>
          <w:sz w:val="24"/>
          <w:szCs w:val="24"/>
          <w:color w:val="auto"/>
        </w:rPr>
      </w:pPr>
    </w:p>
    <w:p>
      <w:pPr>
        <w:ind w:left="80" w:firstLine="47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left="80" w:right="20" w:firstLine="47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pacing w:after="0" w:line="3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207" w:lineRule="exact"/>
        <w:rPr>
          <w:sz w:val="24"/>
          <w:szCs w:val="24"/>
          <w:color w:val="auto"/>
        </w:rPr>
      </w:pPr>
    </w:p>
    <w:p>
      <w:pPr>
        <w:ind w:left="480"/>
        <w:spacing w:after="0"/>
        <w:tabs>
          <w:tab w:leader="none" w:pos="3580" w:val="left"/>
          <w:tab w:leader="none" w:pos="6320" w:val="left"/>
          <w:tab w:leader="none" w:pos="902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8"/>
          <w:szCs w:val="18"/>
          <w:color w:val="auto"/>
        </w:rPr>
        <w:t>Non-accelerated filer x</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22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number of the registrant’s common shares outstanding as of May 9, 2014 was 86,528,525.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10-Q</w:t>
      </w:r>
    </w:p>
    <w:p>
      <w:pPr>
        <w:sectPr>
          <w:pgSz w:w="11900" w:h="16838" w:orient="portrait"/>
          <w:cols w:equalWidth="0" w:num="1">
            <w:col w:w="11260"/>
          </w:cols>
          <w:pgMar w:left="240" w:top="229" w:right="3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80" w:type="dxa"/>
            <w:vAlign w:val="bottom"/>
            <w:gridSpan w:val="9"/>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660" w:type="dxa"/>
            <w:vAlign w:val="bottom"/>
          </w:tcPr>
          <w:p>
            <w:pPr>
              <w:spacing w:after="0"/>
              <w:rPr>
                <w:sz w:val="20"/>
                <w:szCs w:val="20"/>
                <w:color w:val="auto"/>
              </w:rPr>
            </w:pPr>
          </w:p>
        </w:tc>
      </w:tr>
      <w:tr>
        <w:trPr>
          <w:trHeight w:val="392"/>
        </w:trPr>
        <w:tc>
          <w:tcPr>
            <w:tcW w:w="640" w:type="dxa"/>
            <w:vAlign w:val="bottom"/>
            <w:gridSpan w:val="2"/>
          </w:tcPr>
          <w:p>
            <w:pPr>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900" w:type="dxa"/>
            <w:vAlign w:val="bottom"/>
            <w:gridSpan w:val="5"/>
          </w:tcPr>
          <w:p>
            <w:pPr>
              <w:spacing w:after="0"/>
              <w:rPr>
                <w:sz w:val="24"/>
                <w:szCs w:val="24"/>
                <w:color w:val="auto"/>
              </w:rPr>
            </w:pPr>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Item 1.</w:t>
              </w:r>
            </w:hyperlink>
          </w:p>
        </w:tc>
        <w:tc>
          <w:tcPr>
            <w:tcW w:w="100" w:type="dxa"/>
            <w:vAlign w:val="bottom"/>
          </w:tcPr>
          <w:p>
            <w:pPr>
              <w:spacing w:after="0"/>
              <w:rPr>
                <w:sz w:val="24"/>
                <w:szCs w:val="24"/>
                <w:color w:val="auto"/>
              </w:rPr>
            </w:pPr>
          </w:p>
        </w:tc>
        <w:tc>
          <w:tcPr>
            <w:tcW w:w="900" w:type="dxa"/>
            <w:vAlign w:val="bottom"/>
            <w:gridSpan w:val="5"/>
          </w:tcPr>
          <w:p>
            <w:pPr>
              <w:spacing w:after="0"/>
              <w:rPr>
                <w:sz w:val="24"/>
                <w:szCs w:val="24"/>
                <w:color w:val="auto"/>
              </w:rPr>
            </w:pPr>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Statements (Unaudited)</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Condensed Consolidated Balance Sheets (Unaudited)</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Condensed Consolidated Statements of Comprehensive Income (Unaudited)</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40" w:type="dxa"/>
            <w:vAlign w:val="bottom"/>
            <w:tcBorders>
              <w:bottom w:val="single" w:sz="8" w:color="0000EE"/>
            </w:tcBorders>
            <w:gridSpan w:val="14"/>
          </w:tcPr>
          <w:p>
            <w:pPr>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Condensed Consolidated Statements of Changes in Stockholders’ Equity (Unaudited)</w:t>
              </w:r>
            </w:hyperlink>
          </w:p>
        </w:tc>
        <w:tc>
          <w:tcPr>
            <w:tcW w:w="172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Condensed Consolidated Statements of Cash Flows (Unaudited)</w:t>
              </w:r>
            </w:hyperlink>
          </w:p>
        </w:tc>
        <w:tc>
          <w:tcPr>
            <w:tcW w:w="3360" w:type="dxa"/>
            <w:vAlign w:val="bottom"/>
            <w:gridSpan w:val="5"/>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Notes to Condensed Consolidated Financial Statements (Unaudited)</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Times New Roman" w:cs="Times New Roman" w:eastAsia="Times New Roman" w:hAnsi="Times New Roman"/>
                <w:sz w:val="18"/>
                <w:szCs w:val="18"/>
                <w:b w:val="1"/>
                <w:bCs w:val="1"/>
                <w:color w:val="0000EE"/>
                <w:w w:val="92"/>
              </w:rPr>
            </w:pPr>
            <w:hyperlink w:anchor="page15">
              <w:r>
                <w:rPr>
                  <w:rFonts w:ascii="Times New Roman" w:cs="Times New Roman" w:eastAsia="Times New Roman" w:hAnsi="Times New Roman"/>
                  <w:sz w:val="18"/>
                  <w:szCs w:val="18"/>
                  <w:b w:val="1"/>
                  <w:bCs w:val="1"/>
                  <w:color w:val="0000EE"/>
                  <w:w w:val="92"/>
                </w:rPr>
                <w:t>Item 2.</w:t>
              </w:r>
            </w:hyperlink>
          </w:p>
        </w:tc>
        <w:tc>
          <w:tcPr>
            <w:tcW w:w="1000" w:type="dxa"/>
            <w:vAlign w:val="bottom"/>
            <w:gridSpan w:val="6"/>
          </w:tcPr>
          <w:p>
            <w:pPr>
              <w:spacing w:after="0"/>
              <w:rPr>
                <w:sz w:val="24"/>
                <w:szCs w:val="24"/>
                <w:color w:val="auto"/>
              </w:rPr>
            </w:pPr>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15">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2"/>
        </w:trPr>
        <w:tc>
          <w:tcPr>
            <w:tcW w:w="540" w:type="dxa"/>
            <w:vAlign w:val="bottom"/>
            <w:tcBorders>
              <w:top w:val="single" w:sz="8" w:color="0000EE"/>
            </w:tcBorders>
          </w:tcPr>
          <w:p>
            <w:pPr>
              <w:spacing w:after="0"/>
              <w:rPr>
                <w:rFonts w:ascii="Times New Roman" w:cs="Times New Roman" w:eastAsia="Times New Roman" w:hAnsi="Times New Roman"/>
                <w:sz w:val="18"/>
                <w:szCs w:val="18"/>
                <w:b w:val="1"/>
                <w:bCs w:val="1"/>
                <w:color w:val="0000EE"/>
                <w:w w:val="92"/>
              </w:rPr>
            </w:pPr>
            <w:hyperlink w:anchor="page26">
              <w:r>
                <w:rPr>
                  <w:rFonts w:ascii="Times New Roman" w:cs="Times New Roman" w:eastAsia="Times New Roman" w:hAnsi="Times New Roman"/>
                  <w:sz w:val="18"/>
                  <w:szCs w:val="18"/>
                  <w:b w:val="1"/>
                  <w:bCs w:val="1"/>
                  <w:color w:val="0000EE"/>
                  <w:w w:val="92"/>
                </w:rPr>
                <w:t>Item 3.</w:t>
              </w:r>
            </w:hyperlink>
          </w:p>
        </w:tc>
        <w:tc>
          <w:tcPr>
            <w:tcW w:w="1000" w:type="dxa"/>
            <w:vAlign w:val="bottom"/>
            <w:gridSpan w:val="6"/>
          </w:tcPr>
          <w:p>
            <w:pPr>
              <w:spacing w:after="0"/>
              <w:rPr>
                <w:sz w:val="24"/>
                <w:szCs w:val="24"/>
                <w:color w:val="auto"/>
              </w:rPr>
            </w:pPr>
          </w:p>
        </w:tc>
        <w:tc>
          <w:tcPr>
            <w:tcW w:w="6820" w:type="dxa"/>
            <w:vAlign w:val="bottom"/>
            <w:tcBorders>
              <w:top w:val="single" w:sz="8" w:color="0000EE"/>
            </w:tcBorders>
            <w:gridSpan w:val="15"/>
          </w:tcPr>
          <w:p>
            <w:pPr>
              <w:spacing w:after="0"/>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Quantitative and Qualitative Disclosures About Market Risk</w:t>
              </w:r>
            </w:hyperlink>
          </w:p>
        </w:tc>
        <w:tc>
          <w:tcPr>
            <w:tcW w:w="14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540" w:type="dxa"/>
            <w:vAlign w:val="bottom"/>
            <w:tcBorders>
              <w:top w:val="single" w:sz="8" w:color="0000EE"/>
            </w:tcBorders>
          </w:tcPr>
          <w:p>
            <w:pPr>
              <w:spacing w:after="0"/>
              <w:rPr>
                <w:rFonts w:ascii="Times New Roman" w:cs="Times New Roman" w:eastAsia="Times New Roman" w:hAnsi="Times New Roman"/>
                <w:sz w:val="18"/>
                <w:szCs w:val="18"/>
                <w:b w:val="1"/>
                <w:bCs w:val="1"/>
                <w:color w:val="0000EE"/>
                <w:w w:val="92"/>
              </w:rPr>
            </w:pPr>
            <w:hyperlink w:anchor="page27">
              <w:r>
                <w:rPr>
                  <w:rFonts w:ascii="Times New Roman" w:cs="Times New Roman" w:eastAsia="Times New Roman" w:hAnsi="Times New Roman"/>
                  <w:sz w:val="18"/>
                  <w:szCs w:val="18"/>
                  <w:b w:val="1"/>
                  <w:bCs w:val="1"/>
                  <w:color w:val="0000EE"/>
                  <w:w w:val="92"/>
                </w:rPr>
                <w:t>Item 4.</w:t>
              </w:r>
            </w:hyperlink>
          </w:p>
        </w:tc>
        <w:tc>
          <w:tcPr>
            <w:tcW w:w="1000" w:type="dxa"/>
            <w:vAlign w:val="bottom"/>
            <w:gridSpan w:val="6"/>
          </w:tcPr>
          <w:p>
            <w:pPr>
              <w:spacing w:after="0"/>
              <w:rPr>
                <w:sz w:val="24"/>
                <w:szCs w:val="24"/>
                <w:color w:val="auto"/>
              </w:rPr>
            </w:pPr>
          </w:p>
        </w:tc>
        <w:tc>
          <w:tcPr>
            <w:tcW w:w="4660" w:type="dxa"/>
            <w:vAlign w:val="bottom"/>
            <w:tcBorders>
              <w:top w:val="single" w:sz="8" w:color="0000EE"/>
            </w:tcBorders>
            <w:gridSpan w:val="10"/>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Controls and Procedures</w:t>
              </w:r>
            </w:hyperlink>
          </w:p>
        </w:tc>
        <w:tc>
          <w:tcPr>
            <w:tcW w:w="360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1540" w:type="dxa"/>
            <w:vAlign w:val="bottom"/>
            <w:gridSpan w:val="7"/>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PART II.</w:t>
              </w:r>
            </w:hyperlink>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OTHER INFORMATION</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700" w:type="dxa"/>
            <w:vAlign w:val="bottom"/>
            <w:tcBorders>
              <w:top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Item 1.</w:t>
              </w:r>
            </w:hyperlink>
          </w:p>
        </w:tc>
        <w:tc>
          <w:tcPr>
            <w:tcW w:w="840" w:type="dxa"/>
            <w:vAlign w:val="bottom"/>
            <w:gridSpan w:val="3"/>
          </w:tcPr>
          <w:p>
            <w:pPr>
              <w:spacing w:after="0"/>
              <w:rPr>
                <w:sz w:val="24"/>
                <w:szCs w:val="24"/>
                <w:color w:val="auto"/>
              </w:rPr>
            </w:pPr>
          </w:p>
        </w:tc>
        <w:tc>
          <w:tcPr>
            <w:tcW w:w="2020" w:type="dxa"/>
            <w:vAlign w:val="bottom"/>
            <w:tcBorders>
              <w:top w:val="single" w:sz="8" w:color="0000EE"/>
            </w:tcBorders>
            <w:gridSpan w:val="5"/>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Legal Proceedings</w:t>
              </w:r>
            </w:hyperlink>
          </w:p>
        </w:tc>
        <w:tc>
          <w:tcPr>
            <w:tcW w:w="6240" w:type="dxa"/>
            <w:vAlign w:val="bottom"/>
            <w:gridSpan w:val="11"/>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Times New Roman" w:cs="Times New Roman" w:eastAsia="Times New Roman" w:hAnsi="Times New Roman"/>
                <w:sz w:val="18"/>
                <w:szCs w:val="18"/>
                <w:b w:val="1"/>
                <w:bCs w:val="1"/>
                <w:color w:val="0000EE"/>
                <w:w w:val="98"/>
              </w:rPr>
            </w:pPr>
            <w:hyperlink w:anchor="page27">
              <w:r>
                <w:rPr>
                  <w:rFonts w:ascii="Times New Roman" w:cs="Times New Roman" w:eastAsia="Times New Roman" w:hAnsi="Times New Roman"/>
                  <w:sz w:val="18"/>
                  <w:szCs w:val="18"/>
                  <w:b w:val="1"/>
                  <w:bCs w:val="1"/>
                  <w:color w:val="0000EE"/>
                  <w:w w:val="98"/>
                </w:rPr>
                <w:t>Item 1A.</w:t>
              </w:r>
            </w:hyperlink>
          </w:p>
        </w:tc>
        <w:tc>
          <w:tcPr>
            <w:tcW w:w="860" w:type="dxa"/>
            <w:vAlign w:val="bottom"/>
            <w:gridSpan w:val="4"/>
          </w:tcPr>
          <w:p>
            <w:pPr>
              <w:spacing w:after="0"/>
              <w:rPr>
                <w:sz w:val="24"/>
                <w:szCs w:val="24"/>
                <w:color w:val="auto"/>
              </w:rPr>
            </w:pPr>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Risk Factors</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Item 2.</w:t>
              </w:r>
            </w:hyperlink>
          </w:p>
        </w:tc>
        <w:tc>
          <w:tcPr>
            <w:tcW w:w="48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8260" w:type="dxa"/>
            <w:vAlign w:val="bottom"/>
            <w:gridSpan w:val="16"/>
          </w:tcPr>
          <w:p>
            <w:pPr>
              <w:spacing w:after="0"/>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Unregistered Sales of Equity Securities and Use of Proceeds</w:t>
              </w:r>
            </w:hyperlink>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5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b w:val="1"/>
                <w:bCs w:val="1"/>
                <w:color w:val="0000EE"/>
                <w:w w:val="92"/>
              </w:rPr>
            </w:pPr>
            <w:hyperlink w:anchor="page28">
              <w:r>
                <w:rPr>
                  <w:rFonts w:ascii="Times New Roman" w:cs="Times New Roman" w:eastAsia="Times New Roman" w:hAnsi="Times New Roman"/>
                  <w:sz w:val="18"/>
                  <w:szCs w:val="18"/>
                  <w:b w:val="1"/>
                  <w:bCs w:val="1"/>
                  <w:color w:val="0000EE"/>
                  <w:w w:val="92"/>
                </w:rPr>
                <w:t>Item 6.</w:t>
              </w:r>
            </w:hyperlink>
          </w:p>
        </w:tc>
        <w:tc>
          <w:tcPr>
            <w:tcW w:w="620" w:type="dxa"/>
            <w:vAlign w:val="bottom"/>
            <w:tcBorders>
              <w:top w:val="single" w:sz="8" w:color="0000EE"/>
            </w:tcBorders>
            <w:gridSpan w:val="4"/>
          </w:tcPr>
          <w:p>
            <w:pPr>
              <w:spacing w:after="0"/>
              <w:rPr>
                <w:sz w:val="24"/>
                <w:szCs w:val="24"/>
                <w:color w:val="auto"/>
              </w:rPr>
            </w:pPr>
          </w:p>
        </w:tc>
        <w:tc>
          <w:tcPr>
            <w:tcW w:w="380" w:type="dxa"/>
            <w:vAlign w:val="bottom"/>
            <w:gridSpan w:val="2"/>
          </w:tcPr>
          <w:p>
            <w:pPr>
              <w:spacing w:after="0"/>
              <w:rPr>
                <w:sz w:val="24"/>
                <w:szCs w:val="24"/>
                <w:color w:val="auto"/>
              </w:rPr>
            </w:pPr>
          </w:p>
        </w:tc>
        <w:tc>
          <w:tcPr>
            <w:tcW w:w="6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28">
              <w:r>
                <w:rPr>
                  <w:rFonts w:ascii="Times New Roman" w:cs="Times New Roman" w:eastAsia="Times New Roman" w:hAnsi="Times New Roman"/>
                  <w:sz w:val="18"/>
                  <w:szCs w:val="18"/>
                  <w:b w:val="1"/>
                  <w:bCs w:val="1"/>
                  <w:color w:val="0000EE"/>
                  <w:w w:val="96"/>
                </w:rPr>
                <w:t>Exhibits</w:t>
              </w:r>
            </w:hyperlink>
          </w:p>
        </w:tc>
        <w:tc>
          <w:tcPr>
            <w:tcW w:w="3920" w:type="dxa"/>
            <w:vAlign w:val="bottom"/>
            <w:tcBorders>
              <w:top w:val="single" w:sz="8" w:color="0000EE"/>
            </w:tcBorders>
            <w:gridSpan w:val="8"/>
          </w:tcPr>
          <w:p>
            <w:pPr>
              <w:spacing w:after="0"/>
              <w:rPr>
                <w:sz w:val="24"/>
                <w:szCs w:val="24"/>
                <w:color w:val="auto"/>
              </w:rPr>
            </w:pPr>
          </w:p>
        </w:tc>
        <w:tc>
          <w:tcPr>
            <w:tcW w:w="3700" w:type="dxa"/>
            <w:vAlign w:val="bottom"/>
            <w:gridSpan w:val="7"/>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1540" w:type="dxa"/>
            <w:vAlign w:val="bottom"/>
            <w:gridSpan w:val="7"/>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SIGNATURES</w:t>
              </w:r>
            </w:hyperlink>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1540" w:type="dxa"/>
            <w:vAlign w:val="bottom"/>
            <w:gridSpan w:val="7"/>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EXHIBIT INDEX</w:t>
              </w:r>
            </w:hyperlink>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53"/>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0" w:type="dxa"/>
            <w:vAlign w:val="bottom"/>
            <w:gridSpan w:val="8"/>
          </w:tcPr>
          <w:p>
            <w:pPr>
              <w:jc w:val="center"/>
              <w:ind w:right="3980"/>
              <w:spacing w:after="0"/>
              <w:rPr>
                <w:sz w:val="20"/>
                <w:szCs w:val="20"/>
                <w:color w:val="auto"/>
              </w:rPr>
            </w:pPr>
            <w:r>
              <w:rPr>
                <w:rFonts w:ascii="Times New Roman" w:cs="Times New Roman" w:eastAsia="Times New Roman" w:hAnsi="Times New Roman"/>
                <w:sz w:val="18"/>
                <w:szCs w:val="18"/>
                <w:color w:val="auto"/>
                <w:w w:val="99"/>
              </w:rPr>
              <w:t>ii</w:t>
            </w:r>
          </w:p>
        </w:tc>
        <w:tc>
          <w:tcPr>
            <w:tcW w:w="166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merchandise,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2013 filed with the Securities and Exchange Commission. These factors include, without limitation, the following:</w:t>
      </w:r>
    </w:p>
    <w:p>
      <w:pPr>
        <w:spacing w:after="0" w:line="185" w:lineRule="exact"/>
        <w:rPr>
          <w:sz w:val="20"/>
          <w:szCs w:val="20"/>
          <w:color w:val="auto"/>
        </w:rPr>
      </w:pPr>
    </w:p>
    <w:p>
      <w:pPr>
        <w:ind w:left="980" w:right="12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ectPr>
          <w:pgSz w:w="11900" w:h="16838" w:orient="portrait"/>
          <w:cols w:equalWidth="0" w:num="1">
            <w:col w:w="11460"/>
          </w:cols>
          <w:pgMar w:left="240" w:top="333" w:right="199" w:bottom="0" w:gutter="0" w:footer="0" w:header="0"/>
        </w:sectPr>
      </w:pPr>
    </w:p>
    <w:bookmarkStart w:id="2" w:name="page3"/>
    <w:bookmarkEnd w:id="2"/>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new insurance written, or NIW, and franchise value due to loss of a significant customer;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recently enacted legislation is uncertain;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of our insurance subsidiaries to pay dividends.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ectPr>
          <w:pgSz w:w="11900" w:h="16838" w:orient="portrait"/>
          <w:cols w:equalWidth="0" w:num="1">
            <w:col w:w="11400"/>
          </w:cols>
          <w:pgMar w:left="240" w:top="121" w:right="259" w:bottom="0" w:gutter="0" w:footer="0" w:header="0"/>
        </w:sectPr>
      </w:pPr>
    </w:p>
    <w:p>
      <w:pPr>
        <w:spacing w:after="0" w:line="223" w:lineRule="exact"/>
        <w:rPr>
          <w:sz w:val="20"/>
          <w:szCs w:val="20"/>
          <w:color w:val="auto"/>
        </w:rPr>
      </w:pPr>
    </w:p>
    <w:p>
      <w:pPr>
        <w:ind w:left="86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ectPr>
          <w:pgSz w:w="11900" w:h="16838" w:orient="portrait"/>
          <w:cols w:equalWidth="0" w:num="1">
            <w:col w:w="11400"/>
          </w:cols>
          <w:pgMar w:left="240" w:top="121" w:right="25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5"/>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available for sale, at fair value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maturities</w:t>
            </w:r>
          </w:p>
        </w:tc>
        <w:tc>
          <w:tcPr>
            <w:tcW w:w="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585,743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261,525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 less accumulated depreciation of $37,342 in 2014 and $36,796 in 2013)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4,372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5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905,046</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Unearned premium reserve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110,841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due under Asset Purchase Agreement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payroll and bonuses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Payable for securities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35,192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164,917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- 233,333; issued - 86,494 shares in 2014 and 86,491 shares in 2013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756,893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740,129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905,046</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52,192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unearned premiums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23,459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Common Shares</w:t>
            </w: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Class A common shares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Class B-2 common shares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Common Shares</w:t>
            </w: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Class A common shares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Class B-2 common shares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0" w:gutter="0" w:footer="0" w:header="0"/>
        </w:sectPr>
      </w:pPr>
    </w:p>
    <w:bookmarkStart w:id="4" w:name="page5"/>
    <w:bookmarkEnd w:id="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Common Shares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82,864</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Class A common shares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Class B-2 common shares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Common Shares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84,696</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Class A common shares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Class B-2 common shares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15,006</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unrealized appreciation (depreciation) of investments, net of tax expense (benefit) of $370 in</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2014 and $(139) in 2013</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479</w:t>
            </w:r>
          </w:p>
        </w:tc>
        <w:tc>
          <w:tcPr>
            <w:tcW w:w="4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B-2</w:t>
            </w:r>
          </w:p>
        </w:tc>
        <w:tc>
          <w:tcPr>
            <w:tcW w:w="80" w:type="dxa"/>
            <w:vAlign w:val="bottom"/>
          </w:tcPr>
          <w:p>
            <w:pPr>
              <w:spacing w:after="0"/>
              <w:rPr>
                <w:sz w:val="13"/>
                <w:szCs w:val="13"/>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3"/>
            <w:vMerge w:val="continue"/>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108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2013</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347,924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2,414</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(97,512)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(34,142)</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219,123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(3,861)</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(3,861)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Class A and Class B-2 common</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123,729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123,852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 net of issuance cost of $1,143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Class A and Class B-2</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common shares into Common Shares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Shares net of issuance</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313,414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313,713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$25,546</w:t>
            </w: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management incentive shares</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Forfeiture of management incentive shares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Cancellation of treasury stock</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(34,419)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34,453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1,297</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754,390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(32,099)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722,141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15,006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management incentive shares</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Cancellation of treasury stock</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Excess tax benefits from stock-based</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1,631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 expense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2014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1,297</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756,893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(968</w:t>
            </w:r>
          </w:p>
        </w:tc>
        <w:tc>
          <w:tcPr>
            <w:tcW w:w="24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(17,093</w:t>
            </w:r>
          </w:p>
        </w:tc>
        <w:tc>
          <w:tcPr>
            <w:tcW w:w="1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740,129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the sale of investments, net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payments due under Asset Purchase Agreement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356"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(1,695)</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premium reserve</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7,442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change in short-term investments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(247,446)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investments available for sale</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(291,424)</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maturity of investments available for sale</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7,232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 of investments available for sale</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52,215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 net</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(479,930)</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acquired</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(468,817)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477,655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management incentive shares (see Note 6)</w:t>
            </w:r>
          </w:p>
        </w:tc>
        <w:tc>
          <w:tcPr>
            <w:tcW w:w="2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Group”, “Company”, “we”, “us”, and “our” refer to Essent Group Ltd. and its subsidiaries, unless the context otherwise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Essent Group Ltd. is a Bermuda-based holding company, which, through its wholly-owned subsidiaries, offers private mortgage insurance and reinsurance for mortgages secured by residential properties located in the United States. Mortgage insurance facilitates the sale of low-down payment (generally less than 20%) mortgage loans into the secondary mortgage market, primarily to the government sponsored enterprises (“GSEs”), Fannie Mae and Freddie Mac. Essent Group was incorporated in Bermuda in July 2008. Essent US Holdings, Inc. (“Essent Holdings”) is a wholly-owned subsidiary of Essent Group and is incorporated in Delaware. The primary mortgage insurance operations are conducted through Essent Holdings’ regulated and licensed wholly-owned subsidiaries, Essent Guaranty, Inc. (“Essent Guaranty”) and Essent Guaranty of PA, Inc. (“Essent PA”). Essent also has a wholly-owned Bermuda domiciled reinsurer, Essent Reinsurance, Ltd. (“Essent Re”). Essent Guaranty is approved as a qualified mortgage insurer by the GSEs and is licensed to write mortgage insurance in all 50 states and the District of Columbia. In March 2014, Essent Group formed Essent Irish Intermediate Holdings Limited (“Essent Irish Intermediate”) as a wholly-owned subsidiary. In April 2014, Essent Group contributed the stock of Essent Holdings to Essent Irish Intermediate.</w:t>
      </w:r>
    </w:p>
    <w:p>
      <w:pPr>
        <w:spacing w:after="0" w:line="1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2013,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2014 prior to the issuance of these condensed consolidated financial statements.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described more fully in our Annual Report on Form 10-K for the year ended December 31, 2013, Class B-2 common share and per share data in all periods presented has been restated for the 2 for 3 share split and the 1 for 1 conversion rate to Common Shares that was effective immediately prior to the closing of the initial public offering. Class A common share and per share data has not been restated because the conversion to Common Shares in connection with the initial public offering was considered a value-for-value exchange of equity interests at the point of the transaction that resulted in a change in shareholder rights and rank before and after the transaction.</w:t>
      </w:r>
    </w:p>
    <w:p>
      <w:pPr>
        <w:sectPr>
          <w:pgSz w:w="11900" w:h="16838" w:orient="portrait"/>
          <w:cols w:equalWidth="0" w:num="1">
            <w:col w:w="11420"/>
          </w:cols>
          <w:pgMar w:left="240" w:top="121" w:right="239" w:bottom="0" w:gutter="0" w:footer="0" w:header="0"/>
        </w:sectPr>
      </w:pPr>
    </w:p>
    <w:bookmarkStart w:id="6" w:name="page7"/>
    <w:bookmarkEnd w:id="6"/>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Available for Sale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48,075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40,340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61,536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238,732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848,646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14,763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23,023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57,947</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57,650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126,311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125,593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19,219</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20,340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14,079</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14,079</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220" w:hanging="328"/>
        <w:spacing w:after="0" w:line="282" w:lineRule="auto"/>
        <w:tabs>
          <w:tab w:leader="none" w:pos="6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2014, approximately 54% of municipal debt securities were special revenue bonds, 45% were general obligation bonds and 1% were tax allocation bonds. At December 31, 2013, all municipal debt securities were general obligation bonds.</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available for sale securities at March 31, 2014,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1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18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1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U.S. Treasury securities:</w:t>
            </w:r>
          </w:p>
        </w:tc>
        <w:tc>
          <w:tcPr>
            <w:tcW w:w="3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in 1 year</w:t>
            </w:r>
          </w:p>
        </w:tc>
        <w:tc>
          <w:tcPr>
            <w:tcW w:w="38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34,059</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34,147</w:t>
            </w: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1 but within</w:t>
            </w: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7,824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7,877</w:t>
            </w:r>
          </w:p>
        </w:tc>
      </w:tr>
      <w:tr>
        <w:trPr>
          <w:trHeight w:val="216"/>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5 but within</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29,977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29,560</w:t>
            </w:r>
          </w:p>
        </w:tc>
      </w:tr>
      <w:tr>
        <w:trPr>
          <w:trHeight w:val="210"/>
        </w:trPr>
        <w:tc>
          <w:tcPr>
            <w:tcW w:w="1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1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U.S. agency securities:</w:t>
            </w:r>
          </w:p>
        </w:tc>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in 1 year</w:t>
            </w:r>
          </w:p>
        </w:tc>
        <w:tc>
          <w:tcPr>
            <w:tcW w:w="3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7,929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7,947</w:t>
            </w:r>
          </w:p>
        </w:tc>
      </w:tr>
      <w:tr>
        <w:trPr>
          <w:trHeight w:val="216"/>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1 but within</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r>
      <w:tr>
        <w:trPr>
          <w:trHeight w:val="210"/>
        </w:trPr>
        <w:tc>
          <w:tcPr>
            <w:tcW w:w="1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5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1 but within</w:t>
            </w: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56,588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56,251</w:t>
            </w:r>
          </w:p>
        </w:tc>
      </w:tr>
      <w:tr>
        <w:trPr>
          <w:trHeight w:val="216"/>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5 but within</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53,515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53,770</w:t>
            </w:r>
          </w:p>
        </w:tc>
      </w:tr>
      <w:tr>
        <w:trPr>
          <w:trHeight w:val="205"/>
        </w:trPr>
        <w:tc>
          <w:tcPr>
            <w:tcW w:w="18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Due after 10 years</w:t>
            </w:r>
          </w:p>
        </w:tc>
        <w:tc>
          <w:tcPr>
            <w:tcW w:w="3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line="205" w:lineRule="exact"/>
              <w:rPr>
                <w:sz w:val="20"/>
                <w:szCs w:val="20"/>
                <w:color w:val="auto"/>
              </w:rPr>
            </w:pPr>
            <w:r>
              <w:rPr>
                <w:rFonts w:ascii="Times New Roman" w:cs="Times New Roman" w:eastAsia="Times New Roman" w:hAnsi="Times New Roman"/>
                <w:sz w:val="18"/>
                <w:szCs w:val="18"/>
                <w:color w:val="auto"/>
              </w:rPr>
              <w:t>35,960</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36,133</w:t>
            </w:r>
          </w:p>
        </w:tc>
      </w:tr>
    </w:tbl>
    <w:p>
      <w:pPr>
        <w:sectPr>
          <w:pgSz w:w="11900" w:h="16900" w:orient="portrait"/>
          <w:cols w:equalWidth="0" w:num="1">
            <w:col w:w="11460"/>
          </w:cols>
          <w:pgMar w:left="240" w:top="337" w:right="199" w:bottom="0" w:gutter="0" w:footer="0" w:header="0"/>
        </w:sectPr>
      </w:pPr>
    </w:p>
    <w:bookmarkStart w:id="7" w:name="page8"/>
    <w:bookmarkEnd w:id="7"/>
    <w:p>
      <w:pPr>
        <w:spacing w:after="0" w:line="4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146,063</w:t>
            </w: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146,154</w:t>
            </w:r>
          </w:p>
        </w:tc>
        <w:tc>
          <w:tcPr>
            <w:tcW w:w="80" w:type="dxa"/>
            <w:vAlign w:val="bottom"/>
          </w:tcPr>
          <w:p>
            <w:pPr>
              <w:spacing w:after="0"/>
              <w:rPr>
                <w:sz w:val="19"/>
                <w:szCs w:val="19"/>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Corporate debt securities:</w:t>
            </w: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in 1 year</w:t>
            </w: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3,830</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152,413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152,321</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71,138</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71,136</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10 years</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3,525</w:t>
            </w:r>
          </w:p>
        </w:tc>
        <w:tc>
          <w:tcPr>
            <w:tcW w:w="8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230,907</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48,075</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40,340</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61,536</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238,732</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848,646</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847,268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Essent Group realized gross gains and losses on the sale of investments available for sale as follows:</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gross gains</w:t>
            </w:r>
          </w:p>
        </w:tc>
        <w:tc>
          <w:tcPr>
            <w:tcW w:w="20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Realized gross losses</w:t>
            </w:r>
          </w:p>
        </w:tc>
        <w:tc>
          <w:tcPr>
            <w:tcW w:w="2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investments in an unrealized loss position and the related unrealized losses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March 31, 2014</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26,240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5,063</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73,248</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130,505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5,178</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32,840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329,466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84" w:orient="portrait"/>
          <w:cols w:equalWidth="0" w:num="1">
            <w:col w:w="11460"/>
          </w:cols>
          <w:pgMar w:left="240" w:top="120"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1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At December 31, 2013 </w:t>
      </w:r>
      <w:r>
        <w:rPr>
          <w:rFonts w:ascii="Times New Roman" w:cs="Times New Roman" w:eastAsia="Times New Roman" w:hAnsi="Times New Roman"/>
          <w:sz w:val="18"/>
          <w:szCs w:val="18"/>
          <w:color w:val="auto"/>
        </w:rPr>
        <w:t>U.S. Treasury securities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U.S. agency mortgage-backed securities Municipal debt securities</w:t>
      </w:r>
    </w:p>
    <w:p>
      <w:pPr>
        <w:spacing w:after="0" w:line="1" w:lineRule="exact"/>
        <w:rPr>
          <w:sz w:val="20"/>
          <w:szCs w:val="20"/>
          <w:color w:val="auto"/>
        </w:rPr>
      </w:pPr>
    </w:p>
    <w:p>
      <w:pPr>
        <w:ind w:right="900"/>
        <w:spacing w:after="0" w:line="254" w:lineRule="auto"/>
        <w:rPr>
          <w:sz w:val="20"/>
          <w:szCs w:val="20"/>
          <w:color w:val="auto"/>
        </w:rPr>
      </w:pPr>
      <w:r>
        <w:rPr>
          <w:rFonts w:ascii="Times New Roman" w:cs="Times New Roman" w:eastAsia="Times New Roman" w:hAnsi="Times New Roman"/>
          <w:sz w:val="18"/>
          <w:szCs w:val="18"/>
          <w:color w:val="auto"/>
        </w:rPr>
        <w:t>Corporate debt securities Mortgage-backed securities Asset-backed securities 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16,474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3,685</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17,169</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13,074</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34,647</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3,148</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78,512</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5,333</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18,582</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6,024</w:t>
            </w:r>
          </w:p>
        </w:tc>
        <w:tc>
          <w:tcPr>
            <w:tcW w:w="1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-1139825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-865505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-591185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-316865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sectPr>
          <w:pgSz w:w="11900" w:h="16884" w:orient="portrait"/>
          <w:cols w:equalWidth="0" w:num="2">
            <w:col w:w="2900" w:space="200"/>
            <w:col w:w="8360"/>
          </w:cols>
          <w:pgMar w:left="240" w:top="120" w:right="199" w:bottom="0" w:gutter="0" w:footer="0" w:header="0"/>
          <w:type w:val="continuous"/>
        </w:sect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of investments in the three months ended March 31, 2014 or year ended December 31, 2013.</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$8,560 at March 31, 2014 and $8,573 at December 31, 2013.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21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8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84" w:orient="portrait"/>
          <w:cols w:equalWidth="0" w:num="1">
            <w:col w:w="11460"/>
          </w:cols>
          <w:pgMar w:left="240" w:top="120" w:right="199" w:bottom="0" w:gutter="0" w:footer="0" w:header="0"/>
          <w:type w:val="continuous"/>
        </w:sectPr>
      </w:pPr>
    </w:p>
    <w:bookmarkStart w:id="8" w:name="page9"/>
    <w:bookmarkEnd w:id="8"/>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receivable consist of premiums due on our mortgage insurance policies. If mortgage insurance premiums are unpaid for more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days, the receivable is written off against earned premium and the related insurance policy is cancelled. For all periods presented, Essent Group did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a provision or an allowance for doubtful accounts.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Reserve for Losses and Loss Adjustment Expenses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three months ended March 31:</w:t>
      </w:r>
    </w:p>
    <w:p>
      <w:pPr>
        <w:spacing w:after="0" w:line="155"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65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period</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years</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during the current period</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period</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years</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bottom w:val="single" w:sz="8" w:color="CCEEFF"/>
            </w:tcBorders>
          </w:tcPr>
          <w:p>
            <w:pPr>
              <w:spacing w:after="0"/>
              <w:rPr>
                <w:sz w:val="21"/>
                <w:szCs w:val="21"/>
                <w:color w:val="auto"/>
              </w:rPr>
            </w:pPr>
          </w:p>
        </w:tc>
      </w:tr>
      <w:tr>
        <w:trPr>
          <w:trHeight w:val="197"/>
        </w:trPr>
        <w:tc>
          <w:tcPr>
            <w:tcW w:w="6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in default at end of period</w:t>
            </w:r>
          </w:p>
        </w:tc>
        <w:tc>
          <w:tcPr>
            <w:tcW w:w="9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bl>
    <w:p>
      <w:pPr>
        <w:spacing w:after="0" w:line="17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2014, $168 was paid for incurred claims and claim adjustment expenses attributable to insured events of prior years. There has been a $384 favorable prior-year development during the three months ended March 31, 2014. Reserves remaining as of March 31, 2014 for prior years are $2.5 million as a result of re-estimation of unpaid losses and loss adjustment expenses. For the three months ended March 31, 2013, $64 was paid for incurred claims and claim adjustment expenses attributable to insured events of prior years. There has been a $194 favorable prior-year development during the three months ended March 31, 2013. Reserves remaining as of March 31, 2013 for prior years were $1.2 million as a result of re-estimation of unpaid losses and loss adjustment expenses. The decreases in both periods are generally the result of ongoing analysis of recent loss development trends. Original estimates are increased or decreased as additional information becomes known regarding individual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CUW Solutions LLC’s contract underwriting agreements with lenders and subject to contractual limitations on liability, we agreed to indemnify the lender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have not paid any amounts related to remedies for the three months ended March 31, 2014 or 2013. As of March 31, 2014, management believes any potential claims for indemnification related to contract underwriting services through March 31, 2014 are not material to our condensed consolidated financial position or results of operations.</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w:t>
      </w:r>
    </w:p>
    <w:p>
      <w:pPr>
        <w:sectPr>
          <w:pgSz w:w="11900" w:h="16840" w:orient="portrait"/>
          <w:cols w:equalWidth="0" w:num="1">
            <w:col w:w="11400"/>
          </w:cols>
          <w:pgMar w:left="240" w:top="333" w:right="259" w:bottom="0" w:gutter="0" w:footer="0" w:header="0"/>
        </w:sectPr>
      </w:pPr>
    </w:p>
    <w:bookmarkStart w:id="9" w:name="page10"/>
    <w:bookmarkEnd w:id="9"/>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upon the occurrence of certain events, such as the negligence or willful misconduct of our employees, infringement of third 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indemnification obligations may be limited in time and/or amount, and in some instances, we may have recourse against third parties for certain payments made by us under an indemnification agreement or obligation. As of March 31, 2014,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indemnifications.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Stock-Based Compensation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February 6, 2009, Essent Group adopted the 2009 Restricted Share Plan. In connection with the initial public offering that was completed in November 2013, Essent Group’s Board of Directors amended and restated the 2009 Restricted Share Plan, effective immediately prior to the initial public offering. In addition,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As of March 31, 2014, there were 13,654 Common Shares available for future grant under the 2013 Plan.</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September 2013 and February 2014, certain members of senior management were granted nonvested Common Shares under the 2013 Plan that were subject to time-based and performance-based vesting, with any nonvested Common Shares becoming earned based upon our compounded annual book value per share growth percentage during a three-year performance period commencing January 1, 2014. The September 2013 grants vest on the one-year anniversary of the completion of the performance period, and the 2014 grants vest on March 1, 2017. The portion of the nonvested Common Shares that will be earned based upon the achievement of compounded annual book value per share growth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280" w:type="dxa"/>
            <w:vAlign w:val="bottom"/>
            <w:vMerge w:val="restart"/>
          </w:tcPr>
          <w:p>
            <w:pPr>
              <w:spacing w:after="0"/>
              <w:rPr>
                <w:sz w:val="13"/>
                <w:szCs w:val="13"/>
                <w:color w:val="auto"/>
              </w:rPr>
            </w:pPr>
          </w:p>
        </w:tc>
        <w:tc>
          <w:tcPr>
            <w:tcW w:w="3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Compounded Annual Book Value</w:t>
            </w:r>
          </w:p>
        </w:tc>
        <w:tc>
          <w:tcPr>
            <w:tcW w:w="3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Nonvested Common</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 Growth</w:t>
            </w:r>
          </w:p>
        </w:tc>
        <w:tc>
          <w:tcPr>
            <w:tcW w:w="300" w:type="dxa"/>
            <w:vAlign w:val="bottom"/>
            <w:tcBorders>
              <w:bottom w:val="single" w:sz="8" w:color="CCEEFF"/>
            </w:tcBorders>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Earned</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&lt; 11%</w:t>
            </w:r>
          </w:p>
        </w:tc>
        <w:tc>
          <w:tcPr>
            <w:tcW w:w="3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3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3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3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3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76"/>
        </w:trPr>
        <w:tc>
          <w:tcPr>
            <w:tcW w:w="5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2520" w:type="dxa"/>
            <w:vAlign w:val="bottom"/>
          </w:tcPr>
          <w:p>
            <w:pPr>
              <w:spacing w:after="0"/>
              <w:rPr>
                <w:sz w:val="15"/>
                <w:szCs w:val="15"/>
                <w:color w:val="auto"/>
              </w:rPr>
            </w:pPr>
          </w:p>
        </w:tc>
        <w:tc>
          <w:tcPr>
            <w:tcW w:w="620" w:type="dxa"/>
            <w:vAlign w:val="bottom"/>
            <w:gridSpan w:val="3"/>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6"/>
              </w:rPr>
              <w:t>&gt; 15%</w:t>
            </w:r>
          </w:p>
        </w:tc>
        <w:tc>
          <w:tcPr>
            <w:tcW w:w="30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falls between the performance levels shown above, the nonvested Common Shares earned will be determined on a straight line basis between the respective levels shown.</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2013, in February 2014, the Compensation Committee of the Board of Directors approved the issuance of time-based share awards and share units to employees that will vest in equal annual installments during the three-year period commencing January 1, 2014.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nonvested Common Share and nonvested Common Share unit activity for the three months ended March 31, 2014: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1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Time and Performance-</w:t>
            </w:r>
          </w:p>
        </w:tc>
        <w:tc>
          <w:tcPr>
            <w:tcW w:w="220" w:type="dxa"/>
            <w:vAlign w:val="bottom"/>
          </w:tcPr>
          <w:p>
            <w:pPr>
              <w:spacing w:after="0"/>
              <w:rPr>
                <w:sz w:val="13"/>
                <w:szCs w:val="13"/>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Time-Based Share</w:t>
            </w:r>
          </w:p>
        </w:tc>
        <w:tc>
          <w:tcPr>
            <w:tcW w:w="216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1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220" w:type="dxa"/>
            <w:vAlign w:val="bottom"/>
          </w:tcPr>
          <w:p>
            <w:pPr>
              <w:spacing w:after="0"/>
              <w:rPr>
                <w:sz w:val="15"/>
                <w:szCs w:val="15"/>
                <w:color w:val="auto"/>
              </w:rPr>
            </w:pPr>
          </w:p>
        </w:tc>
        <w:tc>
          <w:tcPr>
            <w:tcW w:w="1300" w:type="dxa"/>
            <w:vAlign w:val="bottom"/>
            <w:gridSpan w:val="3"/>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14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22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4.82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24.85</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ectPr>
          <w:pgSz w:w="11900" w:h="16838" w:orient="portrait"/>
          <w:cols w:equalWidth="0" w:num="1">
            <w:col w:w="11460"/>
          </w:cols>
          <w:pgMar w:left="240" w:top="121" w:right="199" w:bottom="0" w:gutter="0" w:footer="0" w:header="0"/>
        </w:sectPr>
      </w:pPr>
    </w:p>
    <w:bookmarkStart w:id="10" w:name="page11"/>
    <w:bookmarkEnd w:id="10"/>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nonvested shares that vested was $17,472 and $803 for the three months ended March 31, 2014 and 2013, respectively. As of March 31, 2014, there was $35,425 of total unrecognized compensation expense related to nonvested shares outstanding at March 31, 2014 and we expect to recognize the expense over a weighted average period of 3.3 years.</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nonvested share activity listed above, in February 2014, the Compensation Committee of the Board of Directors approved the issuance to employees of 17 Common Shares which vested upon issuance.</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98 in the three months ended March 31, 2014. The tendered shares were recorded at cost, included in treasury stock and have been cancelled as of March 31, 2014.</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were as follows for the three months ended March 31:</w:t>
      </w:r>
    </w:p>
    <w:p>
      <w:pPr>
        <w:spacing w:after="0" w:line="155"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5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974</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2014, the statutory income tax rates of the countries where the Company does business are 35.0% in the United States and 0.0% in Bermuda. The statutory income tax rate of each country is applied against the taxable income from each country to calculate the income tax expense.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consists of the following components for the three months ended March 31:</w:t>
      </w:r>
    </w:p>
    <w:p>
      <w:pPr>
        <w:spacing w:after="0" w:line="219"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5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7,107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is different from that which would be obtained by applying the applicable statutory income tax rates to income before taxes by jurisdiction (i.e. U.S. 35.0%; Bermuda 0.0%). The reconciliation of the difference between income tax expense and the expected tax provision at the weighted average tax rate is as follows for the three months ended March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3"/>
                <w:szCs w:val="13"/>
                <w:color w:val="auto"/>
              </w:rPr>
            </w:pPr>
          </w:p>
        </w:tc>
        <w:tc>
          <w:tcPr>
            <w:tcW w:w="10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 of pretax</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3"/>
                <w:szCs w:val="13"/>
                <w:color w:val="auto"/>
              </w:rPr>
            </w:pP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of pretax</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Borders>
              <w:bottom w:val="single" w:sz="8" w:color="CCEEFF"/>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at weighted average statutory 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8"/>
              </w:rPr>
              <w:t>37.3%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spacing w:after="0"/>
              <w:rPr>
                <w:sz w:val="18"/>
                <w:szCs w:val="18"/>
                <w:color w:val="auto"/>
              </w:rPr>
            </w:pPr>
          </w:p>
        </w:tc>
        <w:tc>
          <w:tcPr>
            <w:tcW w:w="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exempt interest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(2,606)</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Difference in estimated full-year rate and year-to-date actual</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10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7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provide deferred taxes to reflect the estimated future tax effects of the differences between the financial statement and tax bases of assets and liabilities using currently enacted tax laws. The net deferred tax asset is comprised of the following:</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60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(16,697)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before valuation allowance</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 were as follows: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60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Contingency reserves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Start-up expenditures, net</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Nonvested shares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minimum tax credit carryforward</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11" w:name="page12"/>
    <w:bookmarkEnd w:id="11"/>
    <w:p>
      <w:pPr>
        <w:spacing w:after="0" w:line="5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5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Loss reserves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expenditures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three months and year ended March 31, 2014 and December 31, 2013, we purchased T&amp;L Bonds for $10 million and $8.0 million, respectively, which is reflected on our condensed consolidated balance sheets as prepaid federal income tax. Alternative minimum tax carryforwards do not expire.</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At March 31, 2014 and December 31, 2013, after weighing all the evidence, management concluded that it was more likely than not that our deferred tax assets would be realized.</w:t>
      </w:r>
    </w:p>
    <w:p>
      <w:pPr>
        <w:spacing w:after="0" w:line="176" w:lineRule="exact"/>
        <w:rPr>
          <w:sz w:val="20"/>
          <w:szCs w:val="20"/>
          <w:color w:val="auto"/>
        </w:rPr>
      </w:pPr>
    </w:p>
    <w:p>
      <w:pPr>
        <w:jc w:val="both"/>
        <w:ind w:right="260" w:firstLine="648"/>
        <w:spacing w:after="0" w:line="289" w:lineRule="auto"/>
        <w:rPr>
          <w:sz w:val="20"/>
          <w:szCs w:val="20"/>
          <w:color w:val="auto"/>
        </w:rPr>
      </w:pPr>
      <w:r>
        <w:rPr>
          <w:rFonts w:ascii="Times New Roman" w:cs="Times New Roman" w:eastAsia="Times New Roman" w:hAnsi="Times New Roman"/>
          <w:sz w:val="17"/>
          <w:szCs w:val="17"/>
          <w:color w:val="auto"/>
        </w:rPr>
        <w:t>Under current Bermuda law, the parent company, Essent Group Ltd., and its Bermuda subsidiary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5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Essent Holdings and its subsidiaries are subject to income taxes imposed by U.S. authorities and file a U.S. Consolidated Income Tax Return. Each subsidiary has executed a tax sharing agreement with its parent company, which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that taxes are settled in cash between parent and subsidiary on a quarterly basis based on separate company pro-forma calculations.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March 31, 2014 and 2013, we had no unrecognized tax benefits. As of March 31, 2014, our U.S. federal income tax returns for the tax years 2009 through 2012 remain subject to examination. The Company has not recorded any uncertain tax positions as of March 31, 2014 or December 31, 2013.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 (EPS)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 for the three months ended March 31:</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Class A common shares dividends declared</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Class B-2 common shares dividends declared</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Undistributed net income</w:t>
            </w:r>
          </w:p>
        </w:tc>
        <w:tc>
          <w:tcPr>
            <w:tcW w:w="12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bottom w:val="single" w:sz="8" w:color="CCEEFF"/>
            </w:tcBorders>
          </w:tcPr>
          <w:p>
            <w:pPr>
              <w:spacing w:after="0"/>
              <w:rPr>
                <w:sz w:val="21"/>
                <w:szCs w:val="21"/>
                <w:color w:val="auto"/>
              </w:rPr>
            </w:pPr>
          </w:p>
        </w:tc>
      </w:tr>
      <w:tr>
        <w:trPr>
          <w:trHeight w:val="197"/>
        </w:trPr>
        <w:tc>
          <w:tcPr>
            <w:tcW w:w="5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allocable to Common Shares</w:t>
            </w: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15,006</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allocable to Class A common shares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allocable to Class B-2 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w:t>
            </w:r>
          </w:p>
        </w:tc>
        <w:tc>
          <w:tcPr>
            <w:tcW w:w="21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shares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B-2 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w:t>
            </w:r>
          </w:p>
        </w:tc>
        <w:tc>
          <w:tcPr>
            <w:tcW w:w="21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shares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B-2 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weighted average common shares outstanding:</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82,864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shares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31,805</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B-2 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Dilutive effect of nonvested shares: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shares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B-2 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weighted average common shares outstanding:</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84,696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shares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31,864</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B-2 common shares</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6,009</w:t>
            </w:r>
          </w:p>
        </w:tc>
      </w:tr>
    </w:tbl>
    <w:p>
      <w:pPr>
        <w:sectPr>
          <w:pgSz w:w="11900" w:h="16897" w:orient="portrait"/>
          <w:cols w:equalWidth="0" w:num="1">
            <w:col w:w="11380"/>
          </w:cols>
          <w:pgMar w:left="240" w:top="121" w:right="279" w:bottom="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There were 64 and 0 antidilutive shares for the three months ended March 31, 2014 and 2013, respectively.</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nonvested performance-based share awards are considered contingently issuable for purposes of the EPS calculation. There were no performance-based share awards that would be issuable under the terms of the arrangements if March 31, 2014 was the end of the contingency period. Therefore, no nonvested performance-based share awards were included in diluted shares outstanding for the three months ended March 31, 2014. There were 1,251 weighted average nonvested performance-based share awards outstanding for the three months ended March 31, 2014.</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Class A common shares were entitled to receive cumulative compounding dividends prior and in preference to any declaration or payment of any dividend on the Class B-2 common shares. In periods of income, the undistributed net income was allocated to the Class A common shares to satisfy this requirement.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Accumulated Other Comprehensive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income (loss) for the three months ended March 31,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Tax Effect</w:t>
            </w:r>
          </w:p>
        </w:tc>
        <w:tc>
          <w:tcPr>
            <w:tcW w:w="280" w:type="dxa"/>
            <w:vAlign w:val="bottom"/>
          </w:tcPr>
          <w:p>
            <w:pPr>
              <w:spacing w:after="0"/>
              <w:rPr>
                <w:sz w:val="12"/>
                <w:szCs w:val="12"/>
                <w:color w:val="auto"/>
              </w:rPr>
            </w:pPr>
          </w:p>
        </w:tc>
        <w:tc>
          <w:tcPr>
            <w:tcW w:w="110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Net of Tax</w:t>
            </w:r>
          </w:p>
        </w:tc>
        <w:tc>
          <w:tcPr>
            <w:tcW w:w="120" w:type="dxa"/>
            <w:vAlign w:val="bottom"/>
          </w:tcPr>
          <w:p>
            <w:pPr>
              <w:spacing w:after="0"/>
              <w:rPr>
                <w:sz w:val="12"/>
                <w:szCs w:val="12"/>
                <w:color w:val="auto"/>
              </w:rPr>
            </w:pPr>
          </w:p>
        </w:tc>
      </w:tr>
      <w:tr>
        <w:trPr>
          <w:trHeight w:val="210"/>
        </w:trPr>
        <w:tc>
          <w:tcPr>
            <w:tcW w:w="5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196"/>
        </w:trPr>
        <w:tc>
          <w:tcPr>
            <w:tcW w:w="5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holding gains arising during the period</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Reclassification adjustment for gains included in net income (1)</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0"/>
        </w:trPr>
        <w:tc>
          <w:tcPr>
            <w:tcW w:w="5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bottom w:val="single" w:sz="8" w:color="CCEEFF"/>
            </w:tcBorders>
          </w:tcPr>
          <w:p>
            <w:pPr>
              <w:spacing w:after="0"/>
              <w:rPr>
                <w:sz w:val="18"/>
                <w:szCs w:val="18"/>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Three months ended March 31, 2013</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Tax Effect</w:t>
            </w:r>
          </w:p>
        </w:tc>
        <w:tc>
          <w:tcPr>
            <w:tcW w:w="280" w:type="dxa"/>
            <w:vAlign w:val="bottom"/>
          </w:tcPr>
          <w:p>
            <w:pPr>
              <w:spacing w:after="0"/>
              <w:rPr>
                <w:sz w:val="12"/>
                <w:szCs w:val="12"/>
                <w:color w:val="auto"/>
              </w:rPr>
            </w:pPr>
          </w:p>
        </w:tc>
        <w:tc>
          <w:tcPr>
            <w:tcW w:w="110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Net of Tax</w:t>
            </w:r>
          </w:p>
        </w:tc>
        <w:tc>
          <w:tcPr>
            <w:tcW w:w="120" w:type="dxa"/>
            <w:vAlign w:val="bottom"/>
          </w:tcPr>
          <w:p>
            <w:pPr>
              <w:spacing w:after="0"/>
              <w:rPr>
                <w:sz w:val="12"/>
                <w:szCs w:val="12"/>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5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holding losses arising during the period</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Reclassification adjustment for gains included in net income (1)</w:t>
            </w: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5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tcPr>
          <w:p>
            <w:pPr>
              <w:spacing w:after="0"/>
              <w:rPr>
                <w:sz w:val="18"/>
                <w:szCs w:val="18"/>
                <w:color w:val="auto"/>
              </w:rPr>
            </w:pP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net realized investment gains on our condensed consolidated statements of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of Financial Instruments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and related carrying amounts of our financial instruments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40" w:type="dxa"/>
            <w:vAlign w:val="bottom"/>
            <w:gridSpan w:val="2"/>
            <w:vMerge w:val="continue"/>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5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71,584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71,584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11,193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2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47,468</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47,468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146,154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2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230,823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230,823</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39,688</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39,688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61,626</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61,626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238,732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238,732</w:t>
            </w:r>
          </w:p>
        </w:tc>
        <w:tc>
          <w:tcPr>
            <w:tcW w:w="26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20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847,268</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847,268</w:t>
            </w:r>
          </w:p>
        </w:tc>
        <w:tc>
          <w:tcPr>
            <w:tcW w:w="260" w:type="dxa"/>
            <w:vAlign w:val="bottom"/>
            <w:tcBorders>
              <w:bottom w:val="single" w:sz="8" w:color="CCEEFF"/>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42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Financial Liabilities:</w:t>
            </w:r>
          </w:p>
        </w:tc>
        <w:tc>
          <w:tcPr>
            <w:tcW w:w="2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under Asset Purchase Agreement</w:t>
            </w:r>
          </w:p>
        </w:tc>
        <w:tc>
          <w:tcPr>
            <w:tcW w:w="25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337" w:right="199" w:bottom="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59,187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59,187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14,839</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22,241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57,650</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125,593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125,593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18,581</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20,385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14,079</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332,555</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8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Financial Liabilities:</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under Asset Purchase Agreement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fair-value hierarchy are as follows:</w:t>
      </w:r>
    </w:p>
    <w:p>
      <w:pPr>
        <w:spacing w:after="0" w:line="180" w:lineRule="exact"/>
        <w:rPr>
          <w:sz w:val="20"/>
          <w:szCs w:val="20"/>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2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76"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 No financial instruments were classified as Level 3 at March 31, 2014 or December 31, 2013.</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25" w:lineRule="exact"/>
        <w:rPr>
          <w:sz w:val="20"/>
          <w:szCs w:val="20"/>
          <w:color w:val="auto"/>
        </w:rPr>
      </w:pPr>
    </w:p>
    <w:p>
      <w:pPr>
        <w:ind w:left="980" w:right="40" w:hanging="324"/>
        <w:spacing w:after="0" w:line="256" w:lineRule="auto"/>
        <w:tabs>
          <w:tab w:leader="none" w:pos="9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U.S. agency securities, U.S. agency mortgage-backed securities, certain mortgage-backed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Municipal debt securities, corporate debt securities, certain mortgage-backed securities and asset-backed securities are classified as Level 2 investments.</w:t>
      </w:r>
    </w:p>
    <w:p>
      <w:pPr>
        <w:spacing w:after="0" w:line="188" w:lineRule="exact"/>
        <w:rPr>
          <w:sz w:val="20"/>
          <w:szCs w:val="20"/>
          <w:color w:val="auto"/>
        </w:rPr>
      </w:pPr>
    </w:p>
    <w:p>
      <w:pPr>
        <w:ind w:left="980" w:right="60"/>
        <w:spacing w:after="0" w:line="255" w:lineRule="auto"/>
        <w:rPr>
          <w:sz w:val="20"/>
          <w:szCs w:val="20"/>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We review the reasonableness of prices received from our primary pricing service by comparison to prices obtained from additional pricing sources. We have not made any adjustments to the prices obtained from our primary pricing service.</w:t>
      </w:r>
    </w:p>
    <w:p>
      <w:pPr>
        <w:spacing w:after="0" w:line="189" w:lineRule="exact"/>
        <w:rPr>
          <w:sz w:val="20"/>
          <w:szCs w:val="20"/>
          <w:color w:val="auto"/>
        </w:rPr>
      </w:pPr>
    </w:p>
    <w:p>
      <w:pPr>
        <w:ind w:left="980" w:right="20" w:hanging="324"/>
        <w:spacing w:after="0" w:line="289" w:lineRule="auto"/>
        <w:tabs>
          <w:tab w:leader="none" w:pos="9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due under Asset Purchase Agreement — The fair value of amounts due under Asset Purchase Agreement is estimated using discounted cash flow analyses based on current risk-free interest rates of securities with similar maturities. The fair value estimates of amounts due under Asset Purchase Agreement are classified as Level 2 since quoted market prices are not available, but observable inputs are used in the valuation.</w:t>
      </w:r>
    </w:p>
    <w:p>
      <w:pPr>
        <w:sectPr>
          <w:pgSz w:w="11900" w:h="16838" w:orient="portrait"/>
          <w:cols w:equalWidth="0" w:num="1">
            <w:col w:w="11400"/>
          </w:cols>
          <w:pgMar w:left="240" w:top="117" w:right="259" w:bottom="0" w:gutter="0" w:footer="0" w:header="0"/>
        </w:sectPr>
      </w:pPr>
    </w:p>
    <w:bookmarkStart w:id="14" w:name="page15"/>
    <w:bookmarkEnd w:id="14"/>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right="580" w:firstLine="648"/>
        <w:spacing w:after="0" w:line="313" w:lineRule="auto"/>
        <w:rPr>
          <w:sz w:val="20"/>
          <w:szCs w:val="20"/>
          <w:color w:val="auto"/>
        </w:rPr>
      </w:pPr>
      <w:r>
        <w:rPr>
          <w:rFonts w:ascii="Times New Roman" w:cs="Times New Roman" w:eastAsia="Times New Roman" w:hAnsi="Times New Roman"/>
          <w:sz w:val="17"/>
          <w:szCs w:val="17"/>
          <w:color w:val="auto"/>
        </w:rPr>
        <w:t>All assets measured at fair value at March 31, 2014 are categorized in the table below based upon the lowest level of significant input to the valuations. All fair value measurements at the reporting date were on a recurring basis. We had no liabilities measured at fair value at March 31, 2014.</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noted)</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71,584</w:t>
            </w: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debt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9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374,155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473,113</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Statutory Accounting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domestic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620" w:type="dxa"/>
        <w:tblCellMar>
          <w:top w:w="0" w:type="dxa"/>
          <w:left w:w="0" w:type="dxa"/>
          <w:bottom w:w="0" w:type="dxa"/>
          <w:right w:w="0" w:type="dxa"/>
        </w:tblCellMar>
      </w:tblPr>
      <w:tr>
        <w:trPr>
          <w:trHeight w:val="173"/>
        </w:trPr>
        <w:tc>
          <w:tcPr>
            <w:tcW w:w="33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Essent Guaranty</w:t>
            </w: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net income</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20,847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5,927</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surplus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204,979</w:t>
            </w: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33,134</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 PA</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net income</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surplus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40,032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18,990</w:t>
            </w:r>
          </w:p>
        </w:tc>
      </w:tr>
      <w:tr>
        <w:trPr>
          <w:trHeight w:val="234"/>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2,591</w:t>
            </w:r>
          </w:p>
        </w:tc>
      </w:tr>
    </w:tbl>
    <w:p>
      <w:pPr>
        <w:spacing w:after="0" w:line="17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At March 31, 2014 and 2013, the statutory capital of our insurance subsidiaries, which is defined as the total of statutory surplus and contingency reserves, was well in excess of the statutory capital necessary to satisfy the insurance subsidiaries’ regulatory requirements.</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During the three months ended March 31, 2014, Essent Guaranty increased its contingency reserve by $20,356 and Essent PA increased its contingency reserve by $2,020.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three months ended March 31, 2014 or 2013.</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2013 as filed with the Securities and Exchange Commission and referred to herein as the “Annual Report,” and our condensed consolidated financial statements and related notes as of and for the three months ended March 31, 2014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w:t>
      </w:r>
    </w:p>
    <w:p>
      <w:pPr>
        <w:sectPr>
          <w:pgSz w:w="11900" w:h="16938" w:orient="portrait"/>
          <w:cols w:equalWidth="0" w:num="1">
            <w:col w:w="11420"/>
          </w:cols>
          <w:pgMar w:left="240" w:top="333" w:right="239" w:bottom="0" w:gutter="0" w:footer="0" w:header="0"/>
        </w:sectPr>
      </w:pPr>
    </w:p>
    <w:bookmarkStart w:id="15" w:name="page16"/>
    <w:bookmarkEnd w:id="15"/>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Since writing our first policy in May 2010, we have grown to an estimated 12.9% market share based on new insurance written, or NIW, excluding NIW under the Home Affordable Refinance Program, for the three months ended March 31, 2014, up from 12.1%, 8.6% and 4.5% for the years ended December 31, 2013, 2012 and 2011, respectively. We believe that our growth has been driven largely by the unique opportunity we offer lenders to partner with a well-capitalized mortgage insurer, unencumbered by legacy business, that provides fair and transparent claims payment practices, and consistency and speed of service.</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2010, Essent became the first private mortgage insurer to be approved by the GSEs since 1995, and is licensed to write coverage in all 50 states and the District of Columbia. We completed our initial public offering in November 2013. The financial strength of Essent Guaranty, Inc., our wholly-owned insurance subsidiary, is rated Baa2 with a stable outlook by Moody’s Investors Service and BBB+ with a stable outlook by Standard &amp; Poor’s Rating Services.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had master policy relationships with approximately 985 customers as of March 31, 2014. We have a fully functioning, scalable and flexible mortgage insurance platform, which we acquired from Triad Guaranty Inc. and its wholly-owned subsidiary, Triad Guaranty Insurance Corporation, which we refer to collectively as “Triad”, in exchange for up to $30 million in cash and the assumption of certain contractual obligations. Our holding company is domiciled in Bermuda and our U.S. insurance business is headquartered in Radnor, Pennsylvania. We operate additional underwriting and service centers in Winston-Salem, North Carolina and Irvine, California. We have a highly experienced, talented team with 302 employees as of March 31, 2014. For the three months ended March 31, 2014 and 2013, we generated new insurance written of approximately $3.6 billion and $4.3 billion, respectively, and as of March 31, 2014, we had approximately $34.8 billion of insurance in force.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Premiums are based on insurance in force, or IIF, during all or a portion of a period. A change in the average IIF during a period causes premiums to increase or decrease as compared to prior periods. Average premiums rates in effect during a given period will also cause premiums to differ when compared to earlier periods. IIF at the end of a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is a function of the IIF at the beginning of such reporting period plus new insurance written, or NIW, less policy cancellations (including claims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As a result, premiums are generally influenced by:</w:t>
      </w:r>
    </w:p>
    <w:p>
      <w:pPr>
        <w:spacing w:after="0" w:line="207" w:lineRule="exact"/>
        <w:rPr>
          <w:sz w:val="20"/>
          <w:szCs w:val="20"/>
          <w:color w:val="auto"/>
        </w:rPr>
      </w:pPr>
    </w:p>
    <w:p>
      <w:pPr>
        <w:ind w:left="980" w:right="20" w:hanging="324"/>
        <w:spacing w:after="0" w:line="313" w:lineRule="auto"/>
        <w:tabs>
          <w:tab w:leader="none" w:pos="9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38" w:lineRule="exact"/>
        <w:rPr>
          <w:rFonts w:ascii="Times New Roman" w:cs="Times New Roman" w:eastAsia="Times New Roman" w:hAnsi="Times New Roman"/>
          <w:sz w:val="17"/>
          <w:szCs w:val="17"/>
          <w:color w:val="auto"/>
        </w:rPr>
      </w:pPr>
    </w:p>
    <w:p>
      <w:pPr>
        <w:ind w:left="980" w:right="140" w:hanging="324"/>
        <w:spacing w:after="0" w:line="282" w:lineRule="auto"/>
        <w:tabs>
          <w:tab w:leader="none" w:pos="9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rescissions and claim payments;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To date, we have not entered into any reinsurance contracts.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2014 were non-refundable. Premiums collected on annual policies are recognized as net premiums earned on a straight line basis over the year of coverage. For the three months ended March 31, 2014, monthly and single premium policies comprised 81.8% and 18.2% of our NIW,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9"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87.9% at</w:t>
      </w:r>
    </w:p>
    <w:p>
      <w:pPr>
        <w:sectPr>
          <w:pgSz w:w="11900" w:h="16889" w:orient="portrait"/>
          <w:cols w:equalWidth="0" w:num="1">
            <w:col w:w="11420"/>
          </w:cols>
          <w:pgMar w:left="240" w:top="119" w:right="2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March 31, 2014. Generally, higher prepayment speeds lead to lower persistency.</w:t>
      </w:r>
    </w:p>
    <w:p>
      <w:pPr>
        <w:spacing w:after="0" w:line="22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investment portfolio was comprised entirely of investment grade fixed income securities and money market investments as of March 31, 2014. The principal factors that influence investment income are the size of the investment portfolio and the yield.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to provide certain information technology maintenance and development and customer support-related services. In return for these services, we receive a fee which is recorded in other income. From the period from December 1, 2009 to November 30, 2010, this fee was based on a fixed amount. Effective December 1, 2010, the fee is adjusted monthly based on the number of Triad’s mortgage insurance policies in force and, accordingly, will decrease over time as Triad’s existing policies are cancelled. The services agreement provides for a minimum monthly fee of $150,000 for the duration of the services agreement. The services agreement expires on November 30, 2014 and provides for two subsequent five-year renewals at Triad’s option.</w:t>
      </w:r>
    </w:p>
    <w:p>
      <w:pPr>
        <w:spacing w:after="0" w:line="18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Other income also includes revenues associated with contract underwriting services. The level of contract underwriting revenue is dependent upon the number of customers who have engaged us for this service and the number of loans underwritten for these customers.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5" w:lineRule="exact"/>
        <w:rPr>
          <w:sz w:val="20"/>
          <w:szCs w:val="20"/>
          <w:color w:val="auto"/>
        </w:rPr>
      </w:pPr>
    </w:p>
    <w:p>
      <w:pPr>
        <w:ind w:left="980" w:right="100" w:hanging="324"/>
        <w:spacing w:after="0" w:line="282" w:lineRule="auto"/>
        <w:tabs>
          <w:tab w:leader="none" w:pos="9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1" w:lineRule="exact"/>
        <w:rPr>
          <w:rFonts w:ascii="Times New Roman" w:cs="Times New Roman" w:eastAsia="Times New Roman" w:hAnsi="Times New Roman"/>
          <w:sz w:val="18"/>
          <w:szCs w:val="18"/>
          <w:color w:val="auto"/>
        </w:rPr>
      </w:pPr>
    </w:p>
    <w:p>
      <w:pPr>
        <w:ind w:left="980" w:right="120" w:hanging="324"/>
        <w:spacing w:after="0" w:line="313" w:lineRule="auto"/>
        <w:tabs>
          <w:tab w:leader="none" w:pos="9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38" w:lineRule="exact"/>
        <w:rPr>
          <w:rFonts w:ascii="Times New Roman" w:cs="Times New Roman" w:eastAsia="Times New Roman" w:hAnsi="Times New Roman"/>
          <w:sz w:val="17"/>
          <w:szCs w:val="17"/>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25" w:lineRule="exact"/>
        <w:rPr>
          <w:rFonts w:ascii="Times New Roman" w:cs="Times New Roman" w:eastAsia="Times New Roman" w:hAnsi="Times New Roman"/>
          <w:sz w:val="18"/>
          <w:szCs w:val="18"/>
          <w:color w:val="auto"/>
        </w:rPr>
      </w:pPr>
    </w:p>
    <w:p>
      <w:pPr>
        <w:jc w:val="both"/>
        <w:ind w:left="980" w:right="80" w:hanging="324"/>
        <w:spacing w:after="0" w:line="235" w:lineRule="auto"/>
        <w:tabs>
          <w:tab w:leader="none" w:pos="9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Clarity of Coverage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master policy endorsement, we expect that our level of rescission activity will be lower than recent rescission activity seen in the mortgage insurance industry; and</w:t>
      </w:r>
    </w:p>
    <w:p>
      <w:pPr>
        <w:spacing w:after="0" w:line="200"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The average age of our insurance portfolio is young with 95% of our IIF as of March 31, 2014 having been originated since January 1, 2012.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spacing w:after="0" w:line="180"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 Using both internal and</w:t>
      </w:r>
    </w:p>
    <w:p>
      <w:pPr>
        <w:sectPr>
          <w:pgSz w:w="11900" w:h="16838" w:orient="portrait"/>
          <w:cols w:equalWidth="0" w:num="1">
            <w:col w:w="11420"/>
          </w:cols>
          <w:pgMar w:left="240" w:top="121" w:right="239" w:bottom="104"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17" w:name="page18"/>
    <w:bookmarkEnd w:id="17"/>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based upon our experience and industry data, that claims incidence for mortgage insurance is generally highest in the third through sixth years after loan origination. As of March 31, 2014, 95% of our IIF relates to business written since January 1, 2012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NIW.</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67% and 64%, of other underwriting and operating expenses for the three months ended March 31, 2014 and 2013, respectively. Compensation and benefits expense includes base and incentive cash compensation, stock compensation expense, benefits and payroll taxes. Compensation and benefits expense has increased as we have increased our staffing from 209 employees at January 1, 2013 to 302 at March 31, 2014,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8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Underwriting and other expenses also include legal, consulting, other professional fees, premium taxes, depreciation and amortization, travel, entertainment, marketing, licensing, supplies, hardware, software, rent, utilities and other expenses.</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Further, we expect to incur incremental costs related to being a public company, including certain operating and compensation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To date, substantially all of our business activity has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The amount of income tax expense or benefit recorded in future periods will be dependent on the jurisdictions in which we operate and the tax laws and regulations in effect.</w:t>
      </w:r>
    </w:p>
    <w:p>
      <w:pPr>
        <w:spacing w:after="0" w:line="18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Essent Group Ltd. and its wholly owned subsidiary, Essent Reinsurance, Ltd., are domiciled in Bermuda, which does not have a corporate income tax. To date, these entities have incurred expenses and generated limited amounts of investment income.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Since inception and prior to June 30, 2013, we recorded a valuation allowance against deferred tax assets, and, as such, we generally did not record a benefit associated with the losses incurred in prior periods or other income tax benefits. The income tax provision or benefit recognized in prior periods related to changes in our valuation allowance associated with changes in deferred tax liabilities resulting from the increase or decrease in the unrealized gain on our investment portfolio. In 2014, we expect that our effective tax rate will approach the statutory tax rate.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increasing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premiums we collect and earn are generated based on our IIF, which is a function of our NIW and cancellations. The following table includes a summary of the change in our IIF for the three months ended March 31, 2014 and 2013. In addition, this table includes our risk in force, or RIF, at the end of each period and the number of customers that purchased mortgage insurance during each respective period.</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IIF, beginning of period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32,028,196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NIW</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3,630,573</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121" w:right="279" w:bottom="0" w:gutter="0" w:footer="0" w:header="0"/>
        </w:sectPr>
      </w:pPr>
    </w:p>
    <w:bookmarkStart w:id="18" w:name="page19"/>
    <w:bookmarkEnd w:id="18"/>
    <w:p>
      <w:pPr>
        <w:spacing w:after="0" w:line="62"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Cancellations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(880,712)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(519,726)</w:t>
            </w:r>
          </w:p>
        </w:tc>
      </w:tr>
      <w:tr>
        <w:trPr>
          <w:trHeight w:val="25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IIF, end of period</w:t>
            </w:r>
          </w:p>
        </w:tc>
        <w:tc>
          <w:tcPr>
            <w:tcW w:w="6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34,778,057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17,430,810</w:t>
            </w:r>
          </w:p>
        </w:tc>
        <w:tc>
          <w:tcPr>
            <w:tcW w:w="100" w:type="dxa"/>
            <w:vAlign w:val="bottom"/>
            <w:tcBorders>
              <w:bottom w:val="single" w:sz="8" w:color="CCEEFF"/>
            </w:tcBorders>
          </w:tcPr>
          <w:p>
            <w:pPr>
              <w:spacing w:after="0"/>
              <w:rPr>
                <w:sz w:val="21"/>
                <w:szCs w:val="21"/>
                <w:color w:val="auto"/>
              </w:rPr>
            </w:pPr>
          </w:p>
        </w:tc>
      </w:tr>
      <w:tr>
        <w:trPr>
          <w:trHeight w:val="197"/>
        </w:trPr>
        <w:tc>
          <w:tcPr>
            <w:tcW w:w="46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Average IIF during the period</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33,349,576</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15,503,623</w:t>
            </w:r>
          </w:p>
        </w:tc>
        <w:tc>
          <w:tcPr>
            <w:tcW w:w="100" w:type="dxa"/>
            <w:vAlign w:val="bottom"/>
            <w:shd w:val="clear" w:color="auto" w:fill="CCEEFF"/>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RIF, end of period</w:t>
            </w:r>
          </w:p>
        </w:tc>
        <w:tc>
          <w:tcPr>
            <w:tcW w:w="9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8,493,862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4,100,835</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customers generating NIW during the period</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cancellation activity is relatively low because the average age of our insurance portfolio is young. Following is a summary of our IIF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2014 by vintage:</w:t>
      </w:r>
    </w:p>
    <w:p>
      <w:pPr>
        <w:spacing w:after="0" w:line="200"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 (through March 31)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3,593,982</w:t>
            </w:r>
          </w:p>
        </w:tc>
        <w:tc>
          <w:tcPr>
            <w:tcW w:w="2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20,140,578</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9,286,188</w:t>
            </w:r>
          </w:p>
        </w:tc>
        <w:tc>
          <w:tcPr>
            <w:tcW w:w="2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1,656,252</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101,057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34,778,057</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Premium Rate</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outlines our average premium rate, which reflects net premiums earned as a percentage of average IIF, for the periods presented:</w:t>
      </w:r>
    </w:p>
    <w:p>
      <w:pPr>
        <w:spacing w:after="0" w:line="230"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33,349,576</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15,503,623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premium rate (annualized)</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0.54%</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to Capital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risk to capital ratio is frequently used as a measure of capital adequacy in the mortgage insurance industry and is calculated as a ratio of net risk in force to statutory capital. Net risk in force represents total risk in force net of reinsurance ceded and net of exposures on policies for which loss reserves have been established. Statutory capital is computed based on accounting practices prescribed or permitted by the Pennsylvania Insurance Department. See additional discussion in “— Liquidity and Capital Resources — Risk to Capital.”</w:t>
      </w:r>
    </w:p>
    <w:p>
      <w:pPr>
        <w:spacing w:after="0" w:line="18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of March 31, 2014, our combined net risk in force was $8.5 billion and our combined statutory capital was $528.2 million resulting in a risk to capital ratio of 16.1 to 1. The amount of capital required varies in each jurisdiction in which we operate; however, generally, the maximum permitted risk to capital ratio is 25.0 to 1. State insurance regulators and the GSEs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00" w:type="dxa"/>
            <w:vAlign w:val="bottom"/>
          </w:tcPr>
          <w:p>
            <w:pPr>
              <w:spacing w:after="0"/>
              <w:rPr>
                <w:sz w:val="15"/>
                <w:szCs w:val="15"/>
                <w:color w:val="auto"/>
              </w:rPr>
            </w:pPr>
          </w:p>
        </w:tc>
        <w:tc>
          <w:tcPr>
            <w:tcW w:w="2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52,192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33,373</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unearned premiums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(12,109)</w:t>
            </w:r>
          </w:p>
        </w:tc>
      </w:tr>
      <w:tr>
        <w:trPr>
          <w:trHeight w:val="21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r>
      <w:tr>
        <w:trPr>
          <w:trHeight w:val="210"/>
        </w:trPr>
        <w:tc>
          <w:tcPr>
            <w:tcW w:w="7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23,031</w:t>
            </w:r>
          </w:p>
        </w:tc>
        <w:tc>
          <w:tcPr>
            <w:tcW w:w="100" w:type="dxa"/>
            <w:vAlign w:val="bottom"/>
            <w:tcBorders>
              <w:bottom w:val="single" w:sz="8" w:color="CCEEFF"/>
            </w:tcBorders>
          </w:tcPr>
          <w:p>
            <w:pPr>
              <w:spacing w:after="0"/>
              <w:rPr>
                <w:sz w:val="18"/>
                <w:szCs w:val="18"/>
                <w:color w:val="auto"/>
              </w:rPr>
            </w:pPr>
          </w:p>
        </w:tc>
      </w:tr>
      <w:tr>
        <w:trPr>
          <w:trHeight w:val="104"/>
        </w:trPr>
        <w:tc>
          <w:tcPr>
            <w:tcW w:w="7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360"/>
          </w:cols>
          <w:pgMar w:left="240" w:top="140" w:right="299" w:bottom="0" w:gutter="0" w:footer="0" w:header="0"/>
        </w:sectPr>
      </w:pPr>
    </w:p>
    <w:bookmarkStart w:id="19" w:name="page20"/>
    <w:bookmarkEnd w:id="1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902</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23,459</w:t>
            </w:r>
          </w:p>
        </w:tc>
        <w:tc>
          <w:tcPr>
            <w:tcW w:w="4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14,962</w:t>
            </w:r>
          </w:p>
        </w:tc>
      </w:tr>
      <w:tr>
        <w:trPr>
          <w:trHeight w:val="210"/>
        </w:trPr>
        <w:tc>
          <w:tcPr>
            <w:tcW w:w="7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8,454</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15,006</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2014 Compared to the Three Months Ended March 31, 2013</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2014, we reported net income of $15.0 million, compared to net income of $7.2 million for the three months ended March 31, 2013. The increase in our operating results in 2014 over 2013 was primarily due to an increase in net premiums earned associated with the growth of our IIF and an increase in net investment income, partially offset by increases in other underwriting and operating expenses, the provision for losses and loss adjustment expenses and income tax expense.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premiums earned increased in the three months ended March 31, 2014 by 110% compared to the three months ended March 31, 2013 primarily due to the increase in our average IIF from $15.5 billion at March 31, 2013 to $33.3 billion at March 31, 2014. Net premiums written increased in the three months ended March 31, 2014 by 56% over the three months ended March 31, 2013.</w:t>
      </w:r>
    </w:p>
    <w:p>
      <w:pPr>
        <w:spacing w:after="0" w:line="176"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2014, unearned premiums increased by $7.4 million as a result of net premiums written on single premium policies of $12.5 million which was partially offset by $5.1 million of unearned premium that was recognized in earnings during the period. In the three months ended March 31, 2013, unearned premiums increased by $12.1 million as a result of net premiums written on single premium policies of $14.9 million which was partially offset by $2.8 million of unearned premium that was recognized in earnings during the period.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 indicated:</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5"/>
                <w:szCs w:val="15"/>
                <w:color w:val="auto"/>
              </w:rPr>
            </w:pPr>
          </w:p>
        </w:tc>
        <w:tc>
          <w:tcPr>
            <w:tcW w:w="2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increase in net investment income to $1.9 million for the three months ended March 31, 2014 as compared to $0.7 million for the three months ended March 31, 2013 was primarily due to an increase in the weighted average balance of our investment portfolio as a result of our initial public offering, capital contributions from our initial investors in June and March 2013, and cash flows generated from operations. The average cash and investment portfolio balance was $818.3 million and $289.6 million during the three months ended March 31, 2014 and 2013, respectively. The pre-tax investment income yield was 1.0% and 1.2% in the three months ended March 31, 2014 and 2013, respectively. The pre-tax investment income yields are calculated based on amortized cost. See “— Liquidity and Capital Resources” for further details of our investment portfolio.</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Other income includes fees earned for information technology and customer support services provided to Triad and contract underwriting revenues. The decrease in other income for the three months ended March 31, 2014 compared to the same period in 2013 was primarily due to a reduction in the number of Triad’s mortgage insurance policies in force. The fees earned from Triad will continue to decrease over time as Triad’s existing policies are cancelled.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losses and LAE in the three months ended March 31, 2014 as compared to the same period in 2013 was primarily due to an increase in the number of insured loans in default partially offset by previously identified defaults that cured.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the periods indicated:</w:t>
      </w:r>
    </w:p>
    <w:p>
      <w:pPr>
        <w:spacing w:after="0" w:line="21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6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number of defaults at March 31, 2014 compared to March 31, 2013 was primarily due to an increase in our IIF and policies in force, as well as further seasoning of our insurance portfolio.</w:t>
      </w:r>
    </w:p>
    <w:p>
      <w:pPr>
        <w:sectPr>
          <w:pgSz w:w="11900" w:h="16838" w:orient="portrait"/>
          <w:cols w:equalWidth="0" w:num="1">
            <w:col w:w="11420"/>
          </w:cols>
          <w:pgMar w:left="240" w:top="140" w:right="239" w:bottom="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reserves (in thousands)</w:t>
            </w: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shd w:val="clear" w:color="auto" w:fill="CCEEFF"/>
          </w:tcPr>
          <w:p>
            <w:pPr>
              <w:spacing w:after="0"/>
              <w:rPr>
                <w:sz w:val="18"/>
                <w:szCs w:val="18"/>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4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reserve per default</w:t>
            </w: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19,813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28,851</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8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4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decrease in the average reserve per default was primarily due to changes in the composition (such as mark-to-market loan-to-value ratios, risk in force, and number of months past due) of the underlying loans in default. In addition, historical cure ratios showed continued improvement in 2014.</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55"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period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1,286</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during the current period</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period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560" w:type="dxa"/>
            <w:vAlign w:val="bottom"/>
            <w:gridSpan w:val="3"/>
          </w:tcPr>
          <w:p>
            <w:pPr>
              <w:jc w:val="center"/>
              <w:ind w:right="310"/>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60" w:type="dxa"/>
            <w:vAlign w:val="bottom"/>
            <w:gridSpan w:val="3"/>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Reserves as a</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56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20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gridSpan w:val="3"/>
            <w:vMerge w:val="continue"/>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56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560" w:type="dxa"/>
            <w:vAlign w:val="bottom"/>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RIF</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Missed payments:</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Three payments or less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56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27%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4,309</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 to eleven payments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Twelve or more payments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Pending claims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gridSpan w:val="3"/>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vMerge w:val="continue"/>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vMerge w:val="continue"/>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2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200" w:type="dxa"/>
            <w:vAlign w:val="bottom"/>
            <w:tcBorders>
              <w:top w:val="single" w:sz="8" w:color="CCEEFF"/>
            </w:tcBorders>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IBNR</w:t>
            </w: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gridSpan w:val="2"/>
            <w:shd w:val="clear" w:color="auto" w:fill="CCEEFF"/>
          </w:tcPr>
          <w:p>
            <w:pPr>
              <w:jc w:val="right"/>
              <w:ind w:right="220"/>
              <w:spacing w:after="0" w:line="170" w:lineRule="exact"/>
              <w:rPr>
                <w:sz w:val="20"/>
                <w:szCs w:val="20"/>
                <w:color w:val="auto"/>
              </w:rPr>
            </w:pPr>
            <w:r>
              <w:rPr>
                <w:rFonts w:ascii="Times New Roman" w:cs="Times New Roman" w:eastAsia="Times New Roman" w:hAnsi="Times New Roman"/>
                <w:sz w:val="18"/>
                <w:szCs w:val="18"/>
                <w:color w:val="auto"/>
              </w:rPr>
              <w:t>261</w:t>
            </w: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LAE and other</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reserves</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gridSpan w:val="2"/>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20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As of March 31, 2013</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560" w:type="dxa"/>
            <w:vAlign w:val="bottom"/>
            <w:gridSpan w:val="3"/>
          </w:tcPr>
          <w:p>
            <w:pPr>
              <w:jc w:val="center"/>
              <w:ind w:right="310"/>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60" w:type="dxa"/>
            <w:vAlign w:val="bottom"/>
            <w:gridSpan w:val="3"/>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Reserves as a</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56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20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gridSpan w:val="3"/>
            <w:vMerge w:val="continue"/>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56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560" w:type="dxa"/>
            <w:vAlign w:val="bottom"/>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RIF</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Missed payments:</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Three payments or less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156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43%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2,659</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 to eleven payments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Twelve or more payments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Pending claims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gridSpan w:val="3"/>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vMerge w:val="continue"/>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vMerge w:val="continue"/>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200" w:type="dxa"/>
            <w:vAlign w:val="bottom"/>
            <w:tcBorders>
              <w:top w:val="single" w:sz="8" w:color="CCEEFF"/>
            </w:tcBorders>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IBNR</w:t>
            </w: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gridSpan w:val="2"/>
            <w:shd w:val="clear" w:color="auto" w:fill="CCEEFF"/>
          </w:tcPr>
          <w:p>
            <w:pPr>
              <w:jc w:val="right"/>
              <w:ind w:right="220"/>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LAE and other</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reserves</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-2205355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-2205355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2014, the provision for losses and LAE was $0.9 million, comprised of $1.3 million of current year losses partially offset by $0.4 million of favorable prior years’ loss development. During the three months ended March 31, 2013, the provision for losses and LAE was $0.7 million, comprised of $0.9 million of current year losses partially offset by $0.2 million of favorable prior years’ loss development. In both periods, the favorable prior years’ loss development is the result of a re-estimation of amounts ultimately to be paid on prior year defaults in the default inventory.</w:t>
      </w:r>
    </w:p>
    <w:p>
      <w:pPr>
        <w:spacing w:after="0" w:line="18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we paid six claims for a total amount of $0.2 million. During the three months ended March 31, 2013, we paid two claims for a total amount of $0.1 million. Claim severity, representing the total amount of claims paid divided by the related RIF of the defaulted mortgage loans, for the three months ended March 31, 2014 and 2013 was 84% and 106%, respectively.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ectPr>
          <w:pgSz w:w="11900" w:h="16838" w:orient="portrait"/>
          <w:cols w:equalWidth="0" w:num="1">
            <w:col w:w="11460"/>
          </w:cols>
          <w:pgMar w:left="240" w:top="121" w:right="199" w:bottom="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Following are the components of our other underwriting and operating expenses for the periods indicated:</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vMerge w:val="restart"/>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1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right"/>
              <w:ind w:right="12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7,791</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28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employees at end of period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underwriting and operating expenses increased to $23.5 million in the three months ended March 31, 2014 as compared to $15.0 million in the three months ended March 31, 2013. The significant factors contributing to the change in other underwriting and operating expenses are:</w:t>
      </w:r>
    </w:p>
    <w:p>
      <w:pPr>
        <w:spacing w:after="0" w:line="162" w:lineRule="exact"/>
        <w:rPr>
          <w:sz w:val="20"/>
          <w:szCs w:val="20"/>
          <w:color w:val="auto"/>
        </w:rPr>
      </w:pPr>
    </w:p>
    <w:p>
      <w:pPr>
        <w:ind w:left="980" w:hanging="324"/>
        <w:spacing w:after="0" w:line="256" w:lineRule="auto"/>
        <w:tabs>
          <w:tab w:leader="none" w:pos="9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increased primarily due to the increase in our work force to 302 at March 31, 2014 from 209 at January 1, 2013. Additional employees were hired to support the growth in our business, particularly in our sales organization, as well as our underwriting and customer service teams. Compensation and benefits also increased as a result of an increase in stock-based compensation, which is primarily due to the nonvested shares and nonvested stock units issued to all of employees in connection with our initial public offering completed in November 2013 for which expenses are being recognized over the applicable vesting periods. Compensation and benefits includes salaries, wages and bonus, stock compensation expense, benefits and payroll taxes.</w:t>
      </w:r>
    </w:p>
    <w:p>
      <w:pPr>
        <w:spacing w:after="0" w:line="187"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including premium taxes, travel, marketing, depreciation and amortization, hardware, software, rent and other facilities expenses, increased as a result of the expansion of our business. In addition, effective with the completion of our initial public offering, we began to incur certain incremental public company expenses, including insurance and board of director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$8.5 million and $0.1 million for the three months ended March 31, 2014 and 2013, respectively. Our effective tax rate was 36.0% and 1.9% for the three months ended March 31, 2014 and 2013, respectively. In the three months ended March 31, 2014, our effective tax rate exceeded the U.S. statutory income tax rate primarily due to non-deductible expenses. Since inception and prior to June 30, 2013, we had evaluated the realizability of our deferred tax assets on a quarterly basis and concluded that it was more likely than not that some portion or all of the deferred tax asset would not be realized and provided a valuation allowance against the deferred tax assets. Accordingly, we did not record a benefit associated with the losses incurred in prior periods or for other income tax benefits. The income tax provision or benefit recognized in prior periods related to changes in our valuation allowance associated with changes in deferred tax liabilities relating to the change in the unrealized gain on our investment portfolio. At March 31, 2014 and December 31, 2013, we concluded that it is more likely than not that our deferred tax assets would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5" w:lineRule="exact"/>
        <w:rPr>
          <w:sz w:val="20"/>
          <w:szCs w:val="20"/>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obligations consist primarily of:</w:t>
      </w:r>
    </w:p>
    <w:p>
      <w:pPr>
        <w:spacing w:after="0" w:line="225" w:lineRule="exact"/>
        <w:rPr>
          <w:sz w:val="20"/>
          <w:szCs w:val="20"/>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March 31, 2014, we had substantial liquidity in addition to our investment portfolio, with $235.2 million of net cash and short-term investments, which includes $135.3 million at the holding company. Our net cash and short-term investments position increased during the year ended December 31, 2013 primarily as a result of net proceeds of $313.7 million from our initial public offering of Common Shares which was completed in November 2013, $123.9 million in net capital contributions received from our initial investors plus cash flows from operations, net of amounts invested in our fixed income portfolio. Our net cash and short-term investment position decreased during the three months ended March 31, 2014 primarily as a result of the purchase of fixed maturity available for sale investments. As of March 31, 2014, we have $856.1 million in cash and investments and no debt.</w:t>
      </w:r>
    </w:p>
    <w:p>
      <w:pPr>
        <w:spacing w:after="0" w:line="18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insurance portfolio, or to fund new business initiatives.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ectPr>
          <w:pgSz w:w="11900" w:h="16838" w:orient="portrait"/>
          <w:cols w:equalWidth="0" w:num="1">
            <w:col w:w="11420"/>
          </w:cols>
          <w:pgMar w:left="240" w:top="121" w:right="239" w:bottom="0" w:gutter="0" w:footer="0" w:header="0"/>
        </w:sectPr>
      </w:pPr>
    </w:p>
    <w:bookmarkStart w:id="22" w:name="page23"/>
    <w:bookmarkEnd w:id="22"/>
    <w:p>
      <w:pPr>
        <w:ind w:left="940" w:hanging="284"/>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ability of our insurance subsidiaries to declare dividends is restricted by certain provisions of the insurance laws of the Commonwealth of Pennsylvania, their state of domicile. The insurance laws of the Commonwealth of Pennsylvania establish a test limiting the maximum amount of dividends that may be paid out of unassigned surplus by an insurer without prior approval by the Pennsylvania Insurance Commissioner. Under such a test, we may pay dividends during any 12-month period in an amount equal to the greater of (i) 10 percent of the preceding year-end statutory policyholder’s surplus or (ii) the preceding year’s statutory net income. Pennsylvania statute also requires that dividends and other distributions be paid out of positive unassigned surplus without prior approval. At March 31, 2014, Essent Guaranty, Inc. had negative unassigned surplus and therefore would require prior approval by the Pennsylvania Insurance Commissioner to make any dividend payment or other distributions in 2014. At March 31, 2014, Essent Guaranty of PA, Inc. had unassigned surplus of $1.0 million. In March 2014, Essent Guaranty of PA, Inc. paid a $200,000 dividend to Essent US Holdings, Inc. and in December 2013, Essent Guaranty of PA, Inc. paid a $5,000 dividend to Essent US Holdings, Inc. Essent Guaranty, Inc. has paid no dividends since its inception. At March 31, 2014, our insurance subsidiaries were in compliance with these rules and regulations.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5"/>
                <w:szCs w:val="15"/>
                <w:color w:val="auto"/>
              </w:rPr>
            </w:pPr>
          </w:p>
        </w:tc>
        <w:tc>
          <w:tcPr>
            <w:tcW w:w="280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6"/>
              </w:rPr>
              <w:t>14,773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(479,930)</w:t>
            </w:r>
          </w:p>
        </w:tc>
        <w:tc>
          <w:tcPr>
            <w:tcW w:w="320" w:type="dxa"/>
            <w:vAlign w:val="bottom"/>
          </w:tcPr>
          <w:p>
            <w:pPr>
              <w:spacing w:after="0"/>
              <w:rPr>
                <w:sz w:val="18"/>
                <w:szCs w:val="18"/>
                <w:color w:val="auto"/>
              </w:rPr>
            </w:pPr>
          </w:p>
        </w:tc>
        <w:tc>
          <w:tcPr>
            <w:tcW w:w="1160" w:type="dxa"/>
            <w:vAlign w:val="bottom"/>
            <w:gridSpan w:val="3"/>
          </w:tcPr>
          <w:p>
            <w:pPr>
              <w:jc w:val="center"/>
              <w:ind w:left="354"/>
              <w:spacing w:after="0"/>
              <w:rPr>
                <w:sz w:val="20"/>
                <w:szCs w:val="20"/>
                <w:color w:val="auto"/>
              </w:rPr>
            </w:pPr>
            <w:r>
              <w:rPr>
                <w:rFonts w:ascii="Times New Roman" w:cs="Times New Roman" w:eastAsia="Times New Roman" w:hAnsi="Times New Roman"/>
                <w:sz w:val="18"/>
                <w:szCs w:val="18"/>
                <w:color w:val="auto"/>
                <w:w w:val="97"/>
              </w:rPr>
              <w:t>(14,166)</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6"/>
              </w:rPr>
              <w:t>49,350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(468,817</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center"/>
              <w:ind w:left="474"/>
              <w:spacing w:after="0"/>
              <w:rPr>
                <w:sz w:val="20"/>
                <w:szCs w:val="20"/>
                <w:color w:val="auto"/>
              </w:rPr>
            </w:pPr>
            <w:r>
              <w:rPr>
                <w:rFonts w:ascii="Times New Roman" w:cs="Times New Roman" w:eastAsia="Times New Roman" w:hAnsi="Times New Roman"/>
                <w:sz w:val="18"/>
                <w:szCs w:val="18"/>
                <w:color w:val="auto"/>
                <w:w w:val="96"/>
              </w:rPr>
              <w:t>49,957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Cash flow provided by operations totaled $12.5 million for the three months ended March 31, 2014 as compared to cash provided by operating activities of $14.8 million for the three months ended March 31, 2013. The decrease in cash flow from operations of $2.3 million in 2014 was a result of increases in expenses paid and prepaid taxes, partially offset by increases in premium collected, net investment income and net realized investments gains.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Cash flow used in investing activities totaled $480.0 million for the three months ended March 31, 2014 as compared to cash used in investing activities of $14.2 million for the three months ended March 31, 2013. The increase in cash flow used in investing activities was primarily related to investing capital contributions from our initial investors received in 2013, proceeds from our initial public offering that was completed in November 2013, and cash flows from the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Cash flow used in financing activities totaled $1.4 million for the three months ended March 31, 2014 as compared to cash provided by financing activities of $49.4 million for the three months ended March 31, 2013. Cash used in financing activities for the three months ended March 31, 2014 was primary related to the acquisition of treasury stock from employees to satisfy tax withholding obligations and payment of accrued offering costs, partially offset by excess tax benefits recognized as a result of stock-based compensation. Cash provided by financing activities in the three months ended March 31, 2013 was principally due to proceeds received from Class A common shares issued to our initial investors.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to Capital</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compute our risk to capital ratio on a separate company statutory basis, as well as for our combined insurance operations. The risk to 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combined risk to capital calculation as of March 31, 2014 is as follows:</w:t>
      </w:r>
    </w:p>
    <w:p>
      <w:pPr>
        <w:sectPr>
          <w:pgSz w:w="11900" w:h="16838" w:orient="portrait"/>
          <w:cols w:equalWidth="0" w:num="1">
            <w:col w:w="11400"/>
          </w:cols>
          <w:pgMar w:left="240" w:top="121" w:right="259" w:bottom="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4"/>
          <w:szCs w:val="14"/>
          <w:b w:val="1"/>
          <w:bCs w:val="1"/>
          <w:color w:val="auto"/>
        </w:rPr>
        <w:t>Combined statutory capital:</w:t>
      </w:r>
    </w:p>
    <w:p>
      <w:pPr>
        <w:ind w:left="980"/>
        <w:spacing w:after="0"/>
        <w:rPr>
          <w:sz w:val="20"/>
          <w:szCs w:val="20"/>
          <w:color w:val="auto"/>
        </w:rPr>
      </w:pPr>
      <w:r>
        <w:rPr>
          <w:rFonts w:ascii="Times New Roman" w:cs="Times New Roman" w:eastAsia="Times New Roman" w:hAnsi="Times New Roman"/>
          <w:sz w:val="14"/>
          <w:szCs w:val="14"/>
          <w:b w:val="1"/>
          <w:bCs w:val="1"/>
          <w:color w:val="auto"/>
        </w:rPr>
        <w:t>($ in thousands)</w:t>
      </w:r>
    </w:p>
    <w:tbl>
      <w:tblPr>
        <w:tblLayout w:type="fixed"/>
        <w:tblInd w:w="980" w:type="dxa"/>
        <w:tblCellMar>
          <w:top w:w="0" w:type="dxa"/>
          <w:left w:w="0" w:type="dxa"/>
          <w:bottom w:w="0" w:type="dxa"/>
          <w:right w:w="0" w:type="dxa"/>
        </w:tblCellMar>
      </w:tblPr>
      <w:tr>
        <w:trPr>
          <w:trHeight w:val="209"/>
        </w:trPr>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Policyholders’ surplus</w:t>
            </w:r>
          </w:p>
        </w:tc>
        <w:tc>
          <w:tcPr>
            <w:tcW w:w="660" w:type="dxa"/>
            <w:vAlign w:val="bottom"/>
            <w:tcBorders>
              <w:top w:val="single" w:sz="8" w:color="CCEEFF"/>
            </w:tcBorders>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419,080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Contingency reserves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109,154</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statutory capital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Combined net risk in force</w:t>
            </w:r>
          </w:p>
        </w:tc>
        <w:tc>
          <w:tcPr>
            <w:tcW w:w="3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8,490,120</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risk to capital ratio</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11 to our condensed consolidated financial statements. Our combined statutory capital equals the sum of statutory capital of Essent Guaranty, Inc. plus Essent Guaranty of PA, Inc., after eliminating the impact of intercompany transactions. The combined risk to capital ratio equals the sum of the net risk in force of Essent Guaranty, Inc.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financial strength of Essent Guaranty, Inc., our principal mortgage insurance subsidiary, is rated Baa2 by Moody’s Investors Service (“Moody’s”) with a stable outlook. Standard &amp; Poor’s Rating Services’ (“S&amp;P”) insurer financial strength rating of Essent Guaranty, Inc. is BBB+ with a stable outlook.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2014, stockholders’ equity was $740.1 million compared to $722.1 million as of December 31, 2013. This increase was primarily due to net income generated in 2014.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2014, the total fair value of our investment portfolio was $847.3 million, compared to $332.6 million as of December 31, 2013. This increase was primarily due to the investment of proceeds from our initial public offering and capital contributions in the form of cash that were received in 2013 which had not been fully invested as of December 31, 2013.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Portfolio by Asset Class</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60" w:type="dxa"/>
            <w:vAlign w:val="bottom"/>
          </w:tcPr>
          <w:p>
            <w:pPr>
              <w:spacing w:after="0"/>
              <w:rPr>
                <w:sz w:val="15"/>
                <w:szCs w:val="15"/>
                <w:color w:val="auto"/>
              </w:rPr>
            </w:pPr>
          </w:p>
        </w:tc>
        <w:tc>
          <w:tcPr>
            <w:tcW w:w="18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4"/>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142"/>
        </w:trPr>
        <w:tc>
          <w:tcPr>
            <w:tcW w:w="2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CCEEFF"/>
            </w:tcBorders>
          </w:tcPr>
          <w:p>
            <w:pPr>
              <w:spacing w:after="0"/>
              <w:rPr>
                <w:sz w:val="12"/>
                <w:szCs w:val="12"/>
                <w:color w:val="auto"/>
              </w:rPr>
            </w:pPr>
          </w:p>
        </w:tc>
      </w:tr>
      <w:tr>
        <w:trPr>
          <w:trHeight w:val="21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2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11,193</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14,839</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r>
      <w:tr>
        <w:trPr>
          <w:trHeight w:val="198"/>
        </w:trPr>
        <w:tc>
          <w:tcPr>
            <w:tcW w:w="2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agency mortgage-backed</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47,468</w:t>
            </w:r>
          </w:p>
        </w:tc>
        <w:tc>
          <w:tcPr>
            <w:tcW w:w="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22,241</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146,154</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57,650</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230,823</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125,593</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39,688</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18,581</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61,626</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20,385</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238,732</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14,079</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847,268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660" w:right="180" w:hanging="652"/>
        <w:spacing w:after="0" w:line="266" w:lineRule="auto"/>
        <w:tabs>
          <w:tab w:leader="none" w:pos="6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2014, approximately 54% of municipal debt securities were special revenue bonds, 45% were general obligation bonds and 1% were tax allocation bonds. At December 31, 2013, all municipal debt securities were general obligation bonds. For information regarding the amortized cost and fair value of the municipal debt securities, see Note 2 to our condensed 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Portfolio by Rating</w:t>
      </w: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220" w:type="dxa"/>
            <w:vAlign w:val="bottom"/>
          </w:tcPr>
          <w:p>
            <w:pPr>
              <w:spacing w:after="0"/>
              <w:rPr>
                <w:sz w:val="15"/>
                <w:szCs w:val="15"/>
                <w:color w:val="auto"/>
              </w:rPr>
            </w:pPr>
          </w:p>
        </w:tc>
        <w:tc>
          <w:tcPr>
            <w:tcW w:w="18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Borders>
              <w:bottom w:val="single" w:sz="8" w:color="CCEEFF"/>
            </w:tcBorders>
            <w:gridSpan w:val="2"/>
          </w:tcPr>
          <w:p>
            <w:pPr>
              <w:spacing w:after="0"/>
              <w:rPr>
                <w:sz w:val="12"/>
                <w:szCs w:val="12"/>
                <w:color w:val="auto"/>
              </w:rPr>
            </w:pPr>
          </w:p>
        </w:tc>
      </w:tr>
      <w:tr>
        <w:trPr>
          <w:trHeight w:val="21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Aaa</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147,862</w:t>
            </w:r>
          </w:p>
        </w:tc>
        <w:tc>
          <w:tcPr>
            <w:tcW w:w="2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Aa1</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32,267</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21,570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35,474</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15,464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26,106</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62,950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26,541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42,179</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49,607</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29,886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Baa1</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52,395</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24,441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Baa2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64,753</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30,782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Baa3</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9,830</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7,062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 Baa3–</w:t>
            </w:r>
          </w:p>
        </w:tc>
        <w:tc>
          <w:tcPr>
            <w:tcW w:w="2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847,268</w:t>
            </w: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332,555</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1420"/>
          </w:cols>
          <w:pgMar w:left="240" w:top="331" w:right="239" w:bottom="0" w:gutter="0" w:footer="0" w:header="0"/>
        </w:sectPr>
      </w:pPr>
    </w:p>
    <w:bookmarkStart w:id="24" w:name="page25"/>
    <w:bookmarkEnd w:id="2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rating utilized if Moody’s not available.</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Investment Portfolio by Effective Duration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5"/>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 1 Year</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322,695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38.0%</w:t>
            </w: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to &lt; 2 Years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48,987</w:t>
            </w:r>
          </w:p>
        </w:tc>
        <w:tc>
          <w:tcPr>
            <w:tcW w:w="400" w:type="dxa"/>
            <w:vAlign w:val="bottom"/>
          </w:tcPr>
          <w:p>
            <w:pPr>
              <w:spacing w:after="0"/>
              <w:rPr>
                <w:sz w:val="18"/>
                <w:szCs w:val="18"/>
                <w:color w:val="auto"/>
              </w:rPr>
            </w:pPr>
          </w:p>
        </w:tc>
        <w:tc>
          <w:tcPr>
            <w:tcW w:w="1240" w:type="dxa"/>
            <w:vAlign w:val="bottom"/>
            <w:gridSpan w:val="4"/>
          </w:tcPr>
          <w:p>
            <w:pPr>
              <w:jc w:val="right"/>
              <w:ind w:right="199"/>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 to &lt; 3 Years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76,868</w:t>
            </w:r>
          </w:p>
        </w:tc>
        <w:tc>
          <w:tcPr>
            <w:tcW w:w="4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74,335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to &lt; 4 Years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99,948</w:t>
            </w:r>
          </w:p>
        </w:tc>
        <w:tc>
          <w:tcPr>
            <w:tcW w:w="400" w:type="dxa"/>
            <w:vAlign w:val="bottom"/>
          </w:tcPr>
          <w:p>
            <w:pPr>
              <w:spacing w:after="0"/>
              <w:rPr>
                <w:sz w:val="18"/>
                <w:szCs w:val="18"/>
                <w:color w:val="auto"/>
              </w:rPr>
            </w:pPr>
          </w:p>
        </w:tc>
        <w:tc>
          <w:tcPr>
            <w:tcW w:w="1240" w:type="dxa"/>
            <w:vAlign w:val="bottom"/>
            <w:gridSpan w:val="4"/>
          </w:tcPr>
          <w:p>
            <w:pPr>
              <w:jc w:val="right"/>
              <w:ind w:right="199"/>
              <w:spacing w:after="0"/>
              <w:rPr>
                <w:sz w:val="20"/>
                <w:szCs w:val="20"/>
                <w:color w:val="auto"/>
              </w:rPr>
            </w:pPr>
            <w:r>
              <w:rPr>
                <w:rFonts w:ascii="Times New Roman" w:cs="Times New Roman" w:eastAsia="Times New Roman" w:hAnsi="Times New Roman"/>
                <w:sz w:val="18"/>
                <w:szCs w:val="18"/>
                <w:color w:val="auto"/>
              </w:rPr>
              <w:t>11.8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63,214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 to &lt; 5 Years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81,779</w:t>
            </w:r>
          </w:p>
        </w:tc>
        <w:tc>
          <w:tcPr>
            <w:tcW w:w="4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9.7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66,230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5 or more Years</w:t>
            </w:r>
          </w:p>
        </w:tc>
        <w:tc>
          <w:tcPr>
            <w:tcW w:w="22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216,991</w:t>
            </w:r>
          </w:p>
        </w:tc>
        <w:tc>
          <w:tcPr>
            <w:tcW w:w="400" w:type="dxa"/>
            <w:vAlign w:val="bottom"/>
          </w:tcPr>
          <w:p>
            <w:pPr>
              <w:spacing w:after="0"/>
              <w:rPr>
                <w:sz w:val="18"/>
                <w:szCs w:val="18"/>
                <w:color w:val="auto"/>
              </w:rPr>
            </w:pPr>
          </w:p>
        </w:tc>
        <w:tc>
          <w:tcPr>
            <w:tcW w:w="1240" w:type="dxa"/>
            <w:vAlign w:val="bottom"/>
            <w:gridSpan w:val="4"/>
          </w:tcPr>
          <w:p>
            <w:pPr>
              <w:jc w:val="right"/>
              <w:ind w:right="199"/>
              <w:spacing w:after="0"/>
              <w:rPr>
                <w:sz w:val="20"/>
                <w:szCs w:val="20"/>
                <w:color w:val="auto"/>
              </w:rPr>
            </w:pPr>
            <w:r>
              <w:rPr>
                <w:rFonts w:ascii="Times New Roman" w:cs="Times New Roman" w:eastAsia="Times New Roman" w:hAnsi="Times New Roman"/>
                <w:sz w:val="18"/>
                <w:szCs w:val="18"/>
                <w:color w:val="auto"/>
              </w:rPr>
              <w:t>25.6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44,591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847,268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332,555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gridSpan w:val="2"/>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38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0" w:type="dxa"/>
            <w:vAlign w:val="bottom"/>
            <w:gridSpan w:val="9"/>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Top Ten Portfolio Holdings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2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Rank</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1160" w:type="dxa"/>
            <w:vAlign w:val="bottom"/>
            <w:gridSpan w:val="4"/>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1100" w:type="dxa"/>
            <w:vAlign w:val="bottom"/>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Credit</w:t>
            </w:r>
          </w:p>
        </w:tc>
        <w:tc>
          <w:tcPr>
            <w:tcW w:w="4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Gain (Loss)(1)</w:t>
            </w:r>
          </w:p>
        </w:tc>
        <w:tc>
          <w:tcPr>
            <w:tcW w:w="80" w:type="dxa"/>
            <w:vAlign w:val="bottom"/>
          </w:tcPr>
          <w:p>
            <w:pPr>
              <w:spacing w:after="0"/>
              <w:rPr>
                <w:sz w:val="15"/>
                <w:szCs w:val="15"/>
                <w:color w:val="auto"/>
              </w:rPr>
            </w:pPr>
          </w:p>
        </w:tc>
        <w:tc>
          <w:tcPr>
            <w:tcW w:w="17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Rating(2)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T-Note 2.125% 1/31/21</w:t>
            </w: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14,358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 Treasury Bill 9/18/14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12,796</w:t>
            </w: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 9/11/14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Freddie Mac 4.0% 30 Yr MBS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5,846</w:t>
            </w:r>
          </w:p>
        </w:tc>
        <w:tc>
          <w:tcPr>
            <w:tcW w:w="1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Baa1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T-Note 2.625% 12/31/14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Freddie Mac 3.0% 30 Yr MBS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4,343</w:t>
            </w: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Baa1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CMBS 2007-GG10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4,187</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Freddie Mac 3.5% 30 Yr MBS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Baa1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T-Note 3.625% 2/15/21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Freddie Mac 3.0% 30 Yr MBS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Baa1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1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68,439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9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 of Investment Portfolio</w:t>
            </w: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2920" w:type="dxa"/>
            <w:vAlign w:val="bottom"/>
            <w:gridSpan w:val="6"/>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-2805430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-2805430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360" w:hanging="328"/>
        <w:spacing w:after="0" w:line="261" w:lineRule="auto"/>
        <w:tabs>
          <w:tab w:leader="none" w:pos="6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2014, for securities in unrealized loss positions, management believes decline in fair values is principally associated with the changes in the interest rate environment subsequent to their purchase and there are no other-than-temporary impairments. Also, see Note 2 to our condensed consolidated financial statements, which summarizes the aggregate amount of gross unrealized losses by asset class in which the fair value of investments has been less than cost for more than 12 months and less than 12 months.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rating utilized if Moody’s not available.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Rank</w:t>
            </w:r>
          </w:p>
        </w:tc>
        <w:tc>
          <w:tcPr>
            <w:tcW w:w="280" w:type="dxa"/>
            <w:vAlign w:val="bottom"/>
          </w:tcPr>
          <w:p>
            <w:pPr>
              <w:spacing w:after="0"/>
              <w:rPr>
                <w:sz w:val="15"/>
                <w:szCs w:val="15"/>
                <w:color w:val="auto"/>
              </w:rPr>
            </w:pPr>
          </w:p>
        </w:tc>
        <w:tc>
          <w:tcPr>
            <w:tcW w:w="346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2"/>
                <w:szCs w:val="12"/>
                <w:color w:val="auto"/>
              </w:rPr>
            </w:pPr>
          </w:p>
        </w:tc>
        <w:tc>
          <w:tcPr>
            <w:tcW w:w="3460" w:type="dxa"/>
            <w:vAlign w:val="bottom"/>
            <w:gridSpan w:val="2"/>
          </w:tcPr>
          <w:p>
            <w:pPr>
              <w:ind w:left="1320"/>
              <w:spacing w:after="0" w:line="142"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220" w:type="dxa"/>
            <w:vAlign w:val="bottom"/>
          </w:tcPr>
          <w:p>
            <w:pPr>
              <w:spacing w:after="0"/>
              <w:rPr>
                <w:sz w:val="12"/>
                <w:szCs w:val="12"/>
                <w:color w:val="auto"/>
              </w:rPr>
            </w:pPr>
          </w:p>
        </w:tc>
        <w:tc>
          <w:tcPr>
            <w:tcW w:w="114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T-Note 2% 4/30/2016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 T-Note 2.125% 2/29/2016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3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T-Note 2.625% 12/31/2014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 T-Note 2.375% 6/30/2018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3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T-Note 1.625% 8/15/2022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Goldman Sachs CMBS 2007-1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3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T-Note 1.375% 9/30/2018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 T-Note 3.625% 2/15/2021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3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Freddie Mac 3.0% 30 Yr MBS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3740" w:type="dxa"/>
            <w:vAlign w:val="bottom"/>
            <w:tcBorders>
              <w:bottom w:val="single" w:sz="8" w:color="CCEEFF"/>
            </w:tcBorders>
            <w:gridSpan w:val="3"/>
          </w:tcPr>
          <w:p>
            <w:pPr>
              <w:ind w:left="280"/>
              <w:spacing w:after="0"/>
              <w:rPr>
                <w:sz w:val="20"/>
                <w:szCs w:val="20"/>
                <w:color w:val="auto"/>
              </w:rPr>
            </w:pPr>
            <w:r>
              <w:rPr>
                <w:rFonts w:ascii="Times New Roman" w:cs="Times New Roman" w:eastAsia="Times New Roman" w:hAnsi="Times New Roman"/>
                <w:sz w:val="18"/>
                <w:szCs w:val="18"/>
                <w:color w:val="auto"/>
              </w:rPr>
              <w:t>Scholar Funding ABS 2013-A</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80" w:type="dxa"/>
            <w:vAlign w:val="bottom"/>
            <w:tcBorders>
              <w:bottom w:val="single" w:sz="8" w:color="CCEEFF"/>
            </w:tcBorders>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47,462</w:t>
            </w:r>
          </w:p>
        </w:tc>
        <w:tc>
          <w:tcPr>
            <w:tcW w:w="180" w:type="dxa"/>
            <w:vAlign w:val="bottom"/>
            <w:tcBorders>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 of Investment Portfolio</w:t>
            </w:r>
          </w:p>
        </w:tc>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00" w:type="dxa"/>
            <w:vAlign w:val="bottom"/>
          </w:tcPr>
          <w:p>
            <w:pPr>
              <w:spacing w:after="0"/>
              <w:rPr>
                <w:sz w:val="17"/>
                <w:szCs w:val="17"/>
                <w:color w:val="auto"/>
              </w:rPr>
            </w:pPr>
          </w:p>
        </w:tc>
        <w:tc>
          <w:tcPr>
            <w:tcW w:w="3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14.3</w:t>
            </w:r>
          </w:p>
        </w:tc>
        <w:tc>
          <w:tcPr>
            <w:tcW w:w="18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4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municipal debt securities for states that represent more than 10% of the total municipal bond position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18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73"/>
        </w:trPr>
        <w:tc>
          <w:tcPr>
            <w:tcW w:w="4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City of Houston, Texas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4,106</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4,061</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University of Texas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2,417</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Cypress-Fairbanks Independent School District</w:t>
            </w: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2,237</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Alamo Community College District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1,800</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bl>
    <w:p>
      <w:pPr>
        <w:sectPr>
          <w:pgSz w:w="11900" w:h="16884" w:orient="portrait"/>
          <w:cols w:equalWidth="0" w:num="1">
            <w:col w:w="11460"/>
          </w:cols>
          <w:pgMar w:left="240" w:top="567" w:right="199" w:bottom="0" w:gutter="0" w:footer="0" w:header="0"/>
        </w:sectPr>
      </w:pPr>
    </w:p>
    <w:bookmarkStart w:id="25" w:name="page26"/>
    <w:bookmarkEnd w:id="25"/>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Dallas/Fort Worth International Airport</w:t>
            </w:r>
          </w:p>
        </w:tc>
        <w:tc>
          <w:tcPr>
            <w:tcW w:w="4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1,621</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1,599</w:t>
            </w: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Alvin Independent School District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1,292</w:t>
            </w:r>
          </w:p>
        </w:tc>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Texas Transportation Commission</w:t>
            </w: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1,207</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1,200</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County of Dallas, Texas</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1,151</w:t>
            </w:r>
          </w:p>
        </w:tc>
        <w:tc>
          <w:tcPr>
            <w:tcW w:w="13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Pasadena Independent School District</w:t>
            </w: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1,107</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Tarrant County Cultural Education</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1,097</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w:t>
            </w:r>
          </w:p>
        </w:tc>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County of Rockwall, Texas</w:t>
            </w: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827</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City of El Paso, Texas</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580</w:t>
            </w:r>
          </w:p>
        </w:tc>
        <w:tc>
          <w:tcPr>
            <w:tcW w:w="13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Baa1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3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City of New York, New York</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3,984</w:t>
            </w:r>
          </w:p>
        </w:tc>
        <w:tc>
          <w:tcPr>
            <w:tcW w:w="5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3,985</w:t>
            </w:r>
          </w:p>
        </w:tc>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City Transitional Finance Authority</w:t>
            </w: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3,811</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York State Urban Development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2,767</w:t>
            </w:r>
          </w:p>
        </w:tc>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Metropolitan Transportation Authority</w:t>
            </w: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2,326</w:t>
            </w: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Baa1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Port Authority of New York and New Jersey</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1,979</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1,955</w:t>
            </w:r>
          </w:p>
        </w:tc>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County of Albany, New York</w:t>
            </w: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1,893</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York State Dormitory Authority</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1,160</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1,151</w:t>
            </w:r>
          </w:p>
        </w:tc>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Triborough Bridge and Tunnel Authority</w:t>
            </w:r>
          </w:p>
        </w:tc>
        <w:tc>
          <w:tcPr>
            <w:tcW w:w="4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771</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38,096</w:t>
            </w:r>
          </w:p>
        </w:tc>
        <w:tc>
          <w:tcPr>
            <w:tcW w:w="5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38,032</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400" w:hanging="652"/>
        <w:spacing w:after="0" w:line="282" w:lineRule="auto"/>
        <w:tabs>
          <w:tab w:leader="none" w:pos="6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 securities include financial guaranty insurance. Certain securities include state enhancements. The above ratings exclude the effect of such state enhancements.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utilized if Moody’s is not available.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60" w:lineRule="exact"/>
        <w:rPr>
          <w:sz w:val="20"/>
          <w:szCs w:val="20"/>
          <w:color w:val="auto"/>
        </w:rPr>
      </w:pPr>
    </w:p>
    <w:p>
      <w:pPr>
        <w:jc w:val="both"/>
        <w:ind w:left="980" w:right="80" w:hanging="324"/>
        <w:spacing w:after="0" w:line="267" w:lineRule="auto"/>
        <w:tabs>
          <w:tab w:leader="none" w:pos="9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 rate assets to generate additional income. Decreasing rates will have the reverse impact. Significant changes in interest rates can also affect persistency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80" w:right="700"/>
        <w:spacing w:after="0" w:line="282" w:lineRule="auto"/>
        <w:rPr>
          <w:sz w:val="20"/>
          <w:szCs w:val="20"/>
          <w:color w:val="auto"/>
        </w:rPr>
      </w:pPr>
      <w:r>
        <w:rPr>
          <w:rFonts w:ascii="Times New Roman" w:cs="Times New Roman" w:eastAsia="Times New Roman" w:hAnsi="Times New Roman"/>
          <w:sz w:val="18"/>
          <w:szCs w:val="18"/>
          <w:color w:val="auto"/>
        </w:rPr>
        <w:t>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60" w:lineRule="exact"/>
        <w:rPr>
          <w:sz w:val="20"/>
          <w:szCs w:val="20"/>
          <w:color w:val="auto"/>
        </w:rPr>
      </w:pPr>
    </w:p>
    <w:p>
      <w:pPr>
        <w:ind w:left="980" w:right="580" w:hanging="324"/>
        <w:spacing w:after="0" w:line="284" w:lineRule="auto"/>
        <w:tabs>
          <w:tab w:leader="none" w:pos="9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may have unforeseen impacts on the value of certain assets.</w:t>
      </w:r>
    </w:p>
    <w:p>
      <w:pPr>
        <w:spacing w:after="0" w:line="158" w:lineRule="exact"/>
        <w:rPr>
          <w:rFonts w:ascii="Times New Roman" w:cs="Times New Roman" w:eastAsia="Times New Roman" w:hAnsi="Times New Roman"/>
          <w:sz w:val="18"/>
          <w:szCs w:val="18"/>
          <w:color w:val="auto"/>
        </w:rPr>
      </w:pPr>
    </w:p>
    <w:p>
      <w:pPr>
        <w:ind w:left="980" w:right="220" w:hanging="324"/>
        <w:spacing w:after="0" w:line="284" w:lineRule="auto"/>
        <w:tabs>
          <w:tab w:leader="none" w:pos="9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volatility/changes in the real or perceived credit quality of investments. </w:t>
      </w:r>
      <w:r>
        <w:rPr>
          <w:rFonts w:ascii="Times New Roman" w:cs="Times New Roman" w:eastAsia="Times New Roman" w:hAnsi="Times New Roman"/>
          <w:sz w:val="18"/>
          <w:szCs w:val="18"/>
          <w:color w:val="auto"/>
        </w:rPr>
        <w:t>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 party (e.g., rating agency) assessments, will reduce the value and potentially the liquidity of investments.</w:t>
      </w:r>
    </w:p>
    <w:p>
      <w:pPr>
        <w:spacing w:after="0" w:line="158" w:lineRule="exact"/>
        <w:rPr>
          <w:rFonts w:ascii="Times New Roman" w:cs="Times New Roman" w:eastAsia="Times New Roman" w:hAnsi="Times New Roman"/>
          <w:sz w:val="18"/>
          <w:szCs w:val="18"/>
          <w:color w:val="auto"/>
        </w:rPr>
      </w:pPr>
    </w:p>
    <w:p>
      <w:pPr>
        <w:ind w:left="980" w:right="100" w:hanging="324"/>
        <w:spacing w:after="0" w:line="284" w:lineRule="auto"/>
        <w:tabs>
          <w:tab w:leader="none" w:pos="9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58" w:lineRule="exact"/>
        <w:rPr>
          <w:rFonts w:ascii="Times New Roman" w:cs="Times New Roman" w:eastAsia="Times New Roman" w:hAnsi="Times New Roman"/>
          <w:sz w:val="18"/>
          <w:szCs w:val="18"/>
          <w:color w:val="auto"/>
        </w:rPr>
      </w:pPr>
    </w:p>
    <w:p>
      <w:pPr>
        <w:ind w:left="980" w:right="340" w:hanging="324"/>
        <w:spacing w:after="0" w:line="284" w:lineRule="auto"/>
        <w:tabs>
          <w:tab w:leader="none" w:pos="9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when rates fall below the interest rate of the debt.</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2014, the effective duration of our investment portfolio, including cash, was 3.0 years, which means that an instantaneous parallel shift (movement up or down) in the yield curve of 100 basis points would result in a change of 3.0% in fair value of our investment portfolio. Excluding cash, our investment portfolio effective duration was 4.3 years, which means that an instantaneous parallel shift (movement up or down) in the yield curve of 100 basis points would result in a change of 4.3% in fair value of our investment portfolio.</w:t>
      </w:r>
    </w:p>
    <w:p>
      <w:pPr>
        <w:sectPr>
          <w:pgSz w:w="11900" w:h="16838" w:orient="portrait"/>
          <w:cols w:equalWidth="0" w:num="1">
            <w:col w:w="11380"/>
          </w:cols>
          <w:pgMar w:left="240" w:top="121" w:right="27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the end of the period covered by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2013.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first quarter of 2014.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73"/>
        </w:trPr>
        <w:tc>
          <w:tcPr>
            <w:tcW w:w="4660" w:type="dxa"/>
            <w:vAlign w:val="bottom"/>
            <w:gridSpan w:val="2"/>
            <w:vMerge w:val="continue"/>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2014</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February 28, 2014</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80" w:type="dxa"/>
            <w:vAlign w:val="bottom"/>
          </w:tcPr>
          <w:p>
            <w:pPr>
              <w:spacing w:after="0"/>
              <w:rPr>
                <w:sz w:val="18"/>
                <w:szCs w:val="18"/>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2014</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60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November 5, 2013, we completed an initial public offering of an aggregate of 22,666,635 Common Shares at a price of $17.00 per share for an aggregate offering price of $385,332,795. On that date, we issued and sold 19,956,517 shares, including 2,956,517 shares pursuant to the underwriters’ exercise of their option to purchase additional shares, and certain of our shareholders sold an additional 2,710,118 shares, and the offering terminated. Goldman, Sachs &amp; Co., J.P. Morgan Securities LLC, and Barclays Capital Inc. served as joint representatives of the several underwriters for the offering. As a result of the initial public offering, we raised approximately $313.7 million in net proceeds, after deducting underwriting discounts and commissions of approximately $21.5 million and estimated expenses in connection with the offering of approximately $4 million. We did not receive any proceeds from the sale of shares by the selling shareholders. No payments were made by us to our directors, officers or any of their associates, persons owning 10% or more of our Common Shares, or their associates, or our affiliates, except for approximately $11.7 million that was paid in the aggregate in underwriting discounts and commissions to Goldman, Sachs &amp; Co. and J.P. Morgan Securities LLC, affiliates of which owned more than 11% and 8%, respectively, of our outstanding capital immediately prior to our initial public offering. We believe that the services performed by Goldman, Sachs &amp; Co. and J.P. Morgan Securities LLC in connection with the above offering were provided on terms no more or less favorable than those with unrelated parties.</w:t>
      </w:r>
    </w:p>
    <w:p>
      <w:pPr>
        <w:spacing w:after="0" w:line="19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2014, we have contributed in the aggregate approximately $110 million (including approximately $35 million during the quarter ended March 31, 2014) of our net proceeds from the offering to our U.S. insurance subsidiaries as capital investments. The remaining portion of the net proceeds has been utilized as temporary investments in cash and cash equivalents. There has been no material change in the planned use of proceeds from our initial public offering as described in our final prospectus filed with the SEC pursuant to Rule 424(b).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225" w:gutter="0" w:footer="0" w:header="0"/>
        </w:sectPr>
      </w:pPr>
    </w:p>
    <w:bookmarkStart w:id="27" w:name="page28"/>
    <w:bookmarkEnd w:id="27"/>
    <w:p>
      <w:pPr>
        <w:spacing w:after="0" w:line="4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6"/>
                <w:szCs w:val="16"/>
                <w:color w:val="auto"/>
              </w:rPr>
            </w:pPr>
          </w:p>
        </w:tc>
        <w:tc>
          <w:tcPr>
            <w:tcW w:w="10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 adopted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 adopted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this Quarterly Report on Form 10-Q for the quarter ended March 31, 2014, formatted in XBRL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(Extensible Business Reporting Language) and filed electronically herewith: (i) the Condensed Consolidated Balance Sheets (Unaudited);</w:t>
            </w:r>
          </w:p>
        </w:tc>
        <w:tc>
          <w:tcPr>
            <w:tcW w:w="0" w:type="dxa"/>
            <w:vAlign w:val="bottom"/>
          </w:tcPr>
          <w:p>
            <w:pPr>
              <w:spacing w:after="0"/>
              <w:rPr>
                <w:sz w:val="1"/>
                <w:szCs w:val="1"/>
                <w:color w:val="auto"/>
              </w:rPr>
            </w:pPr>
          </w:p>
        </w:tc>
      </w:tr>
    </w:tbl>
    <w:p>
      <w:pPr>
        <w:ind w:left="1280" w:right="80"/>
        <w:spacing w:after="0" w:line="255" w:lineRule="auto"/>
        <w:rPr>
          <w:sz w:val="20"/>
          <w:szCs w:val="20"/>
          <w:color w:val="auto"/>
        </w:rPr>
      </w:pPr>
      <w:r>
        <w:rPr>
          <w:rFonts w:ascii="Times New Roman" w:cs="Times New Roman" w:eastAsia="Times New Roman" w:hAnsi="Times New Roman"/>
          <w:sz w:val="18"/>
          <w:szCs w:val="18"/>
          <w:color w:val="auto"/>
        </w:rPr>
        <w:t>(ii)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 tagged as blocks of text.</w:t>
      </w:r>
    </w:p>
    <w:p>
      <w:pPr>
        <w:spacing w:after="0" w:line="186" w:lineRule="exact"/>
        <w:rPr>
          <w:sz w:val="20"/>
          <w:szCs w:val="20"/>
          <w:color w:val="auto"/>
        </w:rPr>
      </w:pPr>
    </w:p>
    <w:p>
      <w:pPr>
        <w:ind w:left="1280" w:right="60" w:hanging="1272"/>
        <w:spacing w:after="0" w:line="266" w:lineRule="auto"/>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ESSENT GROUP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May 15, 2014</w:t>
            </w:r>
          </w:p>
        </w:tc>
        <w:tc>
          <w:tcPr>
            <w:tcW w:w="16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A. CASALE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A. Casale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May 15, 2014</w:t>
            </w:r>
          </w:p>
        </w:tc>
        <w:tc>
          <w:tcPr>
            <w:tcW w:w="16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E. MCALEE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E. McAlee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May 15, 2014</w:t>
            </w:r>
          </w:p>
        </w:tc>
        <w:tc>
          <w:tcPr>
            <w:tcW w:w="16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 WEINSTOCK</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B. Weinstock</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840" w:type="dxa"/>
            <w:vAlign w:val="bottom"/>
            <w:gridSpan w:val="2"/>
          </w:tcPr>
          <w:p>
            <w:pPr>
              <w:jc w:val="right"/>
              <w:ind w:right="5531"/>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gridSpan w:val="2"/>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58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120" w:type="dxa"/>
            <w:vAlign w:val="bottom"/>
            <w:gridSpan w:val="3"/>
          </w:tcPr>
          <w:p>
            <w:pPr>
              <w:jc w:val="center"/>
              <w:ind w:right="1191"/>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6"/>
                <w:szCs w:val="16"/>
                <w:color w:val="auto"/>
              </w:rPr>
            </w:pPr>
          </w:p>
        </w:tc>
        <w:tc>
          <w:tcPr>
            <w:tcW w:w="1014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 adopted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1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 adopted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1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 of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this Quarterly Report on Form 10-Q for the quarter ended March 31, 2014, formatted in XBRL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(Extensible Business Reporting Language) and filed electronically herewith: (i) the Condensed Consolidated Balance Sheets (Unaudited);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-2094230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280" w:right="80"/>
        <w:spacing w:after="0" w:line="255" w:lineRule="auto"/>
        <w:rPr>
          <w:sz w:val="20"/>
          <w:szCs w:val="20"/>
          <w:color w:val="auto"/>
        </w:rPr>
      </w:pPr>
      <w:r>
        <w:rPr>
          <w:rFonts w:ascii="Times New Roman" w:cs="Times New Roman" w:eastAsia="Times New Roman" w:hAnsi="Times New Roman"/>
          <w:sz w:val="18"/>
          <w:szCs w:val="18"/>
          <w:color w:val="auto"/>
        </w:rPr>
        <w:t>(ii)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 tagged as blocks of text.</w:t>
      </w:r>
    </w:p>
    <w:p>
      <w:pPr>
        <w:spacing w:after="0" w:line="186" w:lineRule="exact"/>
        <w:rPr>
          <w:sz w:val="20"/>
          <w:szCs w:val="20"/>
          <w:color w:val="auto"/>
        </w:rPr>
      </w:pPr>
    </w:p>
    <w:p>
      <w:pPr>
        <w:ind w:left="1280" w:hanging="1272"/>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applicable securities laws and regulations, this interactive data file is deemed not filed or part of a registration statement or</w:t>
      </w:r>
    </w:p>
    <w:p>
      <w:pPr>
        <w:sectPr>
          <w:pgSz w:w="11900" w:h="16883" w:orient="portrait"/>
          <w:cols w:equalWidth="0" w:num="1">
            <w:col w:w="11460"/>
          </w:cols>
          <w:pgMar w:left="240" w:top="121" w:right="199" w:bottom="0" w:gutter="0" w:footer="0" w:header="0"/>
        </w:sectPr>
      </w:pPr>
    </w:p>
    <w:bookmarkStart w:id="28" w:name="page29"/>
    <w:bookmarkEnd w:id="28"/>
    <w:p>
      <w:pPr>
        <w:ind w:left="80"/>
        <w:spacing w:after="0" w:line="282" w:lineRule="auto"/>
        <w:rPr>
          <w:sz w:val="20"/>
          <w:szCs w:val="20"/>
          <w:color w:val="auto"/>
        </w:rPr>
      </w:pPr>
      <w:r>
        <w:rPr>
          <w:rFonts w:ascii="Times New Roman" w:cs="Times New Roman" w:eastAsia="Times New Roman" w:hAnsi="Times New Roman"/>
          <w:sz w:val="18"/>
          <w:szCs w:val="18"/>
          <w:color w:val="auto"/>
        </w:rPr>
        <w:t>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121" w:right="2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660" w:right="360" w:hanging="652"/>
        <w:spacing w:after="0" w:line="313"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8" w:lineRule="exact"/>
        <w:rPr>
          <w:rFonts w:ascii="Times New Roman" w:cs="Times New Roman" w:eastAsia="Times New Roman" w:hAnsi="Times New Roman"/>
          <w:sz w:val="17"/>
          <w:szCs w:val="17"/>
          <w:color w:val="auto"/>
        </w:rPr>
      </w:pPr>
    </w:p>
    <w:p>
      <w:pPr>
        <w:ind w:left="660" w:right="30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CASALE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McAlee,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660" w:right="360" w:hanging="652"/>
        <w:spacing w:after="0" w:line="313"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8" w:lineRule="exact"/>
        <w:rPr>
          <w:rFonts w:ascii="Times New Roman" w:cs="Times New Roman" w:eastAsia="Times New Roman" w:hAnsi="Times New Roman"/>
          <w:sz w:val="17"/>
          <w:szCs w:val="17"/>
          <w:color w:val="auto"/>
        </w:rPr>
      </w:pPr>
    </w:p>
    <w:p>
      <w:pPr>
        <w:ind w:left="660" w:right="30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1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MCALEE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76" w:lineRule="exact"/>
        <w:rPr>
          <w:sz w:val="20"/>
          <w:szCs w:val="20"/>
          <w:color w:val="auto"/>
        </w:rPr>
      </w:pPr>
    </w:p>
    <w:p>
      <w:pPr>
        <w:ind w:left="660" w:right="280" w:hanging="652"/>
        <w:spacing w:after="0" w:line="282" w:lineRule="auto"/>
        <w:tabs>
          <w:tab w:leader="none" w:pos="6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380" w:firstLine="8"/>
        <w:spacing w:after="0" w:line="50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2014</w:t>
      </w:r>
    </w:p>
    <w:p>
      <w:pPr>
        <w:spacing w:after="0"/>
        <w:rPr>
          <w:sz w:val="20"/>
          <w:szCs w:val="20"/>
          <w:color w:val="auto"/>
        </w:rPr>
      </w:pPr>
      <w:r>
        <w:rPr>
          <w:rFonts w:ascii="Times New Roman" w:cs="Times New Roman" w:eastAsia="Times New Roman" w:hAnsi="Times New Roman"/>
          <w:sz w:val="18"/>
          <w:szCs w:val="18"/>
          <w:color w:val="auto"/>
        </w:rPr>
        <w:t>/s/ MARK A. CASALE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MCALEE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2020-01-27T09:47:10Z</dcterms:created>
  <dcterms:modified xsi:type="dcterms:W3CDTF">2020-01-27T09:47:10Z</dcterms:modified>
</cp:coreProperties>
</file>