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163830</wp:posOffset>
            </wp:positionV>
            <wp:extent cx="31216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323215</wp:posOffset>
            </wp:positionV>
            <wp:extent cx="3121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80"/>
        <w:spacing w:after="0"/>
        <w:rPr>
          <w:sz w:val="20"/>
          <w:szCs w:val="20"/>
          <w:color w:val="auto"/>
        </w:rPr>
      </w:pPr>
      <w:r>
        <w:rPr>
          <w:rFonts w:ascii="Arial" w:cs="Arial" w:eastAsia="Arial" w:hAnsi="Arial"/>
          <w:sz w:val="16"/>
          <w:szCs w:val="16"/>
          <w:b w:val="1"/>
          <w:bCs w:val="1"/>
          <w:color w:val="auto"/>
        </w:rPr>
        <w:t>(Mark One)</w:t>
      </w:r>
    </w:p>
    <w:p>
      <w:pPr>
        <w:spacing w:after="0" w:line="118" w:lineRule="exact"/>
        <w:rPr>
          <w:sz w:val="24"/>
          <w:szCs w:val="24"/>
          <w:color w:val="auto"/>
        </w:rPr>
      </w:pPr>
    </w:p>
    <w:p>
      <w:pPr>
        <w:ind w:left="800" w:hanging="468"/>
        <w:spacing w:after="0"/>
        <w:tabs>
          <w:tab w:leader="none" w:pos="80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42"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period ended June 30, 2017</w:t>
      </w:r>
    </w:p>
    <w:p>
      <w:pPr>
        <w:spacing w:after="0" w:line="145" w:lineRule="exact"/>
        <w:rPr>
          <w:sz w:val="24"/>
          <w:szCs w:val="24"/>
          <w:color w:val="auto"/>
        </w:rPr>
      </w:pPr>
    </w:p>
    <w:p>
      <w:pPr>
        <w:ind w:left="600" w:hanging="268"/>
        <w:spacing w:after="0"/>
        <w:tabs>
          <w:tab w:leader="none" w:pos="600" w:val="left"/>
        </w:tabs>
        <w:numPr>
          <w:ilvl w:val="0"/>
          <w:numId w:val="2"/>
        </w:numPr>
        <w:rPr>
          <w:rFonts w:ascii="Arial" w:cs="Arial" w:eastAsia="Arial" w:hAnsi="Arial"/>
          <w:sz w:val="22"/>
          <w:szCs w:val="22"/>
          <w:b w:val="1"/>
          <w:bCs w:val="1"/>
          <w:color w:val="auto"/>
        </w:rPr>
      </w:pPr>
      <w:r>
        <w:rPr>
          <w:rFonts w:ascii="Arial" w:cs="Arial" w:eastAsia="Arial" w:hAnsi="Arial"/>
          <w:sz w:val="20"/>
          <w:szCs w:val="20"/>
          <w:b w:val="1"/>
          <w:bCs w:val="1"/>
          <w:color w:val="auto"/>
        </w:rPr>
        <w:t>TRANSITION REPORT PURSUANT TO SECTION 13 OR 15(d) OF THE SECURITIES EXCHANGE ACT OF 1934</w:t>
      </w:r>
    </w:p>
    <w:p>
      <w:pPr>
        <w:sectPr>
          <w:pgSz w:w="11900" w:h="16838" w:orient="portrait"/>
          <w:cols w:equalWidth="0" w:num="1">
            <w:col w:w="11360"/>
          </w:cols>
          <w:pgMar w:left="240" w:top="233" w:right="299" w:bottom="1440" w:gutter="0" w:footer="0" w:header="0"/>
        </w:sectPr>
      </w:pPr>
    </w:p>
    <w:p>
      <w:pPr>
        <w:spacing w:after="0" w:line="161"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223" w:lineRule="exact"/>
        <w:rPr>
          <w:sz w:val="24"/>
          <w:szCs w:val="24"/>
          <w:color w:val="auto"/>
        </w:rPr>
      </w:pPr>
    </w:p>
    <w:p>
      <w:pPr>
        <w:sectPr>
          <w:pgSz w:w="11900" w:h="16838" w:orient="portrait"/>
          <w:cols w:equalWidth="0" w:num="2">
            <w:col w:w="6140" w:space="580"/>
            <w:col w:w="4640"/>
          </w:cols>
          <w:pgMar w:left="240" w:top="233" w:right="299" w:bottom="1440" w:gutter="0" w:footer="0" w:header="0"/>
          <w:type w:val="continuous"/>
        </w:sectPr>
      </w:pP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189865</wp:posOffset>
            </wp:positionV>
            <wp:extent cx="31216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type w:val="continuous"/>
        </w:sectPr>
      </w:pPr>
    </w:p>
    <w:p>
      <w:pPr>
        <w:spacing w:after="0" w:line="200" w:lineRule="exact"/>
        <w:rPr>
          <w:sz w:val="24"/>
          <w:szCs w:val="24"/>
          <w:color w:val="auto"/>
        </w:rPr>
      </w:pPr>
    </w:p>
    <w:p>
      <w:pPr>
        <w:spacing w:after="0" w:line="323" w:lineRule="exact"/>
        <w:rPr>
          <w:sz w:val="24"/>
          <w:szCs w:val="24"/>
          <w:color w:val="auto"/>
        </w:rPr>
      </w:pPr>
    </w:p>
    <w:tbl>
      <w:tblPr>
        <w:tblLayout w:type="fixed"/>
        <w:tblInd w:w="1780" w:type="dxa"/>
        <w:tblCellMar>
          <w:top w:w="0" w:type="dxa"/>
          <w:left w:w="0" w:type="dxa"/>
          <w:bottom w:w="0" w:type="dxa"/>
          <w:right w:w="0" w:type="dxa"/>
        </w:tblCellMar>
      </w:tblPr>
      <w:tr>
        <w:trPr>
          <w:trHeight w:val="373"/>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580" w:type="dxa"/>
            <w:vAlign w:val="bottom"/>
            <w:gridSpan w:val="2"/>
          </w:tcPr>
          <w:p>
            <w:pPr>
              <w:jc w:val="center"/>
              <w:ind w:right="1860"/>
              <w:spacing w:after="0"/>
              <w:rPr>
                <w:sz w:val="20"/>
                <w:szCs w:val="20"/>
                <w:color w:val="auto"/>
              </w:rPr>
            </w:pPr>
            <w:r>
              <w:rPr>
                <w:rFonts w:ascii="Arial" w:cs="Arial" w:eastAsia="Arial" w:hAnsi="Arial"/>
                <w:sz w:val="29"/>
                <w:szCs w:val="29"/>
                <w:b w:val="1"/>
                <w:bCs w:val="1"/>
                <w:color w:val="auto"/>
                <w:w w:val="96"/>
              </w:rPr>
              <w:t>ESSENT GROUP LTD.</w:t>
            </w:r>
          </w:p>
        </w:tc>
      </w:tr>
      <w:tr>
        <w:trPr>
          <w:trHeight w:val="206"/>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249"/>
        </w:trPr>
        <w:tc>
          <w:tcPr>
            <w:tcW w:w="148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spacing w:after="0"/>
              <w:rPr>
                <w:sz w:val="21"/>
                <w:szCs w:val="21"/>
                <w:color w:val="auto"/>
              </w:rPr>
            </w:pPr>
          </w:p>
        </w:tc>
        <w:tc>
          <w:tcPr>
            <w:tcW w:w="1260" w:type="dxa"/>
            <w:vAlign w:val="bottom"/>
          </w:tcPr>
          <w:p>
            <w:pPr>
              <w:spacing w:after="0"/>
              <w:rPr>
                <w:sz w:val="21"/>
                <w:szCs w:val="21"/>
                <w:color w:val="auto"/>
              </w:rPr>
            </w:pPr>
          </w:p>
        </w:tc>
      </w:tr>
      <w:tr>
        <w:trPr>
          <w:trHeight w:val="568"/>
        </w:trPr>
        <w:tc>
          <w:tcPr>
            <w:tcW w:w="2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Bermuda</w:t>
            </w:r>
          </w:p>
        </w:tc>
        <w:tc>
          <w:tcPr>
            <w:tcW w:w="5580" w:type="dxa"/>
            <w:vAlign w:val="bottom"/>
            <w:gridSpan w:val="2"/>
          </w:tcPr>
          <w:p>
            <w:pPr>
              <w:jc w:val="center"/>
              <w:ind w:left="3973"/>
              <w:spacing w:after="0"/>
              <w:rPr>
                <w:sz w:val="20"/>
                <w:szCs w:val="20"/>
                <w:color w:val="auto"/>
              </w:rPr>
            </w:pPr>
            <w:r>
              <w:rPr>
                <w:rFonts w:ascii="Arial" w:cs="Arial" w:eastAsia="Arial" w:hAnsi="Arial"/>
                <w:sz w:val="16"/>
                <w:szCs w:val="16"/>
                <w:b w:val="1"/>
                <w:bCs w:val="1"/>
                <w:color w:val="auto"/>
                <w:w w:val="92"/>
              </w:rPr>
              <w:t>Not Applicable</w:t>
            </w:r>
          </w:p>
        </w:tc>
      </w:tr>
      <w:tr>
        <w:trPr>
          <w:trHeight w:val="253"/>
        </w:trPr>
        <w:tc>
          <w:tcPr>
            <w:tcW w:w="208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(State or other jurisdiction of</w:t>
            </w:r>
          </w:p>
        </w:tc>
        <w:tc>
          <w:tcPr>
            <w:tcW w:w="5580" w:type="dxa"/>
            <w:vAlign w:val="bottom"/>
            <w:gridSpan w:val="2"/>
          </w:tcPr>
          <w:p>
            <w:pPr>
              <w:jc w:val="center"/>
              <w:ind w:left="3993"/>
              <w:spacing w:after="0"/>
              <w:rPr>
                <w:sz w:val="20"/>
                <w:szCs w:val="20"/>
                <w:color w:val="auto"/>
              </w:rPr>
            </w:pPr>
            <w:r>
              <w:rPr>
                <w:rFonts w:ascii="Arial" w:cs="Arial" w:eastAsia="Arial" w:hAnsi="Arial"/>
                <w:sz w:val="16"/>
                <w:szCs w:val="16"/>
                <w:color w:val="auto"/>
                <w:w w:val="93"/>
              </w:rPr>
              <w:t>(I.R.S. Employer</w:t>
            </w:r>
          </w:p>
        </w:tc>
      </w:tr>
      <w:tr>
        <w:trPr>
          <w:trHeight w:val="206"/>
        </w:trPr>
        <w:tc>
          <w:tcPr>
            <w:tcW w:w="208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incorporation or organization)</w:t>
            </w:r>
          </w:p>
        </w:tc>
        <w:tc>
          <w:tcPr>
            <w:tcW w:w="5580" w:type="dxa"/>
            <w:vAlign w:val="bottom"/>
            <w:gridSpan w:val="2"/>
          </w:tcPr>
          <w:p>
            <w:pPr>
              <w:jc w:val="center"/>
              <w:ind w:left="3993"/>
              <w:spacing w:after="0"/>
              <w:rPr>
                <w:sz w:val="20"/>
                <w:szCs w:val="20"/>
                <w:color w:val="auto"/>
              </w:rPr>
            </w:pPr>
            <w:r>
              <w:rPr>
                <w:rFonts w:ascii="Arial" w:cs="Arial" w:eastAsia="Arial" w:hAnsi="Arial"/>
                <w:sz w:val="16"/>
                <w:szCs w:val="16"/>
                <w:color w:val="auto"/>
                <w:w w:val="95"/>
              </w:rPr>
              <w:t>Identification Number)</w:t>
            </w:r>
          </w:p>
        </w:tc>
      </w:tr>
      <w:tr>
        <w:trPr>
          <w:trHeight w:val="249"/>
        </w:trPr>
        <w:tc>
          <w:tcPr>
            <w:tcW w:w="1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92"/>
              </w:rPr>
              <w:t>Clarendon House</w:t>
            </w:r>
          </w:p>
        </w:tc>
      </w:tr>
      <w:tr>
        <w:trPr>
          <w:trHeight w:val="203"/>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92"/>
              </w:rPr>
              <w:t>2 Church Street</w:t>
            </w:r>
          </w:p>
        </w:tc>
      </w:tr>
      <w:tr>
        <w:trPr>
          <w:trHeight w:val="207"/>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95"/>
              </w:rPr>
              <w:t>Hamilton HM11, Bermuda</w:t>
            </w:r>
          </w:p>
        </w:tc>
      </w:tr>
      <w:tr>
        <w:trPr>
          <w:trHeight w:val="206"/>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color w:val="auto"/>
                <w:w w:val="92"/>
              </w:rPr>
              <w:t>(Address of principal executive offices and zip code)</w:t>
            </w:r>
          </w:p>
        </w:tc>
      </w:tr>
      <w:tr>
        <w:trPr>
          <w:trHeight w:val="401"/>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20" w:type="dxa"/>
            <w:vAlign w:val="bottom"/>
          </w:tcPr>
          <w:p>
            <w:pPr>
              <w:jc w:val="center"/>
              <w:ind w:right="533"/>
              <w:spacing w:after="0"/>
              <w:rPr>
                <w:sz w:val="20"/>
                <w:szCs w:val="20"/>
                <w:color w:val="auto"/>
              </w:rPr>
            </w:pPr>
            <w:r>
              <w:rPr>
                <w:rFonts w:ascii="Arial" w:cs="Arial" w:eastAsia="Arial" w:hAnsi="Arial"/>
                <w:sz w:val="16"/>
                <w:szCs w:val="16"/>
                <w:b w:val="1"/>
                <w:bCs w:val="1"/>
                <w:color w:val="auto"/>
                <w:w w:val="93"/>
              </w:rPr>
              <w:t>(441) 297-9901</w:t>
            </w:r>
          </w:p>
        </w:tc>
        <w:tc>
          <w:tcPr>
            <w:tcW w:w="1260" w:type="dxa"/>
            <w:vAlign w:val="bottom"/>
          </w:tcPr>
          <w:p>
            <w:pPr>
              <w:spacing w:after="0"/>
              <w:rPr>
                <w:sz w:val="24"/>
                <w:szCs w:val="24"/>
                <w:color w:val="auto"/>
              </w:rPr>
            </w:pPr>
          </w:p>
        </w:tc>
      </w:tr>
      <w:tr>
        <w:trPr>
          <w:trHeight w:val="206"/>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60"/>
              <w:spacing w:after="0"/>
              <w:rPr>
                <w:sz w:val="20"/>
                <w:szCs w:val="20"/>
                <w:color w:val="auto"/>
              </w:rPr>
            </w:pPr>
            <w:r>
              <w:rPr>
                <w:rFonts w:ascii="Arial" w:cs="Arial" w:eastAsia="Arial" w:hAnsi="Arial"/>
                <w:sz w:val="16"/>
                <w:szCs w:val="16"/>
                <w:color w:val="auto"/>
                <w:w w:val="91"/>
              </w:rPr>
              <w:t>(Registrant’s telephone number, including area code)</w:t>
            </w:r>
          </w:p>
        </w:tc>
      </w:tr>
    </w:tbl>
    <w:p>
      <w:pPr>
        <w:spacing w:after="0" w:line="140" w:lineRule="exact"/>
        <w:rPr>
          <w:sz w:val="24"/>
          <w:szCs w:val="24"/>
          <w:color w:val="auto"/>
        </w:rPr>
      </w:pPr>
    </w:p>
    <w:p>
      <w:pPr>
        <w:jc w:val="both"/>
        <w:ind w:right="180" w:firstLine="55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ind w:right="180" w:firstLine="55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jc w:val="both"/>
        <w:ind w:firstLine="55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60"/>
          </w:cols>
          <w:pgMar w:left="240" w:top="233" w:right="299" w:bottom="1440" w:gutter="0" w:footer="0" w:header="0"/>
          <w:type w:val="continuous"/>
        </w:sectPr>
      </w:pPr>
    </w:p>
    <w:p>
      <w:pPr>
        <w:spacing w:after="0" w:line="132" w:lineRule="exact"/>
        <w:rPr>
          <w:sz w:val="24"/>
          <w:szCs w:val="24"/>
          <w:color w:val="auto"/>
        </w:rPr>
      </w:pPr>
    </w:p>
    <w:p>
      <w:pPr>
        <w:ind w:left="25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95" w:lineRule="exact"/>
        <w:rPr>
          <w:sz w:val="24"/>
          <w:szCs w:val="24"/>
          <w:color w:val="auto"/>
        </w:rPr>
      </w:pPr>
    </w:p>
    <w:p>
      <w:pPr>
        <w:sectPr>
          <w:pgSz w:w="11900" w:h="16838" w:orient="portrait"/>
          <w:cols w:equalWidth="0" w:num="4">
            <w:col w:w="3940" w:space="700"/>
            <w:col w:w="320" w:space="720"/>
            <w:col w:w="2260" w:space="720"/>
            <w:col w:w="2700"/>
          </w:cols>
          <w:pgMar w:left="240" w:top="233" w:right="299" w:bottom="1440" w:gutter="0" w:footer="0" w:header="0"/>
          <w:type w:val="continuous"/>
        </w:sectPr>
      </w:pPr>
    </w:p>
    <w:p>
      <w:pPr>
        <w:ind w:left="250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(Do not check if a smaller reporting company)</w:t>
      </w:r>
    </w:p>
    <w:p>
      <w:pPr>
        <w:spacing w:after="0" w:line="109" w:lineRule="exact"/>
        <w:rPr>
          <w:sz w:val="24"/>
          <w:szCs w:val="24"/>
          <w:color w:val="auto"/>
        </w:rPr>
      </w:pPr>
    </w:p>
    <w:p>
      <w:pPr>
        <w:sectPr>
          <w:pgSz w:w="11900" w:h="16838" w:orient="portrait"/>
          <w:cols w:equalWidth="0" w:num="3">
            <w:col w:w="3920" w:space="720"/>
            <w:col w:w="80" w:space="320"/>
            <w:col w:w="6320"/>
          </w:cols>
          <w:pgMar w:left="240" w:top="233" w:right="299" w:bottom="1440" w:gutter="0" w:footer="0" w:header="0"/>
          <w:type w:val="continuous"/>
        </w:sectPr>
      </w:pPr>
    </w:p>
    <w:p>
      <w:pPr>
        <w:ind w:left="568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09" w:lineRule="exact"/>
        <w:rPr>
          <w:sz w:val="24"/>
          <w:szCs w:val="24"/>
          <w:color w:val="auto"/>
        </w:rPr>
      </w:pPr>
    </w:p>
    <w:p>
      <w:pPr>
        <w:sectPr>
          <w:pgSz w:w="11900" w:h="16838" w:orient="portrait"/>
          <w:cols w:equalWidth="0" w:num="2">
            <w:col w:w="7940" w:space="720"/>
            <w:col w:w="2700"/>
          </w:cols>
          <w:pgMar w:left="240" w:top="233" w:right="299" w:bottom="1440" w:gutter="0" w:footer="0" w:header="0"/>
          <w:type w:val="continuous"/>
        </w:sectPr>
      </w:pPr>
    </w:p>
    <w:p>
      <w:pPr>
        <w:ind w:left="568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86" w:lineRule="exact"/>
        <w:rPr>
          <w:sz w:val="24"/>
          <w:szCs w:val="24"/>
          <w:color w:val="auto"/>
        </w:rPr>
      </w:pPr>
    </w:p>
    <w:p>
      <w:pPr>
        <w:sectPr>
          <w:pgSz w:w="11900" w:h="16838" w:orient="portrait"/>
          <w:cols w:equalWidth="0" w:num="2">
            <w:col w:w="7940" w:space="720"/>
            <w:col w:w="2700"/>
          </w:cols>
          <w:pgMar w:left="240" w:top="233" w:right="299" w:bottom="1440" w:gutter="0" w:footer="0" w:header="0"/>
          <w:type w:val="continuous"/>
        </w:sectPr>
      </w:pPr>
    </w:p>
    <w:p>
      <w:pPr>
        <w:ind w:right="80" w:firstLine="55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43" w:lineRule="exact"/>
        <w:rPr>
          <w:sz w:val="24"/>
          <w:szCs w:val="24"/>
          <w:color w:val="auto"/>
        </w:rPr>
      </w:pPr>
    </w:p>
    <w:p>
      <w:pPr>
        <w:ind w:left="560" w:right="162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the registrant’s common shares outstanding as of August 1, 2017 was 93,423,101.</w:t>
      </w:r>
    </w:p>
    <w:p>
      <w:pPr>
        <w:sectPr>
          <w:pgSz w:w="11900" w:h="16838" w:orient="portrait"/>
          <w:cols w:equalWidth="0" w:num="1">
            <w:col w:w="11360"/>
          </w:cols>
          <w:pgMar w:left="240" w:top="233"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4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89"/>
              </w:rPr>
              <w:t>Essent Group Ltd.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95"/>
              </w:rPr>
              <w:t>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20"/>
              <w:spacing w:after="0"/>
              <w:rPr>
                <w:sz w:val="20"/>
                <w:szCs w:val="20"/>
                <w:color w:val="auto"/>
              </w:rPr>
            </w:pPr>
            <w:r>
              <w:rPr>
                <w:rFonts w:ascii="Arial" w:cs="Arial" w:eastAsia="Arial" w:hAnsi="Arial"/>
                <w:sz w:val="18"/>
                <w:szCs w:val="18"/>
                <w:b w:val="1"/>
                <w:bCs w:val="1"/>
                <w:color w:val="auto"/>
                <w:w w:val="93"/>
              </w:rPr>
              <w:t>Index</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1600" w:type="dxa"/>
            <w:vAlign w:val="bottom"/>
            <w:gridSpan w:val="8"/>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9580" w:type="dxa"/>
            <w:vAlign w:val="bottom"/>
            <w:gridSpan w:val="16"/>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5">
              <w:r>
                <w:rPr>
                  <w:rFonts w:ascii="Arial" w:cs="Arial" w:eastAsia="Arial" w:hAnsi="Arial"/>
                  <w:sz w:val="18"/>
                  <w:szCs w:val="18"/>
                  <w:b w:val="1"/>
                  <w:bCs w:val="1"/>
                  <w:color w:val="0000EE"/>
                  <w:w w:val="91"/>
                </w:rPr>
                <w:t>Item 1.</w:t>
              </w:r>
            </w:hyperlink>
          </w:p>
        </w:tc>
        <w:tc>
          <w:tcPr>
            <w:tcW w:w="80" w:type="dxa"/>
            <w:vAlign w:val="bottom"/>
          </w:tcPr>
          <w:p>
            <w:pPr>
              <w:spacing w:after="0"/>
              <w:rPr>
                <w:sz w:val="24"/>
                <w:szCs w:val="24"/>
                <w:color w:val="auto"/>
              </w:rPr>
            </w:pPr>
          </w:p>
        </w:tc>
        <w:tc>
          <w:tcPr>
            <w:tcW w:w="980" w:type="dxa"/>
            <w:vAlign w:val="bottom"/>
            <w:gridSpan w:val="6"/>
          </w:tcPr>
          <w:p>
            <w:pPr>
              <w:spacing w:after="0"/>
              <w:rPr>
                <w:sz w:val="24"/>
                <w:szCs w:val="24"/>
                <w:color w:val="auto"/>
              </w:rPr>
            </w:pPr>
          </w:p>
        </w:tc>
        <w:tc>
          <w:tcPr>
            <w:tcW w:w="2600" w:type="dxa"/>
            <w:vAlign w:val="bottom"/>
            <w:tcBorders>
              <w:bottom w:val="single" w:sz="8" w:color="0000EE"/>
            </w:tcBorders>
            <w:gridSpan w:val="7"/>
          </w:tcPr>
          <w:p>
            <w:pPr>
              <w:spacing w:after="0"/>
              <w:rPr>
                <w:rFonts w:ascii="Arial" w:cs="Arial" w:eastAsia="Arial" w:hAnsi="Arial"/>
                <w:sz w:val="18"/>
                <w:szCs w:val="18"/>
                <w:b w:val="1"/>
                <w:bCs w:val="1"/>
                <w:color w:val="0000EE"/>
                <w:w w:val="90"/>
              </w:rPr>
            </w:pPr>
            <w:hyperlink w:anchor="page5">
              <w:r>
                <w:rPr>
                  <w:rFonts w:ascii="Arial" w:cs="Arial" w:eastAsia="Arial" w:hAnsi="Arial"/>
                  <w:sz w:val="18"/>
                  <w:szCs w:val="18"/>
                  <w:b w:val="1"/>
                  <w:bCs w:val="1"/>
                  <w:color w:val="0000EE"/>
                  <w:w w:val="90"/>
                </w:rPr>
                <w:t>Financial Statements (Unaudited)</w:t>
              </w:r>
            </w:hyperlink>
          </w:p>
        </w:tc>
        <w:tc>
          <w:tcPr>
            <w:tcW w:w="698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tcBorders>
              <w:bottom w:val="single" w:sz="8" w:color="0000EE"/>
            </w:tcBorders>
            <w:gridSpan w:val="8"/>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Condensed Consolidated Balance Sheets (Unaudited)</w:t>
              </w:r>
            </w:hyperlink>
          </w:p>
        </w:tc>
        <w:tc>
          <w:tcPr>
            <w:tcW w:w="550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Condensed Consolidated Statements of Comprehensive Income (Unaudited)</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Condensed Consolidated Statements of Changes in Stockholders’ Equity (Unaudited)</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40" w:type="dxa"/>
            <w:vAlign w:val="bottom"/>
            <w:tcBorders>
              <w:top w:val="single" w:sz="8" w:color="0000EE"/>
            </w:tcBorders>
            <w:gridSpan w:val="14"/>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Condensed Consolidated Statements of Cash Flows (Unaudited)</w:t>
              </w:r>
            </w:hyperlink>
          </w:p>
        </w:tc>
        <w:tc>
          <w:tcPr>
            <w:tcW w:w="30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2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9">
              <w:r>
                <w:rPr>
                  <w:rFonts w:ascii="Arial" w:cs="Arial" w:eastAsia="Arial" w:hAnsi="Arial"/>
                  <w:sz w:val="18"/>
                  <w:szCs w:val="18"/>
                  <w:b w:val="1"/>
                  <w:bCs w:val="1"/>
                  <w:color w:val="0000EE"/>
                  <w:w w:val="89"/>
                </w:rPr>
                <w:t>Notes to Condensed Consolidated Financial Statements (Unaudited)</w:t>
              </w:r>
            </w:hyperlink>
          </w:p>
        </w:tc>
        <w:tc>
          <w:tcPr>
            <w:tcW w:w="43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5</w:t>
              </w:r>
            </w:hyperlink>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24">
              <w:r>
                <w:rPr>
                  <w:rFonts w:ascii="Arial" w:cs="Arial" w:eastAsia="Arial" w:hAnsi="Arial"/>
                  <w:sz w:val="18"/>
                  <w:szCs w:val="18"/>
                  <w:b w:val="1"/>
                  <w:bCs w:val="1"/>
                  <w:color w:val="0000EE"/>
                  <w:w w:val="91"/>
                </w:rPr>
                <w:t>Item 2.</w:t>
              </w:r>
            </w:hyperlink>
          </w:p>
        </w:tc>
        <w:tc>
          <w:tcPr>
            <w:tcW w:w="1060" w:type="dxa"/>
            <w:vAlign w:val="bottom"/>
            <w:gridSpan w:val="7"/>
          </w:tcPr>
          <w:p>
            <w:pPr>
              <w:spacing w:after="0"/>
              <w:rPr>
                <w:sz w:val="24"/>
                <w:szCs w:val="24"/>
                <w:color w:val="auto"/>
              </w:rPr>
            </w:pPr>
          </w:p>
        </w:tc>
        <w:tc>
          <w:tcPr>
            <w:tcW w:w="6840" w:type="dxa"/>
            <w:vAlign w:val="bottom"/>
            <w:tcBorders>
              <w:bottom w:val="single" w:sz="8" w:color="0000EE"/>
            </w:tcBorders>
            <w:gridSpan w:val="15"/>
          </w:tcPr>
          <w:p>
            <w:pPr>
              <w:spacing w:after="0"/>
              <w:rPr>
                <w:rFonts w:ascii="Arial" w:cs="Arial" w:eastAsia="Arial" w:hAnsi="Arial"/>
                <w:sz w:val="18"/>
                <w:szCs w:val="18"/>
                <w:b w:val="1"/>
                <w:bCs w:val="1"/>
                <w:color w:val="0000EE"/>
                <w:w w:val="89"/>
              </w:rPr>
            </w:pPr>
            <w:hyperlink w:anchor="page24">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20</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3">
              <w:r>
                <w:rPr>
                  <w:rFonts w:ascii="Arial" w:cs="Arial" w:eastAsia="Arial" w:hAnsi="Arial"/>
                  <w:sz w:val="18"/>
                  <w:szCs w:val="18"/>
                  <w:b w:val="1"/>
                  <w:bCs w:val="1"/>
                  <w:color w:val="0000EE"/>
                  <w:w w:val="91"/>
                </w:rPr>
                <w:t>Item 3.</w:t>
              </w:r>
            </w:hyperlink>
          </w:p>
        </w:tc>
        <w:tc>
          <w:tcPr>
            <w:tcW w:w="1060" w:type="dxa"/>
            <w:vAlign w:val="bottom"/>
            <w:gridSpan w:val="7"/>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39</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43">
              <w:r>
                <w:rPr>
                  <w:rFonts w:ascii="Arial" w:cs="Arial" w:eastAsia="Arial" w:hAnsi="Arial"/>
                  <w:sz w:val="18"/>
                  <w:szCs w:val="18"/>
                  <w:b w:val="1"/>
                  <w:bCs w:val="1"/>
                  <w:color w:val="0000EE"/>
                  <w:w w:val="91"/>
                </w:rPr>
                <w:t>Item 4.</w:t>
              </w:r>
            </w:hyperlink>
          </w:p>
        </w:tc>
        <w:tc>
          <w:tcPr>
            <w:tcW w:w="1060" w:type="dxa"/>
            <w:vAlign w:val="bottom"/>
            <w:gridSpan w:val="7"/>
          </w:tcPr>
          <w:p>
            <w:pPr>
              <w:spacing w:after="0"/>
              <w:rPr>
                <w:sz w:val="24"/>
                <w:szCs w:val="24"/>
                <w:color w:val="auto"/>
              </w:rPr>
            </w:pPr>
          </w:p>
        </w:tc>
        <w:tc>
          <w:tcPr>
            <w:tcW w:w="192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8"/>
              </w:rPr>
            </w:pPr>
            <w:hyperlink w:anchor="page43">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6"/>
          </w:tcPr>
          <w:p>
            <w:pPr>
              <w:spacing w:after="0"/>
              <w:rPr>
                <w:sz w:val="24"/>
                <w:szCs w:val="24"/>
                <w:color w:val="auto"/>
              </w:rPr>
            </w:pPr>
          </w:p>
        </w:tc>
        <w:tc>
          <w:tcPr>
            <w:tcW w:w="4920" w:type="dxa"/>
            <w:vAlign w:val="bottom"/>
            <w:gridSpan w:val="6"/>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39</w:t>
              </w:r>
            </w:hyperlink>
          </w:p>
        </w:tc>
      </w:tr>
      <w:tr>
        <w:trPr>
          <w:trHeight w:val="520"/>
        </w:trPr>
        <w:tc>
          <w:tcPr>
            <w:tcW w:w="40" w:type="dxa"/>
            <w:vAlign w:val="bottom"/>
          </w:tcPr>
          <w:p>
            <w:pPr>
              <w:spacing w:after="0"/>
              <w:rPr>
                <w:sz w:val="24"/>
                <w:szCs w:val="24"/>
                <w:color w:val="auto"/>
              </w:rPr>
            </w:pPr>
          </w:p>
        </w:tc>
        <w:tc>
          <w:tcPr>
            <w:tcW w:w="700" w:type="dxa"/>
            <w:vAlign w:val="bottom"/>
            <w:gridSpan w:val="4"/>
          </w:tcPr>
          <w:p>
            <w:pPr>
              <w:spacing w:after="0"/>
              <w:rPr>
                <w:rFonts w:ascii="Arial" w:cs="Arial" w:eastAsia="Arial" w:hAnsi="Arial"/>
                <w:sz w:val="18"/>
                <w:szCs w:val="18"/>
                <w:b w:val="1"/>
                <w:bCs w:val="1"/>
                <w:color w:val="0000EE"/>
                <w:w w:val="98"/>
              </w:rPr>
            </w:pPr>
            <w:hyperlink w:anchor="page44">
              <w:r>
                <w:rPr>
                  <w:rFonts w:ascii="Arial" w:cs="Arial" w:eastAsia="Arial" w:hAnsi="Arial"/>
                  <w:sz w:val="18"/>
                  <w:szCs w:val="18"/>
                  <w:b w:val="1"/>
                  <w:bCs w:val="1"/>
                  <w:color w:val="0000EE"/>
                  <w:w w:val="98"/>
                </w:rPr>
                <w:t>PART II.</w:t>
              </w:r>
            </w:hyperlink>
          </w:p>
        </w:tc>
        <w:tc>
          <w:tcPr>
            <w:tcW w:w="900" w:type="dxa"/>
            <w:vAlign w:val="bottom"/>
            <w:gridSpan w:val="4"/>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40</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b w:val="1"/>
                <w:bCs w:val="1"/>
                <w:color w:val="0000EE"/>
                <w:w w:val="91"/>
              </w:rPr>
            </w:pPr>
            <w:hyperlink w:anchor="page44">
              <w:r>
                <w:rPr>
                  <w:rFonts w:ascii="Arial" w:cs="Arial" w:eastAsia="Arial" w:hAnsi="Arial"/>
                  <w:sz w:val="18"/>
                  <w:szCs w:val="18"/>
                  <w:b w:val="1"/>
                  <w:bCs w:val="1"/>
                  <w:color w:val="0000EE"/>
                  <w:w w:val="91"/>
                </w:rPr>
                <w:t>Item 1.</w:t>
              </w:r>
            </w:hyperlink>
          </w:p>
        </w:tc>
        <w:tc>
          <w:tcPr>
            <w:tcW w:w="160" w:type="dxa"/>
            <w:vAlign w:val="bottom"/>
            <w:tcBorders>
              <w:top w:val="single" w:sz="8" w:color="0000EE"/>
            </w:tcBorders>
            <w:gridSpan w:val="3"/>
          </w:tcPr>
          <w:p>
            <w:pPr>
              <w:spacing w:after="0"/>
              <w:rPr>
                <w:sz w:val="24"/>
                <w:szCs w:val="24"/>
                <w:color w:val="auto"/>
              </w:rPr>
            </w:pPr>
          </w:p>
        </w:tc>
        <w:tc>
          <w:tcPr>
            <w:tcW w:w="900" w:type="dxa"/>
            <w:vAlign w:val="bottom"/>
            <w:gridSpan w:val="4"/>
          </w:tcPr>
          <w:p>
            <w:pPr>
              <w:spacing w:after="0"/>
              <w:rPr>
                <w:sz w:val="24"/>
                <w:szCs w:val="24"/>
                <w:color w:val="auto"/>
              </w:rPr>
            </w:pPr>
          </w:p>
        </w:tc>
        <w:tc>
          <w:tcPr>
            <w:tcW w:w="202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Legal Proceedings</w:t>
              </w:r>
            </w:hyperlink>
          </w:p>
        </w:tc>
        <w:tc>
          <w:tcPr>
            <w:tcW w:w="7560" w:type="dxa"/>
            <w:vAlign w:val="bottom"/>
            <w:gridSpan w:val="11"/>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40</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600" w:type="dxa"/>
            <w:vAlign w:val="bottom"/>
            <w:gridSpan w:val="8"/>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Item 1A.</w:t>
              </w:r>
            </w:hyperlink>
          </w:p>
        </w:tc>
        <w:tc>
          <w:tcPr>
            <w:tcW w:w="9580" w:type="dxa"/>
            <w:vAlign w:val="bottom"/>
            <w:gridSpan w:val="16"/>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40</w:t>
              </w:r>
            </w:hyperlink>
          </w:p>
        </w:tc>
      </w:tr>
      <w:tr>
        <w:trPr>
          <w:trHeight w:val="20"/>
        </w:trPr>
        <w:tc>
          <w:tcPr>
            <w:tcW w:w="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44">
              <w:r>
                <w:rPr>
                  <w:rFonts w:ascii="Arial" w:cs="Arial" w:eastAsia="Arial" w:hAnsi="Arial"/>
                  <w:sz w:val="18"/>
                  <w:szCs w:val="18"/>
                  <w:b w:val="1"/>
                  <w:bCs w:val="1"/>
                  <w:color w:val="0000EE"/>
                  <w:w w:val="91"/>
                </w:rPr>
                <w:t>Item 2.</w:t>
              </w:r>
            </w:hyperlink>
          </w:p>
        </w:tc>
        <w:tc>
          <w:tcPr>
            <w:tcW w:w="120" w:type="dxa"/>
            <w:vAlign w:val="bottom"/>
            <w:gridSpan w:val="2"/>
          </w:tcPr>
          <w:p>
            <w:pPr>
              <w:spacing w:after="0"/>
              <w:rPr>
                <w:sz w:val="24"/>
                <w:szCs w:val="24"/>
                <w:color w:val="auto"/>
              </w:rPr>
            </w:pPr>
          </w:p>
        </w:tc>
        <w:tc>
          <w:tcPr>
            <w:tcW w:w="940" w:type="dxa"/>
            <w:vAlign w:val="bottom"/>
            <w:gridSpan w:val="5"/>
          </w:tcPr>
          <w:p>
            <w:pPr>
              <w:spacing w:after="0"/>
              <w:rPr>
                <w:sz w:val="24"/>
                <w:szCs w:val="24"/>
                <w:color w:val="auto"/>
              </w:rPr>
            </w:pPr>
          </w:p>
        </w:tc>
        <w:tc>
          <w:tcPr>
            <w:tcW w:w="4580" w:type="dxa"/>
            <w:vAlign w:val="bottom"/>
            <w:tcBorders>
              <w:bottom w:val="single" w:sz="8" w:color="0000EE"/>
            </w:tcBorders>
            <w:gridSpan w:val="9"/>
          </w:tcPr>
          <w:p>
            <w:pPr>
              <w:spacing w:after="0"/>
              <w:rPr>
                <w:rFonts w:ascii="Arial" w:cs="Arial" w:eastAsia="Arial" w:hAnsi="Arial"/>
                <w:sz w:val="18"/>
                <w:szCs w:val="18"/>
                <w:b w:val="1"/>
                <w:bCs w:val="1"/>
                <w:color w:val="0000EE"/>
                <w:w w:val="87"/>
              </w:rPr>
            </w:pPr>
            <w:hyperlink w:anchor="page44">
              <w:r>
                <w:rPr>
                  <w:rFonts w:ascii="Arial" w:cs="Arial" w:eastAsia="Arial" w:hAnsi="Arial"/>
                  <w:sz w:val="18"/>
                  <w:szCs w:val="18"/>
                  <w:b w:val="1"/>
                  <w:bCs w:val="1"/>
                  <w:color w:val="0000EE"/>
                  <w:w w:val="87"/>
                </w:rPr>
                <w:t>Unregistered Sales of Equity Securities and Use of Proceeds</w:t>
              </w:r>
            </w:hyperlink>
          </w:p>
        </w:tc>
        <w:tc>
          <w:tcPr>
            <w:tcW w:w="500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40</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5">
              <w:r>
                <w:rPr>
                  <w:rFonts w:ascii="Arial" w:cs="Arial" w:eastAsia="Arial" w:hAnsi="Arial"/>
                  <w:sz w:val="18"/>
                  <w:szCs w:val="18"/>
                  <w:b w:val="1"/>
                  <w:bCs w:val="1"/>
                  <w:color w:val="0000EE"/>
                  <w:w w:val="91"/>
                </w:rPr>
                <w:t>Item 6.</w:t>
              </w:r>
            </w:hyperlink>
          </w:p>
        </w:tc>
        <w:tc>
          <w:tcPr>
            <w:tcW w:w="1060" w:type="dxa"/>
            <w:vAlign w:val="bottom"/>
            <w:gridSpan w:val="7"/>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41</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60" w:type="dxa"/>
            <w:vAlign w:val="bottom"/>
            <w:tcBorders>
              <w:bottom w:val="single" w:sz="8" w:color="0000EE"/>
            </w:tcBorders>
            <w:gridSpan w:val="5"/>
          </w:tcPr>
          <w:p>
            <w:pPr>
              <w:spacing w:after="0"/>
              <w:rPr>
                <w:rFonts w:ascii="Arial" w:cs="Arial" w:eastAsia="Arial" w:hAnsi="Arial"/>
                <w:sz w:val="18"/>
                <w:szCs w:val="18"/>
                <w:b w:val="1"/>
                <w:bCs w:val="1"/>
                <w:color w:val="0000EE"/>
                <w:w w:val="96"/>
              </w:rPr>
            </w:pPr>
            <w:hyperlink w:anchor="page46">
              <w:r>
                <w:rPr>
                  <w:rFonts w:ascii="Arial" w:cs="Arial" w:eastAsia="Arial" w:hAnsi="Arial"/>
                  <w:sz w:val="18"/>
                  <w:szCs w:val="18"/>
                  <w:b w:val="1"/>
                  <w:bCs w:val="1"/>
                  <w:color w:val="0000EE"/>
                  <w:w w:val="96"/>
                </w:rPr>
                <w:t>SIGNATURES</w:t>
              </w:r>
            </w:hyperlink>
          </w:p>
        </w:tc>
        <w:tc>
          <w:tcPr>
            <w:tcW w:w="44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42</w:t>
              </w:r>
            </w:hyperlink>
          </w:p>
        </w:tc>
      </w:tr>
      <w:tr>
        <w:trPr>
          <w:trHeight w:val="520"/>
        </w:trPr>
        <w:tc>
          <w:tcPr>
            <w:tcW w:w="40" w:type="dxa"/>
            <w:vAlign w:val="bottom"/>
          </w:tcPr>
          <w:p>
            <w:pPr>
              <w:spacing w:after="0"/>
              <w:rPr>
                <w:sz w:val="24"/>
                <w:szCs w:val="24"/>
                <w:color w:val="auto"/>
              </w:rPr>
            </w:pPr>
          </w:p>
        </w:tc>
        <w:tc>
          <w:tcPr>
            <w:tcW w:w="1600" w:type="dxa"/>
            <w:vAlign w:val="bottom"/>
            <w:gridSpan w:val="8"/>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EXHIBIT INDEX</w:t>
              </w:r>
            </w:hyperlink>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43</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Unless the context otherwise indicates or requires, the terms “we,” “our,” “us,” “Essent,” and the “Company,” as used in this Quarterly Report on</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Form 10-Q, refer to Essent Group Ltd. and its directly and indirectly owned subsidiaries, including our primary operating subsidiaries, Essent Guaranty, Inc. and Essent Reinsurance Ltd., as a combined entity, except where otherwise stated or where it is clear that the terms mean only Essent Group Ltd. exclusive of its subsidiaries.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2016 filed with the Securities and Exchange Commission. These factors include, without limitation, the following:</w:t>
      </w:r>
    </w:p>
    <w:p>
      <w:pPr>
        <w:spacing w:after="0" w:line="192" w:lineRule="exact"/>
        <w:rPr>
          <w:sz w:val="20"/>
          <w:szCs w:val="20"/>
          <w:color w:val="auto"/>
        </w:rPr>
      </w:pPr>
    </w:p>
    <w:p>
      <w:pPr>
        <w:ind w:left="660" w:right="2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 or the loss of a significant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deteriorating economic conditions;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125"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availability of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mortgage loan servicing;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inability of our insurance subsidiaries to pay dividends.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125" w:right="4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r>
      <w:tr>
        <w:trPr>
          <w:trHeight w:val="276"/>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Investments available for sale, at fair value</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Fixed maturities (amortized cost: 2017 — $1,705,463; 2016 — $1,497,186)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1,710,057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1,482,754</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Short-term investments (amortized cost: 2017 — $130,984; 2016 — $132,352)</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130,984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132,348</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1,841,041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1,615,102</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Cash</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27,670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27,531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9,488</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26,648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21,632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policy acquisition costs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13,400</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(at cost, less accumulated depreciation of $48,513 in 2017 and $46,543 in 2016)</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7,955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8,119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federal income tax</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215,357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181,272</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9,409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6,454</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2,152,893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1,882,998</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1"/>
        </w:trPr>
        <w:tc>
          <w:tcPr>
            <w:tcW w:w="8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Reserve for losses and LAE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28,142</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Unearned premium reserve</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228,762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219,616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deferred tax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181,206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142,587</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w w:val="96"/>
              </w:rPr>
              <w:t>Credit facility borrowings (at carrying value, less unamortized deferred costs of $1,808 in 2017 and $0 in 2016)</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173,192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100,000</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Securities purchases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14,999</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22,268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33,881</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654,996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539,225</w:t>
            </w:r>
          </w:p>
        </w:tc>
      </w:tr>
      <w:tr>
        <w:trPr>
          <w:trHeight w:val="22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(see Note 6)</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Common shares, $0.015 par value:</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Authorized - 233,333; issued and outstanding - 93,424 shares in 2017 and 93,105 shares in 2016</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1,397</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920,452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918,296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(12,255)</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574,979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436,335</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1,497,897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1,343,773</w:t>
            </w: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2,152,893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1,882,998</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134,063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108,513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253,360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208,979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Increase in unearned premiums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(13,865)</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126,563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100,711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244,214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195,114</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12,884</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1,054</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w:t>
            </w:r>
          </w:p>
        </w:tc>
      </w:tr>
      <w:tr>
        <w:trPr>
          <w:trHeight w:val="237"/>
        </w:trPr>
        <w:tc>
          <w:tcPr>
            <w:tcW w:w="516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137,606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108,165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265,198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210,631</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6,695</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35,686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31,409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72,018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62,797</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losses and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38,645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34,373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79,386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69,492</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98,961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73,792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185,812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141,139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26,843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40,930</w:t>
            </w:r>
          </w:p>
        </w:tc>
      </w:tr>
      <w:tr>
        <w:trPr>
          <w:trHeight w:val="297"/>
        </w:trPr>
        <w:tc>
          <w:tcPr>
            <w:tcW w:w="5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72,118</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52,258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138,716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100,209</w:t>
            </w:r>
          </w:p>
        </w:tc>
      </w:tr>
      <w:tr>
        <w:trPr>
          <w:trHeight w:val="271"/>
        </w:trPr>
        <w:tc>
          <w:tcPr>
            <w:tcW w:w="5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91,381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90,848</w:t>
            </w: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93,162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93,093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91,999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72,118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52,258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138,716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100,209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Change in unrealized appreciation of investments, net of tax</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6"/>
        </w:trPr>
        <w:tc>
          <w:tcPr>
            <w:tcW w:w="5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2"/>
              </w:rPr>
              <w:t>expense of $3,649 and $5,049 in the three months ended June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4"/>
              </w:rPr>
              <w:t>30, 2017 and 2016 and $5,710 and $10,763 in the six months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57"/>
        </w:trPr>
        <w:tc>
          <w:tcPr>
            <w:tcW w:w="51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ended June 30, 2017 and 2016</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8,470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24,061</w:t>
            </w: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 other comprehensive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8,470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10,702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24,061</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80,588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62,960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152,036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124,270</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01"/>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Common</w:t>
            </w: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40" w:type="dxa"/>
            <w:vAlign w:val="bottom"/>
          </w:tcPr>
          <w:p>
            <w:pPr>
              <w:spacing w:after="0"/>
              <w:rPr>
                <w:sz w:val="11"/>
                <w:szCs w:val="11"/>
                <w:color w:val="auto"/>
              </w:rPr>
            </w:pPr>
          </w:p>
        </w:tc>
        <w:tc>
          <w:tcPr>
            <w:tcW w:w="11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Retained</w:t>
            </w:r>
          </w:p>
        </w:tc>
        <w:tc>
          <w:tcPr>
            <w:tcW w:w="260" w:type="dxa"/>
            <w:vAlign w:val="bottom"/>
          </w:tcPr>
          <w:p>
            <w:pPr>
              <w:spacing w:after="0"/>
              <w:rPr>
                <w:sz w:val="11"/>
                <w:szCs w:val="11"/>
                <w:color w:val="auto"/>
              </w:rPr>
            </w:pPr>
          </w:p>
        </w:tc>
        <w:tc>
          <w:tcPr>
            <w:tcW w:w="11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Treasury</w:t>
            </w:r>
          </w:p>
        </w:tc>
        <w:tc>
          <w:tcPr>
            <w:tcW w:w="180" w:type="dxa"/>
            <w:vAlign w:val="bottom"/>
          </w:tcPr>
          <w:p>
            <w:pPr>
              <w:spacing w:after="0"/>
              <w:rPr>
                <w:sz w:val="11"/>
                <w:szCs w:val="11"/>
                <w:color w:val="auto"/>
              </w:rPr>
            </w:pPr>
          </w:p>
        </w:tc>
        <w:tc>
          <w:tcPr>
            <w:tcW w:w="1060" w:type="dxa"/>
            <w:vAlign w:val="bottom"/>
          </w:tcPr>
          <w:p>
            <w:pPr>
              <w:jc w:val="center"/>
              <w:ind w:right="121"/>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4"/>
        </w:trPr>
        <w:tc>
          <w:tcPr>
            <w:tcW w:w="32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7"/>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2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Balance at January 1, 2016</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43"/>
              <w:spacing w:after="0"/>
              <w:rPr>
                <w:sz w:val="20"/>
                <w:szCs w:val="20"/>
                <w:color w:val="auto"/>
              </w:rPr>
            </w:pPr>
            <w:r>
              <w:rPr>
                <w:rFonts w:ascii="Arial" w:cs="Arial" w:eastAsia="Arial" w:hAnsi="Arial"/>
                <w:sz w:val="16"/>
                <w:szCs w:val="16"/>
                <w:b w:val="1"/>
                <w:bCs w:val="1"/>
                <w:color w:val="auto"/>
              </w:rPr>
              <w:t>1,390</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42"/>
              <w:spacing w:after="0"/>
              <w:rPr>
                <w:sz w:val="20"/>
                <w:szCs w:val="20"/>
                <w:color w:val="auto"/>
              </w:rPr>
            </w:pPr>
            <w:r>
              <w:rPr>
                <w:rFonts w:ascii="Arial" w:cs="Arial" w:eastAsia="Arial" w:hAnsi="Arial"/>
                <w:sz w:val="16"/>
                <w:szCs w:val="16"/>
                <w:b w:val="1"/>
                <w:bCs w:val="1"/>
                <w:color w:val="auto"/>
              </w:rPr>
              <w:t>904,221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(99)</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3"/>
              <w:spacing w:after="0"/>
              <w:rPr>
                <w:sz w:val="20"/>
                <w:szCs w:val="20"/>
                <w:color w:val="auto"/>
              </w:rPr>
            </w:pPr>
            <w:r>
              <w:rPr>
                <w:rFonts w:ascii="Arial" w:cs="Arial" w:eastAsia="Arial" w:hAnsi="Arial"/>
                <w:sz w:val="16"/>
                <w:szCs w:val="16"/>
                <w:b w:val="1"/>
                <w:bCs w:val="1"/>
                <w:color w:val="auto"/>
              </w:rPr>
              <w:t>213,729</w:t>
            </w:r>
          </w:p>
        </w:tc>
        <w:tc>
          <w:tcPr>
            <w:tcW w:w="10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1,119,241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222,606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222,606</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(12,156)</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Pr>
          <w:p>
            <w:pPr>
              <w:spacing w:after="0"/>
              <w:rPr>
                <w:sz w:val="20"/>
                <w:szCs w:val="20"/>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Forfeiture of management incentive shares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16,881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16,881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Excess tax benefits from stock-based</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compensation expense</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1,083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1,083</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(4,024)</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4,024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Other equity transactions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1,397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918,296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(12,255)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436,335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1,343,773</w:t>
            </w:r>
          </w:p>
        </w:tc>
        <w:tc>
          <w:tcPr>
            <w:tcW w:w="0" w:type="dxa"/>
            <w:vAlign w:val="bottom"/>
          </w:tcPr>
          <w:p>
            <w:pPr>
              <w:spacing w:after="0"/>
              <w:rPr>
                <w:sz w:val="1"/>
                <w:szCs w:val="1"/>
                <w:color w:val="auto"/>
              </w:rPr>
            </w:pPr>
          </w:p>
        </w:tc>
      </w:tr>
      <w:tr>
        <w:trPr>
          <w:trHeight w:val="297"/>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138,716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138,716</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Other comprehensive income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7"/>
              <w:spacing w:after="0"/>
              <w:rPr>
                <w:sz w:val="20"/>
                <w:szCs w:val="20"/>
                <w:color w:val="auto"/>
              </w:rPr>
            </w:pPr>
            <w:r>
              <w:rPr>
                <w:rFonts w:ascii="Arial" w:cs="Arial" w:eastAsia="Arial" w:hAnsi="Arial"/>
                <w:sz w:val="16"/>
                <w:szCs w:val="16"/>
                <w:color w:val="auto"/>
              </w:rPr>
              <w:t>13,320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13,320</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9,288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9,288</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Cumulative effect of ASU 2016-09 adoption</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(7,239)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7,239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Balance at June 30, 2017</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1,401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920,452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6"/>
                <w:szCs w:val="16"/>
                <w:b w:val="1"/>
                <w:bCs w:val="1"/>
                <w:color w:val="auto"/>
              </w:rPr>
              <w:t>1,065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574,979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1,497,897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138,716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100,209</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Gain on the sale of investments, net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(1,054)</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2,040</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9,288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7,949</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premium on investment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5,218</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Deferred income tax provision</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32,948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28,264</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Accrued investment income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(712)</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Deferred policy acquisition costs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Prepaid federal income tax</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(30,360)</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Reserve for losses and LAE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4,714</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Unearned premium reserve</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9,146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13,865</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Other accrued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(3,480)</w:t>
            </w:r>
          </w:p>
        </w:tc>
      </w:tr>
      <w:tr>
        <w:trPr>
          <w:trHeight w:val="237"/>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144,403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123,090</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7"/>
        </w:trPr>
        <w:tc>
          <w:tcPr>
            <w:tcW w:w="7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change in short-term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(43,239)</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Purchase of investments available for sale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(396,919)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(268,024)</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maturity of investments available for sale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9,043</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Proceeds from sales of investments available for sale</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151,583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178,719</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(2,049)</w:t>
            </w:r>
          </w:p>
        </w:tc>
      </w:tr>
      <w:tr>
        <w:trPr>
          <w:trHeight w:val="237"/>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(209,460)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(125,550)</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7"/>
        </w:trPr>
        <w:tc>
          <w:tcPr>
            <w:tcW w:w="7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Credit facility borrowings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Credit facility repayments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Treasury stock acquired</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(3,876)</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Payment of issuance costs for credit facility</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(2,098)</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65,196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(5,974)</w:t>
            </w:r>
          </w:p>
        </w:tc>
      </w:tr>
      <w:tr>
        <w:trPr>
          <w:trHeight w:val="277"/>
        </w:trPr>
        <w:tc>
          <w:tcPr>
            <w:tcW w:w="7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(8,434)</w:t>
            </w: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Cash at beginning of year</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27,531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24,606</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at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27,670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16,172</w:t>
            </w:r>
          </w:p>
        </w:tc>
      </w:tr>
      <w:tr>
        <w:trPr>
          <w:trHeight w:val="20"/>
        </w:trPr>
        <w:tc>
          <w:tcPr>
            <w:tcW w:w="7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71"/>
        </w:trPr>
        <w:tc>
          <w:tcPr>
            <w:tcW w:w="7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Income tax payments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(16,700)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(10,800)</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7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payments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160"/>
          </w:cols>
          <w:pgMar w:left="240" w:top="125" w:right="499" w:bottom="1440" w:gutter="0" w:footer="0" w:header="0"/>
        </w:sectPr>
      </w:pP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60"/>
          </w:cols>
          <w:pgMar w:left="240" w:top="125" w:right="49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these notes to condensed consolidated financial statements, “Essent”, “Company”, “we”, “us”, and “our” refer to Essent Group Ltd. and its subsidiaries, unless the context otherwise requires.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18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primary mortgage insurance operations are conducted through Essent Guaranty, Inc. (“Essent Guaranty”), a wholly-owned subsidiary approved as a qualified mortgage insurer by the GSEs and is licensed to write mortgage insurance in all 50 states and the District of Columbia. Essent Guaranty reinsures 25% of GSE-eligible new insurance written to Essent Reinsurance Ltd. (“Essent Re”), an affiliated Bermuda domiciled Class 3A Insurer licensed pursuant to Section 4 of the Bermuda Insurance Act 1978 that provides insurance and reinsurance coverage of mortgage credit risk. Essent Re also provides insurance and reinsurance to Freddie Mac and Fannie Mae. In 2016, Essent Re formed Essent Agency (Bermuda) Ltd., a wholly-owned subsidiary, which provides underwriting services to third-party reinsurers. In accordance with certain state law requirements, Essent Guaranty also reinsures that portion of the risk that is in excess of 25% of the mortgage balance with respect to any loan insured, after consideration of other reinsurance, to Essent Guaranty of PA, Inc. (“Essent PA”), an affiliate.</w:t>
      </w:r>
    </w:p>
    <w:p>
      <w:pPr>
        <w:spacing w:after="0" w:line="179"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w:t>
      </w:r>
    </w:p>
    <w:p>
      <w:pPr>
        <w:spacing w:after="0" w:line="18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2016,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June 30, 2017 prior to the issuance of these condensed consolidated financial statements.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amounts in prior years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Standards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ASU 2014-09,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 (Topic 606)</w:t>
      </w:r>
      <w:r>
        <w:rPr>
          <w:rFonts w:ascii="Arial" w:cs="Arial" w:eastAsia="Arial" w:hAnsi="Arial"/>
          <w:sz w:val="17"/>
          <w:szCs w:val="17"/>
          <w:color w:val="auto"/>
        </w:rPr>
        <w:t>. This update is intended to provide a consistent approach in recognizing revenue. In accordance with the new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recognition of revenue occurs when a customer obtains control of promised goods or services in an amount that reflects the consideration to which the entity expects to be entitled in exchange for those goods or services. In addition, the new standard requires that reporting companies disclose the nature, amount, timing, and uncertainty of revenue and cash flows arising from contracts with customers. In July 2015, the FASB delayed the effective date for this update to interim and annual periods beginning after December 15, 2017. In December 2016, the FASB clarified that all contracts that are within the scope of Topic 944, </w:t>
      </w:r>
      <w:r>
        <w:rPr>
          <w:rFonts w:ascii="Arial" w:cs="Arial" w:eastAsia="Arial" w:hAnsi="Arial"/>
          <w:sz w:val="17"/>
          <w:szCs w:val="17"/>
          <w:i w:val="1"/>
          <w:iCs w:val="1"/>
          <w:color w:val="auto"/>
        </w:rPr>
        <w:t>Financial Services-Insurance</w:t>
      </w:r>
      <w:r>
        <w:rPr>
          <w:rFonts w:ascii="Arial" w:cs="Arial" w:eastAsia="Arial" w:hAnsi="Arial"/>
          <w:sz w:val="17"/>
          <w:szCs w:val="17"/>
          <w:color w:val="auto"/>
        </w:rPr>
        <w:t>, are excluded from the scope of ASU 2014-09. Accordingly, this update will not impact the recognition of revenue related to insurance premiums or investments, which represent a significant portion of our total revenues. The adoption of this ASU is not expected to have a material effect on the Company's consolidated operating results or financial position.</w:t>
      </w:r>
    </w:p>
    <w:p>
      <w:pPr>
        <w:spacing w:after="0" w:line="195"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(Subtopic 825-10): Recognition and Measurement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Assets and Financial Liabilities</w:t>
      </w:r>
      <w:r>
        <w:rPr>
          <w:rFonts w:ascii="Arial" w:cs="Arial" w:eastAsia="Arial" w:hAnsi="Arial"/>
          <w:sz w:val="19"/>
          <w:szCs w:val="19"/>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This update requires certain equity investments (except those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accounted for under the equity method of accounting or result in consolidation of the investee) to be measured at fair value with changes in fair value recognized in net income.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A qualitative assessment for impairment is required for equity investments without readily determinable fair values. This update also requires public entities to use the exit price notion when measuring the fair value of financial instruments for disclosure purposes. In addition, an entity is required to evaluate the need for a valuation allowance on a deferred tax asset related to available-for-sale investment securities in combination with the entity’s other deferred tax assets. The provisions of this update are effective for interim and annual periods beginning after December 15, 2017. The Company is evaluating the impact the adoption of this ASU will have on the consolidated financial statements.</w:t>
      </w:r>
    </w:p>
    <w:p>
      <w:pPr>
        <w:spacing w:after="0" w:line="17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This update will require organizations that lease assets to recognize on the balance sheet the assets and liabilities for the rights and obligations created by those leases. The new guidance will also require additional disclosures about the amount, timing and uncertainty of cash flows arising from leases. The provisions of this update are effective for annual and interim periods beginning after December 15, 2018. The Company expects a gross-up of its consolidated balance sheets as a result of recognizing lease liabilities and right of use assets. The Company is still evaluating the impact the adoption of this ASU will have on the consolidated financial statements.</w:t>
      </w:r>
    </w:p>
    <w:p>
      <w:pPr>
        <w:spacing w:after="0" w:line="15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Improvements to Employee Share-Based Payment Accounting (Topic 718)</w:t>
      </w:r>
      <w:r>
        <w:rPr>
          <w:rFonts w:ascii="Arial" w:cs="Arial" w:eastAsia="Arial" w:hAnsi="Arial"/>
          <w:sz w:val="17"/>
          <w:szCs w:val="17"/>
          <w:color w:val="auto"/>
        </w:rPr>
        <w:t>. This update is intended to simplify several aspects of the accounting for share-based payment award transactions, including the income tax consequences, classification of awards as either equity or liabilities, and classification on the statement of cash flows. The new guidance requires all excess tax benefits and tax deficiencies to be recognized as income tax expense or benefit in the income statement and treated as discrete items in the reporting period. In addition, excess tax benefits are required to be classified along with other income tax cash flows as an operating activity. Further, the new guidance allows for a policy election to account for forfeitures as they occur rather than on an estimated basis. The Company adopted this ASU on January 1, 2017 and recorded a charge of $0.1 million to retained earnings as of that date representing a cumulative-effect adjustment associated with our election to recognize forfeitures as they occur. The classification of excess tax benefits and tax deficiencies as income tax benefit or expense may result in net income volatility in reporting periods subsequent to 2016. Through December 31, 2016, excess tax benefits were recognized in additional paid-in-capital. In the three and six months ended June 30, 2017, the Company recorded excess tax benefits of $0.1 million and $3.1 million, respectively, as a reduction of income tax expense. The amount of excess tax benefits or tax deficiencies in future periods will vary based on the market value of the Company’s common stock at the vesting dates of nonvested common share and nonvested common share units.</w:t>
      </w:r>
    </w:p>
    <w:p>
      <w:pPr>
        <w:spacing w:after="0" w:line="18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 (Topic 326)</w:t>
      </w:r>
      <w:r>
        <w:rPr>
          <w:rFonts w:ascii="Arial" w:cs="Arial" w:eastAsia="Arial" w:hAnsi="Arial"/>
          <w:sz w:val="17"/>
          <w:szCs w:val="17"/>
          <w:color w:val="auto"/>
        </w:rPr>
        <w:t>. This update is intended to provide financial statement users with more information about the expected credit losses on financial instruments and other commitments to extend credit held by a reporting entity at each reporting date. The amendments in this ASU replace the incurred loss impairment methodology in current GAAP with a methodology that reflects expected credit losses and requires consideration of a broader range of reasonable and supportable information to inform credit loss estimates. The new guidance requires financial assets measured at amortized cost to be presented at the net amount expected to be collected through the use of an allowance for credit losses. Credit losses relating to available-for-sale debt securities will also be recorded through an allowance rather than as a write-down of the amortized cost of the securities. The provisions of this update are effective for annual and interim periods beginning after December 15, 2019. While the Company is still evaluating this ASU, we do not expect it to impact our accounting for insurance losses and loss adjustment expenses ("LAE") as these items are not within the scope of this ASU.</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 Available for Sale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available for sale consist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June 30, 2017 (In thousands)</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205,023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202,364</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26,599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26,357</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402,961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397,602</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Municipal debt securities(1)</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362,363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8,551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370,068</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552,306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555,965</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68,421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69,672</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135,266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135,505</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83,508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83,508</w:t>
            </w: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1,836,447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1,841,041</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2016 (In thousands)</w:t>
            </w:r>
          </w:p>
        </w:tc>
        <w:tc>
          <w:tcPr>
            <w:tcW w:w="12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195,990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191,548</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18,785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18,441</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324,654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316,494</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Municipal debt securities(1)</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334,048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334,324</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457,842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456,357</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68,430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68,336</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127,359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127,172</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102,430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102,430</w:t>
            </w: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1,629,538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1,615,102</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387"/>
        </w:trPr>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rPr>
              <w:t>General obligation bonds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29.7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rPr>
              <w:t>Tax allocation bonds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tax bonds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rPr>
              <w:t>Consumer, non-cyclical</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rPr>
              <w:t>Communications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Utilities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rPr>
              <w:t>Industrial</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Consumer, cyclical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rPr>
              <w:t>Technology</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125" w:right="25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amortized cost and fair value of investments available for sale at June 30, 2017,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Amortized</w:t>
            </w:r>
          </w:p>
        </w:tc>
        <w:tc>
          <w:tcPr>
            <w:tcW w:w="460" w:type="dxa"/>
            <w:vAlign w:val="bottom"/>
          </w:tcPr>
          <w:p>
            <w:pPr>
              <w:spacing w:after="0"/>
              <w:rPr>
                <w:sz w:val="14"/>
                <w:szCs w:val="14"/>
                <w:color w:val="auto"/>
              </w:rPr>
            </w:pPr>
          </w:p>
        </w:tc>
        <w:tc>
          <w:tcPr>
            <w:tcW w:w="1480" w:type="dxa"/>
            <w:vAlign w:val="bottom"/>
          </w:tcPr>
          <w:p>
            <w:pPr>
              <w:jc w:val="right"/>
              <w:ind w:right="75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59,647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59,629</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47,536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47,379</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67,560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65,544</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30,280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29,812</w:t>
            </w:r>
          </w:p>
        </w:tc>
        <w:tc>
          <w:tcPr>
            <w:tcW w:w="0" w:type="dxa"/>
            <w:vAlign w:val="bottom"/>
          </w:tcPr>
          <w:p>
            <w:pPr>
              <w:spacing w:after="0"/>
              <w:rPr>
                <w:sz w:val="1"/>
                <w:szCs w:val="1"/>
                <w:color w:val="auto"/>
              </w:rPr>
            </w:pPr>
          </w:p>
        </w:tc>
      </w:tr>
      <w:tr>
        <w:trPr>
          <w:trHeight w:val="237"/>
        </w:trPr>
        <w:tc>
          <w:tcPr>
            <w:tcW w:w="7420" w:type="dxa"/>
            <w:vAlign w:val="bottom"/>
            <w:gridSpan w:val="2"/>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205,023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202,364</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26,599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26,357</w:t>
            </w:r>
          </w:p>
        </w:tc>
        <w:tc>
          <w:tcPr>
            <w:tcW w:w="0" w:type="dxa"/>
            <w:vAlign w:val="bottom"/>
          </w:tcPr>
          <w:p>
            <w:pPr>
              <w:spacing w:after="0"/>
              <w:rPr>
                <w:sz w:val="1"/>
                <w:szCs w:val="1"/>
                <w:color w:val="auto"/>
              </w:rPr>
            </w:pPr>
          </w:p>
        </w:tc>
      </w:tr>
      <w:tr>
        <w:trPr>
          <w:trHeight w:val="237"/>
        </w:trPr>
        <w:tc>
          <w:tcPr>
            <w:tcW w:w="7420" w:type="dxa"/>
            <w:vAlign w:val="bottom"/>
            <w:gridSpan w:val="2"/>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26,599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26,357</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Municipal debt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13,933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13,949</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107,518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108,063</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141,366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146,278</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99,546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101,778</w:t>
            </w:r>
          </w:p>
        </w:tc>
        <w:tc>
          <w:tcPr>
            <w:tcW w:w="0" w:type="dxa"/>
            <w:vAlign w:val="bottom"/>
          </w:tcPr>
          <w:p>
            <w:pPr>
              <w:spacing w:after="0"/>
              <w:rPr>
                <w:sz w:val="1"/>
                <w:szCs w:val="1"/>
                <w:color w:val="auto"/>
              </w:rPr>
            </w:pPr>
          </w:p>
        </w:tc>
      </w:tr>
      <w:tr>
        <w:trPr>
          <w:trHeight w:val="237"/>
        </w:trPr>
        <w:tc>
          <w:tcPr>
            <w:tcW w:w="7420" w:type="dxa"/>
            <w:vAlign w:val="bottom"/>
            <w:gridSpan w:val="2"/>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362,363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370,068</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62,114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62,132</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300,591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302,093</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186,284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188,435</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37"/>
        </w:trPr>
        <w:tc>
          <w:tcPr>
            <w:tcW w:w="7420" w:type="dxa"/>
            <w:vAlign w:val="bottom"/>
            <w:gridSpan w:val="2"/>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552,306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555,965</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402,961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397,602</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68,421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69,672</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135,266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135,505</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83,508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83,508</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1,836,447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1,841,041</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gains and losses realized on the sale of investments available for sale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1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Realized gross gains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1,772</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Realized gross losses</w:t>
            </w:r>
          </w:p>
        </w:tc>
        <w:tc>
          <w:tcPr>
            <w:tcW w:w="40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711</w:t>
            </w:r>
          </w:p>
        </w:tc>
      </w:tr>
      <w:tr>
        <w:trPr>
          <w:trHeight w:val="70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477"/>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investments in an unrealized loss position and the related unrealized losses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3"/>
                <w:szCs w:val="13"/>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70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June 30, 2017 (In thousands)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162,420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162,420</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4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20,232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310,680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312,888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4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70,885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4,017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74,902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192,204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4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12,218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32,371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19,080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51,451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801,010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(12,190)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34,416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835,426</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(12,433)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3"/>
                <w:szCs w:val="13"/>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70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2016 (In thousands)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160,018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160,018</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4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18,441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289,282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291,094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4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149,368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6,015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155,383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213,965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222,309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4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18,026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14,014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28,294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47,597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75,891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877,394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(20,789)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77,782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955,176</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(21,566)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gross unrealized losses on these investment securities are principally associated with the changes in market interest rates and credit spreads subsequent to their purchase. Each issuer is current on its scheduled interest and principal payments. We assess our intent to sell these securities and whether we will be required to sell these securities before the recovery of their amortized cost basis when determining whether an impairment is other-than-temporary. There were no other-than-temporary impairments in the three and six months ended June 30, 2017. We recorded an other-than-temporary impairment of $7 thousand in the six months ended June 30, 2016 on a security in an unrealized loss position. The impairment resulted from our intent to sell the security subsequent to the reporting date.</w:t>
      </w:r>
    </w:p>
    <w:p>
      <w:pPr>
        <w:spacing w:after="0" w:line="19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fair value of investments deposited with insurance regulatory authorities to meet statutory requirements was $8.6 million as of June 30, 2017 and $8.5 million as of December 31, 2016. In connection with its insurance and reinsurance activities, Essent Re is required to maintain assets in trusts for the benefit of its contractual counterparties. The fair value of the investments on deposit in these trusts was $487.4 million at June 30, 2017 and $349.6 million at December 31, 2016.</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consists of: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9,963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7,197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18,982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13,852</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63</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10,037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7,227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19,115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13,915</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(1,031)</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9,400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6,701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17,835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12,884</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Reserve for Losses and Loss Adjustment Expenses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six months ended June 30:</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17,760</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Less: Reinsurance recoverables</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reserve for losses and LAE at beginning of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28,142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17,760</w:t>
            </w:r>
          </w:p>
        </w:tc>
      </w:tr>
      <w:tr>
        <w:trPr>
          <w:trHeight w:val="22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9,568</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(2,873)</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incurred losses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5,463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6,695</w:t>
            </w:r>
          </w:p>
        </w:tc>
      </w:tr>
      <w:tr>
        <w:trPr>
          <w:trHeight w:val="22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3,710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1,869</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and LAE payments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1,981</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Net reserve for losses and LAE at end of period</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29,798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22,474</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Plus: Reinsurance recoverables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29,798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22,474</w:t>
            </w:r>
          </w:p>
        </w:tc>
      </w:tr>
      <w:tr>
        <w:trPr>
          <w:trHeight w:val="67"/>
        </w:trPr>
        <w:tc>
          <w:tcPr>
            <w:tcW w:w="7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78"/>
        </w:trPr>
        <w:tc>
          <w:tcPr>
            <w:tcW w:w="7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Loans in default at end of period</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1,174</w:t>
            </w:r>
          </w:p>
        </w:tc>
      </w:tr>
    </w:tbl>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the six months ended June 30, 2017, $3.7 million was paid for incurred claims and claim adjustment expenses attributable to insured events of prior years. There has been a $6.7 million favorable prior year development during the six months ended June 30, 2017. Reserves remaining as of June 30, 2017 for prior years are $17.8 million as a result of re-estimation of unpaid losses and loss adjustment expenses. For the six months ended June 30, 2016, $1.9 million was paid for incurred claims and claim adjustment expenses attributable to insured events of prior years. There was a $2.9 million favorable prior year development during the six months ended June 30, 2016. Reserves remaining as of June 30, 2016 for prior years were $13.0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22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May 17, 2017, Essent Group and its subsidiaries, Essent Irish Intermediate Holdings Limited and Essent US Holdings, Inc. (collectively, the "Borrowers"), entered into an amended and restated four-year, secured credit facility with a committed capacity of $375 million (the “Credit Facility”). The Credit Facility amends and restates the three-year, secured revolving credit facility entered into on April 19, 2016, and provides for (i) an increase in the revolving credit facility from $200 million to $250 million, (ii) the issuance of term loans of $125 million, the proceeds of which were used at closing to pay down borrowings outstanding under the revolving credit facility, and (iii) a $75 million uncommitted line that may be exercised at the Borrowers’ option so long as the Borrowers receive commitments from the lenders.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current annual commitment fee rate is 0.35%.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 debt to capitalization level and Essent Guaranty's compliance with the PMIERS (see Note 11). The $125 million term loans contractually mature on May 17, 2021. This description is not intended to be complete in all respects and is qualified in its entirety by the terms of the Credit Facility, including its covenants. As of June 30, 2017, the Company was in compliance with the covenants and $175 million had been borrowed under the Credit Facility with a weighted average interest rate of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paid $68,018 and $42,173 related to remedies for the six months ended June 30, 2017 and 2016, respectively. As of June 30, 2017, management believes any potential claims for indemnification related to contract underwriting services through June 30, 2017 are not material to our consolidated financial position or results of operations.</w:t>
      </w:r>
    </w:p>
    <w:p>
      <w:pPr>
        <w:spacing w:after="0" w:line="16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June 30, 2017,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nonvested common share and nonvested common share unit activity for the six months ended June 30, 2017:</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5"/>
          </w:tcPr>
          <w:p>
            <w:pPr>
              <w:ind w:left="440"/>
              <w:spacing w:after="0"/>
              <w:rPr>
                <w:sz w:val="20"/>
                <w:szCs w:val="20"/>
                <w:color w:val="auto"/>
              </w:rPr>
            </w:pPr>
            <w:r>
              <w:rPr>
                <w:rFonts w:ascii="Arial" w:cs="Arial" w:eastAsia="Arial" w:hAnsi="Arial"/>
                <w:sz w:val="14"/>
                <w:szCs w:val="14"/>
                <w:b w:val="1"/>
                <w:bCs w:val="1"/>
                <w:color w:val="auto"/>
              </w:rPr>
              <w:t>Time and Performance-</w:t>
            </w:r>
          </w:p>
        </w:tc>
        <w:tc>
          <w:tcPr>
            <w:tcW w:w="2360" w:type="dxa"/>
            <w:vAlign w:val="bottom"/>
            <w:gridSpan w:val="5"/>
          </w:tcPr>
          <w:p>
            <w:pPr>
              <w:ind w:left="780"/>
              <w:spacing w:after="0"/>
              <w:rPr>
                <w:sz w:val="20"/>
                <w:szCs w:val="20"/>
                <w:color w:val="auto"/>
              </w:rPr>
            </w:pPr>
            <w:r>
              <w:rPr>
                <w:rFonts w:ascii="Arial" w:cs="Arial" w:eastAsia="Arial" w:hAnsi="Arial"/>
                <w:sz w:val="14"/>
                <w:szCs w:val="14"/>
                <w:b w:val="1"/>
                <w:bCs w:val="1"/>
                <w:color w:val="auto"/>
              </w:rPr>
              <w:t>Time-Based</w:t>
            </w:r>
          </w:p>
        </w:tc>
        <w:tc>
          <w:tcPr>
            <w:tcW w:w="2260" w:type="dxa"/>
            <w:vAlign w:val="bottom"/>
            <w:gridSpan w:val="4"/>
            <w:vMerge w:val="restart"/>
          </w:tcPr>
          <w:p>
            <w:pPr>
              <w:jc w:val="right"/>
              <w:ind w:right="678"/>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458"/>
              <w:spacing w:after="0"/>
              <w:rPr>
                <w:sz w:val="20"/>
                <w:szCs w:val="20"/>
                <w:color w:val="auto"/>
              </w:rPr>
            </w:pPr>
            <w:r>
              <w:rPr>
                <w:rFonts w:ascii="Arial" w:cs="Arial" w:eastAsia="Arial" w:hAnsi="Arial"/>
                <w:sz w:val="14"/>
                <w:szCs w:val="14"/>
                <w:b w:val="1"/>
                <w:bCs w:val="1"/>
                <w:color w:val="auto"/>
              </w:rPr>
              <w:t>Based 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tcPr>
          <w:p>
            <w:pPr>
              <w:jc w:val="right"/>
              <w:ind w:right="598"/>
              <w:spacing w:after="0"/>
              <w:rPr>
                <w:sz w:val="20"/>
                <w:szCs w:val="20"/>
                <w:color w:val="auto"/>
              </w:rPr>
            </w:pPr>
            <w:r>
              <w:rPr>
                <w:rFonts w:ascii="Arial" w:cs="Arial" w:eastAsia="Arial" w:hAnsi="Arial"/>
                <w:sz w:val="14"/>
                <w:szCs w:val="14"/>
                <w:b w:val="1"/>
                <w:bCs w:val="1"/>
                <w:color w:val="auto"/>
              </w:rPr>
              <w:t>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20" w:type="dxa"/>
            <w:vAlign w:val="bottom"/>
            <w:vMerge w:val="restart"/>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1,503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605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22.48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June 30, 2017</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1,595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424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559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February 2017, certain members of senior management were granted nonvested common shares under the Essent Group Ltd. 2013 Long-Term Incentive Plan ("2013 Plan") that were subject to time-based and performance-based vesting. The time-based share awards granted in February 2017 vest in three equal installments on March 1, 2018, 2019 and 2020. The performance-based share awards granted in February 2017 vest based upon our compounded annual book value per share growth percentage during a three-year performance period that commenced on January 1, 2017 and vest on March 1, 2020. The portion of these nonvested performance-based share awards that will be earned based upon the achievement of compounded annual book value per share growth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Performance level</w:t>
            </w:r>
          </w:p>
        </w:tc>
        <w:tc>
          <w:tcPr>
            <w:tcW w:w="2380" w:type="dxa"/>
            <w:vAlign w:val="bottom"/>
          </w:tcPr>
          <w:p>
            <w:pPr>
              <w:jc w:val="right"/>
              <w:ind w:right="195"/>
              <w:spacing w:after="0"/>
              <w:rPr>
                <w:sz w:val="20"/>
                <w:szCs w:val="20"/>
                <w:color w:val="auto"/>
              </w:rPr>
            </w:pPr>
            <w:r>
              <w:rPr>
                <w:rFonts w:ascii="Arial" w:cs="Arial" w:eastAsia="Arial" w:hAnsi="Arial"/>
                <w:sz w:val="14"/>
                <w:szCs w:val="14"/>
                <w:b w:val="1"/>
                <w:bCs w:val="1"/>
                <w:color w:val="auto"/>
                <w:w w:val="93"/>
              </w:rPr>
              <w:t>Compounded Annual Book Value</w:t>
            </w:r>
          </w:p>
        </w:tc>
        <w:tc>
          <w:tcPr>
            <w:tcW w:w="1880" w:type="dxa"/>
            <w:vAlign w:val="bottom"/>
          </w:tcPr>
          <w:p>
            <w:pPr>
              <w:jc w:val="right"/>
              <w:ind w:right="295"/>
              <w:spacing w:after="0"/>
              <w:rPr>
                <w:sz w:val="20"/>
                <w:szCs w:val="20"/>
                <w:color w:val="auto"/>
              </w:rPr>
            </w:pPr>
            <w:r>
              <w:rPr>
                <w:rFonts w:ascii="Arial" w:cs="Arial" w:eastAsia="Arial" w:hAnsi="Arial"/>
                <w:sz w:val="14"/>
                <w:szCs w:val="14"/>
                <w:b w:val="1"/>
                <w:bCs w:val="1"/>
                <w:color w:val="auto"/>
              </w:rPr>
              <w:t>Nonvested Common</w:t>
            </w:r>
          </w:p>
        </w:tc>
        <w:tc>
          <w:tcPr>
            <w:tcW w:w="0" w:type="dxa"/>
            <w:vAlign w:val="bottom"/>
          </w:tcPr>
          <w:p>
            <w:pPr>
              <w:spacing w:after="0"/>
              <w:rPr>
                <w:sz w:val="1"/>
                <w:szCs w:val="1"/>
                <w:color w:val="auto"/>
              </w:rPr>
            </w:pPr>
          </w:p>
        </w:tc>
      </w:tr>
      <w:tr>
        <w:trPr>
          <w:trHeight w:val="192"/>
        </w:trPr>
        <w:tc>
          <w:tcPr>
            <w:tcW w:w="7160" w:type="dxa"/>
            <w:vAlign w:val="bottom"/>
            <w:gridSpan w:val="2"/>
            <w:vMerge w:val="continue"/>
          </w:tcPr>
          <w:p>
            <w:pPr>
              <w:spacing w:after="0"/>
              <w:rPr>
                <w:sz w:val="16"/>
                <w:szCs w:val="16"/>
                <w:color w:val="auto"/>
              </w:rPr>
            </w:pPr>
          </w:p>
        </w:tc>
        <w:tc>
          <w:tcPr>
            <w:tcW w:w="2380" w:type="dxa"/>
            <w:vAlign w:val="bottom"/>
          </w:tcPr>
          <w:p>
            <w:pPr>
              <w:jc w:val="right"/>
              <w:ind w:right="655"/>
              <w:spacing w:after="0"/>
              <w:rPr>
                <w:sz w:val="20"/>
                <w:szCs w:val="20"/>
                <w:color w:val="auto"/>
              </w:rPr>
            </w:pPr>
            <w:r>
              <w:rPr>
                <w:rFonts w:ascii="Arial" w:cs="Arial" w:eastAsia="Arial" w:hAnsi="Arial"/>
                <w:sz w:val="14"/>
                <w:szCs w:val="14"/>
                <w:b w:val="1"/>
                <w:bCs w:val="1"/>
                <w:color w:val="auto"/>
              </w:rPr>
              <w:t>Per Share Growth</w:t>
            </w:r>
          </w:p>
        </w:tc>
        <w:tc>
          <w:tcPr>
            <w:tcW w:w="1880" w:type="dxa"/>
            <w:vAlign w:val="bottom"/>
          </w:tcPr>
          <w:p>
            <w:pPr>
              <w:jc w:val="right"/>
              <w:ind w:right="455"/>
              <w:spacing w:after="0"/>
              <w:rPr>
                <w:sz w:val="20"/>
                <w:szCs w:val="20"/>
                <w:color w:val="auto"/>
              </w:rPr>
            </w:pPr>
            <w:r>
              <w:rPr>
                <w:rFonts w:ascii="Arial" w:cs="Arial" w:eastAsia="Arial" w:hAnsi="Arial"/>
                <w:sz w:val="14"/>
                <w:szCs w:val="14"/>
                <w:b w:val="1"/>
                <w:bCs w:val="1"/>
                <w:color w:val="auto"/>
              </w:rPr>
              <w:t>Shares Earned</w:t>
            </w:r>
          </w:p>
        </w:tc>
        <w:tc>
          <w:tcPr>
            <w:tcW w:w="0" w:type="dxa"/>
            <w:vAlign w:val="bottom"/>
          </w:tcPr>
          <w:p>
            <w:pPr>
              <w:spacing w:after="0"/>
              <w:rPr>
                <w:sz w:val="1"/>
                <w:szCs w:val="1"/>
                <w:color w:val="auto"/>
              </w:rPr>
            </w:pPr>
          </w:p>
        </w:tc>
      </w:tr>
      <w:tr>
        <w:trPr>
          <w:trHeight w:val="250"/>
        </w:trPr>
        <w:tc>
          <w:tcPr>
            <w:tcW w:w="69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380" w:type="dxa"/>
            <w:vAlign w:val="bottom"/>
            <w:tcBorders>
              <w:top w:val="single" w:sz="8" w:color="auto"/>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&lt;16%</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Threshold</w:t>
            </w:r>
          </w:p>
        </w:tc>
        <w:tc>
          <w:tcPr>
            <w:tcW w:w="2380" w:type="dxa"/>
            <w:vAlign w:val="bottom"/>
          </w:tcPr>
          <w:p>
            <w:pPr>
              <w:jc w:val="right"/>
              <w:ind w:right="175"/>
              <w:spacing w:after="0"/>
              <w:rPr>
                <w:sz w:val="20"/>
                <w:szCs w:val="20"/>
                <w:color w:val="auto"/>
              </w:rPr>
            </w:pPr>
            <w:r>
              <w:rPr>
                <w:rFonts w:ascii="Arial" w:cs="Arial" w:eastAsia="Arial" w:hAnsi="Arial"/>
                <w:sz w:val="18"/>
                <w:szCs w:val="18"/>
                <w:color w:val="auto"/>
              </w:rPr>
              <w:t>16%</w:t>
            </w: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17%</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6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80" w:type="dxa"/>
            <w:vAlign w:val="bottom"/>
          </w:tcPr>
          <w:p>
            <w:pPr>
              <w:jc w:val="right"/>
              <w:ind w:right="175"/>
              <w:spacing w:after="0"/>
              <w:rPr>
                <w:sz w:val="20"/>
                <w:szCs w:val="20"/>
                <w:color w:val="auto"/>
              </w:rPr>
            </w:pPr>
            <w:r>
              <w:rPr>
                <w:rFonts w:ascii="Arial" w:cs="Arial" w:eastAsia="Arial" w:hAnsi="Arial"/>
                <w:sz w:val="18"/>
                <w:szCs w:val="18"/>
                <w:color w:val="auto"/>
              </w:rPr>
              <w:t>18%</w:t>
            </w:r>
          </w:p>
        </w:tc>
        <w:tc>
          <w:tcPr>
            <w:tcW w:w="18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Maximum</w:t>
            </w:r>
          </w:p>
        </w:tc>
        <w:tc>
          <w:tcPr>
            <w:tcW w:w="23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≥19%</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97"/>
        </w:trPr>
        <w:tc>
          <w:tcPr>
            <w:tcW w:w="6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the event that the compounded annual book value per share growth falls between the performance levels shown above, the nonvested common shares earned will be determined on a straight-line basis between the respective levels shown.</w:t>
      </w:r>
    </w:p>
    <w:p>
      <w:pPr>
        <w:spacing w:after="0" w:line="170"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In January 2017, time-based share units were issued to all vice president and staff level employees that vest in three equal installments in January 2018, 2019 and 2020. In connection with our incentive program covering bonus awards for performance year 2016, in February 2017, time-based share awards and share units were issued to certain employees that vest in three equal installments on March 1, 2018, 2019 and 2020. In May 2017, time-based share units were granted to non-employee directors that vest one year from the date of grant.</w:t>
      </w:r>
    </w:p>
    <w:p>
      <w:pPr>
        <w:spacing w:after="0" w:line="17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Amendments to our 2013 Plan were approved by shareholders and effective as of May 3, 2017. These amendments included a reduction in the maximum number of shares and share units available for issuance to 7.5 million under the Amended and Restated 2013 Plan (inclusive of approximately 2.6 million nonvested shares and share units outstanding as of May 3, 2017), down from the approximately 14.7 million shares and share units originally available for issuance under the 2013 Plan.</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total fair value on the vesting date of nonvested shares or share units that vested was $21.1 million and $14.2 million for the six months ended June 30, 2017 and 2016, respectively. As of June 30, 2017, there was $27.8 million of total unrecognized compensation expense related to nonvested shares or share units outstanding at June 30, 2017 and we expect to recognize the expense over a weighted average period of 2.0 years.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Employees have the option to tender shares to Essent Group to pay the minimum employee statutory withholding taxes associated with shares upon vesting. Common shares tendered by employees to pay employee withholding taxes totaled 214,474 in the six months ended June 30, 2017. The tendered shares were recorded at cost and included in treasury stock. All treasury stock has been cancelled as of June 30, 2017.</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expense, net of forfeitures, and related tax effects recognized in connection with nonvested shares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1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4,669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9,288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7,949</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tax benefit</w:t>
            </w:r>
          </w:p>
        </w:tc>
        <w:tc>
          <w:tcPr>
            <w:tcW w:w="40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2,558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Share (EPS)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72,118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52,258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138,716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100,209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Less: dividends declared</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shareholders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72,118</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52,258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138,716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100,209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gridSpan w:val="2"/>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4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91,381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90,912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91,320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90,848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Dilutive effect of nonvested shares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1,773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4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93,162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92,138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93,093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91,999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There were 16,497 and 37,918 antidilutive shares for the three months ended June 30, 2017 and 2016, respectively and 89,309 and 192,765 antidilutive shares for the six months ended June 30, 2017 and 2016, respectively.</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nonvested performance-based share awards are considered contingently issuable for purposes of the EPS calculation. Based on the compounded annual book value per share growth as of June 30, 2017 and 2016, 100% of the dilutive performance-based share awards would be issuable under the terms of the arrangements at each date if June 30 was the end of the contingency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Accumulated Other Comprehensive Income (Loss)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presents the rollforward of accumulated other comprehensive income (loss) for the three and six months ended June 30, 2017 and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6"/>
          </w:tcPr>
          <w:p>
            <w:pPr>
              <w:jc w:val="center"/>
              <w:ind w:left="1054"/>
              <w:spacing w:after="0"/>
              <w:rPr>
                <w:sz w:val="20"/>
                <w:szCs w:val="20"/>
                <w:color w:val="auto"/>
              </w:rPr>
            </w:pPr>
            <w:r>
              <w:rPr>
                <w:rFonts w:ascii="Arial" w:cs="Arial" w:eastAsia="Arial" w:hAnsi="Arial"/>
                <w:sz w:val="14"/>
                <w:szCs w:val="14"/>
                <w:b w:val="1"/>
                <w:bCs w:val="1"/>
                <w:color w:val="auto"/>
                <w:w w:val="93"/>
              </w:rPr>
              <w:t>Three Months Ended June 30, 2017</w:t>
            </w:r>
          </w:p>
        </w:tc>
        <w:tc>
          <w:tcPr>
            <w:tcW w:w="146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5"/>
              </w:rPr>
              <w:t>Tax Effect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(7,405)</w:t>
            </w:r>
          </w:p>
        </w:tc>
      </w:tr>
      <w:tr>
        <w:trPr>
          <w:trHeight w:val="22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holding gains arising during the period</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8,830</w:t>
            </w: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w w:val="98"/>
              </w:rPr>
              <w:t>Less: Reclassification adjustment for gains included in net income (1)</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unrealized gains on investments</w:t>
            </w: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8,470</w:t>
            </w: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12,119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8,470</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4,594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542"/>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Six Months Ended June 30, 2017</w:t>
            </w: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5"/>
              </w:rPr>
              <w:t>Tax Effect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(12,255)</w:t>
            </w:r>
          </w:p>
        </w:tc>
      </w:tr>
      <w:tr>
        <w:trPr>
          <w:trHeight w:val="22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holding gains arising during the period</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14,107</w:t>
            </w: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w w:val="98"/>
              </w:rPr>
              <w:t>Less: Reclassification adjustment for gains included in net income (1)</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(787)</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unrealized gains on investments</w:t>
            </w: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13,320</w:t>
            </w: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19,030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13,320</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4,594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596"/>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6"/>
          </w:tcPr>
          <w:p>
            <w:pPr>
              <w:jc w:val="center"/>
              <w:ind w:left="1054"/>
              <w:spacing w:after="0"/>
              <w:rPr>
                <w:sz w:val="20"/>
                <w:szCs w:val="20"/>
                <w:color w:val="auto"/>
              </w:rPr>
            </w:pPr>
            <w:r>
              <w:rPr>
                <w:rFonts w:ascii="Arial" w:cs="Arial" w:eastAsia="Arial" w:hAnsi="Arial"/>
                <w:sz w:val="14"/>
                <w:szCs w:val="14"/>
                <w:b w:val="1"/>
                <w:bCs w:val="1"/>
                <w:color w:val="auto"/>
                <w:w w:val="93"/>
              </w:rPr>
              <w:t>Three Months Ended June 30, 2016</w:t>
            </w:r>
          </w:p>
        </w:tc>
        <w:tc>
          <w:tcPr>
            <w:tcW w:w="146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5"/>
              </w:rPr>
              <w:t>Tax Effect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19,734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13,260</w:t>
            </w:r>
          </w:p>
        </w:tc>
      </w:tr>
      <w:tr>
        <w:trPr>
          <w:trHeight w:val="22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7"/>
        </w:trPr>
        <w:tc>
          <w:tcPr>
            <w:tcW w:w="57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holding gains arising during the period</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11,149</w:t>
            </w: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w w:val="98"/>
              </w:rPr>
              <w:t>Less: Reclassification adjustment for gains included in net income (1)</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7"/>
        </w:trPr>
        <w:tc>
          <w:tcPr>
            <w:tcW w:w="574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unrealized gains on investments</w:t>
            </w: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10,702</w:t>
            </w: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15,751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10,702</w:t>
            </w:r>
          </w:p>
        </w:tc>
      </w:tr>
      <w:tr>
        <w:trPr>
          <w:trHeight w:val="27"/>
        </w:trPr>
        <w:tc>
          <w:tcPr>
            <w:tcW w:w="574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35,485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23,962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542"/>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Six Months Ended June 30, 2016</w:t>
            </w: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5"/>
              </w:rPr>
              <w:t>Tax Effect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7"/>
        </w:trPr>
        <w:tc>
          <w:tcPr>
            <w:tcW w:w="57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holding gains arising during the period</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35,885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24,855</w:t>
            </w: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w w:val="98"/>
              </w:rPr>
              <w:t>Less: Reclassification adjustment for gains included in net income (1)</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7"/>
        </w:trPr>
        <w:tc>
          <w:tcPr>
            <w:tcW w:w="574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unrealized gains on investments</w:t>
            </w: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34,824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24,061</w:t>
            </w: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34,824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(10,763)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24,061</w:t>
            </w:r>
          </w:p>
        </w:tc>
      </w:tr>
      <w:tr>
        <w:trPr>
          <w:trHeight w:val="27"/>
        </w:trPr>
        <w:tc>
          <w:tcPr>
            <w:tcW w:w="574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35,485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23,962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Included in net realized investment gains on our condensed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06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of Financial Instruments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 accessible at the measurement date.</w:t>
      </w:r>
    </w:p>
    <w:p>
      <w:pPr>
        <w:spacing w:after="0" w:line="225" w:lineRule="exact"/>
        <w:rPr>
          <w:rFonts w:ascii="Arial" w:cs="Arial" w:eastAsia="Arial" w:hAnsi="Arial"/>
          <w:sz w:val="18"/>
          <w:szCs w:val="18"/>
          <w:color w:val="auto"/>
        </w:rPr>
      </w:pPr>
    </w:p>
    <w:p>
      <w:pPr>
        <w:jc w:val="both"/>
        <w:ind w:left="660" w:right="18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derived from one or more significant inputs that are unobservable.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25" w:lineRule="exact"/>
        <w:rPr>
          <w:sz w:val="20"/>
          <w:szCs w:val="20"/>
          <w:color w:val="auto"/>
        </w:rPr>
      </w:pPr>
    </w:p>
    <w:p>
      <w:pPr>
        <w:ind w:left="660" w:right="60" w:hanging="328"/>
        <w:spacing w:after="0" w:line="273"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corporate debt securities, residential and commercial mortgage securities and asset-backed securities are classified as Level 2 investments.</w:t>
      </w:r>
    </w:p>
    <w:p>
      <w:pPr>
        <w:spacing w:after="0" w:line="178" w:lineRule="exact"/>
        <w:rPr>
          <w:rFonts w:ascii="Arial" w:cs="Arial" w:eastAsia="Arial" w:hAnsi="Arial"/>
          <w:sz w:val="17"/>
          <w:szCs w:val="17"/>
          <w:color w:val="auto"/>
        </w:rPr>
      </w:pPr>
    </w:p>
    <w:p>
      <w:pPr>
        <w:ind w:left="660" w:right="60"/>
        <w:spacing w:after="0" w:line="269" w:lineRule="auto"/>
        <w:rPr>
          <w:rFonts w:ascii="Arial" w:cs="Arial" w:eastAsia="Arial" w:hAnsi="Arial"/>
          <w:sz w:val="17"/>
          <w:szCs w:val="17"/>
          <w:color w:val="auto"/>
        </w:rPr>
      </w:pPr>
      <w:r>
        <w:rPr>
          <w:rFonts w:ascii="Arial" w:cs="Arial" w:eastAsia="Arial" w:hAnsi="Arial"/>
          <w:sz w:val="17"/>
          <w:szCs w:val="17"/>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residential and commercial mortgage securities, municipal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service by comparison to prices obtained from additional pricing sources. We have not made any adjustments to the prices obtained from our primary pricing service.</w:t>
      </w:r>
    </w:p>
    <w:p>
      <w:pPr>
        <w:spacing w:after="0" w:line="170" w:lineRule="exact"/>
        <w:rPr>
          <w:sz w:val="20"/>
          <w:szCs w:val="20"/>
          <w:color w:val="auto"/>
        </w:rPr>
      </w:pPr>
    </w:p>
    <w:p>
      <w:pPr>
        <w:ind w:left="660" w:right="6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Derivative liabilities — Through June 30, 2016, certain of our Freddie Mac Agency Credit Insurance Structure ("ACIS") contracts were accounted for as derivatives. In determining an exit market, we considered the fact that there is not a principal market for these contracts. In the absence of a principal market, we valued these ACIS contracts in a hypothetical market where market participants, and potential counterparties, included other mortgage guaranty insurers or reinsurers with similar credit quality to us. We believed that in the absence of a principal market, this hypothetical market provides the most relevant information with respect to fair value estimates. These ACIS contracts were classified as Level 3 of the fair value hierarchy. During the quarter ended September 30, 2016, these contracts were amended and are now accounted for as insurance contracts rather than derivatives.</w:t>
      </w:r>
    </w:p>
    <w:p>
      <w:pPr>
        <w:spacing w:after="0" w:line="189" w:lineRule="exact"/>
        <w:rPr>
          <w:rFonts w:ascii="Arial" w:cs="Arial" w:eastAsia="Arial" w:hAnsi="Arial"/>
          <w:sz w:val="18"/>
          <w:szCs w:val="18"/>
          <w:color w:val="auto"/>
        </w:rPr>
      </w:pPr>
    </w:p>
    <w:p>
      <w:pPr>
        <w:ind w:left="660" w:right="20"/>
        <w:spacing w:after="0" w:line="272" w:lineRule="auto"/>
        <w:rPr>
          <w:rFonts w:ascii="Arial" w:cs="Arial" w:eastAsia="Arial" w:hAnsi="Arial"/>
          <w:sz w:val="18"/>
          <w:szCs w:val="18"/>
          <w:color w:val="auto"/>
        </w:rPr>
      </w:pPr>
      <w:r>
        <w:rPr>
          <w:rFonts w:ascii="Arial" w:cs="Arial" w:eastAsia="Arial" w:hAnsi="Arial"/>
          <w:sz w:val="17"/>
          <w:szCs w:val="17"/>
          <w:color w:val="auto"/>
        </w:rPr>
        <w:t>Through June 30, 2016, we determined the fair value of our derivative instruments primarily using internally-generated models. We utilized market observable inputs, such as the performance of the underlying pool of mortgages, mortgage prepayment speeds and pricing spreads on the reference STACR notes issued by Freddie Mac, whenever they were available. There was a high degree of uncertainty about our fair value estimates since our contracts were not traded or exchanged, which made external validation and corroboration of our estimates difficult. Considerable judgment was required to interpret market data to develop the estimates of fair value. Accordingly, the estimates may not have been indicative of amounts we could have realized in a market exchange or negotiated termination. The use of different market assumptions or estimation methodologies may have had a material effect on the estimated fair value amounts.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June 30, 2017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202,364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202,364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26,357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26,357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397,602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397,602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370,068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370,068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555,965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555,965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69,672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69,672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135,505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135,505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83,508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83,508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285,872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1,555,169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1,841,041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437"/>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2016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191,548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191,548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18,441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18,441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316,494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316,494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334,324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334,324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456,357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456,357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68,336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68,336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127,172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127,172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102,430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102,430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293,978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1,321,124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1,615,102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Level 3 Recurring Fair Value Measurements</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following table presents changes during the three and six months ended June 30, 2016 in Level 3 liabilities measured at fair value on a recurring basis, and the net realized and unrealized losses related to the Level 3 liabilities in the condensed consolidated balance sheets at June 30, 2016. During the six months ended June 30, 2017, and in the year ended December 31, 2016, we had no Level 3 assets.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680" w:type="dxa"/>
            <w:vAlign w:val="bottom"/>
          </w:tcPr>
          <w:p>
            <w:pPr>
              <w:jc w:val="right"/>
              <w:ind w:right="335"/>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2"/>
          </w:tcPr>
          <w:p>
            <w:pPr>
              <w:ind w:left="54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6"/>
                <w:szCs w:val="16"/>
                <w:color w:val="auto"/>
              </w:rPr>
            </w:pPr>
          </w:p>
        </w:tc>
        <w:tc>
          <w:tcPr>
            <w:tcW w:w="1680" w:type="dxa"/>
            <w:vAlign w:val="bottom"/>
          </w:tcPr>
          <w:p>
            <w:pPr>
              <w:jc w:val="right"/>
              <w:ind w:right="615"/>
              <w:spacing w:after="0"/>
              <w:rPr>
                <w:sz w:val="20"/>
                <w:szCs w:val="20"/>
                <w:color w:val="auto"/>
              </w:rPr>
            </w:pPr>
            <w:r>
              <w:rPr>
                <w:rFonts w:ascii="Arial" w:cs="Arial" w:eastAsia="Arial" w:hAnsi="Arial"/>
                <w:sz w:val="14"/>
                <w:szCs w:val="14"/>
                <w:b w:val="1"/>
                <w:bCs w:val="1"/>
                <w:color w:val="auto"/>
              </w:rPr>
              <w:t>June 30,</w:t>
            </w:r>
          </w:p>
        </w:tc>
      </w:tr>
      <w:tr>
        <w:trPr>
          <w:trHeight w:val="250"/>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2016</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Level 3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Fair value of derivative liabilities at beginning of 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5"/>
              <w:spacing w:after="0"/>
              <w:rPr>
                <w:sz w:val="20"/>
                <w:szCs w:val="20"/>
                <w:color w:val="auto"/>
              </w:rPr>
            </w:pPr>
            <w:r>
              <w:rPr>
                <w:rFonts w:ascii="Arial" w:cs="Arial" w:eastAsia="Arial" w:hAnsi="Arial"/>
                <w:sz w:val="18"/>
                <w:szCs w:val="18"/>
                <w:color w:val="auto"/>
              </w:rPr>
              <w:t>1,232</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realized and unrealized losses included in income</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8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Purchases, sales, issues and settlements, net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702</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Gross transfers in</w:t>
            </w:r>
          </w:p>
        </w:tc>
        <w:tc>
          <w:tcPr>
            <w:tcW w:w="20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8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transfers out</w:t>
            </w: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Fair value of derivative liabilities at end of period</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2,012</w:t>
            </w:r>
          </w:p>
        </w:tc>
      </w:tr>
      <w:tr>
        <w:trPr>
          <w:trHeight w:val="67"/>
        </w:trPr>
        <w:tc>
          <w:tcPr>
            <w:tcW w:w="73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r>
      <w:tr>
        <w:trPr>
          <w:trHeight w:val="305"/>
        </w:trPr>
        <w:tc>
          <w:tcPr>
            <w:tcW w:w="7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Changes in net unrealized losses included in income on instruments held at end of 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5"/>
              <w:spacing w:after="0"/>
              <w:rPr>
                <w:sz w:val="20"/>
                <w:szCs w:val="20"/>
                <w:color w:val="auto"/>
              </w:rPr>
            </w:pPr>
            <w:r>
              <w:rPr>
                <w:rFonts w:ascii="Arial" w:cs="Arial" w:eastAsia="Arial" w:hAnsi="Arial"/>
                <w:sz w:val="18"/>
                <w:szCs w:val="18"/>
                <w:color w:val="auto"/>
              </w:rPr>
              <w:t>78</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Statutory Accounting</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six months ended June 30:</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2016</w:t>
            </w: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Essent Guaranty</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124,304</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100,026</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613,028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545,665</w:t>
            </w: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572,647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392,928</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97"/>
        </w:trPr>
        <w:tc>
          <w:tcPr>
            <w:tcW w:w="6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Essent PA</w:t>
            </w: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5,461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6,980</w:t>
            </w: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44,190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45,516</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6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39,959</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32,198</w:t>
            </w:r>
          </w:p>
        </w:tc>
      </w:tr>
      <w:tr>
        <w:trPr>
          <w:trHeight w:val="27"/>
        </w:trPr>
        <w:tc>
          <w:tcPr>
            <w:tcW w:w="6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Net income determined in accordance with statutory accounting practices differs from GAAP. In 2017 and 2016,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19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At June 30, 2017 and 2016, the statutory capital of our U.S. insurance subsidiaries, which is defined as the total of statutory surplus and contingency reserves, was in excess of the statutory capital necessary to satisfy their regulatory requirements.</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Effective December 31, 2015, Fannie Mae and Freddie Mac, at the direction of the Federal Housing Finance Agency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June 30, 2017 and December 31, 2016, Essent Guaranty, our GSE-approved mortgage insurance company, was in compliance with the PMIERs.</w:t>
      </w:r>
    </w:p>
    <w:p>
      <w:pPr>
        <w:spacing w:after="0" w:line="18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 xml:space="preserve">Statement of Statutory Accounting Principles No. 58, </w:t>
      </w:r>
      <w:r>
        <w:rPr>
          <w:rFonts w:ascii="Arial" w:cs="Arial" w:eastAsia="Arial" w:hAnsi="Arial"/>
          <w:sz w:val="17"/>
          <w:szCs w:val="17"/>
          <w:i w:val="1"/>
          <w:iCs w:val="1"/>
          <w:color w:val="auto"/>
        </w:rPr>
        <w:t>Mortgage Guaranty Insurance,</w:t>
      </w:r>
      <w:r>
        <w:rPr>
          <w:rFonts w:ascii="Arial" w:cs="Arial" w:eastAsia="Arial" w:hAnsi="Arial"/>
          <w:sz w:val="17"/>
          <w:szCs w:val="17"/>
          <w:color w:val="auto"/>
        </w:rPr>
        <w:t xml:space="preserve"> requires mortgage insurers to establish a special contingency reserve for statutory accounting purposes included in total liabilities equal to 50% of earned premium for that year. During the six months ended June 30, 2017, Essent Guaranty increased its contingency reserve by $91.8 million and Essent PA increased its contingency reserve by $3.6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Essent Guaranty and Essent PA did not release any amounts from their contingency reserves in the six months ended June 30, 2017 or 2016.</w:t>
      </w:r>
    </w:p>
    <w:p>
      <w:pPr>
        <w:spacing w:after="0" w:line="17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2016, all such requirements were met.</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125"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Essent Re's statutory capital and surplus was $537.6 million as of June 30, 2017 and $401.1 million as of December 31, 2016. Essent Re's statutory net income was $43.8 million and $21.4 million for the six months ended June 30, 2017 and 2016, respectively. Statutory capital and surplus as of June 30, 2017 and statutory net income in the six months ended June 30, 2017 determined in accordance with statutory accounting practices were not significantly different than the amounts determined under GAAP.</w:t>
      </w: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240" w:top="125" w:right="3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i w:val="1"/>
          <w:iCs w:val="1"/>
          <w:color w:val="auto"/>
        </w:rPr>
        <w:t>The following discussion should be read together with the “Selected Financial Data” and our audited consolidated financial statements and related notes included in our Annual Report on Form 10-K as of and for the year ended December 31, 2016 as filed with the Securities and Exchange Commission and referred to herein as the “Annual Report,” and our condensed consolidated financial statements and related notes as of and for the three and six months ended June 30, 2017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Except as otherwise indicated, “Market Share” means our market share as measured by our share of total new insurance written (“NIW”) on a flow basis (in which loans are insured in individual, loan-by-loan transactions) in the U.S. private mortgage insurance industry, and excludes both NIW under the Home Affordable Refinance Program (“HARP” and such NIW, the “HARP NIW”) and bulk insurance (in which each loan in a portfolio of loans is insured in a single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We are an established and growing private mortgage insurance company. We were formed to serve the U.S. housing finance industry at a time when the demands of the financial crisis and a rapidly changing business environment created the need for a new, privately funded mortgage insurance company. We had an estimated 15.9% Market Share for the six months ended June 30, 2017. We believe that our success in acquiring customers and growing our insurance in force has been driven by the unique opportunity we offer lenders to partner with a well-capitalized mortgage insurer, unencumbered by business originated prior to the financial crisis, that provides fair and transparent claims payment practices, and consistency and speed of service.</w:t>
      </w:r>
    </w:p>
    <w:p>
      <w:pPr>
        <w:spacing w:after="0" w:line="15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2010, Essent became the first private mortgage insurer to be approved by the GSEs since 1995, and we are licensed to write coverage in all 50 states and the District of Columbia. We completed our initial public offering in November 2013. The financial strength of Essent Guaranty, Inc. ("Essent Guaranty"), our wholly-owned insurance subsidiary, is rated Baa2 with a stable outlook by Moody’s Investor Services (“Moody's”) and BBB+ with a stable outlook by S&amp;P Global Ratings (“S&amp;P”).</w:t>
      </w:r>
    </w:p>
    <w:p>
      <w:pPr>
        <w:spacing w:after="0" w:line="187"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We had master policy relationships with approximately 1,390 customers as of June 30, 2017. Our top ten customers represented approximately 47.3%, 35.1%, 36.6% and 42.6% of our NIW on a flow basis for the six months ended June 30, 2017 and the years ended December 31, 2016, 2015 and 2014, respectively. Our holding company is domiciled in Bermuda and our U.S. insurance business is headquartered in Radnor, Pennsylvania. We operate additional underwriting and service centers in Winston-Salem, North Carolina and Irvine, California. We have a highly experienced, talented team with 391 employees as of June 30, 2017. We generated new insurance written of approximately $11.4 billion and $19.4 billion for the three and six months ended June 30, 2017, respectively, compared to approximately $8.7 billion and $14.2 billion for the three and six months ended June 30, 2016, respectively. As of June 30, 2017, we had approximately $95.5 billion of insurance in force.</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also offer mortgage-related insurance and reinsurance through our wholly-owned Bermuda-based subsidiary, Essent Reinsurance, Ltd., which we refer to as "Essent Re." As of June 30, 2017, Essent Re provided insurance or reinsurance relating to the risk in force on loans in reference pools acquired by Freddie Mac and Fannie Mae covering approximately $479.8 million of risk, including in connection with Freddie Mac's Agency Credit Insurance Structure ("ACIS") and Fannie Mae's Credit Insurance Risk Transfer ("CIRT") programs. Essent Re has also reinsured 25% of Essent Guaranty’s GSE-eligible mortgage insurance NIW originated since July 1, 2014 under a quota share reinsurance agreement. The insurer financial strength rating of Essent Re is BBB+ with a stable outlook by S&amp;P.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29"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Effective December 31, 2015, Fannie Mae and Freddie Mac, at the direction of the Federal Housing Finance Agency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June 30, 2017, Essent Guaranty, our GSE-approved mortgage insurance company, was in compliance with the PMIERs. See additional discussion in “— Liquidity and Capital Resources —Private Mortgage Insurer Eligibility Requirements.” The GSEs indicated in the PMIERs that they intend to update the factors used to calculate the risk-based required asset amount under the PMIERs at least every two years. Based on communication from the GSEs, we believe that the updated PMIERs would not be finalized until the second quarter of 2018 and would be effective no sooner than the fourth quarter of 2018, 180 days after their release.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Premiums associated with our U.S. mortgage insurance business are based on insurance in force ("IIF") during all or a portion of a period. A change in the average IIF during a period causes premiums to increase or decrease as compared to prior periods. Average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54" w:lineRule="exact"/>
        <w:rPr>
          <w:sz w:val="20"/>
          <w:szCs w:val="20"/>
          <w:color w:val="auto"/>
        </w:rPr>
      </w:pPr>
    </w:p>
    <w:p>
      <w:pPr>
        <w:ind w:left="660" w:right="30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and the competition to provide credit enhancement on those mortgages;</w:t>
      </w:r>
    </w:p>
    <w:p>
      <w:pPr>
        <w:spacing w:after="0" w:line="123" w:lineRule="exact"/>
        <w:rPr>
          <w:rFonts w:ascii="Arial" w:cs="Arial" w:eastAsia="Arial" w:hAnsi="Arial"/>
          <w:sz w:val="16"/>
          <w:szCs w:val="16"/>
          <w:color w:val="auto"/>
        </w:rPr>
      </w:pPr>
    </w:p>
    <w:p>
      <w:pPr>
        <w:ind w:left="660" w:right="14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46" w:lineRule="exact"/>
        <w:rPr>
          <w:rFonts w:ascii="Arial" w:cs="Arial" w:eastAsia="Arial" w:hAnsi="Arial"/>
          <w:sz w:val="17"/>
          <w:szCs w:val="17"/>
          <w:color w:val="auto"/>
        </w:rPr>
      </w:pPr>
    </w:p>
    <w:p>
      <w:pPr>
        <w:ind w:left="660" w:right="38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Premiums ceded or assumed under reinsurance arrangements. To date, we have not ceded any premiums under third-party reinsurance contracts.</w:t>
      </w:r>
    </w:p>
    <w:p>
      <w:pPr>
        <w:spacing w:after="0" w:line="24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June 30, 2017 were non-refundable. Premiums collected on annual policies are recognized as net premiums earned on a straight-line basis over the year of coverage. For the six months ended June 30, 2017, monthly and single premium policies comprised 85.6% and 14.4% of our NIW,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Premiums associated with our GSE risk share transactions are based on the level of risk in force.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profitability. The persistency rate on our portfolio was 80.1% at June 30, 2017. Generally, higher prepayment speeds lead to lower persistency.</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investment portfolio was predominantly comprised of investment-grade fixed income securities and money market funds as of June 30, 2017.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“other-than-temporary” impairments recognized in earnings. The amount received on the sale of fixed income securities is affected by the coupon rate of the security compared to the yield of comparable securities at the time of sale.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This fee is adjusted monthly based on the number of Triad’s mortgage insurance policies in force and, accordingly, will decrease over time as Triad’s existing policies are cancelled. The services agreement was automatically extended until November 30, 2017 and provides for two subsequent one-year renewals at Triad’s option.</w:t>
      </w:r>
    </w:p>
    <w:p>
      <w:pPr>
        <w:spacing w:after="0" w:line="15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Other income also includes revenues associated with contract underwriting services and changes in the fair value of derivative instruments. The level of contract underwriting revenue is dependent upon the number of customers who have engaged us for this service and the number of loans underwritten for these customers. Through June 30, 2016, the insurance and certain of the reinsurance policies issued by Essent Re in connection with the ACIS program were previously accounted for as derivatives under U.S. generally accepted accounting principles ("GAAP") with the fair value of these policies reported as an asset or liability and changes in the fair value of these policies reported in earnings. Changes in the fair value of these policies were impacted by changes in market observable factors. These policies were amended in the three months ended September 30, 2016 and are now accounted for as insurance rather than as derivatives. See Note 10 to our condensed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Losses incurred are generally affected by:</w:t>
      </w:r>
    </w:p>
    <w:p>
      <w:pPr>
        <w:spacing w:after="0" w:line="225" w:lineRule="exact"/>
        <w:rPr>
          <w:sz w:val="20"/>
          <w:szCs w:val="20"/>
          <w:color w:val="auto"/>
        </w:rPr>
      </w:pPr>
    </w:p>
    <w:p>
      <w:pPr>
        <w:ind w:left="660" w:right="3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170" w:lineRule="exact"/>
        <w:rPr>
          <w:rFonts w:ascii="Arial" w:cs="Arial" w:eastAsia="Arial" w:hAnsi="Arial"/>
          <w:sz w:val="18"/>
          <w:szCs w:val="18"/>
          <w:color w:val="auto"/>
        </w:rPr>
      </w:pPr>
    </w:p>
    <w:p>
      <w:pPr>
        <w:ind w:left="660" w:right="38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25"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181"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The average age of our insurance portfolio is young with 74% of our IIF as of June 30, 2017 having been originated since January 1, 2015. As a result, based on historical industry performance, we expect the number of defaults and claims we experience, as well as our provision for losses and loss adjustment expenses, to increase as our portfolio further seasons. See “— Mortgage Insurance Earnings and Cash Flow Cycle” below.</w:t>
      </w:r>
    </w:p>
    <w:p>
      <w:pPr>
        <w:spacing w:after="0" w:line="187" w:lineRule="exact"/>
        <w:rPr>
          <w:sz w:val="20"/>
          <w:szCs w:val="20"/>
          <w:color w:val="auto"/>
        </w:rPr>
      </w:pPr>
    </w:p>
    <w:p>
      <w:pPr>
        <w:jc w:val="both"/>
        <w:ind w:right="200" w:firstLine="648"/>
        <w:spacing w:after="0" w:line="288" w:lineRule="auto"/>
        <w:rPr>
          <w:sz w:val="20"/>
          <w:szCs w:val="20"/>
          <w:color w:val="auto"/>
        </w:rPr>
      </w:pPr>
      <w:r>
        <w:rPr>
          <w:rFonts w:ascii="Arial" w:cs="Arial" w:eastAsia="Arial" w:hAnsi="Arial"/>
          <w:sz w:val="16"/>
          <w:szCs w:val="16"/>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(“LAE”), consisting of the estimated cost of the claims administration process, including legal and other fees.</w:t>
      </w:r>
    </w:p>
    <w:p>
      <w:pPr>
        <w:jc w:val="both"/>
        <w:ind w:right="460"/>
        <w:spacing w:after="0" w:line="255" w:lineRule="auto"/>
        <w:rPr>
          <w:sz w:val="20"/>
          <w:szCs w:val="20"/>
          <w:color w:val="auto"/>
        </w:rPr>
      </w:pPr>
      <w:r>
        <w:rPr>
          <w:rFonts w:ascii="Arial" w:cs="Arial" w:eastAsia="Arial" w:hAnsi="Arial"/>
          <w:sz w:val="18"/>
          <w:szCs w:val="18"/>
          <w:color w:val="auto"/>
        </w:rPr>
        <w:t>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9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believe, based upon our experience and industry data, that claims incidence for mortgage insurance is generally highest in the third through sixth years after loan origination. As of June 30, 2017, 74% of our IIF relates to business written since January 1, 2015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most significant expense is compensation and benefits for our employees, which represented 63% and 64% of other underwriting and operating expenses for the three and six months ended June 30, 2017, respectively, compared to 65% of other underwriting and operating expenses for each of the three and six months ended June 30, 2016. Compensation and benefits expense includes base and incentive cash compensation, stock compensation expense, benefits and payroll taxes. Compensation and benefits expense has steadily increased as we have increased our staffing from 366 employees at January 1, 2016 to 391 at June 30, 2017, primarily in our business development and operations functions to support the growth of our business. The growth in our sales organization contributed to the growth of our active customers and NIW. We also expanded our underwriting and customer service teams to support this new business.</w:t>
      </w:r>
    </w:p>
    <w:p>
      <w:pPr>
        <w:spacing w:after="0" w:line="189"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customers and increase our IIF, our expenses will also continue to increase. In addition, as a result of the increase in our IIF, we expect that our net premiums earned will grow faster than our underwriting and other expenses resulting in a decline in our expense ratio for the full year 2017 as compared to 2016.</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Interest expense is incurred as a result of borrowings under our amended and restated four-year, secured credit facility with a committed capacity of $375 million (the “Credit Facility”).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w:t>
      </w:r>
    </w:p>
    <w:p>
      <w:pPr>
        <w:spacing w:after="0" w:line="187"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Essent Group Ltd. and its wholly-owned subsidiary, Essent Re, are domiciled in Bermuda, which does not have a corporate income tax. Effective July 2014, Essent Re began to reinsure 25% of GSE-eligible new insurance written of Essent Guaranty, an affiliate. Essent Re also provides insurance and reinsurance to Freddie Mac and Fannie Mae.</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amount of income tax expense or benefit recorded in future periods will be dependent on the jurisdictions in which we operate and the tax laws and regulations in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discussed above, premiums we collect and earn are generated based on our IIF, which is a function of our NIW and cancellations. The following table includes a summary of the change in our IIF for the three and six months ended June 30, 2017 and 2016 for our U.S. mortgage insurance portfolio. In addition, this table includes our risk in force ("RIF") at the end of each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87,993,227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67,716,741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83,265,522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65,242,453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NIW - Flow</w:t>
            </w: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11,368,276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8,715,171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19,402,429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14,081,846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NIW - Bulk</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93,054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Cancellations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(3,867,113)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(4,164,813)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(7,173,561)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(7,150,254)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IIF, end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95,494,390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72,267,099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95,494,390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72,267,099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Average IIF during the period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gridSpan w:val="2"/>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91,477,761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69,746,972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88,552,878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68,145,618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RIF, end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23,665,045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17,937,364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23,665,045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17,937,364</w:t>
            </w:r>
          </w:p>
        </w:tc>
        <w:tc>
          <w:tcPr>
            <w:tcW w:w="0" w:type="dxa"/>
            <w:vAlign w:val="bottom"/>
          </w:tcPr>
          <w:p>
            <w:pPr>
              <w:spacing w:after="0"/>
              <w:rPr>
                <w:sz w:val="1"/>
                <w:szCs w:val="1"/>
                <w:color w:val="auto"/>
              </w:rPr>
            </w:pPr>
          </w:p>
        </w:tc>
      </w:tr>
      <w:tr>
        <w:trPr>
          <w:trHeight w:val="675"/>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4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IIF at June 30, 2017 by vintage: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w:t>
            </w: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 (through June 30)</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19,125,698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32,242,272</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33.8</w:t>
            </w: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19,499,925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20.4</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12,791,786</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13.4</w:t>
            </w: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8,067,843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8.4</w:t>
            </w: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2012 and prior</w:t>
            </w:r>
          </w:p>
        </w:tc>
        <w:tc>
          <w:tcPr>
            <w:tcW w:w="4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3,766,866</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4.0</w:t>
            </w:r>
          </w:p>
        </w:tc>
      </w:tr>
      <w:tr>
        <w:trPr>
          <w:trHeight w:val="27"/>
        </w:trPr>
        <w:tc>
          <w:tcPr>
            <w:tcW w:w="7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7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95,494,390</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Average Premium Rate</w:t>
      </w:r>
    </w:p>
    <w:p>
      <w:pPr>
        <w:spacing w:after="0" w:line="225"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Our average premium rate is dependent on a number of factors, including: (1) the risk characteristics and average coverage on the mortgages we insure; (2) the mix of monthly premiums compared to single premiums in our portfolio; (3) cancellations of non-refundable single premiums during the period; and (4) changes to our pricing. For each of the three and six months ended June 30, 2017, our average premium rate was 0.53%, as compared to 0.57% and 0.56% for the three and six months ended June 30, 2016,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Risk-to-Capital</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5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of June 30, 2017, our combined net risk in force for our U.S. insurance companies was $18.9 billion and our combined statutory capital was $1.3 billion, resulting in a risk-to-capital ratio of 14.9 to 1. The amount of capital required varies in each jurisdiction in which we operate; however, generally, the maximum permitted risk-to-capital ratio is 25.0 to 1. 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Summary of Operations</w:t>
            </w:r>
          </w:p>
        </w:tc>
        <w:tc>
          <w:tcPr>
            <w:tcW w:w="400" w:type="dxa"/>
            <w:vAlign w:val="bottom"/>
          </w:tcPr>
          <w:p>
            <w:pPr>
              <w:spacing w:after="0"/>
              <w:rPr>
                <w:sz w:val="16"/>
                <w:szCs w:val="16"/>
                <w:color w:val="auto"/>
              </w:rPr>
            </w:pPr>
          </w:p>
        </w:tc>
        <w:tc>
          <w:tcPr>
            <w:tcW w:w="30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134,063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108,513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253,360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208,979</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Increase in unearned premiums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(13,865)</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126,563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100,711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244,214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195,114</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12,884</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1,054</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w:t>
            </w: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Total revenues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137,606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108,165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265,198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210,631</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6,695</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35,686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31,409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72,018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62,797</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Total losses and expenses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38,645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34,373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79,386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69,492</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98,961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73,792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185,812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141,139</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26,843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21,534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47,096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40,930</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72,118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52,258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138,716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100,209</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2017 Compared to the Three and Six Months Ended June 30, 2016</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For the three months ended June 30, 2017, we reported net income of $72.1 million, compared to net income of $52.3 million for the three months ended June 30, 2016. For the six months ended June 30, 2017, we reported net income of $138.7 million, compared to net income of $100.2 million for the six months ended June 30, 2016. The increase in our operating results in 2017 over the same periods in 2016 was primarily due to the increase in net premiums earned associated with the growth of our IIF and the increase in net investment income, partially offset by increases in other underwriting and operating expenses, interest expense and income taxes.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Net premiums earned increased in the three months ended June 30, 2017 by 26% compared to the three months ended June 30, 2016 primarily due to the increase in our average IIF from $69.7 billion at June 30, 2016 to $91.5 billion at June 30, 2017, partially offset by a decrease in average premium rate from 0.57% for the three months ended June 30, 2016 to 0.53% for the three months ended June 30, 2017. Net premiums earned increased in the six months ended June 30, 2017 by 25% compared to the six months ended June 30, 2016 due to the increase in our average IIF from $68.1 billion at June 30, 2016 to $88.6 billion at June 30, 2017, partially offset by a decrease in the average premium rate from 0.56% in the six months ended June 30, 2016 to 0.53% in the six months ended June 30, 2017. The decrease in the average premium rate during the three and six months ended June 30, 2017 is due primarily to a decrease in premium earned on the cancellation of non-refundable single premium policies.</w:t>
      </w:r>
    </w:p>
    <w:p>
      <w:pPr>
        <w:spacing w:after="0" w:line="17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increase in net premiums written was due primarily to the increase in average IIF of 31% and 30% for the three and six months ended June 30, 2017, respectively, as compared to the same periods in 2016. Net premiums written increased in the three and six months ended June 30, 2017 by 24% and 21%, respectively, over the three and six months ended June 30, 2016.</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the three months ended June 30, 2017 and 2016, unearned premiums increased by $7.5 million and $7.8 million, respectively. The change in unearned premiums was a result of net premiums written on single premium policies of $25.6 million and $27.0 million, respectively, which was partially offset by $18.1 million and $19.2 million, respectively, of unearned premium that was recognized in earnings during the periods. In the six months ended June 30, 2017 and 2016, unearned premiums increased by $9.1 million and $13.9 million, respectively. This was a result of net premiums written on single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premium policies of $43.8 million and $50.2 million, respectively, which was partially offset by $34.7 million and $36.3 million, respectively, of unearned premium that was recognized in earnings during the periods.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investment income was derived from the following sources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9,963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7,197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18,982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13,852</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63</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10,037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7,227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19,115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13,915</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(1,031)</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9,400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6,701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17,835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12,884</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increase in net investment income for the three and six months ended June 30, 2017 as compared to the same periods in 2016 was due to the increase in the weighted average balance of our investment portfolio and the increase in the pre-tax investment income yield. The average cash and investment portfolio balance increased to $1.8 billion for the three months ended June 30, 2017 from $1.4 billion for the three months ended June 30, 2016, primarily as a result of investing cash flows from operations and investing borrowings under our Credit Facility. The average cash and investment portfolio balance was $1.7 billion for the six months ended June 30, 2017 compared to $1.3 billion for the six months ended June 30, 2016. The pre-tax investment income yield increased from 2.1% in each of the three and six months ended June 30, 2016 to 2.2% in each of the three and six months ended June 30, 2017, primarily due to an increase in the portion of our investment portfolio invested in spread and duration assets. The pre-tax investment income yields are calculated based on amortized cost and exclude investment expenses. See “— Liquidity and Capital Resources” for further details of our investment portfolio.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Other income includes fees earned for information technology and customer support services provided to Triad and contract underwriting revenues. In 2016, other income also included changes in the fair value of the insurance and certain reinsurance policies issued by Essent Re under the ACIS program. These policies were amended in the three months ended September 30, 2016 and are now accounted for as insurance rather than as derivatives. The increase in other income for the three months ended June 30, 2017 as compared to the same period in 2016, was primarily due to the $0.8 million decrease in the estimated fair value of our ACIS contracts in 2016 resulting from the increase in observed prepayment speeds associated with the underlying pool of mortgages on the reference STACR notes issued by Freddie Mac. The increase in other income for the six months ended June 30, 2017 compared to the same period in 2016 was primarily due to an increase in contract underwriting revenues, partially offset by a decrease in Triad service fees associated with a reduction in the number of Triad’s mortgage insurance policies in force.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provision for losses and LAE was $1.8 million and $3.0 million in the three months ended June 30, 2017 and 2016, respectively, and $5.5 million and $6.7 million in the six months ended June 30, 2017 and 2016, respectively. The decrease in the provision for losses and LAE in the three and six months ended June 30, 2017 as compared to the same periods in 2016 was primarily due to an increase in previously identified defaults that cured, partially offset by an increase in the number of insured loans in default. The following table presents a rollforward of insured loans in default for the periods indicated: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Borders>
              <w:bottom w:val="single" w:sz="8" w:color="auto"/>
            </w:tcBorders>
            <w:gridSpan w:val="3"/>
          </w:tcPr>
          <w:p>
            <w:pPr>
              <w:jc w:val="right"/>
              <w:ind w:right="6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700" w:type="dxa"/>
            <w:vAlign w:val="bottom"/>
            <w:gridSpan w:val="2"/>
          </w:tcPr>
          <w:p>
            <w:pPr>
              <w:ind w:left="5360"/>
              <w:spacing w:after="0"/>
              <w:rPr>
                <w:sz w:val="20"/>
                <w:szCs w:val="20"/>
                <w:color w:val="auto"/>
              </w:rPr>
            </w:pPr>
            <w:r>
              <w:rPr>
                <w:rFonts w:ascii="Arial" w:cs="Arial" w:eastAsia="Arial" w:hAnsi="Arial"/>
                <w:sz w:val="14"/>
                <w:szCs w:val="14"/>
                <w:b w:val="1"/>
                <w:bCs w:val="1"/>
                <w:color w:val="auto"/>
              </w:rPr>
              <w:t>2017</w:t>
            </w:r>
          </w:p>
        </w:tc>
        <w:tc>
          <w:tcPr>
            <w:tcW w:w="17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5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2016</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1,060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1,028</w:t>
            </w:r>
          </w:p>
        </w:tc>
      </w:tr>
      <w:tr>
        <w:trPr>
          <w:trHeight w:val="243"/>
        </w:trPr>
        <w:tc>
          <w:tcPr>
            <w:tcW w:w="5700" w:type="dxa"/>
            <w:vAlign w:val="bottom"/>
            <w:gridSpan w:val="2"/>
          </w:tcPr>
          <w:p>
            <w:pPr>
              <w:ind w:left="40"/>
              <w:spacing w:after="0"/>
              <w:rPr>
                <w:sz w:val="20"/>
                <w:szCs w:val="20"/>
                <w:color w:val="auto"/>
              </w:rPr>
            </w:pPr>
            <w:r>
              <w:rPr>
                <w:rFonts w:ascii="Arial" w:cs="Arial" w:eastAsia="Arial" w:hAnsi="Arial"/>
                <w:sz w:val="18"/>
                <w:szCs w:val="18"/>
                <w:color w:val="auto"/>
              </w:rPr>
              <w:t>Plus: new defaults</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1,523</w:t>
            </w: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(1,063)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r>
      <w:tr>
        <w:trPr>
          <w:trHeight w:val="243"/>
        </w:trPr>
        <w:tc>
          <w:tcPr>
            <w:tcW w:w="5700" w:type="dxa"/>
            <w:vAlign w:val="bottom"/>
            <w:gridSpan w:val="2"/>
          </w:tcPr>
          <w:p>
            <w:pPr>
              <w:ind w:left="40"/>
              <w:spacing w:after="0"/>
              <w:rPr>
                <w:sz w:val="20"/>
                <w:szCs w:val="20"/>
                <w:color w:val="auto"/>
              </w:rPr>
            </w:pPr>
            <w:r>
              <w:rPr>
                <w:rFonts w:ascii="Arial" w:cs="Arial" w:eastAsia="Arial" w:hAnsi="Arial"/>
                <w:sz w:val="18"/>
                <w:szCs w:val="18"/>
                <w:color w:val="auto"/>
              </w:rPr>
              <w:t>Less: claims paid</w:t>
            </w: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rescissions and denials, net</w:t>
            </w:r>
          </w:p>
        </w:tc>
        <w:tc>
          <w:tcPr>
            <w:tcW w:w="1760" w:type="dxa"/>
            <w:vAlign w:val="bottom"/>
            <w:tcBorders>
              <w:bottom w:val="single" w:sz="8" w:color="CCEEFF"/>
            </w:tcBorders>
            <w:gridSpan w:val="3"/>
            <w:shd w:val="clear" w:color="auto" w:fill="CCEEFF"/>
          </w:tcPr>
          <w:p>
            <w:pPr>
              <w:jc w:val="right"/>
              <w:ind w:right="126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1,174</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1,174</w:t>
            </w:r>
          </w:p>
        </w:tc>
      </w:tr>
      <w:tr>
        <w:trPr>
          <w:trHeight w:val="27"/>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The increase in the number of defaults at June 30, 2017 compared to June 30, 2016 was primarily due to the increase in our IIF and policies in force, as well as further seasoning of our insurance portfolio.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loans in default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As of June 30,</w:t>
            </w:r>
          </w:p>
        </w:tc>
        <w:tc>
          <w:tcPr>
            <w:tcW w:w="1120" w:type="dxa"/>
            <w:vAlign w:val="bottom"/>
            <w:tcBorders>
              <w:bottom w:val="single" w:sz="8" w:color="auto"/>
            </w:tcBorders>
          </w:tcPr>
          <w:p>
            <w:pPr>
              <w:spacing w:after="0"/>
              <w:rPr>
                <w:sz w:val="16"/>
                <w:szCs w:val="16"/>
                <w:color w:val="auto"/>
              </w:rPr>
            </w:pPr>
          </w:p>
        </w:tc>
      </w:tr>
      <w:tr>
        <w:trPr>
          <w:trHeight w:val="264"/>
        </w:trPr>
        <w:tc>
          <w:tcPr>
            <w:tcW w:w="79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Case reserves (in thousands)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83"/>
              </w:rPr>
              <w:t>27,268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20,625</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980" w:type="dxa"/>
            <w:vAlign w:val="bottom"/>
          </w:tcPr>
          <w:p>
            <w:pPr>
              <w:spacing w:after="0"/>
              <w:rPr>
                <w:sz w:val="21"/>
                <w:szCs w:val="21"/>
                <w:color w:val="auto"/>
              </w:rPr>
            </w:pPr>
          </w:p>
        </w:tc>
        <w:tc>
          <w:tcPr>
            <w:tcW w:w="680" w:type="dxa"/>
            <w:vAlign w:val="bottom"/>
          </w:tcPr>
          <w:p>
            <w:pPr>
              <w:jc w:val="right"/>
              <w:ind w:right="113"/>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1,174</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case reserve per default (in thousands)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17.6</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Default rate</w:t>
            </w: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0.36%</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Claims received included in ending default inventory</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37</w:t>
            </w:r>
          </w:p>
        </w:tc>
      </w:tr>
      <w:tr>
        <w:trPr>
          <w:trHeight w:val="27"/>
        </w:trPr>
        <w:tc>
          <w:tcPr>
            <w:tcW w:w="79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decrease in the average case reserve per default was primarily due to changes in the composition (such as mark-to-market loan-to-value ratios, risk in force, and number of months past due) of the underlying loans in default and improvements in economic fundamentals.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a reconciliation of the beginning and ending reserve balances for losses and LAE and a detail of reserves and defaulted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RIF by the number of missed payments and pending claims: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29,468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17,760</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occurring in:</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9,568</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(2,873)</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Incurred losses during the current period</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5,463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6,695</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occurring in:</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4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3,710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1,869</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and LAE payments during the current period</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3,807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1,981</w:t>
            </w: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29,798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22,474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29,798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22,474</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6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4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As of June 30, 2017</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3"/>
                <w:szCs w:val="13"/>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180" w:type="dxa"/>
            <w:vAlign w:val="bottom"/>
          </w:tcPr>
          <w:p>
            <w:pPr>
              <w:spacing w:after="0"/>
              <w:rPr>
                <w:sz w:val="13"/>
                <w:szCs w:val="13"/>
                <w:color w:val="auto"/>
              </w:rPr>
            </w:pPr>
          </w:p>
        </w:tc>
        <w:tc>
          <w:tcPr>
            <w:tcW w:w="94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3"/>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6,101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49,210</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12,604</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35,365</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6,094</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10,214</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2,469</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2,842</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27,268</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97,631</w:t>
            </w:r>
          </w:p>
        </w:tc>
        <w:tc>
          <w:tcPr>
            <w:tcW w:w="1440" w:type="dxa"/>
            <w:vAlign w:val="bottom"/>
            <w:tcBorders>
              <w:bottom w:val="single" w:sz="8" w:color="CCEEFF"/>
            </w:tcBorders>
            <w:gridSpan w:val="2"/>
          </w:tcPr>
          <w:p>
            <w:pPr>
              <w:ind w:left="10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29,798</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As of June 30, 2016</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3"/>
                <w:szCs w:val="13"/>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180" w:type="dxa"/>
            <w:vAlign w:val="bottom"/>
          </w:tcPr>
          <w:p>
            <w:pPr>
              <w:spacing w:after="0"/>
              <w:rPr>
                <w:sz w:val="13"/>
                <w:szCs w:val="13"/>
                <w:color w:val="auto"/>
              </w:rPr>
            </w:pPr>
          </w:p>
        </w:tc>
        <w:tc>
          <w:tcPr>
            <w:tcW w:w="94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3"/>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4,494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30,478</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w w:val="94"/>
              </w:rPr>
              <w:t>15%</w:t>
            </w:r>
          </w:p>
        </w:tc>
        <w:tc>
          <w:tcPr>
            <w:tcW w:w="0" w:type="dxa"/>
            <w:vAlign w:val="bottom"/>
          </w:tcPr>
          <w:p>
            <w:pPr>
              <w:spacing w:after="0"/>
              <w:rPr>
                <w:sz w:val="1"/>
                <w:szCs w:val="1"/>
                <w:color w:val="auto"/>
              </w:rPr>
            </w:pPr>
          </w:p>
        </w:tc>
      </w:tr>
      <w:tr>
        <w:trPr>
          <w:trHeight w:val="27"/>
        </w:trPr>
        <w:tc>
          <w:tcPr>
            <w:tcW w:w="36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10,196</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24,520</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4,431</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6,703</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6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1,504</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1,693</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1,174</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20,625</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63,394</w:t>
            </w:r>
          </w:p>
        </w:tc>
        <w:tc>
          <w:tcPr>
            <w:tcW w:w="1440" w:type="dxa"/>
            <w:vAlign w:val="bottom"/>
            <w:tcBorders>
              <w:bottom w:val="single" w:sz="8" w:color="CCEEFF"/>
            </w:tcBorders>
            <w:gridSpan w:val="2"/>
          </w:tcPr>
          <w:p>
            <w:pPr>
              <w:ind w:left="10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1,547</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gridSpan w:val="2"/>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22,474</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During the three months ended June 30, 2017, the provision for losses and LAE was $1.8 million, comprised of $5.0 million of current year losses partially offset by $3.3 million of favorable prior years’ loss development. During the three months ended June 30, 2016, the provision for losses and LAE was $3.0 million, comprised of $4.5 million of current year losses partially offset by $1.5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18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During the six months ended June 30, 2017, the provision for losses and LAE was $5.5 million, comprised of $12.1 million of current year losses partially offset by $6.7 million of favorable prior years’ loss development. During the six months ended June 30, 2016, the provision for losses and LAE was $6.7 million, comprised of $9.6 million of current year losses partially offset by $2.9 million of favorable prior years’ loss development. In both periods, the prior years’ loss development is the result of a re-estimation of amounts ultimately to be paid on prior year defaults in the default inventory, including the impact of previously identified defaults that cured.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claims paid and claim severity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6"/>
                <w:szCs w:val="16"/>
                <w:color w:val="auto"/>
              </w:rPr>
            </w:pPr>
          </w:p>
        </w:tc>
        <w:tc>
          <w:tcPr>
            <w:tcW w:w="3000" w:type="dxa"/>
            <w:vAlign w:val="bottom"/>
            <w:gridSpan w:val="4"/>
          </w:tcPr>
          <w:p>
            <w:pPr>
              <w:jc w:val="right"/>
              <w:ind w:right="75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2016</w:t>
            </w: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Number of claims paid</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61</w:t>
            </w: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Amount of claims paid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6"/>
              <w:spacing w:after="0"/>
              <w:rPr>
                <w:sz w:val="20"/>
                <w:szCs w:val="20"/>
                <w:color w:val="auto"/>
              </w:rPr>
            </w:pPr>
            <w:r>
              <w:rPr>
                <w:rFonts w:ascii="Arial" w:cs="Arial" w:eastAsia="Arial" w:hAnsi="Arial"/>
                <w:sz w:val="18"/>
                <w:szCs w:val="18"/>
                <w:color w:val="auto"/>
              </w:rPr>
              <w:t>1,380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7"/>
              <w:spacing w:after="0"/>
              <w:rPr>
                <w:sz w:val="20"/>
                <w:szCs w:val="20"/>
                <w:color w:val="auto"/>
              </w:rPr>
            </w:pPr>
            <w:r>
              <w:rPr>
                <w:rFonts w:ascii="Arial" w:cs="Arial" w:eastAsia="Arial" w:hAnsi="Arial"/>
                <w:sz w:val="18"/>
                <w:szCs w:val="18"/>
                <w:color w:val="auto"/>
              </w:rPr>
              <w:t>3,687</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1,922</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 severity</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675"/>
        </w:trPr>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276"/>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rPr>
              <w:t>Three Months Ended 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w w:val="91"/>
              </w:rPr>
              <w:t>Six Months Ended June 30,</w:t>
            </w:r>
          </w:p>
        </w:tc>
        <w:tc>
          <w:tcPr>
            <w:tcW w:w="760" w:type="dxa"/>
            <w:vAlign w:val="bottom"/>
            <w:tcBorders>
              <w:bottom w:val="single" w:sz="8" w:color="auto"/>
            </w:tcBorders>
          </w:tcPr>
          <w:p>
            <w:pPr>
              <w:spacing w:after="0"/>
              <w:rPr>
                <w:sz w:val="16"/>
                <w:szCs w:val="16"/>
                <w:color w:val="auto"/>
              </w:rPr>
            </w:pPr>
          </w:p>
        </w:tc>
      </w:tr>
      <w:tr>
        <w:trPr>
          <w:trHeight w:val="264"/>
        </w:trPr>
        <w:tc>
          <w:tcPr>
            <w:tcW w:w="3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auto"/>
            </w:tcBorders>
          </w:tcPr>
          <w:p>
            <w:pPr>
              <w:spacing w:after="0"/>
              <w:rPr>
                <w:sz w:val="22"/>
                <w:szCs w:val="22"/>
                <w:color w:val="auto"/>
              </w:rPr>
            </w:pPr>
          </w:p>
        </w:tc>
      </w:tr>
      <w:tr>
        <w:trPr>
          <w:trHeight w:val="264"/>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r>
      <w:tr>
        <w:trPr>
          <w:trHeight w:val="250"/>
        </w:trPr>
        <w:tc>
          <w:tcPr>
            <w:tcW w:w="3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22,652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20,396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45,831</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40,702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13,034</w:t>
            </w:r>
          </w:p>
        </w:tc>
        <w:tc>
          <w:tcPr>
            <w:tcW w:w="120" w:type="dxa"/>
            <w:vAlign w:val="bottom"/>
          </w:tcPr>
          <w:p>
            <w:pPr>
              <w:spacing w:after="0"/>
              <w:rPr>
                <w:sz w:val="21"/>
                <w:szCs w:val="21"/>
                <w:color w:val="auto"/>
              </w:rPr>
            </w:pP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11,013</w:t>
            </w:r>
          </w:p>
        </w:tc>
        <w:tc>
          <w:tcPr>
            <w:tcW w:w="100" w:type="dxa"/>
            <w:vAlign w:val="bottom"/>
          </w:tcPr>
          <w:p>
            <w:pPr>
              <w:spacing w:after="0"/>
              <w:rPr>
                <w:sz w:val="21"/>
                <w:szCs w:val="21"/>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26,187</w:t>
            </w:r>
          </w:p>
        </w:tc>
        <w:tc>
          <w:tcPr>
            <w:tcW w:w="80" w:type="dxa"/>
            <w:vAlign w:val="bottom"/>
          </w:tcPr>
          <w:p>
            <w:pPr>
              <w:spacing w:after="0"/>
              <w:rPr>
                <w:sz w:val="21"/>
                <w:szCs w:val="21"/>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22,095</w:t>
            </w:r>
          </w:p>
        </w:tc>
        <w:tc>
          <w:tcPr>
            <w:tcW w:w="100" w:type="dxa"/>
            <w:vAlign w:val="bottom"/>
          </w:tcPr>
          <w:p>
            <w:pPr>
              <w:spacing w:after="0"/>
              <w:rPr>
                <w:sz w:val="21"/>
                <w:szCs w:val="21"/>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35</w:t>
            </w:r>
          </w:p>
        </w:tc>
      </w:tr>
      <w:tr>
        <w:trPr>
          <w:trHeight w:val="27"/>
        </w:trPr>
        <w:tc>
          <w:tcPr>
            <w:tcW w:w="3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3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35,686</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31,409</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72,018</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62,797</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Number of employees at end of period</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362</w:t>
            </w:r>
          </w:p>
        </w:tc>
      </w:tr>
      <w:tr>
        <w:trPr>
          <w:trHeight w:val="27"/>
        </w:trPr>
        <w:tc>
          <w:tcPr>
            <w:tcW w:w="3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25" w:lineRule="exact"/>
        <w:rPr>
          <w:sz w:val="20"/>
          <w:szCs w:val="20"/>
          <w:color w:val="auto"/>
        </w:rPr>
      </w:pPr>
    </w:p>
    <w:p>
      <w:pPr>
        <w:ind w:left="660" w:right="14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Compensation and benefits increased primarily due to the increase in the size of our workforce to 391 at June 30, 2017 from 366 at January 1, 2016 and an increase in stock compensation expense. Additional employees were hired to support the growth in our business, particularly in our sales organization, as well as our underwriting and customer service teams. Compensation and benefits includes salaries, wages and bonus, stock compensation expense, benefits and payroll taxes.</w:t>
      </w:r>
    </w:p>
    <w:p>
      <w:pPr>
        <w:spacing w:after="0" w:line="18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expenses increased as a result of the continued expansion of our business. Other expenses include premium taxes, travel, marketing, hardware, software, rent, depreciation and amortization and other facilities expenses.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For the three and six months ended June 30, 2017, we incurred interest expense of $1.2 million and $1.9 million, respectively, associated with amounts outstanding under our Credit Facility. At June 30, 2017, $175 million was outstanding under the Credit Facility. For the three and six months ended June 30, 2016, we had not yet incurred interest expense as there were no amounts outstanding under the Credit Facility.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Our subsidiaries in the United States file a consolidated U.S. Federal income tax return. For interim reporting periods, we use an annualized effective tax rate method required under GAAP to calculate the income tax provision. Our income tax expense was $26.8 million for the three months ended June 30, 2017 and $47.1 million for the six months ended June 30, 2017. Income tax expense for the three and six months ended June 30, 2017 was calculated using an annualized effective tax rate of 27.2% and 27.0%, respectively, and was reduced by $0.1 million and $3.1 million, respectively, of excess tax benefits associated with the vesting of common shares and common share units during the period as required by ASU 2016-09, </w:t>
      </w:r>
      <w:r>
        <w:rPr>
          <w:rFonts w:ascii="Arial" w:cs="Arial" w:eastAsia="Arial" w:hAnsi="Arial"/>
          <w:sz w:val="16"/>
          <w:szCs w:val="16"/>
          <w:i w:val="1"/>
          <w:iCs w:val="1"/>
          <w:color w:val="auto"/>
        </w:rPr>
        <w:t xml:space="preserve">Improvements to Employee Share-Based Payment Accounting </w:t>
      </w:r>
      <w:r>
        <w:rPr>
          <w:rFonts w:ascii="Arial" w:cs="Arial" w:eastAsia="Arial" w:hAnsi="Arial"/>
          <w:sz w:val="16"/>
          <w:szCs w:val="16"/>
          <w:color w:val="auto"/>
        </w:rPr>
        <w:t>(Topic 718), adopted on January 1, 2017. Prior to the adoption of ASU 2016-09, excess tax benefits were recognized in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paid-in-capital. The tax effects associated with the vesting of common shares and common share units are treated as discrete items in the reporting period in which they occur and are not considered in determining the annualized effective tax rate. For the three and six months ended June 30, 2016, our effective tax rate was 29.2% and 29.0%, respectively. In 2017, we expect the proportion of our consolidated earnings generated in Bermuda to be higher than in 2016 as a result of an increase in the amount of risk in force at Essent Re. In the three and six months ended June 30, 2017 and 2016, our effective tax rate reflects the impact of the change in our expectations for the proportion of consolidated earnings to be generated in the United States compared to Bermuda in each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sources of funds consist primarily of:</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pacing w:after="0" w:line="225" w:lineRule="exact"/>
        <w:rPr>
          <w:rFonts w:ascii="Arial" w:cs="Arial" w:eastAsia="Arial" w:hAnsi="Arial"/>
          <w:sz w:val="18"/>
          <w:szCs w:val="18"/>
          <w:color w:val="auto"/>
        </w:rPr>
      </w:pPr>
    </w:p>
    <w:p>
      <w:pPr>
        <w:ind w:left="5620" w:right="3460" w:hanging="5288"/>
        <w:spacing w:after="0" w:line="559"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 30</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borrowings under our Credit Facility;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obligations consist primarily 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claim payments under our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payments and repayment of borrowings under our Credit Facility;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w:t>
      </w:r>
    </w:p>
    <w:p>
      <w:pPr>
        <w:spacing w:after="0" w:line="225" w:lineRule="exact"/>
        <w:rPr>
          <w:sz w:val="20"/>
          <w:szCs w:val="20"/>
          <w:color w:val="auto"/>
        </w:rPr>
      </w:pPr>
    </w:p>
    <w:p>
      <w:pPr>
        <w:ind w:right="400" w:firstLine="648"/>
        <w:spacing w:after="0" w:line="257" w:lineRule="auto"/>
        <w:rPr>
          <w:sz w:val="20"/>
          <w:szCs w:val="20"/>
          <w:color w:val="auto"/>
        </w:rPr>
      </w:pPr>
      <w:r>
        <w:rPr>
          <w:rFonts w:ascii="Arial" w:cs="Arial" w:eastAsia="Arial" w:hAnsi="Arial"/>
          <w:sz w:val="18"/>
          <w:szCs w:val="18"/>
          <w:color w:val="auto"/>
        </w:rPr>
        <w:t>As of June 30, 2017, we had substantial liquidity with cash of $27.7 million, short-term investments of $131.0 million and fixed maturity investments of $1.7 billion. We also had $200 million available under our Credit Facility, with $175 million of borrowings outstanding under our Credit Facility. Borrowings under the Credit Facility contractually mature on May 17, 2021 and accrue interest at a floating rate tied to a standard short-term borrowing index, selected at the Company’s option, plus an applicable margin and are paid monthly. At June 30, 2017, net cash and investments at the holding company were $27.2 million.</w:t>
      </w:r>
    </w:p>
    <w:p>
      <w:pPr>
        <w:spacing w:after="0" w:line="18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While the Company and all of its subsidiaries are expected to have sufficient liquidity to meet all their expected obligations, additional capital may be required to meet any new capital requirements that are adopted by regulatory authorities or the GSEs, or to provide additional capital related to the growth of our risk in force in our mortgage insurance portfolio, or to fund new business initiatives including the insurance activities of Essent 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June 30, 2017, Essent Guaranty had unassigned surplus of approximately $47.7 million and has paid no dividends since its inception. Essent Guaranty of PA, Inc. (“Essent PA") had unassigned surplus of approximately $5.2 million as of June 30, 2017. During the six months ended June 30, 2017, Essent PA paid to its parent company, Essent US Holdings, Inc., a $5.0 million dividend. 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June 30, 2017, Essent Re had total equity of $537.7 million. In connection with its insurance and reinsurance activities, Essent Re is required to maintain assets in trusts for the benefit of its contractual counterparties. See Note 3 to our condensed consolidated financial statements. At June 30, 2017, our insurance subsidiaries were in compliance with these rules, regulations and agreements.</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125" w:right="3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144,403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123,090</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(209,460)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(125,550)</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65,196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(5,974)</w:t>
            </w:r>
          </w:p>
        </w:tc>
      </w:tr>
      <w:tr>
        <w:trPr>
          <w:trHeight w:val="25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(8,434)</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Cash flow provided by operating activities totaled $144.4 million for the six months ended June 30, 2017, as compared to $123.1 million for the six months ended June 30, 2016. The increase in cash flow provided by operating activities of $21.3 million in 2017 was primarily a result of increases in premiums collected and net investment income, partially offset by increases in expenses paid.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Cash flow used in investing activities totaled $209.5 million for the six months ended June 30, 2017, as compared to $125.6 million for the six months ended June 30, 2016. The increase in cash flow used in investing activities primarily related to investing cash flows from the business and investing $75 million of net increased borrowings under the Credit Facility in 2017.</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Cash flow provided by financing activities totaled $65.2 million for the six months ended June 30, 2017, as compared to cash flow used in financing activities of $6.0 million for the six months ended June 30, 2016. The increase in cash flow provided by financing activities was primarily related to $75 million of net increased borrowings under the Credit Facility, which was contributed to Essent Re to support new business, partially offset by an increase in treasury stock acquired from employees to satisfy tax withholding obligations.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six months ended June 30, 2017 and 2016, no capital contributions were made by Essent Group Ltd. to our U.S. insurance subsidiaries.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combined risk-to-capital calculation for our U.S. insurance subsidiaries as of June 30, 2017 is as follows: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Combined statutory capital:</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Policyholders’ surplus</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657,834</w:t>
            </w:r>
          </w:p>
        </w:tc>
      </w:tr>
      <w:tr>
        <w:trPr>
          <w:trHeight w:val="243"/>
        </w:trPr>
        <w:tc>
          <w:tcPr>
            <w:tcW w:w="9400" w:type="dxa"/>
            <w:vAlign w:val="bottom"/>
          </w:tcPr>
          <w:p>
            <w:pPr>
              <w:ind w:left="40"/>
              <w:spacing w:after="0"/>
              <w:rPr>
                <w:sz w:val="20"/>
                <w:szCs w:val="20"/>
                <w:color w:val="auto"/>
              </w:rPr>
            </w:pPr>
            <w:r>
              <w:rPr>
                <w:rFonts w:ascii="Arial" w:cs="Arial" w:eastAsia="Arial" w:hAnsi="Arial"/>
                <w:sz w:val="18"/>
                <w:szCs w:val="18"/>
                <w:color w:val="auto"/>
              </w:rPr>
              <w:t>Contingency reserves</w:t>
            </w:r>
          </w:p>
        </w:tc>
        <w:tc>
          <w:tcPr>
            <w:tcW w:w="5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612,606</w:t>
            </w:r>
          </w:p>
        </w:tc>
      </w:tr>
      <w:tr>
        <w:trPr>
          <w:trHeight w:val="27"/>
        </w:trPr>
        <w:tc>
          <w:tcPr>
            <w:tcW w:w="9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statutory capital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1,270,440</w:t>
            </w:r>
          </w:p>
        </w:tc>
      </w:tr>
      <w:tr>
        <w:trPr>
          <w:trHeight w:val="20"/>
        </w:trPr>
        <w:tc>
          <w:tcPr>
            <w:tcW w:w="9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9400" w:type="dxa"/>
            <w:vAlign w:val="bottom"/>
          </w:tcPr>
          <w:p>
            <w:pPr>
              <w:ind w:left="40"/>
              <w:spacing w:after="0"/>
              <w:rPr>
                <w:sz w:val="20"/>
                <w:szCs w:val="20"/>
                <w:color w:val="auto"/>
              </w:rPr>
            </w:pPr>
            <w:r>
              <w:rPr>
                <w:rFonts w:ascii="Arial" w:cs="Arial" w:eastAsia="Arial" w:hAnsi="Arial"/>
                <w:sz w:val="18"/>
                <w:szCs w:val="18"/>
                <w:color w:val="auto"/>
              </w:rPr>
              <w:t>Combined net risk in force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18,937,727</w:t>
            </w:r>
          </w:p>
        </w:tc>
      </w:tr>
      <w:tr>
        <w:trPr>
          <w:trHeight w:val="27"/>
        </w:trPr>
        <w:tc>
          <w:tcPr>
            <w:tcW w:w="9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risk-to-capital ratio</w:t>
            </w:r>
          </w:p>
        </w:tc>
        <w:tc>
          <w:tcPr>
            <w:tcW w:w="5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14.9:1</w:t>
            </w:r>
          </w:p>
        </w:tc>
      </w:tr>
      <w:tr>
        <w:trPr>
          <w:trHeight w:val="20"/>
        </w:trPr>
        <w:tc>
          <w:tcPr>
            <w:tcW w:w="9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For additional information regarding regulatory capital, see Note 11 to our condensed consolidated financial statements. Our combined statutory capital equals the sum of statutory capital of Essent Guaranty plus Essent PA, after eliminating the impact of intercompany transactions. The combined risk-to-capital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Such practices vary from accounting principles generally accepted in the United States.</w:t>
      </w:r>
    </w:p>
    <w:p>
      <w:pPr>
        <w:spacing w:after="0" w:line="15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Essent Re has entered into risk share insurance and reinsurance transactions with Freddie Mac and Fannie Mae. Essent Re also executed a quota share reinsurance transaction with Essent Guaranty to reinsure 25% of Essent Guaranty’s GSE-eligible NIW effective July 1, 2014. During the six months ended June 30, 2017, Essent Group Ltd. made capital contributions to Essent Re of $90.0 million to support new business. As of June 30, 2017, Essent Re had total stockholders’ equity of $537.7 million and net risk in force of $5.2 billion.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insurer financial strength rating of Essent Guaranty, our principal mortgage insurance subsidiary, is Baa2 with a stable outlook by Moody's and BBB+ with a stable outlook by S&amp;P. The insurer financial strength rating of Essent Re is BBB+ with a stable outlook by S&amp;P.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Private Mortgage Insurer Eligibility Requirements</w:t>
      </w:r>
    </w:p>
    <w:p>
      <w:pPr>
        <w:spacing w:after="0" w:line="225"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w:t>
      </w:r>
    </w:p>
    <w:p>
      <w:pPr>
        <w:spacing w:after="0" w:line="2" w:lineRule="exact"/>
        <w:rPr>
          <w:sz w:val="20"/>
          <w:szCs w:val="20"/>
          <w:color w:val="auto"/>
        </w:rPr>
      </w:pPr>
    </w:p>
    <w:p>
      <w:pPr>
        <w:ind w:right="720"/>
        <w:spacing w:after="0" w:line="323" w:lineRule="auto"/>
        <w:rPr>
          <w:sz w:val="20"/>
          <w:szCs w:val="20"/>
          <w:color w:val="auto"/>
        </w:rPr>
      </w:pPr>
      <w:r>
        <w:rPr>
          <w:rFonts w:ascii="Arial" w:cs="Arial" w:eastAsia="Arial" w:hAnsi="Arial"/>
          <w:sz w:val="16"/>
          <w:szCs w:val="16"/>
          <w:color w:val="auto"/>
        </w:rPr>
        <w:t>June 30, 2017, Essent Guaranty, our GSE-approved mortgage insurance company, was in compliance with the PMIERs. As of June 30, 2017, Essent Guaranty's Available Assets were $1.31 billion and its Minimum Required Assets were $1.28 billion based on our interpretation of the PMIERs.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As of June 30, 2017, stockholders’ equity was $1.5 billion compared to $1.3 billion as of December 31, 2016. This increase was primarily due to net income generated in 2017, as well as an increase in accumulated other comprehensive income related to an increase in our unrealized investment gains.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The total fair value of our investment portfolio was $1.8 billion as of June 30, 2017 and $1.6 billion as of December 31, 2016. In addition, our total cash was $27.7 million as of June 30, 2017, compared to $27.5 million as of December 31, 2016. The increase in investments was primarily due to investing net cash flows from operations and $75 million of net increased borrowings under the Credit Facility during the six months ended June 30, 2017.</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Portfolio by Asset Class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gridSpan w:val="4"/>
          </w:tcPr>
          <w:p>
            <w:pPr>
              <w:ind w:left="40"/>
              <w:spacing w:after="0"/>
              <w:rPr>
                <w:sz w:val="20"/>
                <w:szCs w:val="20"/>
                <w:color w:val="auto"/>
              </w:rPr>
            </w:pPr>
            <w:r>
              <w:rPr>
                <w:rFonts w:ascii="Arial" w:cs="Arial" w:eastAsia="Arial" w:hAnsi="Arial"/>
                <w:sz w:val="14"/>
                <w:szCs w:val="14"/>
                <w:b w:val="1"/>
                <w:bCs w:val="1"/>
                <w:color w:val="auto"/>
              </w:rPr>
              <w:t>Asset Class</w:t>
            </w:r>
          </w:p>
        </w:tc>
        <w:tc>
          <w:tcPr>
            <w:tcW w:w="3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w w:val="98"/>
              </w:rPr>
              <w:t>June 30, 2017</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08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Percent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gridSpan w:val="2"/>
          </w:tcPr>
          <w:p>
            <w:pPr>
              <w:spacing w:after="0"/>
              <w:rPr>
                <w:sz w:val="22"/>
                <w:szCs w:val="22"/>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202,364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191,548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U.S. agency securities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26,357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18,441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397,602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316,494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Municipal debt securities(1)</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370,068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334,324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555,965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456,357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69,672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68,336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135,505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127,172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83,508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102,430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1,841,041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1,615,102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9"/>
              </w:rPr>
              <w:t>June 30,</w:t>
            </w:r>
          </w:p>
        </w:tc>
        <w:tc>
          <w:tcPr>
            <w:tcW w:w="14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387"/>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vMerge w:val="continue"/>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(1) The following table summarizes municipal debt securities as of :</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center"/>
              <w:ind w:left="100"/>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General obligation bonds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29.7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Tax allocation bonds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tax bonds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36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June 30,</w:t>
            </w: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(2) The following table summarizes corporate debt securities as of :</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center"/>
              <w:ind w:left="100"/>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Consumer, non-cyclical</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Communications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Utilities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Industrial</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Consumer, cyclical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Technology</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36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vMerge w:val="restart"/>
          </w:tcPr>
          <w:p>
            <w:pPr>
              <w:jc w:val="right"/>
              <w:ind w:right="27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Portfolio by Rating</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gridSpan w:val="2"/>
          </w:tcPr>
          <w:p>
            <w:pPr>
              <w:ind w:left="40"/>
              <w:spacing w:after="0"/>
              <w:rPr>
                <w:sz w:val="20"/>
                <w:szCs w:val="20"/>
                <w:color w:val="auto"/>
              </w:rPr>
            </w:pPr>
            <w:r>
              <w:rPr>
                <w:rFonts w:ascii="Arial" w:cs="Arial" w:eastAsia="Arial" w:hAnsi="Arial"/>
                <w:sz w:val="14"/>
                <w:szCs w:val="14"/>
                <w:b w:val="1"/>
                <w:bCs w:val="1"/>
                <w:color w:val="auto"/>
              </w:rPr>
              <w:t>Rating(1)</w:t>
            </w:r>
          </w:p>
        </w:tc>
        <w:tc>
          <w:tcPr>
            <w:tcW w:w="3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June 30, 2017</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3"/>
              </w:rPr>
              <w:t>December 31, 2016</w:t>
            </w:r>
          </w:p>
        </w:tc>
        <w:tc>
          <w:tcPr>
            <w:tcW w:w="1160" w:type="dxa"/>
            <w:vAlign w:val="bottom"/>
            <w:tcBorders>
              <w:bottom w:val="single" w:sz="8" w:color="auto"/>
            </w:tcBorders>
          </w:tcPr>
          <w:p>
            <w:pPr>
              <w:spacing w:after="0"/>
              <w:rPr>
                <w:sz w:val="16"/>
                <w:szCs w:val="16"/>
                <w:color w:val="auto"/>
              </w:rPr>
            </w:pPr>
          </w:p>
        </w:tc>
      </w:tr>
      <w:tr>
        <w:trPr>
          <w:trHeight w:val="264"/>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3"/>
              </w:rPr>
              <w:t>Percent</w:t>
            </w: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853,219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780,513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93,554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88,977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5.5</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106,282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101,772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6.3</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87,084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89,421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5.5</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A1</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201,148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143,938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8.9</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A2</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136,813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126,113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7.8</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A3</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106,566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95,926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6.0</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Baa1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109,780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85,864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5.3</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96,096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71,950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4.5</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Baa3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32,658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24,544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1.5</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Below Baa3 / Unrated</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17,841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6,084</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0.4</w:t>
            </w:r>
          </w:p>
        </w:tc>
      </w:tr>
      <w:tr>
        <w:trPr>
          <w:trHeight w:val="257"/>
        </w:trPr>
        <w:tc>
          <w:tcPr>
            <w:tcW w:w="41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1,841,041</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1,615,102</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21" w:lineRule="exact"/>
        <w:rPr>
          <w:rFonts w:ascii="Arial" w:cs="Arial" w:eastAsia="Arial" w:hAnsi="Arial"/>
          <w:sz w:val="18"/>
          <w:szCs w:val="18"/>
          <w:color w:val="auto"/>
        </w:rPr>
      </w:pPr>
    </w:p>
    <w:p>
      <w:pPr>
        <w:ind w:left="4060"/>
        <w:spacing w:after="0"/>
        <w:rPr>
          <w:rFonts w:ascii="Arial" w:cs="Arial" w:eastAsia="Arial" w:hAnsi="Arial"/>
          <w:sz w:val="18"/>
          <w:szCs w:val="18"/>
          <w:color w:val="auto"/>
        </w:rPr>
      </w:pPr>
      <w:r>
        <w:rPr>
          <w:rFonts w:ascii="Arial" w:cs="Arial" w:eastAsia="Arial" w:hAnsi="Arial"/>
          <w:sz w:val="18"/>
          <w:szCs w:val="18"/>
          <w:b w:val="1"/>
          <w:bCs w:val="1"/>
          <w:color w:val="auto"/>
        </w:rPr>
        <w:t>Investment Portfolio by Effective 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gridSpan w:val="2"/>
          </w:tcPr>
          <w:p>
            <w:pPr>
              <w:ind w:left="40"/>
              <w:spacing w:after="0"/>
              <w:rPr>
                <w:sz w:val="20"/>
                <w:szCs w:val="20"/>
                <w:color w:val="auto"/>
              </w:rPr>
            </w:pPr>
            <w:r>
              <w:rPr>
                <w:rFonts w:ascii="Arial" w:cs="Arial" w:eastAsia="Arial" w:hAnsi="Arial"/>
                <w:sz w:val="14"/>
                <w:szCs w:val="14"/>
                <w:b w:val="1"/>
                <w:bCs w:val="1"/>
                <w:color w:val="auto"/>
              </w:rPr>
              <w:t>Effective Duration</w:t>
            </w:r>
          </w:p>
        </w:tc>
        <w:tc>
          <w:tcPr>
            <w:tcW w:w="3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June 30, 2017</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3"/>
              </w:rPr>
              <w:t>December 31, 2016</w:t>
            </w:r>
          </w:p>
        </w:tc>
        <w:tc>
          <w:tcPr>
            <w:tcW w:w="1160" w:type="dxa"/>
            <w:vAlign w:val="bottom"/>
            <w:tcBorders>
              <w:bottom w:val="single" w:sz="8" w:color="auto"/>
            </w:tcBorders>
          </w:tcPr>
          <w:p>
            <w:pPr>
              <w:spacing w:after="0"/>
              <w:rPr>
                <w:sz w:val="16"/>
                <w:szCs w:val="16"/>
                <w:color w:val="auto"/>
              </w:rPr>
            </w:pPr>
          </w:p>
        </w:tc>
      </w:tr>
      <w:tr>
        <w:trPr>
          <w:trHeight w:val="264"/>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3"/>
              </w:rPr>
              <w:t>Percent</w:t>
            </w: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&lt; 1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368,433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329,901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1 to &lt; 2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155,935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153,184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9.5</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 to &lt; 3 Years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257,442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156,620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9.7</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3 to &lt; 4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183,786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176,896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11.0</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 to &lt; 5 Years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205,481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139,115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8.6</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5 or more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669,964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659,386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40.8</w:t>
            </w:r>
          </w:p>
        </w:tc>
      </w:tr>
      <w:tr>
        <w:trPr>
          <w:trHeight w:val="27"/>
        </w:trPr>
        <w:tc>
          <w:tcPr>
            <w:tcW w:w="4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1,841,041</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1,615,102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62"/>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Top Ten Portfolio Holdings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Rank</w:t>
            </w:r>
          </w:p>
        </w:tc>
        <w:tc>
          <w:tcPr>
            <w:tcW w:w="3380" w:type="dxa"/>
            <w:vAlign w:val="bottom"/>
            <w:gridSpan w:val="2"/>
            <w:vMerge w:val="restart"/>
          </w:tcPr>
          <w:p>
            <w:pPr>
              <w:ind w:left="1440"/>
              <w:spacing w:after="0"/>
              <w:rPr>
                <w:sz w:val="20"/>
                <w:szCs w:val="20"/>
                <w:color w:val="auto"/>
              </w:rPr>
            </w:pPr>
            <w:r>
              <w:rPr>
                <w:rFonts w:ascii="Arial" w:cs="Arial" w:eastAsia="Arial" w:hAnsi="Arial"/>
                <w:sz w:val="14"/>
                <w:szCs w:val="14"/>
                <w:b w:val="1"/>
                <w:bCs w:val="1"/>
                <w:color w:val="auto"/>
              </w:rPr>
              <w:t>Security</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3"/>
                <w:szCs w:val="13"/>
                <w:color w:val="auto"/>
              </w:rPr>
            </w:pPr>
          </w:p>
        </w:tc>
        <w:tc>
          <w:tcPr>
            <w:tcW w:w="118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3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7"/>
              </w:rPr>
              <w:t>Gain (Loss)(1)</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Rating(2)</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5.250% 11/15/2028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29,812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30,280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1.500%</w:t>
            </w:r>
          </w:p>
        </w:tc>
        <w:tc>
          <w:tcPr>
            <w:tcW w:w="1740" w:type="dxa"/>
            <w:vAlign w:val="bottom"/>
          </w:tcPr>
          <w:p>
            <w:pPr>
              <w:ind w:left="20"/>
              <w:spacing w:after="0"/>
              <w:rPr>
                <w:sz w:val="20"/>
                <w:szCs w:val="20"/>
                <w:color w:val="auto"/>
              </w:rPr>
            </w:pPr>
            <w:r>
              <w:rPr>
                <w:rFonts w:ascii="Arial" w:cs="Arial" w:eastAsia="Arial" w:hAnsi="Arial"/>
                <w:sz w:val="18"/>
                <w:szCs w:val="18"/>
                <w:color w:val="auto"/>
              </w:rPr>
              <w:t>8/15/2026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19,179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20,397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0.000%</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7/6/2017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17,499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0.000%</w:t>
            </w:r>
          </w:p>
        </w:tc>
        <w:tc>
          <w:tcPr>
            <w:tcW w:w="1740" w:type="dxa"/>
            <w:vAlign w:val="bottom"/>
          </w:tcPr>
          <w:p>
            <w:pPr>
              <w:ind w:left="20"/>
              <w:spacing w:after="0"/>
              <w:rPr>
                <w:sz w:val="20"/>
                <w:szCs w:val="20"/>
                <w:color w:val="auto"/>
              </w:rPr>
            </w:pPr>
            <w:r>
              <w:rPr>
                <w:rFonts w:ascii="Arial" w:cs="Arial" w:eastAsia="Arial" w:hAnsi="Arial"/>
                <w:sz w:val="18"/>
                <w:szCs w:val="18"/>
                <w:color w:val="auto"/>
              </w:rPr>
              <w:t>7/20/2017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14,994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14,994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0.000%</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8/17/2017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14,983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Ginnie Mae 4.000% 7/20/2045</w:t>
            </w:r>
          </w:p>
        </w:tc>
        <w:tc>
          <w:tcPr>
            <w:tcW w:w="22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12,624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12,930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Ginnie Mae 4.000% 8/20/2045</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12,429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Freddie Mac 2.500% 10/1/2030</w:t>
            </w:r>
          </w:p>
        </w:tc>
        <w:tc>
          <w:tcPr>
            <w:tcW w:w="22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11,906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12,104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Freddie Mac 3.000% 9/1/2046</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10,603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Fannie Mae 3.000% 7/25/2045</w:t>
            </w:r>
          </w:p>
        </w:tc>
        <w:tc>
          <w:tcPr>
            <w:tcW w:w="22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10,410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10,523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154,439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157,397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940" w:type="dxa"/>
            <w:vAlign w:val="bottom"/>
            <w:gridSpan w:val="2"/>
          </w:tcPr>
          <w:p>
            <w:pPr>
              <w:ind w:left="40"/>
              <w:spacing w:after="0"/>
              <w:rPr>
                <w:sz w:val="20"/>
                <w:szCs w:val="20"/>
                <w:color w:val="auto"/>
              </w:rPr>
            </w:pPr>
            <w:r>
              <w:rPr>
                <w:rFonts w:ascii="Arial" w:cs="Arial" w:eastAsia="Arial" w:hAnsi="Arial"/>
                <w:sz w:val="18"/>
                <w:szCs w:val="18"/>
                <w:b w:val="1"/>
                <w:bCs w:val="1"/>
                <w:color w:val="auto"/>
              </w:rPr>
              <w:t>Percent of Investment Portfolio</w:t>
            </w:r>
          </w:p>
        </w:tc>
        <w:tc>
          <w:tcPr>
            <w:tcW w:w="16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June 30, 2017, for securities in unrealized loss positions, management believes decline in fair values is principally associated with the changes in the interest rate environment subsequent to their purchase. Also, see Note 3 to our condensed consolidated financial statements, which summarizes the aggregate amount of gross unrealized losses by asset class in which the fair value of investments has been less than cost for less than 12 months and for 12 months or more.</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-816610</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auto"/>
              </w:rPr>
              <w:t>Rank</w:t>
            </w:r>
          </w:p>
        </w:tc>
        <w:tc>
          <w:tcPr>
            <w:tcW w:w="1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3"/>
          </w:tcPr>
          <w:p>
            <w:pPr>
              <w:jc w:val="right"/>
              <w:ind w:right="2300"/>
              <w:spacing w:after="0"/>
              <w:rPr>
                <w:sz w:val="20"/>
                <w:szCs w:val="20"/>
                <w:color w:val="auto"/>
              </w:rPr>
            </w:pPr>
            <w:r>
              <w:rPr>
                <w:rFonts w:ascii="Arial" w:cs="Arial" w:eastAsia="Arial" w:hAnsi="Arial"/>
                <w:sz w:val="14"/>
                <w:szCs w:val="14"/>
                <w:b w:val="1"/>
                <w:bCs w:val="1"/>
                <w:color w:val="auto"/>
              </w:rPr>
              <w:t>December 31, 2016</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jc w:val="right"/>
              <w:ind w:right="2939"/>
              <w:spacing w:after="0"/>
              <w:rPr>
                <w:sz w:val="20"/>
                <w:szCs w:val="20"/>
                <w:color w:val="auto"/>
              </w:rPr>
            </w:pPr>
            <w:r>
              <w:rPr>
                <w:rFonts w:ascii="Arial" w:cs="Arial" w:eastAsia="Arial" w:hAnsi="Arial"/>
                <w:sz w:val="14"/>
                <w:szCs w:val="14"/>
                <w:b w:val="1"/>
                <w:bCs w:val="1"/>
                <w:color w:val="auto"/>
              </w:rPr>
              <w:t>Security</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2.125% 5/15/2025</w:t>
            </w:r>
          </w:p>
        </w:tc>
        <w:tc>
          <w:tcPr>
            <w:tcW w:w="41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19,687</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1.500%</w:t>
            </w:r>
          </w:p>
        </w:tc>
        <w:tc>
          <w:tcPr>
            <w:tcW w:w="1140" w:type="dxa"/>
            <w:vAlign w:val="bottom"/>
          </w:tcPr>
          <w:p>
            <w:pPr>
              <w:ind w:left="20"/>
              <w:spacing w:after="0"/>
              <w:rPr>
                <w:sz w:val="20"/>
                <w:szCs w:val="20"/>
                <w:color w:val="auto"/>
              </w:rPr>
            </w:pPr>
            <w:r>
              <w:rPr>
                <w:rFonts w:ascii="Arial" w:cs="Arial" w:eastAsia="Arial" w:hAnsi="Arial"/>
                <w:sz w:val="18"/>
                <w:szCs w:val="18"/>
                <w:color w:val="auto"/>
              </w:rPr>
              <w:t>8/15/2026</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18,833</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2.250%</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11/15/2024</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16,385</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0.000%</w:t>
            </w:r>
          </w:p>
        </w:tc>
        <w:tc>
          <w:tcPr>
            <w:tcW w:w="1140" w:type="dxa"/>
            <w:vAlign w:val="bottom"/>
          </w:tcPr>
          <w:p>
            <w:pPr>
              <w:ind w:left="20"/>
              <w:spacing w:after="0"/>
              <w:rPr>
                <w:sz w:val="20"/>
                <w:szCs w:val="20"/>
                <w:color w:val="auto"/>
              </w:rPr>
            </w:pPr>
            <w:r>
              <w:rPr>
                <w:rFonts w:ascii="Arial" w:cs="Arial" w:eastAsia="Arial" w:hAnsi="Arial"/>
                <w:sz w:val="18"/>
                <w:szCs w:val="18"/>
                <w:color w:val="auto"/>
              </w:rPr>
              <w:t>1/12/2017</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14,998</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Ginnie Mae 4.000% 7/20/2045</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14,504</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Ginnie Mae 4.000% 8/20/2045</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14,374</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5.250%</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11/15/2028</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13,119</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Freddie Mac 2.500% 10/1/2030</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12,780</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Fannie Mae 3.000% 7/25/2045</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10,953</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Freddie Mac 3.000% 8/1/2046</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10,810</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146,443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80" w:type="dxa"/>
            <w:vAlign w:val="bottom"/>
            <w:gridSpan w:val="2"/>
          </w:tcPr>
          <w:p>
            <w:pPr>
              <w:ind w:left="40"/>
              <w:spacing w:after="0"/>
              <w:rPr>
                <w:sz w:val="20"/>
                <w:szCs w:val="20"/>
                <w:color w:val="auto"/>
              </w:rPr>
            </w:pPr>
            <w:r>
              <w:rPr>
                <w:rFonts w:ascii="Arial" w:cs="Arial" w:eastAsia="Arial" w:hAnsi="Arial"/>
                <w:sz w:val="18"/>
                <w:szCs w:val="18"/>
                <w:b w:val="1"/>
                <w:bCs w:val="1"/>
                <w:color w:val="auto"/>
              </w:rPr>
              <w:t>Percent of Investment Portfolio</w:t>
            </w:r>
          </w:p>
        </w:tc>
        <w:tc>
          <w:tcPr>
            <w:tcW w:w="1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vMerge w:val="restart"/>
          </w:tcPr>
          <w:p>
            <w:pPr>
              <w:ind w:left="700"/>
              <w:spacing w:after="0"/>
              <w:rPr>
                <w:sz w:val="20"/>
                <w:szCs w:val="20"/>
                <w:color w:val="auto"/>
              </w:rPr>
            </w:pPr>
            <w:r>
              <w:rPr>
                <w:rFonts w:ascii="Arial" w:cs="Arial" w:eastAsia="Arial" w:hAnsi="Arial"/>
                <w:sz w:val="18"/>
                <w:szCs w:val="18"/>
                <w:color w:val="auto"/>
              </w:rPr>
              <w:t>36</w:t>
            </w: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includes municipal debt securities for states that represent more than 10% of the total municipal bond position as of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right"/>
              <w:ind w:right="431"/>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5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State of Texas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7,501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7,356</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Baa1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Houston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University of Houston System</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3,341</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Dallas/Fort Worth International Airport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El Paso</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2,477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Austin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Irving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2,032</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Harris County Cultural Education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Carrollton-Farmers Branch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1,980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Dallas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Alamo Community College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Tarrant Regional Water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College Station</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Garland</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Bryan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1,345</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San Antonio</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Spring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Alvin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Corpus Christi</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Pharr-San Juan-Alamo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Port Arthur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San Jacinto Community College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Harlandale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45,306</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4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 of the above securities include financial guaranty insurance. Certain securities include state enhancements. The above ratings exclude the effect of such state enhancements.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3" w:lineRule="exact"/>
        <w:rPr>
          <w:sz w:val="20"/>
          <w:szCs w:val="20"/>
          <w:color w:val="auto"/>
        </w:rPr>
      </w:pPr>
    </w:p>
    <w:p>
      <w:pPr>
        <w:ind w:right="260" w:firstLine="648"/>
        <w:spacing w:after="0" w:line="292" w:lineRule="auto"/>
        <w:rPr>
          <w:sz w:val="20"/>
          <w:szCs w:val="20"/>
          <w:color w:val="auto"/>
        </w:rPr>
      </w:pPr>
      <w:r>
        <w:rPr>
          <w:rFonts w:ascii="Arial" w:cs="Arial" w:eastAsia="Arial" w:hAnsi="Arial"/>
          <w:sz w:val="17"/>
          <w:szCs w:val="17"/>
          <w:color w:val="auto"/>
        </w:rPr>
        <w:t>As more fully described in Note 5 to our condensed consolidated financial statements, on May 17, 2017, we entered into an amended and restated four-year, secured credit facility with a committed capacity of $375 million that contractually matures on May 17, 2021. The Credit Facility amends and restates the three-year, secured revolving credit facility entered into on April 19, 2016 that contractually matured on April 19, 2019. As of June 30, 2017, $175 million had been borrowed under the Credit Facility. Aside from this credit facility amendment, there were no material changes to the contractual obligations table included in our Annual Report on Form 10-K for the year ended December 31, 2016.</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off-balance sheet arrangements or financing activities with special-purpose entities.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the filing date of this report, there were no significant changes in our critical accounting policies from those discussed in our 2016 Form 10-K.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2 to our condensed consolidated financial statements for recently issued accounting standards under evaluation.</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125" w:right="3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7"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47" w:lineRule="exact"/>
        <w:rPr>
          <w:sz w:val="20"/>
          <w:szCs w:val="20"/>
          <w:color w:val="auto"/>
        </w:rPr>
      </w:pPr>
    </w:p>
    <w:p>
      <w:pPr>
        <w:ind w:left="660" w:right="60" w:hanging="328"/>
        <w:spacing w:after="0" w:line="302" w:lineRule="auto"/>
        <w:tabs>
          <w:tab w:leader="none" w:pos="66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54" w:lineRule="exact"/>
        <w:rPr>
          <w:rFonts w:ascii="Arial" w:cs="Arial" w:eastAsia="Arial" w:hAnsi="Arial"/>
          <w:sz w:val="16"/>
          <w:szCs w:val="16"/>
          <w:i w:val="1"/>
          <w:iCs w:val="1"/>
          <w:color w:val="auto"/>
        </w:rPr>
      </w:pPr>
    </w:p>
    <w:p>
      <w:pPr>
        <w:ind w:left="660" w:right="240" w:hanging="328"/>
        <w:spacing w:after="0" w:line="277"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70" w:lineRule="exact"/>
        <w:rPr>
          <w:rFonts w:ascii="Arial" w:cs="Arial" w:eastAsia="Arial" w:hAnsi="Arial"/>
          <w:sz w:val="18"/>
          <w:szCs w:val="18"/>
          <w:i w:val="1"/>
          <w:iCs w:val="1"/>
          <w:color w:val="auto"/>
        </w:rPr>
      </w:pPr>
    </w:p>
    <w:p>
      <w:pPr>
        <w:ind w:left="660" w:right="520" w:hanging="328"/>
        <w:spacing w:after="0" w:line="342" w:lineRule="auto"/>
        <w:tabs>
          <w:tab w:leader="none" w:pos="66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(e.g., rating agency) assessments, will reduce the value and potentially the liquidity of investments.</w:t>
      </w:r>
    </w:p>
    <w:p>
      <w:pPr>
        <w:spacing w:after="0" w:line="123" w:lineRule="exact"/>
        <w:rPr>
          <w:rFonts w:ascii="Arial" w:cs="Arial" w:eastAsia="Arial" w:hAnsi="Arial"/>
          <w:sz w:val="16"/>
          <w:szCs w:val="16"/>
          <w:i w:val="1"/>
          <w:iCs w:val="1"/>
          <w:color w:val="auto"/>
        </w:rPr>
      </w:pPr>
    </w:p>
    <w:p>
      <w:pPr>
        <w:ind w:left="660" w:right="400" w:hanging="328"/>
        <w:spacing w:after="0" w:line="342" w:lineRule="auto"/>
        <w:tabs>
          <w:tab w:leader="none" w:pos="66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23" w:lineRule="exact"/>
        <w:rPr>
          <w:rFonts w:ascii="Arial" w:cs="Arial" w:eastAsia="Arial" w:hAnsi="Arial"/>
          <w:sz w:val="16"/>
          <w:szCs w:val="16"/>
          <w:i w:val="1"/>
          <w:iCs w:val="1"/>
          <w:color w:val="auto"/>
        </w:rPr>
      </w:pPr>
    </w:p>
    <w:p>
      <w:pPr>
        <w:ind w:left="660" w:right="120" w:hanging="328"/>
        <w:spacing w:after="0" w:line="277"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At June 30, 2017, the effective duration of our investment portfolio, including cash, was 3.8 years, which means that an instantaneous parallel shift (movement up or down) in the yield curve of 100 basis points would result in a change of 3.8% in fair value of our investment portfolio. Excluding cash, our investment portfolio effective duration was 4.1 years, which means that an instantaneous parallel shift (movement up or down) in the yield curve of 100 basis points would result in a change of 4.1% in fair value of our investment portfolio.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June 30, 2017, the end of the period covered by this Quarterly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5"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“Risk Factors” in our Annual Report on Form 10-K for the year ended December 31, 2016.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18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repurchase any of our common shares during the three months ended June 30, 2017.</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125" w:right="2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80" w:hanging="6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9180" w:type="dxa"/>
            <w:vAlign w:val="bottom"/>
            <w:vMerge w:val="restart"/>
          </w:tcPr>
          <w:p>
            <w:pPr>
              <w:ind w:left="39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No.</w:t>
            </w:r>
          </w:p>
        </w:tc>
        <w:tc>
          <w:tcPr>
            <w:tcW w:w="620" w:type="dxa"/>
            <w:vAlign w:val="bottom"/>
          </w:tcPr>
          <w:p>
            <w:pPr>
              <w:spacing w:after="0"/>
              <w:rPr>
                <w:sz w:val="16"/>
                <w:szCs w:val="16"/>
                <w:color w:val="auto"/>
              </w:rPr>
            </w:pPr>
          </w:p>
        </w:tc>
        <w:tc>
          <w:tcPr>
            <w:tcW w:w="9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19"/>
                <w:szCs w:val="19"/>
                <w:color w:val="auto"/>
              </w:rPr>
            </w:pPr>
          </w:p>
        </w:tc>
        <w:tc>
          <w:tcPr>
            <w:tcW w:w="98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4"/>
              </w:rPr>
              <w:t>Amended and Restated Credit Agreement, dated as of May 17, 2017, by and among Essent Group Ltd., Essent Irish Intermediate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Holdings Limited, and Essent US Holdings, Inc., as borrowers, the several banks and other financial institutions or entities from time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to time parties to this agreement, as lenders, and JPMorgan Chase Bank, N.A., as administrative agent (incorporated herein by</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reference to Exhibit 1.1 to the Company’s Current Report on Form 8-K (File No. 001-36157) filed on May 18, 2017)</w:t>
            </w:r>
          </w:p>
        </w:tc>
        <w:tc>
          <w:tcPr>
            <w:tcW w:w="0" w:type="dxa"/>
            <w:vAlign w:val="bottom"/>
          </w:tcPr>
          <w:p>
            <w:pPr>
              <w:spacing w:after="0"/>
              <w:rPr>
                <w:sz w:val="1"/>
                <w:szCs w:val="1"/>
                <w:color w:val="auto"/>
              </w:rPr>
            </w:pPr>
          </w:p>
        </w:tc>
      </w:tr>
      <w:tr>
        <w:trPr>
          <w:trHeight w:val="688"/>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1350, as adopted pursuant to Section 906 of</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25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2"/>
              </w:rPr>
              <w:t>The following financial information from this Quarterly Report on Form 10-Q for the quarter ended June 30, 2017, formatted in XBRL</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8"/>
              </w:rPr>
              <w:t>(Extensible Business Reporting Language) and filed electronically herewith: (i) the Condensed Consolidated Balance Sheets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(Unaudited); (ii) the Condensed Consolidated Statements of Comprehensive Income (Unaudited); (iii) the Condensed Consolidated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Statements of Changes in Stockholders’ Equity (Unaudited); (iv) the Condensed Consolidated Statements of Cash Flows (Unaudited);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and (v) the Notes to Condensed Consolidated Financial Statements (Unaudited), tagged as blocks of text.</w:t>
            </w:r>
          </w:p>
        </w:tc>
        <w:tc>
          <w:tcPr>
            <w:tcW w:w="0" w:type="dxa"/>
            <w:vAlign w:val="bottom"/>
          </w:tcPr>
          <w:p>
            <w:pPr>
              <w:spacing w:after="0"/>
              <w:rPr>
                <w:sz w:val="1"/>
                <w:szCs w:val="1"/>
                <w:color w:val="auto"/>
              </w:rPr>
            </w:pPr>
          </w:p>
        </w:tc>
      </w:tr>
      <w:tr>
        <w:trPr>
          <w:trHeight w:val="284"/>
        </w:trPr>
        <w:tc>
          <w:tcPr>
            <w:tcW w:w="1620" w:type="dxa"/>
            <w:vAlign w:val="bottom"/>
            <w:tcBorders>
              <w:bottom w:val="single" w:sz="8" w:color="auto"/>
            </w:tcBorders>
            <w:gridSpan w:val="2"/>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Pursuant to applicable securities laws and regulations, this interactive data file is deemed not filed or part of a registration statement or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0"/>
              </w:rPr>
              <w:t>prospectus for purposes of Sections 11 or 12 of the Securities Act of 1933, as amended, is deemed not filed for purposes of Section 18</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of the Securities Exchange Act of 1934, as amended, and otherwise is not subject to liability under those sections.</w:t>
            </w:r>
          </w:p>
        </w:tc>
        <w:tc>
          <w:tcPr>
            <w:tcW w:w="0" w:type="dxa"/>
            <w:vAlign w:val="bottom"/>
          </w:tcPr>
          <w:p>
            <w:pPr>
              <w:spacing w:after="0"/>
              <w:rPr>
                <w:sz w:val="1"/>
                <w:szCs w:val="1"/>
                <w:color w:val="auto"/>
              </w:rPr>
            </w:pPr>
          </w:p>
        </w:tc>
      </w:tr>
      <w:tr>
        <w:trPr>
          <w:trHeight w:val="702"/>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gridSpan w:val="2"/>
          </w:tcPr>
          <w:p>
            <w:pPr>
              <w:ind w:left="40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32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ESSENT GROUP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640" w:val="left"/>
          <w:tab w:leader="none" w:pos="5440" w:val="left"/>
        </w:tabs>
        <w:rPr>
          <w:sz w:val="20"/>
          <w:szCs w:val="20"/>
          <w:color w:val="auto"/>
        </w:rPr>
      </w:pPr>
      <w:r>
        <w:rPr>
          <w:rFonts w:ascii="Arial" w:cs="Arial" w:eastAsia="Arial" w:hAnsi="Arial"/>
          <w:sz w:val="18"/>
          <w:szCs w:val="18"/>
          <w:color w:val="auto"/>
        </w:rPr>
        <w:t>Date:</w:t>
        <w:tab/>
        <w:t>August 7, 2017</w:t>
      </w:r>
      <w:r>
        <w:rPr>
          <w:sz w:val="20"/>
          <w:szCs w:val="20"/>
          <w:color w:val="auto"/>
        </w:rPr>
        <w:tab/>
      </w: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Chief Executive Officer and Chairman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640" w:val="left"/>
          <w:tab w:leader="none" w:pos="5440" w:val="left"/>
        </w:tabs>
        <w:rPr>
          <w:sz w:val="20"/>
          <w:szCs w:val="20"/>
          <w:color w:val="auto"/>
        </w:rPr>
      </w:pPr>
      <w:r>
        <w:rPr>
          <w:rFonts w:ascii="Arial" w:cs="Arial" w:eastAsia="Arial" w:hAnsi="Arial"/>
          <w:sz w:val="18"/>
          <w:szCs w:val="18"/>
          <w:color w:val="auto"/>
        </w:rPr>
        <w:t>Date:</w:t>
        <w:tab/>
        <w:t>August 7, 2017</w:t>
      </w:r>
      <w:r>
        <w:rPr>
          <w:sz w:val="20"/>
          <w:szCs w:val="20"/>
          <w:color w:val="auto"/>
        </w:rPr>
        <w:tab/>
      </w:r>
      <w:r>
        <w:rPr>
          <w:rFonts w:ascii="Arial" w:cs="Arial" w:eastAsia="Arial" w:hAnsi="Arial"/>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640" w:val="left"/>
          <w:tab w:leader="none" w:pos="5440" w:val="left"/>
        </w:tabs>
        <w:rPr>
          <w:sz w:val="20"/>
          <w:szCs w:val="20"/>
          <w:color w:val="auto"/>
        </w:rPr>
      </w:pPr>
      <w:r>
        <w:rPr>
          <w:rFonts w:ascii="Arial" w:cs="Arial" w:eastAsia="Arial" w:hAnsi="Arial"/>
          <w:sz w:val="18"/>
          <w:szCs w:val="18"/>
          <w:color w:val="auto"/>
        </w:rPr>
        <w:t>Date:</w:t>
        <w:tab/>
        <w:t>August 7, 2017</w:t>
      </w:r>
      <w:r>
        <w:rPr>
          <w:sz w:val="20"/>
          <w:szCs w:val="20"/>
          <w:color w:val="auto"/>
        </w:rPr>
        <w:tab/>
      </w:r>
      <w:r>
        <w:rPr>
          <w:rFonts w:ascii="Arial" w:cs="Arial" w:eastAsia="Arial" w:hAnsi="Arial"/>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David B. Weinstock</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125" w:right="4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180" w:type="dxa"/>
            <w:vAlign w:val="bottom"/>
          </w:tcPr>
          <w:p>
            <w:pPr>
              <w:ind w:left="27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4"/>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24"/>
                <w:szCs w:val="24"/>
                <w:color w:val="auto"/>
              </w:rPr>
            </w:pPr>
          </w:p>
        </w:tc>
        <w:tc>
          <w:tcPr>
            <w:tcW w:w="9180" w:type="dxa"/>
            <w:vAlign w:val="bottom"/>
            <w:vMerge w:val="restart"/>
          </w:tcPr>
          <w:p>
            <w:pPr>
              <w:ind w:left="39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No.</w:t>
            </w:r>
          </w:p>
        </w:tc>
        <w:tc>
          <w:tcPr>
            <w:tcW w:w="620" w:type="dxa"/>
            <w:vAlign w:val="bottom"/>
          </w:tcPr>
          <w:p>
            <w:pPr>
              <w:spacing w:after="0"/>
              <w:rPr>
                <w:sz w:val="16"/>
                <w:szCs w:val="16"/>
                <w:color w:val="auto"/>
              </w:rPr>
            </w:pPr>
          </w:p>
        </w:tc>
        <w:tc>
          <w:tcPr>
            <w:tcW w:w="9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19"/>
                <w:szCs w:val="19"/>
                <w:color w:val="auto"/>
              </w:rPr>
            </w:pPr>
          </w:p>
        </w:tc>
        <w:tc>
          <w:tcPr>
            <w:tcW w:w="98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4"/>
              </w:rPr>
              <w:t>Amended and Restated Credit Agreement, dated as of May 17, 2017, by and among Essent Group Ltd., Essent Irish Intermediate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Holdings Limited, and Essent US Holdings, Inc., as borrowers, the several banks and other financial institutions or entities from time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to time parties to this agreement, as lenders, and JPMorgan Chase Bank, N.A., as administrative agent (incorporated herein by</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reference to Exhibit 1.1 to the Company’s Current Report on Form 8-K (File No. 001-36157) filed on May 18, 2017)</w:t>
            </w:r>
          </w:p>
        </w:tc>
        <w:tc>
          <w:tcPr>
            <w:tcW w:w="0" w:type="dxa"/>
            <w:vAlign w:val="bottom"/>
          </w:tcPr>
          <w:p>
            <w:pPr>
              <w:spacing w:after="0"/>
              <w:rPr>
                <w:sz w:val="1"/>
                <w:szCs w:val="1"/>
                <w:color w:val="auto"/>
              </w:rPr>
            </w:pPr>
          </w:p>
        </w:tc>
      </w:tr>
      <w:tr>
        <w:trPr>
          <w:trHeight w:val="472"/>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1350, as adopted pursuant to Section 906 of</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25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2"/>
              </w:rPr>
              <w:t>The following financial information from this Quarterly Report on Form 10-Q for the quarter ended June 30, 2017, formatted in XBRL</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8"/>
              </w:rPr>
              <w:t>(Extensible Business Reporting Language) and filed electronically herewith: (i) the Condensed Consolidated Balance Sheets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(Unaudited); (ii) the Condensed Consolidated Statements of Comprehensive Income (Unaudited); (iii) the Condensed Consolidated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Statements of Changes in Stockholders’ Equity (Unaudited); (iv) the Condensed Consolidated Statements of Cash Flows (Unaudited);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and (v) the Notes to Condensed Consolidated Financial Statements (Unaudited), tagged as blocks of text.</w:t>
            </w:r>
          </w:p>
        </w:tc>
        <w:tc>
          <w:tcPr>
            <w:tcW w:w="0" w:type="dxa"/>
            <w:vAlign w:val="bottom"/>
          </w:tcPr>
          <w:p>
            <w:pPr>
              <w:spacing w:after="0"/>
              <w:rPr>
                <w:sz w:val="1"/>
                <w:szCs w:val="1"/>
                <w:color w:val="auto"/>
              </w:rPr>
            </w:pPr>
          </w:p>
        </w:tc>
      </w:tr>
      <w:tr>
        <w:trPr>
          <w:trHeight w:val="500"/>
        </w:trPr>
        <w:tc>
          <w:tcPr>
            <w:tcW w:w="1620" w:type="dxa"/>
            <w:vAlign w:val="bottom"/>
            <w:tcBorders>
              <w:bottom w:val="single" w:sz="8" w:color="auto"/>
            </w:tcBorders>
            <w:gridSpan w:val="2"/>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Pursuant to applicable securities laws and regulations, this interactive data file is deemed not filed or part of a registration statement or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0"/>
              </w:rPr>
              <w:t>prospectus for purposes of Sections 11 or 12 of the Securities Act of 1933, as amended, is deemed not filed for purposes of Section 18</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of the Securities Exchange Act of 1934, as amended, and otherwise is not subject to liability under those sections.</w:t>
            </w:r>
          </w:p>
        </w:tc>
        <w:tc>
          <w:tcPr>
            <w:tcW w:w="0" w:type="dxa"/>
            <w:vAlign w:val="bottom"/>
          </w:tcPr>
          <w:p>
            <w:pPr>
              <w:spacing w:after="0"/>
              <w:rPr>
                <w:sz w:val="1"/>
                <w:szCs w:val="1"/>
                <w:color w:val="auto"/>
              </w:rPr>
            </w:pPr>
          </w:p>
        </w:tc>
      </w:tr>
      <w:tr>
        <w:trPr>
          <w:trHeight w:val="918"/>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gridSpan w:val="2"/>
          </w:tcPr>
          <w:p>
            <w:pPr>
              <w:ind w:left="40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quarterly report;</w:t>
      </w:r>
    </w:p>
    <w:p>
      <w:pPr>
        <w:spacing w:after="0" w:line="170" w:lineRule="exact"/>
        <w:rPr>
          <w:sz w:val="20"/>
          <w:szCs w:val="20"/>
          <w:color w:val="auto"/>
        </w:rPr>
      </w:pPr>
    </w:p>
    <w:p>
      <w:pPr>
        <w:ind w:right="580" w:firstLine="8"/>
        <w:spacing w:after="0" w:line="395" w:lineRule="auto"/>
        <w:tabs>
          <w:tab w:leader="none" w:pos="518"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680" w:hanging="672"/>
        <w:spacing w:after="0"/>
        <w:tabs>
          <w:tab w:leader="none" w:pos="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August 7, 2017</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25" w:lineRule="exact"/>
        <w:rPr>
          <w:sz w:val="20"/>
          <w:szCs w:val="20"/>
          <w:color w:val="auto"/>
        </w:rPr>
      </w:pPr>
    </w:p>
    <w:p>
      <w:pPr>
        <w:ind w:left="560" w:hanging="552"/>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quarterly report;</w:t>
      </w:r>
    </w:p>
    <w:p>
      <w:pPr>
        <w:spacing w:after="0" w:line="170" w:lineRule="exact"/>
        <w:rPr>
          <w:sz w:val="20"/>
          <w:szCs w:val="20"/>
          <w:color w:val="auto"/>
        </w:rPr>
      </w:pPr>
    </w:p>
    <w:p>
      <w:pPr>
        <w:ind w:right="580" w:firstLine="8"/>
        <w:spacing w:after="0" w:line="395" w:lineRule="auto"/>
        <w:tabs>
          <w:tab w:leader="none" w:pos="518"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680" w:hanging="672"/>
        <w:spacing w:after="0"/>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2017</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9" w:name="page50"/>
    <w:bookmarkEnd w:id="49"/>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U.S.C. Section 1350 as adopted pursuant to Section 906 of the Sarbanes-Oxley Act of 2002, that to the best of his knowledge:</w:t>
      </w:r>
    </w:p>
    <w:p>
      <w:pPr>
        <w:spacing w:after="0" w:line="181" w:lineRule="exact"/>
        <w:rPr>
          <w:sz w:val="20"/>
          <w:szCs w:val="20"/>
          <w:color w:val="auto"/>
        </w:rPr>
      </w:pPr>
    </w:p>
    <w:p>
      <w:pPr>
        <w:ind w:right="380" w:firstLine="8"/>
        <w:spacing w:after="0" w:line="324" w:lineRule="auto"/>
        <w:tabs>
          <w:tab w:leader="none" w:pos="6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2017 (the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340" w:firstLine="8"/>
        <w:spacing w:after="0" w:line="575" w:lineRule="auto"/>
        <w:tabs>
          <w:tab w:leader="none" w:pos="6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7, 2017</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3"/>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1)"/>
      <w:numFmt w:val="lowerLetter"/>
      <w:start w:val="2"/>
    </w:lvl>
  </w:abstractNum>
  <w:abstractNum w:abstractNumId="23">
    <w:nsid w:val="2CA88611"/>
    <w:multiLevelType w:val="hybridMultilevel"/>
    <w:lvl w:ilvl="0">
      <w:lvlJc w:val="left"/>
      <w:lvlText w:val="(%1)"/>
      <w:numFmt w:val="lowerLetter"/>
      <w:start w:val="3"/>
    </w:lvl>
  </w:abstractNum>
  <w:abstractNum w:abstractNumId="24">
    <w:nsid w:val="836C40E"/>
    <w:multiLevelType w:val="hybridMultilevel"/>
    <w:lvl w:ilvl="0">
      <w:lvlJc w:val="left"/>
      <w:lvlText w:val="%1."/>
      <w:numFmt w:val="decimal"/>
      <w:start w:val="5"/>
    </w:lvl>
    <w:lvl w:ilvl="1">
      <w:lvlJc w:val="left"/>
      <w:lvlText w:val="(%2)"/>
      <w:numFmt w:val="lowerLetter"/>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3"/>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lowerLetter"/>
      <w:start w:val="2"/>
    </w:lvl>
  </w:abstractNum>
  <w:abstractNum w:abstractNumId="29">
    <w:nsid w:val="7C3DBD3D"/>
    <w:multiLevelType w:val="hybridMultilevel"/>
    <w:lvl w:ilvl="0">
      <w:lvlJc w:val="left"/>
      <w:lvlText w:val="(%1)"/>
      <w:numFmt w:val="lowerLetter"/>
      <w:start w:val="3"/>
    </w:lvl>
  </w:abstractNum>
  <w:abstractNum w:abstractNumId="30">
    <w:nsid w:val="737B8DDC"/>
    <w:multiLevelType w:val="hybridMultilevel"/>
    <w:lvl w:ilvl="0">
      <w:lvlJc w:val="left"/>
      <w:lvlText w:val="%1."/>
      <w:numFmt w:val="decimal"/>
      <w:start w:val="5"/>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2020-01-17T23:51:39Z</dcterms:created>
  <dcterms:modified xsi:type="dcterms:W3CDTF">2020-01-17T23:51:39Z</dcterms:modified>
</cp:coreProperties>
</file>