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163830</wp:posOffset>
            </wp:positionV>
            <wp:extent cx="3121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323215</wp:posOffset>
            </wp:positionV>
            <wp:extent cx="312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period ended June 30, 2019</w:t>
      </w:r>
    </w:p>
    <w:p>
      <w:pPr>
        <w:spacing w:after="0" w:line="132" w:lineRule="exact"/>
        <w:rPr>
          <w:sz w:val="24"/>
          <w:szCs w:val="24"/>
          <w:color w:val="auto"/>
        </w:rPr>
      </w:pPr>
    </w:p>
    <w:p>
      <w:pPr>
        <w:ind w:left="820" w:hanging="488"/>
        <w:spacing w:after="0"/>
        <w:tabs>
          <w:tab w:leader="none" w:pos="8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40"/>
          </w:cols>
          <w:pgMar w:left="240" w:top="233" w:right="219" w:bottom="1440" w:gutter="0" w:footer="0" w:header="0"/>
        </w:sectPr>
      </w:pPr>
    </w:p>
    <w:p>
      <w:pPr>
        <w:spacing w:after="0" w:line="66"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140" w:space="580"/>
            <w:col w:w="4720"/>
          </w:cols>
          <w:pgMar w:left="240" w:top="233" w:right="219" w:bottom="1440" w:gutter="0" w:footer="0" w:header="0"/>
          <w:type w:val="continuous"/>
        </w:sectPr>
      </w:pP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189865</wp:posOffset>
            </wp:positionV>
            <wp:extent cx="312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type w:val="continuous"/>
        </w:sectPr>
      </w:pPr>
    </w:p>
    <w:p>
      <w:pPr>
        <w:spacing w:after="0" w:line="200" w:lineRule="exact"/>
        <w:rPr>
          <w:sz w:val="24"/>
          <w:szCs w:val="24"/>
          <w:color w:val="auto"/>
        </w:rPr>
      </w:pPr>
    </w:p>
    <w:p>
      <w:pPr>
        <w:spacing w:after="0" w:line="323" w:lineRule="exact"/>
        <w:rPr>
          <w:sz w:val="24"/>
          <w:szCs w:val="24"/>
          <w:color w:val="auto"/>
        </w:rPr>
      </w:pPr>
    </w:p>
    <w:tbl>
      <w:tblPr>
        <w:tblLayout w:type="fixed"/>
        <w:tblInd w:w="10" w:type="dxa"/>
        <w:tblCellMar>
          <w:top w:w="0" w:type="dxa"/>
          <w:left w:w="0" w:type="dxa"/>
          <w:bottom w:w="0" w:type="dxa"/>
          <w:right w:w="0" w:type="dxa"/>
        </w:tblCellMar>
      </w:tblPr>
      <w:tr>
        <w:trPr>
          <w:trHeight w:val="373"/>
        </w:trPr>
        <w:tc>
          <w:tcPr>
            <w:tcW w:w="3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gridSpan w:val="2"/>
          </w:tcPr>
          <w:p>
            <w:pPr>
              <w:jc w:val="center"/>
              <w:ind w:right="440"/>
              <w:spacing w:after="0"/>
              <w:rPr>
                <w:sz w:val="20"/>
                <w:szCs w:val="20"/>
                <w:color w:val="auto"/>
              </w:rPr>
            </w:pPr>
            <w:r>
              <w:rPr>
                <w:rFonts w:ascii="Arial" w:cs="Arial" w:eastAsia="Arial" w:hAnsi="Arial"/>
                <w:sz w:val="29"/>
                <w:szCs w:val="29"/>
                <w:b w:val="1"/>
                <w:bCs w:val="1"/>
                <w:color w:val="auto"/>
                <w:w w:val="96"/>
              </w:rPr>
              <w:t>ESSENT GROUP LTD.</w:t>
            </w:r>
          </w:p>
        </w:tc>
        <w:tc>
          <w:tcPr>
            <w:tcW w:w="5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06"/>
        </w:trPr>
        <w:tc>
          <w:tcPr>
            <w:tcW w:w="3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60" w:type="dxa"/>
            <w:vAlign w:val="bottom"/>
            <w:gridSpan w:val="3"/>
          </w:tcPr>
          <w:p>
            <w:pPr>
              <w:jc w:val="center"/>
              <w:ind w:right="60"/>
              <w:spacing w:after="0"/>
              <w:rPr>
                <w:sz w:val="20"/>
                <w:szCs w:val="20"/>
                <w:color w:val="auto"/>
              </w:rPr>
            </w:pPr>
            <w:r>
              <w:rPr>
                <w:rFonts w:ascii="Arial" w:cs="Arial" w:eastAsia="Arial" w:hAnsi="Arial"/>
                <w:sz w:val="16"/>
                <w:szCs w:val="16"/>
                <w:color w:val="auto"/>
                <w:w w:val="91"/>
              </w:rPr>
              <w:t>(Exact name of registrant as specified in its charter)</w:t>
            </w:r>
          </w:p>
        </w:tc>
        <w:tc>
          <w:tcPr>
            <w:tcW w:w="56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249"/>
        </w:trPr>
        <w:tc>
          <w:tcPr>
            <w:tcW w:w="326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260" w:type="dxa"/>
            <w:vAlign w:val="bottom"/>
          </w:tcPr>
          <w:p>
            <w:pPr>
              <w:spacing w:after="0"/>
              <w:rPr>
                <w:sz w:val="21"/>
                <w:szCs w:val="21"/>
                <w:color w:val="auto"/>
              </w:rPr>
            </w:pPr>
          </w:p>
        </w:tc>
      </w:tr>
      <w:tr>
        <w:trPr>
          <w:trHeight w:val="568"/>
        </w:trPr>
        <w:tc>
          <w:tcPr>
            <w:tcW w:w="3860" w:type="dxa"/>
            <w:vAlign w:val="bottom"/>
            <w:gridSpan w:val="2"/>
          </w:tcPr>
          <w:p>
            <w:pPr>
              <w:jc w:val="center"/>
              <w:ind w:left="1556"/>
              <w:spacing w:after="0"/>
              <w:rPr>
                <w:sz w:val="20"/>
                <w:szCs w:val="20"/>
                <w:color w:val="auto"/>
              </w:rPr>
            </w:pPr>
            <w:r>
              <w:rPr>
                <w:rFonts w:ascii="Arial" w:cs="Arial" w:eastAsia="Arial" w:hAnsi="Arial"/>
                <w:sz w:val="16"/>
                <w:szCs w:val="16"/>
                <w:b w:val="1"/>
                <w:bCs w:val="1"/>
                <w:color w:val="auto"/>
                <w:w w:val="95"/>
              </w:rPr>
              <w:t>Bermuda</w:t>
            </w:r>
          </w:p>
        </w:tc>
        <w:tc>
          <w:tcPr>
            <w:tcW w:w="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20" w:type="dxa"/>
            <w:vAlign w:val="bottom"/>
            <w:gridSpan w:val="2"/>
          </w:tcPr>
          <w:p>
            <w:pPr>
              <w:jc w:val="center"/>
              <w:ind w:right="1610"/>
              <w:spacing w:after="0"/>
              <w:rPr>
                <w:sz w:val="20"/>
                <w:szCs w:val="20"/>
                <w:color w:val="auto"/>
              </w:rPr>
            </w:pPr>
            <w:r>
              <w:rPr>
                <w:rFonts w:ascii="Arial" w:cs="Arial" w:eastAsia="Arial" w:hAnsi="Arial"/>
                <w:sz w:val="16"/>
                <w:szCs w:val="16"/>
                <w:b w:val="1"/>
                <w:bCs w:val="1"/>
                <w:color w:val="auto"/>
                <w:w w:val="92"/>
              </w:rPr>
              <w:t>Not Applicable</w:t>
            </w:r>
          </w:p>
        </w:tc>
      </w:tr>
      <w:tr>
        <w:trPr>
          <w:trHeight w:val="253"/>
        </w:trPr>
        <w:tc>
          <w:tcPr>
            <w:tcW w:w="3860" w:type="dxa"/>
            <w:vAlign w:val="bottom"/>
            <w:gridSpan w:val="2"/>
          </w:tcPr>
          <w:p>
            <w:pPr>
              <w:jc w:val="center"/>
              <w:ind w:left="1556"/>
              <w:spacing w:after="0"/>
              <w:rPr>
                <w:sz w:val="20"/>
                <w:szCs w:val="20"/>
                <w:color w:val="auto"/>
              </w:rPr>
            </w:pPr>
            <w:r>
              <w:rPr>
                <w:rFonts w:ascii="Arial" w:cs="Arial" w:eastAsia="Arial" w:hAnsi="Arial"/>
                <w:sz w:val="16"/>
                <w:szCs w:val="16"/>
                <w:color w:val="auto"/>
                <w:w w:val="94"/>
              </w:rPr>
              <w:t>(State or other jurisdiction of</w:t>
            </w:r>
          </w:p>
        </w:tc>
        <w:tc>
          <w:tcPr>
            <w:tcW w:w="4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20" w:type="dxa"/>
            <w:vAlign w:val="bottom"/>
            <w:gridSpan w:val="2"/>
          </w:tcPr>
          <w:p>
            <w:pPr>
              <w:jc w:val="center"/>
              <w:ind w:right="1590"/>
              <w:spacing w:after="0"/>
              <w:rPr>
                <w:sz w:val="20"/>
                <w:szCs w:val="20"/>
                <w:color w:val="auto"/>
              </w:rPr>
            </w:pPr>
            <w:r>
              <w:rPr>
                <w:rFonts w:ascii="Arial" w:cs="Arial" w:eastAsia="Arial" w:hAnsi="Arial"/>
                <w:sz w:val="16"/>
                <w:szCs w:val="16"/>
                <w:color w:val="auto"/>
                <w:w w:val="93"/>
              </w:rPr>
              <w:t>(I.R.S. Employer</w:t>
            </w:r>
          </w:p>
        </w:tc>
      </w:tr>
      <w:tr>
        <w:trPr>
          <w:trHeight w:val="206"/>
        </w:trPr>
        <w:tc>
          <w:tcPr>
            <w:tcW w:w="3860" w:type="dxa"/>
            <w:vAlign w:val="bottom"/>
            <w:gridSpan w:val="2"/>
          </w:tcPr>
          <w:p>
            <w:pPr>
              <w:jc w:val="center"/>
              <w:ind w:left="1556"/>
              <w:spacing w:after="0"/>
              <w:rPr>
                <w:sz w:val="20"/>
                <w:szCs w:val="20"/>
                <w:color w:val="auto"/>
              </w:rPr>
            </w:pPr>
            <w:r>
              <w:rPr>
                <w:rFonts w:ascii="Arial" w:cs="Arial" w:eastAsia="Arial" w:hAnsi="Arial"/>
                <w:sz w:val="16"/>
                <w:szCs w:val="16"/>
                <w:color w:val="auto"/>
                <w:w w:val="93"/>
              </w:rPr>
              <w:t>incorporation or organization)</w:t>
            </w:r>
          </w:p>
        </w:tc>
        <w:tc>
          <w:tcPr>
            <w:tcW w:w="4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20" w:type="dxa"/>
            <w:vAlign w:val="bottom"/>
            <w:gridSpan w:val="2"/>
          </w:tcPr>
          <w:p>
            <w:pPr>
              <w:jc w:val="center"/>
              <w:ind w:right="1590"/>
              <w:spacing w:after="0"/>
              <w:rPr>
                <w:sz w:val="20"/>
                <w:szCs w:val="20"/>
                <w:color w:val="auto"/>
              </w:rPr>
            </w:pPr>
            <w:r>
              <w:rPr>
                <w:rFonts w:ascii="Arial" w:cs="Arial" w:eastAsia="Arial" w:hAnsi="Arial"/>
                <w:sz w:val="16"/>
                <w:szCs w:val="16"/>
                <w:color w:val="auto"/>
                <w:w w:val="95"/>
              </w:rPr>
              <w:t>Identification Number)</w:t>
            </w:r>
          </w:p>
        </w:tc>
      </w:tr>
      <w:tr>
        <w:trPr>
          <w:trHeight w:val="208"/>
        </w:trPr>
        <w:tc>
          <w:tcPr>
            <w:tcW w:w="3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Clarendon House</w:t>
            </w:r>
          </w:p>
        </w:tc>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189"/>
        </w:trPr>
        <w:tc>
          <w:tcPr>
            <w:tcW w:w="3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2 Church Street</w:t>
            </w:r>
          </w:p>
        </w:tc>
        <w:tc>
          <w:tcPr>
            <w:tcW w:w="56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193"/>
        </w:trPr>
        <w:tc>
          <w:tcPr>
            <w:tcW w:w="3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5"/>
              </w:rPr>
              <w:t>Hamilton HM11, Bermuda</w:t>
            </w:r>
          </w:p>
        </w:tc>
        <w:tc>
          <w:tcPr>
            <w:tcW w:w="56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185"/>
        </w:trPr>
        <w:tc>
          <w:tcPr>
            <w:tcW w:w="3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60" w:type="dxa"/>
            <w:vAlign w:val="bottom"/>
            <w:gridSpan w:val="3"/>
          </w:tcPr>
          <w:p>
            <w:pPr>
              <w:jc w:val="center"/>
              <w:ind w:right="60"/>
              <w:spacing w:after="0"/>
              <w:rPr>
                <w:sz w:val="20"/>
                <w:szCs w:val="20"/>
                <w:color w:val="auto"/>
              </w:rPr>
            </w:pPr>
            <w:r>
              <w:rPr>
                <w:rFonts w:ascii="Arial" w:cs="Arial" w:eastAsia="Arial" w:hAnsi="Arial"/>
                <w:sz w:val="16"/>
                <w:szCs w:val="16"/>
                <w:color w:val="auto"/>
                <w:w w:val="92"/>
              </w:rPr>
              <w:t>(Address of principal executive offices and zip code)</w:t>
            </w:r>
          </w:p>
        </w:tc>
        <w:tc>
          <w:tcPr>
            <w:tcW w:w="56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193"/>
        </w:trPr>
        <w:tc>
          <w:tcPr>
            <w:tcW w:w="3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360" w:type="dxa"/>
            <w:vAlign w:val="bottom"/>
            <w:gridSpan w:val="2"/>
          </w:tcPr>
          <w:p>
            <w:pPr>
              <w:jc w:val="center"/>
              <w:ind w:left="259"/>
              <w:spacing w:after="0"/>
              <w:rPr>
                <w:sz w:val="20"/>
                <w:szCs w:val="20"/>
                <w:color w:val="auto"/>
              </w:rPr>
            </w:pPr>
            <w:r>
              <w:rPr>
                <w:rFonts w:ascii="Arial" w:cs="Arial" w:eastAsia="Arial" w:hAnsi="Arial"/>
                <w:sz w:val="16"/>
                <w:szCs w:val="16"/>
                <w:b w:val="1"/>
                <w:bCs w:val="1"/>
                <w:color w:val="auto"/>
                <w:w w:val="93"/>
              </w:rPr>
              <w:t>(441) 297-9901</w:t>
            </w: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06"/>
        </w:trPr>
        <w:tc>
          <w:tcPr>
            <w:tcW w:w="3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60" w:type="dxa"/>
            <w:vAlign w:val="bottom"/>
            <w:gridSpan w:val="3"/>
          </w:tcPr>
          <w:p>
            <w:pPr>
              <w:jc w:val="center"/>
              <w:ind w:right="40"/>
              <w:spacing w:after="0"/>
              <w:rPr>
                <w:sz w:val="20"/>
                <w:szCs w:val="20"/>
                <w:color w:val="auto"/>
              </w:rPr>
            </w:pPr>
            <w:r>
              <w:rPr>
                <w:rFonts w:ascii="Arial" w:cs="Arial" w:eastAsia="Arial" w:hAnsi="Arial"/>
                <w:sz w:val="16"/>
                <w:szCs w:val="16"/>
                <w:color w:val="auto"/>
                <w:w w:val="91"/>
              </w:rPr>
              <w:t>(Registrant’s telephone number, including area code)</w:t>
            </w:r>
          </w:p>
        </w:tc>
        <w:tc>
          <w:tcPr>
            <w:tcW w:w="56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398"/>
        </w:trPr>
        <w:tc>
          <w:tcPr>
            <w:tcW w:w="7620" w:type="dxa"/>
            <w:vAlign w:val="bottom"/>
            <w:gridSpan w:val="5"/>
          </w:tcPr>
          <w:p>
            <w:pPr>
              <w:ind w:left="500"/>
              <w:spacing w:after="0"/>
              <w:rPr>
                <w:sz w:val="20"/>
                <w:szCs w:val="20"/>
                <w:color w:val="auto"/>
              </w:rPr>
            </w:pPr>
            <w:r>
              <w:rPr>
                <w:rFonts w:ascii="Arial" w:cs="Arial" w:eastAsia="Arial" w:hAnsi="Arial"/>
                <w:sz w:val="18"/>
                <w:szCs w:val="18"/>
                <w:color w:val="auto"/>
              </w:rPr>
              <w:t>Securities registered pursuant to Section 12(b) of the Act:</w:t>
            </w:r>
          </w:p>
        </w:tc>
        <w:tc>
          <w:tcPr>
            <w:tcW w:w="5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35"/>
        </w:trPr>
        <w:tc>
          <w:tcPr>
            <w:tcW w:w="3860" w:type="dxa"/>
            <w:vAlign w:val="bottom"/>
            <w:tcBorders>
              <w:bottom w:val="single" w:sz="8" w:color="auto"/>
            </w:tcBorders>
            <w:gridSpan w:val="2"/>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gridSpan w:val="2"/>
          </w:tcPr>
          <w:p>
            <w:pPr>
              <w:spacing w:after="0"/>
              <w:rPr>
                <w:sz w:val="11"/>
                <w:szCs w:val="11"/>
                <w:color w:val="auto"/>
              </w:rPr>
            </w:pPr>
          </w:p>
        </w:tc>
      </w:tr>
      <w:tr>
        <w:trPr>
          <w:trHeight w:val="217"/>
        </w:trPr>
        <w:tc>
          <w:tcPr>
            <w:tcW w:w="3860" w:type="dxa"/>
            <w:vAlign w:val="bottom"/>
            <w:tcBorders>
              <w:left w:val="single" w:sz="8" w:color="auto"/>
            </w:tcBorders>
            <w:gridSpan w:val="2"/>
          </w:tcPr>
          <w:p>
            <w:pPr>
              <w:jc w:val="center"/>
              <w:ind w:left="316"/>
              <w:spacing w:after="0"/>
              <w:rPr>
                <w:sz w:val="20"/>
                <w:szCs w:val="20"/>
                <w:color w:val="auto"/>
              </w:rPr>
            </w:pPr>
            <w:r>
              <w:rPr>
                <w:rFonts w:ascii="Arial" w:cs="Arial" w:eastAsia="Arial" w:hAnsi="Arial"/>
                <w:sz w:val="16"/>
                <w:szCs w:val="16"/>
                <w:b w:val="1"/>
                <w:bCs w:val="1"/>
                <w:color w:val="auto"/>
                <w:w w:val="88"/>
              </w:rPr>
              <w:t>Title of each class</w:t>
            </w:r>
          </w:p>
        </w:tc>
        <w:tc>
          <w:tcPr>
            <w:tcW w:w="4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00" w:type="dxa"/>
            <w:vAlign w:val="bottom"/>
          </w:tcPr>
          <w:p>
            <w:pPr>
              <w:spacing w:after="0"/>
              <w:rPr>
                <w:sz w:val="18"/>
                <w:szCs w:val="18"/>
                <w:color w:val="auto"/>
              </w:rPr>
            </w:pPr>
          </w:p>
        </w:tc>
        <w:tc>
          <w:tcPr>
            <w:tcW w:w="382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860" w:type="dxa"/>
            <w:vAlign w:val="bottom"/>
            <w:tcBorders>
              <w:left w:val="single" w:sz="8" w:color="auto"/>
              <w:bottom w:val="single" w:sz="8" w:color="auto"/>
            </w:tcBorders>
            <w:gridSpan w:val="2"/>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r>
      <w:tr>
        <w:trPr>
          <w:trHeight w:val="237"/>
        </w:trPr>
        <w:tc>
          <w:tcPr>
            <w:tcW w:w="3860" w:type="dxa"/>
            <w:vAlign w:val="bottom"/>
            <w:tcBorders>
              <w:left w:val="single" w:sz="8" w:color="auto"/>
            </w:tcBorders>
            <w:gridSpan w:val="2"/>
          </w:tcPr>
          <w:p>
            <w:pPr>
              <w:jc w:val="center"/>
              <w:ind w:left="316"/>
              <w:spacing w:after="0"/>
              <w:rPr>
                <w:sz w:val="20"/>
                <w:szCs w:val="20"/>
                <w:color w:val="auto"/>
              </w:rPr>
            </w:pPr>
            <w:r>
              <w:rPr>
                <w:rFonts w:ascii="Arial" w:cs="Arial" w:eastAsia="Arial" w:hAnsi="Arial"/>
                <w:sz w:val="18"/>
                <w:szCs w:val="18"/>
                <w:color w:val="auto"/>
                <w:w w:val="89"/>
              </w:rPr>
              <w:t>Common Shares, $0.015 par value</w:t>
            </w:r>
          </w:p>
        </w:tc>
        <w:tc>
          <w:tcPr>
            <w:tcW w:w="40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ESNT</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6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r>
    </w:tbl>
    <w:p>
      <w:pPr>
        <w:spacing w:after="0" w:line="107" w:lineRule="exact"/>
        <w:rPr>
          <w:sz w:val="24"/>
          <w:szCs w:val="24"/>
          <w:color w:val="auto"/>
        </w:rPr>
      </w:pPr>
    </w:p>
    <w:p>
      <w:pPr>
        <w:jc w:val="both"/>
        <w:ind w:right="26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10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180" w:firstLine="55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500" w:type="dxa"/>
        <w:tblCellMar>
          <w:top w:w="0" w:type="dxa"/>
          <w:left w:w="0" w:type="dxa"/>
          <w:bottom w:w="0" w:type="dxa"/>
          <w:right w:w="0" w:type="dxa"/>
        </w:tblCellMar>
      </w:tblPr>
      <w:tr>
        <w:trPr>
          <w:trHeight w:val="270"/>
        </w:trPr>
        <w:tc>
          <w:tcPr>
            <w:tcW w:w="1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00" w:type="dxa"/>
            <w:vAlign w:val="bottom"/>
          </w:tcPr>
          <w:p>
            <w:pPr>
              <w:spacing w:after="0"/>
              <w:rPr>
                <w:sz w:val="20"/>
                <w:szCs w:val="20"/>
                <w:color w:val="auto"/>
              </w:rPr>
            </w:pPr>
            <w:r>
              <w:rPr>
                <w:rFonts w:ascii="Arial" w:cs="Arial" w:eastAsia="Arial" w:hAnsi="Arial"/>
                <w:sz w:val="16"/>
                <w:szCs w:val="16"/>
                <w:color w:val="auto"/>
              </w:rPr>
              <w:t>Non-accelerated filer</w:t>
            </w:r>
          </w:p>
        </w:tc>
        <w:tc>
          <w:tcPr>
            <w:tcW w:w="9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20" w:type="dxa"/>
            <w:vAlign w:val="bottom"/>
          </w:tcPr>
          <w:p>
            <w:pPr>
              <w:ind w:left="440"/>
              <w:spacing w:after="0"/>
              <w:rPr>
                <w:sz w:val="20"/>
                <w:szCs w:val="20"/>
                <w:color w:val="auto"/>
              </w:rPr>
            </w:pPr>
            <w:r>
              <w:rPr>
                <w:rFonts w:ascii="Arial" w:cs="Arial" w:eastAsia="Arial" w:hAnsi="Arial"/>
                <w:sz w:val="16"/>
                <w:szCs w:val="16"/>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60" w:firstLine="554"/>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60" w:right="1620"/>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the registrant’s common shares outstanding as of August 1, 2019 was 98,384,801.</w:t>
      </w:r>
    </w:p>
    <w:p>
      <w:pPr>
        <w:sectPr>
          <w:pgSz w:w="11900" w:h="16838" w:orient="portrait"/>
          <w:cols w:equalWidth="0" w:num="1">
            <w:col w:w="11440"/>
          </w:cols>
          <w:pgMar w:left="240" w:top="233"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89"/>
              </w:rPr>
              <w:t>Essent Group Ltd.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95"/>
              </w:rPr>
              <w:t>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20"/>
              <w:spacing w:after="0"/>
              <w:rPr>
                <w:sz w:val="20"/>
                <w:szCs w:val="20"/>
                <w:color w:val="auto"/>
              </w:rPr>
            </w:pPr>
            <w:r>
              <w:rPr>
                <w:rFonts w:ascii="Arial" w:cs="Arial" w:eastAsia="Arial" w:hAnsi="Arial"/>
                <w:sz w:val="18"/>
                <w:szCs w:val="18"/>
                <w:b w:val="1"/>
                <w:bCs w:val="1"/>
                <w:color w:val="auto"/>
                <w:w w:val="93"/>
              </w:rPr>
              <w:t>Index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600" w:type="dxa"/>
            <w:vAlign w:val="bottom"/>
            <w:gridSpan w:val="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9580" w:type="dxa"/>
            <w:vAlign w:val="bottom"/>
            <w:gridSpan w:val="1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5">
              <w:r>
                <w:rPr>
                  <w:rFonts w:ascii="Arial" w:cs="Arial" w:eastAsia="Arial" w:hAnsi="Arial"/>
                  <w:sz w:val="18"/>
                  <w:szCs w:val="18"/>
                  <w:b w:val="1"/>
                  <w:bCs w:val="1"/>
                  <w:color w:val="0000EE"/>
                  <w:w w:val="91"/>
                </w:rPr>
                <w:t>Item 1.</w:t>
              </w:r>
            </w:hyperlink>
          </w:p>
        </w:tc>
        <w:tc>
          <w:tcPr>
            <w:tcW w:w="80" w:type="dxa"/>
            <w:vAlign w:val="bottom"/>
          </w:tcPr>
          <w:p>
            <w:pPr>
              <w:spacing w:after="0"/>
              <w:rPr>
                <w:sz w:val="24"/>
                <w:szCs w:val="24"/>
                <w:color w:val="auto"/>
              </w:rPr>
            </w:pPr>
          </w:p>
        </w:tc>
        <w:tc>
          <w:tcPr>
            <w:tcW w:w="980" w:type="dxa"/>
            <w:vAlign w:val="bottom"/>
            <w:gridSpan w:val="5"/>
          </w:tcPr>
          <w:p>
            <w:pPr>
              <w:spacing w:after="0"/>
              <w:rPr>
                <w:sz w:val="24"/>
                <w:szCs w:val="24"/>
                <w:color w:val="auto"/>
              </w:rPr>
            </w:pPr>
          </w:p>
        </w:tc>
        <w:tc>
          <w:tcPr>
            <w:tcW w:w="2600" w:type="dxa"/>
            <w:vAlign w:val="bottom"/>
            <w:tcBorders>
              <w:bottom w:val="single" w:sz="8" w:color="0000EE"/>
            </w:tcBorders>
            <w:gridSpan w:val="7"/>
          </w:tcPr>
          <w:p>
            <w:pPr>
              <w:spacing w:after="0"/>
              <w:rPr>
                <w:rFonts w:ascii="Arial" w:cs="Arial" w:eastAsia="Arial" w:hAnsi="Arial"/>
                <w:sz w:val="18"/>
                <w:szCs w:val="18"/>
                <w:b w:val="1"/>
                <w:bCs w:val="1"/>
                <w:color w:val="0000EE"/>
                <w:w w:val="90"/>
              </w:rPr>
            </w:pPr>
            <w:hyperlink w:anchor="page5">
              <w:r>
                <w:rPr>
                  <w:rFonts w:ascii="Arial" w:cs="Arial" w:eastAsia="Arial" w:hAnsi="Arial"/>
                  <w:sz w:val="18"/>
                  <w:szCs w:val="18"/>
                  <w:b w:val="1"/>
                  <w:bCs w:val="1"/>
                  <w:color w:val="0000EE"/>
                  <w:w w:val="90"/>
                </w:rPr>
                <w:t>Financial Statements (Unaudited)</w:t>
              </w:r>
            </w:hyperlink>
          </w:p>
        </w:tc>
        <w:tc>
          <w:tcPr>
            <w:tcW w:w="69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80" w:type="dxa"/>
            <w:vAlign w:val="bottom"/>
            <w:tcBorders>
              <w:bottom w:val="single" w:sz="8" w:color="0000EE"/>
            </w:tcBorders>
            <w:gridSpan w:val="8"/>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Condensed Consolidated Balance Sheets (Unaudited)</w:t>
              </w:r>
            </w:hyperlink>
          </w:p>
        </w:tc>
        <w:tc>
          <w:tcPr>
            <w:tcW w:w="55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Condensed Consolidated Statements of Comprehensive Income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Condensed Consolidated Statements of Changes in Stockholders’ Equity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4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Condensed Consolidated Statements of Cash Flows (Unaudited)</w:t>
              </w:r>
            </w:hyperlink>
          </w:p>
        </w:tc>
        <w:tc>
          <w:tcPr>
            <w:tcW w:w="3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2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Notes to Condensed Consolidated Financial Statements (Unaudited)</w:t>
              </w:r>
            </w:hyperlink>
          </w:p>
        </w:tc>
        <w:tc>
          <w:tcPr>
            <w:tcW w:w="43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5</w:t>
              </w:r>
            </w:hyperlink>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7">
              <w:r>
                <w:rPr>
                  <w:rFonts w:ascii="Arial" w:cs="Arial" w:eastAsia="Arial" w:hAnsi="Arial"/>
                  <w:sz w:val="18"/>
                  <w:szCs w:val="18"/>
                  <w:b w:val="1"/>
                  <w:bCs w:val="1"/>
                  <w:color w:val="0000EE"/>
                  <w:w w:val="91"/>
                </w:rPr>
                <w:t>Item 2.</w:t>
              </w:r>
            </w:hyperlink>
          </w:p>
        </w:tc>
        <w:tc>
          <w:tcPr>
            <w:tcW w:w="1060" w:type="dxa"/>
            <w:vAlign w:val="bottom"/>
            <w:gridSpan w:val="6"/>
          </w:tcPr>
          <w:p>
            <w:pPr>
              <w:spacing w:after="0"/>
              <w:rPr>
                <w:sz w:val="24"/>
                <w:szCs w:val="24"/>
                <w:color w:val="auto"/>
              </w:rPr>
            </w:pPr>
          </w:p>
        </w:tc>
        <w:tc>
          <w:tcPr>
            <w:tcW w:w="6840" w:type="dxa"/>
            <w:vAlign w:val="bottom"/>
            <w:tcBorders>
              <w:bottom w:val="single" w:sz="8" w:color="0000EE"/>
            </w:tcBorders>
            <w:gridSpan w:val="15"/>
          </w:tcPr>
          <w:p>
            <w:pPr>
              <w:spacing w:after="0"/>
              <w:rPr>
                <w:rFonts w:ascii="Arial" w:cs="Arial" w:eastAsia="Arial" w:hAnsi="Arial"/>
                <w:sz w:val="18"/>
                <w:szCs w:val="18"/>
                <w:b w:val="1"/>
                <w:bCs w:val="1"/>
                <w:color w:val="0000EE"/>
                <w:w w:val="89"/>
              </w:rPr>
            </w:pPr>
            <w:hyperlink w:anchor="page27">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Item 3.</w:t>
              </w:r>
            </w:hyperlink>
          </w:p>
        </w:tc>
        <w:tc>
          <w:tcPr>
            <w:tcW w:w="1060" w:type="dxa"/>
            <w:vAlign w:val="bottom"/>
            <w:gridSpan w:val="6"/>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42</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Item 4.</w:t>
              </w:r>
            </w:hyperlink>
          </w:p>
        </w:tc>
        <w:tc>
          <w:tcPr>
            <w:tcW w:w="1060" w:type="dxa"/>
            <w:vAlign w:val="bottom"/>
            <w:gridSpan w:val="6"/>
          </w:tcPr>
          <w:p>
            <w:pPr>
              <w:spacing w:after="0"/>
              <w:rPr>
                <w:sz w:val="24"/>
                <w:szCs w:val="24"/>
                <w:color w:val="auto"/>
              </w:rPr>
            </w:pPr>
          </w:p>
        </w:tc>
        <w:tc>
          <w:tcPr>
            <w:tcW w:w="19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8"/>
              </w:rPr>
            </w:pPr>
            <w:hyperlink w:anchor="page46">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6"/>
          </w:tcPr>
          <w:p>
            <w:pPr>
              <w:spacing w:after="0"/>
              <w:rPr>
                <w:sz w:val="24"/>
                <w:szCs w:val="24"/>
                <w:color w:val="auto"/>
              </w:rPr>
            </w:pPr>
          </w:p>
        </w:tc>
        <w:tc>
          <w:tcPr>
            <w:tcW w:w="49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42</w:t>
              </w:r>
            </w:hyperlink>
          </w:p>
        </w:tc>
      </w:tr>
      <w:tr>
        <w:trPr>
          <w:trHeight w:val="520"/>
        </w:trPr>
        <w:tc>
          <w:tcPr>
            <w:tcW w:w="40" w:type="dxa"/>
            <w:vAlign w:val="bottom"/>
          </w:tcPr>
          <w:p>
            <w:pPr>
              <w:spacing w:after="0"/>
              <w:rPr>
                <w:sz w:val="24"/>
                <w:szCs w:val="24"/>
                <w:color w:val="auto"/>
              </w:rPr>
            </w:pPr>
          </w:p>
        </w:tc>
        <w:tc>
          <w:tcPr>
            <w:tcW w:w="700" w:type="dxa"/>
            <w:vAlign w:val="bottom"/>
            <w:gridSpan w:val="4"/>
          </w:tcPr>
          <w:p>
            <w:pPr>
              <w:spacing w:after="0"/>
              <w:rPr>
                <w:rFonts w:ascii="Arial" w:cs="Arial" w:eastAsia="Arial" w:hAnsi="Arial"/>
                <w:sz w:val="18"/>
                <w:szCs w:val="18"/>
                <w:b w:val="1"/>
                <w:bCs w:val="1"/>
                <w:color w:val="0000EE"/>
                <w:w w:val="98"/>
              </w:rPr>
            </w:pPr>
            <w:hyperlink w:anchor="page47">
              <w:r>
                <w:rPr>
                  <w:rFonts w:ascii="Arial" w:cs="Arial" w:eastAsia="Arial" w:hAnsi="Arial"/>
                  <w:sz w:val="18"/>
                  <w:szCs w:val="18"/>
                  <w:b w:val="1"/>
                  <w:bCs w:val="1"/>
                  <w:color w:val="0000EE"/>
                  <w:w w:val="98"/>
                </w:rPr>
                <w:t>PART II.</w:t>
              </w:r>
            </w:hyperlink>
          </w:p>
        </w:tc>
        <w:tc>
          <w:tcPr>
            <w:tcW w:w="900" w:type="dxa"/>
            <w:vAlign w:val="bottom"/>
            <w:gridSpan w:val="3"/>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43</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7">
              <w:r>
                <w:rPr>
                  <w:rFonts w:ascii="Arial" w:cs="Arial" w:eastAsia="Arial" w:hAnsi="Arial"/>
                  <w:sz w:val="18"/>
                  <w:szCs w:val="18"/>
                  <w:b w:val="1"/>
                  <w:bCs w:val="1"/>
                  <w:color w:val="0000EE"/>
                  <w:w w:val="91"/>
                </w:rPr>
                <w:t>Item 1.</w:t>
              </w:r>
            </w:hyperlink>
          </w:p>
        </w:tc>
        <w:tc>
          <w:tcPr>
            <w:tcW w:w="160" w:type="dxa"/>
            <w:vAlign w:val="bottom"/>
            <w:tcBorders>
              <w:top w:val="single" w:sz="8" w:color="0000EE"/>
            </w:tcBorders>
            <w:gridSpan w:val="3"/>
          </w:tcPr>
          <w:p>
            <w:pPr>
              <w:spacing w:after="0"/>
              <w:rPr>
                <w:sz w:val="24"/>
                <w:szCs w:val="24"/>
                <w:color w:val="auto"/>
              </w:rPr>
            </w:pPr>
          </w:p>
        </w:tc>
        <w:tc>
          <w:tcPr>
            <w:tcW w:w="900" w:type="dxa"/>
            <w:vAlign w:val="bottom"/>
            <w:gridSpan w:val="3"/>
          </w:tcPr>
          <w:p>
            <w:pPr>
              <w:spacing w:after="0"/>
              <w:rPr>
                <w:sz w:val="24"/>
                <w:szCs w:val="24"/>
                <w:color w:val="auto"/>
              </w:rPr>
            </w:pPr>
          </w:p>
        </w:tc>
        <w:tc>
          <w:tcPr>
            <w:tcW w:w="202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Legal Proceedings</w:t>
              </w:r>
            </w:hyperlink>
          </w:p>
        </w:tc>
        <w:tc>
          <w:tcPr>
            <w:tcW w:w="7560" w:type="dxa"/>
            <w:vAlign w:val="bottom"/>
            <w:gridSpan w:val="11"/>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43</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00" w:type="dxa"/>
            <w:vAlign w:val="bottom"/>
            <w:gridSpan w:val="7"/>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Item 1A.</w:t>
              </w:r>
            </w:hyperlink>
          </w:p>
        </w:tc>
        <w:tc>
          <w:tcPr>
            <w:tcW w:w="9580" w:type="dxa"/>
            <w:vAlign w:val="bottom"/>
            <w:gridSpan w:val="16"/>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43</w:t>
              </w:r>
            </w:hyperlink>
          </w:p>
        </w:tc>
      </w:tr>
      <w:tr>
        <w:trPr>
          <w:trHeight w:val="20"/>
        </w:trPr>
        <w:tc>
          <w:tcPr>
            <w:tcW w:w="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47">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940" w:type="dxa"/>
            <w:vAlign w:val="bottom"/>
            <w:gridSpan w:val="4"/>
          </w:tcPr>
          <w:p>
            <w:pPr>
              <w:spacing w:after="0"/>
              <w:rPr>
                <w:sz w:val="24"/>
                <w:szCs w:val="24"/>
                <w:color w:val="auto"/>
              </w:rPr>
            </w:pPr>
          </w:p>
        </w:tc>
        <w:tc>
          <w:tcPr>
            <w:tcW w:w="4580" w:type="dxa"/>
            <w:vAlign w:val="bottom"/>
            <w:tcBorders>
              <w:bottom w:val="single" w:sz="8" w:color="0000EE"/>
            </w:tcBorders>
            <w:gridSpan w:val="9"/>
          </w:tcPr>
          <w:p>
            <w:pPr>
              <w:spacing w:after="0"/>
              <w:rPr>
                <w:rFonts w:ascii="Arial" w:cs="Arial" w:eastAsia="Arial" w:hAnsi="Arial"/>
                <w:sz w:val="18"/>
                <w:szCs w:val="18"/>
                <w:b w:val="1"/>
                <w:bCs w:val="1"/>
                <w:color w:val="0000EE"/>
                <w:w w:val="87"/>
              </w:rPr>
            </w:pPr>
            <w:hyperlink w:anchor="page47">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8">
              <w:r>
                <w:rPr>
                  <w:rFonts w:ascii="Arial" w:cs="Arial" w:eastAsia="Arial" w:hAnsi="Arial"/>
                  <w:sz w:val="18"/>
                  <w:szCs w:val="18"/>
                  <w:b w:val="1"/>
                  <w:bCs w:val="1"/>
                  <w:color w:val="0000EE"/>
                  <w:w w:val="91"/>
                </w:rPr>
                <w:t>Item 6.</w:t>
              </w:r>
            </w:hyperlink>
          </w:p>
        </w:tc>
        <w:tc>
          <w:tcPr>
            <w:tcW w:w="1060" w:type="dxa"/>
            <w:vAlign w:val="bottom"/>
            <w:gridSpan w:val="6"/>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44</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49">
              <w:r>
                <w:rPr>
                  <w:rFonts w:ascii="Arial" w:cs="Arial" w:eastAsia="Arial" w:hAnsi="Arial"/>
                  <w:sz w:val="18"/>
                  <w:szCs w:val="18"/>
                  <w:b w:val="1"/>
                  <w:bCs w:val="1"/>
                  <w:color w:val="0000EE"/>
                  <w:w w:val="96"/>
                </w:rPr>
                <w:t>SIGNATURES</w:t>
              </w:r>
            </w:hyperlink>
          </w:p>
        </w:tc>
        <w:tc>
          <w:tcPr>
            <w:tcW w:w="4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45</w:t>
              </w:r>
            </w:hyperlink>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Form 10-Q,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2018 filed with the Securities and Exchange Commission. These factors include, without limitation, the following:</w:t>
      </w:r>
    </w:p>
    <w:p>
      <w:pPr>
        <w:spacing w:after="0" w:line="192" w:lineRule="exact"/>
        <w:rPr>
          <w:sz w:val="20"/>
          <w:szCs w:val="20"/>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recently enacted U.S. Federal tax reform and its impact on us, our shareholders and our operations;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restrictions on the 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125" w:right="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available for sale, at fair value (amortized cost: 2019 — $2,792,976; 2018 — $2,638,950)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2,848,746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2,605,666</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w w:val="97"/>
              </w:rPr>
              <w:t>Short-term investments available for sale, at fair value (amortized cost: 2019 — $251,464; 2018 — $154,400)</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251,468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154,400</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investments available for sale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3,100,214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2,760,066</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Other invested assets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69,853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30,952</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3,170,067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2,791,018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25,255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64,946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17,627</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40,395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36,881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16,049</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(at cost, less accumulated depreciation of $55,696 in 2019 and $53,870 in 2018)</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7,629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202,385</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22,256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13,436</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3,539,899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3,149,971</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1"/>
        </w:trPr>
        <w:tc>
          <w:tcPr>
            <w:tcW w:w="8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49,464</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295,234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295,467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172,642</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w w:val="93"/>
              </w:rPr>
              <w:t>Credit facility borrowings (at carrying value, less unamortized deferred costs of $1,050 in 2019 and $1,336 in 2018)</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223,950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223,664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Securities purchases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39,584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40,976</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835,607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784,254</w:t>
            </w:r>
          </w:p>
        </w:tc>
      </w:tr>
      <w:tr>
        <w:trPr>
          <w:trHeight w:val="22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(see Note 7)</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Common shares, $0.015 par value: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Authorized - 233,333; issued and outstanding - 98,396 shares in 2019 and 98,139 shares in 2018</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1,110,893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1,110,800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(28,993)</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1,546,563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1,282,438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2,704,292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2,365,717</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3,539,899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3,149,971</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188,404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168,404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366,048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333,629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Decrease (increase) in unearned premiums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(24,113)</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188,490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156,958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366,281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309,516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28,848</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2,231</w:t>
            </w:r>
          </w:p>
        </w:tc>
      </w:tr>
      <w:tr>
        <w:trPr>
          <w:trHeight w:val="237"/>
        </w:trPr>
        <w:tc>
          <w:tcPr>
            <w:tcW w:w="51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211,892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173,768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412,418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341,231</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7,122</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41,520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36,428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82,550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74,552</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5,068</w:t>
            </w:r>
          </w:p>
        </w:tc>
      </w:tr>
      <w:tr>
        <w:trPr>
          <w:trHeight w:val="237"/>
        </w:trPr>
        <w:tc>
          <w:tcPr>
            <w:tcW w:w="51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49,159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40,859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99,966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86,742</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162,733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132,909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312,452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254,489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26,328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31,665</w:t>
            </w:r>
          </w:p>
        </w:tc>
      </w:tr>
      <w:tr>
        <w:trPr>
          <w:trHeight w:val="297"/>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136,405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111,755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264,125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222,824</w:t>
            </w:r>
          </w:p>
        </w:tc>
      </w:tr>
      <w:tr>
        <w:trPr>
          <w:trHeight w:val="271"/>
        </w:trPr>
        <w:tc>
          <w:tcPr>
            <w:tcW w:w="5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97,798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97,362</w:t>
            </w: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98,170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98,137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97,908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136,405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111,755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264,125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222,824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4"/>
              </w:rPr>
              <w:t>Change in unrealized appreciation (depreciation) of investments,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5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net of tax expense (benefit) of $7,094 and ($1,418) in the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2"/>
              </w:rPr>
              <w:t>three months ended June 30, 2019 and 2018 and $15,045 and</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51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($6,611) in the six months ended June 30, 2019 and 2018</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35,987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(35,996)</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other comprehensive income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35,987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74,353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(35,996)</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172,392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104,509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338,478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186,828</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2019</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4"/>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8"/>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0"/>
              </w:rPr>
              <w:t>Treasury</w:t>
            </w:r>
          </w:p>
        </w:tc>
        <w:tc>
          <w:tcPr>
            <w:tcW w:w="180" w:type="dxa"/>
            <w:vAlign w:val="bottom"/>
          </w:tcPr>
          <w:p>
            <w:pPr>
              <w:spacing w:after="0"/>
              <w:rPr>
                <w:sz w:val="11"/>
                <w:szCs w:val="11"/>
                <w:color w:val="auto"/>
              </w:rPr>
            </w:pPr>
          </w:p>
        </w:tc>
        <w:tc>
          <w:tcPr>
            <w:tcW w:w="1060" w:type="dxa"/>
            <w:vAlign w:val="bottom"/>
          </w:tcPr>
          <w:p>
            <w:pPr>
              <w:jc w:val="center"/>
              <w:ind w:right="124"/>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6"/>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March 31, 2019</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1,475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b w:val="1"/>
                <w:bCs w:val="1"/>
                <w:color w:val="auto"/>
              </w:rPr>
              <w:t>1,106,797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6"/>
                <w:szCs w:val="16"/>
                <w:b w:val="1"/>
                <w:bCs w:val="1"/>
                <w:color w:val="auto"/>
              </w:rPr>
              <w:t>9,373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1,410,158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2,527,803</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136,405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136,405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6"/>
                <w:szCs w:val="16"/>
                <w:color w:val="auto"/>
              </w:rPr>
              <w:t>35,987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35,987</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Pr>
          <w:p>
            <w:pPr>
              <w:spacing w:after="0"/>
              <w:rPr>
                <w:sz w:val="20"/>
                <w:szCs w:val="20"/>
                <w:color w:val="auto"/>
              </w:rPr>
            </w:pP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4,222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4,222</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June 30, 2019</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1,476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1,110,893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6"/>
                <w:szCs w:val="16"/>
                <w:b w:val="1"/>
                <w:bCs w:val="1"/>
                <w:color w:val="auto"/>
              </w:rPr>
              <w:t>45,360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1,546,563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2,704,292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2018</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4"/>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8"/>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0"/>
              </w:rPr>
              <w:t>Treasury</w:t>
            </w:r>
          </w:p>
        </w:tc>
        <w:tc>
          <w:tcPr>
            <w:tcW w:w="180" w:type="dxa"/>
            <w:vAlign w:val="bottom"/>
          </w:tcPr>
          <w:p>
            <w:pPr>
              <w:spacing w:after="0"/>
              <w:rPr>
                <w:sz w:val="11"/>
                <w:szCs w:val="11"/>
                <w:color w:val="auto"/>
              </w:rPr>
            </w:pPr>
          </w:p>
        </w:tc>
        <w:tc>
          <w:tcPr>
            <w:tcW w:w="1060" w:type="dxa"/>
            <w:vAlign w:val="bottom"/>
          </w:tcPr>
          <w:p>
            <w:pPr>
              <w:jc w:val="center"/>
              <w:ind w:right="124"/>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6"/>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March 31, 2018</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1,472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b w:val="1"/>
                <w:bCs w:val="1"/>
                <w:color w:val="auto"/>
              </w:rPr>
              <w:t>1,099,676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(32,002)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926,144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1,995,290</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111,755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111,755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(7,246)</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3,827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3,827</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June 30, 2018</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1,472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1,103,448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(39,248)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1,037,899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2,103,571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2019</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4"/>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8"/>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0"/>
              </w:rPr>
              <w:t>Treasury</w:t>
            </w:r>
          </w:p>
        </w:tc>
        <w:tc>
          <w:tcPr>
            <w:tcW w:w="180" w:type="dxa"/>
            <w:vAlign w:val="bottom"/>
          </w:tcPr>
          <w:p>
            <w:pPr>
              <w:spacing w:after="0"/>
              <w:rPr>
                <w:sz w:val="11"/>
                <w:szCs w:val="11"/>
                <w:color w:val="auto"/>
              </w:rPr>
            </w:pPr>
          </w:p>
        </w:tc>
        <w:tc>
          <w:tcPr>
            <w:tcW w:w="1060" w:type="dxa"/>
            <w:vAlign w:val="bottom"/>
          </w:tcPr>
          <w:p>
            <w:pPr>
              <w:jc w:val="center"/>
              <w:ind w:right="124"/>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6"/>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1,472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b w:val="1"/>
                <w:bCs w:val="1"/>
                <w:color w:val="auto"/>
              </w:rPr>
              <w:t>1,110,800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(28,993)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1,282,438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2,365,717</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264,125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264,125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6"/>
                <w:szCs w:val="16"/>
                <w:color w:val="auto"/>
              </w:rPr>
              <w:t>74,353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74,353</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Pr>
          <w:p>
            <w:pPr>
              <w:spacing w:after="0"/>
              <w:rPr>
                <w:sz w:val="20"/>
                <w:szCs w:val="20"/>
                <w:color w:val="auto"/>
              </w:rPr>
            </w:pP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8,322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8,322</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(8,225)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8,225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June 30, 2019</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1,476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1,110,893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6"/>
                <w:szCs w:val="16"/>
                <w:b w:val="1"/>
                <w:bCs w:val="1"/>
                <w:color w:val="auto"/>
              </w:rPr>
              <w:t>45,360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1,546,563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2,704,292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4"/>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8"/>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0"/>
              </w:rPr>
              <w:t>Treasury</w:t>
            </w:r>
          </w:p>
        </w:tc>
        <w:tc>
          <w:tcPr>
            <w:tcW w:w="180" w:type="dxa"/>
            <w:vAlign w:val="bottom"/>
          </w:tcPr>
          <w:p>
            <w:pPr>
              <w:spacing w:after="0"/>
              <w:rPr>
                <w:sz w:val="11"/>
                <w:szCs w:val="11"/>
                <w:color w:val="auto"/>
              </w:rPr>
            </w:pPr>
          </w:p>
        </w:tc>
        <w:tc>
          <w:tcPr>
            <w:tcW w:w="1060" w:type="dxa"/>
            <w:vAlign w:val="bottom"/>
          </w:tcPr>
          <w:p>
            <w:pPr>
              <w:jc w:val="center"/>
              <w:ind w:right="124"/>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6"/>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1,476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b w:val="1"/>
                <w:bCs w:val="1"/>
                <w:color w:val="auto"/>
              </w:rPr>
              <w:t>1,127,137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(3,252)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815,075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1,940,436</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222,824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222,824</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(35,996)</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Pr>
          <w:p>
            <w:pPr>
              <w:spacing w:after="0"/>
              <w:rPr>
                <w:sz w:val="20"/>
                <w:szCs w:val="20"/>
                <w:color w:val="auto"/>
              </w:rPr>
            </w:pP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7,432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7,432</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(31,125)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(31,125)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31,125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June 30, 2018</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1,472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1,103,448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(39,248)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1,037,899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2,103,571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36"/>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264,125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222,824</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Gain on the sale of investments,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(636)</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Equity in net loss (income) of other invested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1,734</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7,432</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Amortization of premium on investment securities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7,455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7,013</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26,783</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Change in:</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Accrued investment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(2,848)</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(3,174)</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Deferred policy acquisition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6"/>
                <w:szCs w:val="16"/>
                <w:color w:val="auto"/>
              </w:rPr>
              <w:t>Prepaid federal income tax</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77,822</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(11,379)</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6"/>
                <w:szCs w:val="16"/>
                <w:color w:val="auto"/>
              </w:rPr>
              <w:t>Reserve for losses and LAE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5,674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3,166</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Unearned premium reserve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24,113</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6"/>
                <w:szCs w:val="16"/>
                <w:color w:val="auto"/>
              </w:rPr>
              <w:t>Other accrued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(9,601)</w:t>
            </w: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265,484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342,656</w:t>
            </w:r>
          </w:p>
        </w:tc>
      </w:tr>
      <w:tr>
        <w:trPr>
          <w:trHeight w:val="156"/>
        </w:trPr>
        <w:tc>
          <w:tcPr>
            <w:tcW w:w="8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Net change in short-term investments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(97,068)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(14,317)</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 of investments available for sale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(498,210)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(505,400)</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Proceeds from maturity of investments available for sale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39,527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52,545</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sales of investments available for sale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299,443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164,355</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Purchase of other invested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(39,408)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Return of investment from other invested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Purchase of property and equipment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(2,050)</w:t>
            </w: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(296,935)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(304,867)</w:t>
            </w:r>
          </w:p>
        </w:tc>
      </w:tr>
      <w:tr>
        <w:trPr>
          <w:trHeight w:val="156"/>
        </w:trPr>
        <w:tc>
          <w:tcPr>
            <w:tcW w:w="8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Credit facility borrowings</w:t>
            </w: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Credit facility repayments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Treasury stock acquired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(31,125)</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Payment of issuance costs for credit facility</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w:t>
            </w: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(8,240)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(56,649)</w:t>
            </w: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6"/>
        </w:trPr>
        <w:tc>
          <w:tcPr>
            <w:tcW w:w="8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decrease in cash</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(39,691)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(18,860)</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at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64,946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43,524</w:t>
            </w:r>
          </w:p>
        </w:tc>
      </w:tr>
      <w:tr>
        <w:trPr>
          <w:trHeight w:val="284"/>
        </w:trPr>
        <w:tc>
          <w:tcPr>
            <w:tcW w:w="83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Cash at end of period</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25,255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24,664</w:t>
            </w:r>
          </w:p>
        </w:tc>
      </w:tr>
      <w:tr>
        <w:trPr>
          <w:trHeight w:val="149"/>
        </w:trPr>
        <w:tc>
          <w:tcPr>
            <w:tcW w:w="8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payments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(10,400)</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Interest payments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(4,700)</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62"/>
        </w:trPr>
        <w:tc>
          <w:tcPr>
            <w:tcW w:w="8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Repayment of borrowings with term loan proceeds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Lease liabilities arising from obtaining right-of-use assets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5" w:right="239" w:bottom="75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759"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Essent Guaranty reinsures 25% of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then in effect, Essent Guaranty also reinsures that portion of the risk that is in excess of 25% of the mortgage balance with respect to loans insured prior to April 1, 2019, after consideration of other reinsurance, to Essent Guaranty of PA, Inc. (“Essent PA”), an affiliate.</w:t>
      </w:r>
    </w:p>
    <w:p>
      <w:pPr>
        <w:spacing w:after="0" w:line="17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18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2018,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30, 2019 prior to the issuance of these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This update requires organizations that lease assets to recognize on the balance sheet the assets and liabilities for the rights and obligations created by those leases. The new guidance also requires additional disclosures about the amount, timing and uncertainty of cash flows arising from leases. The provisions of this update were effective for annual and interim periods beginning after December 15, 2018. We adopted this standard on January 1, 2019 using the modified retrospective adoption approach for our existing operating leases at January 1, 2019. As permitted by this ASU, for leases that commenced before January 1, 2019 we elected the practical expedients of not reassessing whether any expired or existing contracts are or contain leases, not reassessing the lease classification for any expired or existing leases and not reassessing any initial direct costs for existing leases. In addition, we elected the practical expedient to use hindsight in determining the lease term. We also elected to recognize rent expense for short-term leases on a straight line basis over the lease term as permitted under this ASU. The adoption of this ASU did not have a material effect on the Company's consolidated operating results or financial position.</w:t>
      </w:r>
    </w:p>
    <w:p>
      <w:pPr>
        <w:spacing w:after="0" w:line="18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 (Topic 326)</w:t>
      </w:r>
      <w:r>
        <w:rPr>
          <w:rFonts w:ascii="Arial" w:cs="Arial" w:eastAsia="Arial" w:hAnsi="Arial"/>
          <w:sz w:val="18"/>
          <w:szCs w:val="18"/>
          <w:color w:val="auto"/>
        </w:rPr>
        <w:t>. This update is intended to provide financial statement users with more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losses and requires consideration of a broader range of reasonable and supportable information to inform credit loss estimates. The new guidance requires financial assets measured at amortized cost to be presented at the net amount expected to be collected through the use of an allowance for credit losses. Credit losses relating to available-for-sale debt securities will also be recorded through an allowance rather than as a write-down of the amortized cost of the securities. The provisions of this update are effective for annual and interim periods beginning after December 15, 2019. While the Company is still evaluating this ASU, we do not expect it to impact our accounting for insurance losses and loss adjustment expenses ("LAE") as these items are not within the scope of this ASU.</w:t>
      </w:r>
    </w:p>
    <w:p>
      <w:pPr>
        <w:spacing w:after="0" w:line="207" w:lineRule="exact"/>
        <w:rPr>
          <w:sz w:val="20"/>
          <w:szCs w:val="20"/>
          <w:color w:val="auto"/>
        </w:rPr>
      </w:pPr>
    </w:p>
    <w:p>
      <w:pPr>
        <w:ind w:right="40" w:firstLine="648"/>
        <w:spacing w:after="0" w:line="272"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The amendments in this update modify the disclosure requirements for fair value measurements by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modifying, or adding certain disclosures. The provisions of this update are effective for interim and annual periods beginning after December 15, 2019, with early adoption permitted for the removed disclosures. The Company is evaluating the impact the adoption of this ASU will have on the consolidated financial statements and related disclosures.</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The amendments in this update align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capitalizing implementation costs associated with cloud computing arrangements hosted by a vendor with the requirements for capitalizing implementation costs incurred to develop or obtain internal-use software. The provisions of this update are effective for interim and annual periods beginning after December 15, 2019, with early adoption permitted. The Company has elected to adopt this ASU prospectively to eligible costs incurred effective January 1, 2019. The adoption of this ASU did not have a material effect on the Company’s consolidated operating results or financial position.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2019 (In thousands)</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4"/>
                <w:szCs w:val="14"/>
                <w:color w:val="auto"/>
              </w:rPr>
            </w:pPr>
          </w:p>
        </w:tc>
        <w:tc>
          <w:tcPr>
            <w:tcW w:w="1120" w:type="dxa"/>
            <w:vAlign w:val="bottom"/>
          </w:tcPr>
          <w:p>
            <w:pPr>
              <w:jc w:val="center"/>
              <w:ind w:right="25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301,838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305,152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33,632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33,473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716,977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724,382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Municipal debt securities(1)</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382,840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19,923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402,715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Corporate debt securities(2)</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756,474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18,482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774,506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245,414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250,793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352,729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352,053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209,466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209,470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Total investments available for sale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3,044,440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63,294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3,100,214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5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2018 (In thousands)</w:t>
            </w:r>
          </w:p>
        </w:tc>
        <w:tc>
          <w:tcPr>
            <w:tcW w:w="120" w:type="dxa"/>
            <w:vAlign w:val="bottom"/>
            <w:vMerge w:val="restart"/>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3"/>
                <w:szCs w:val="23"/>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3"/>
                <w:szCs w:val="23"/>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23"/>
                <w:szCs w:val="23"/>
                <w:color w:val="auto"/>
              </w:rPr>
            </w:pPr>
          </w:p>
        </w:tc>
        <w:tc>
          <w:tcPr>
            <w:tcW w:w="1120" w:type="dxa"/>
            <w:vAlign w:val="bottom"/>
          </w:tcPr>
          <w:p>
            <w:pPr>
              <w:jc w:val="center"/>
              <w:ind w:right="25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289,892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33,645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32,997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649,228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637,178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Municipal debt securities(1)</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481,547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5,351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483,879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44,999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Corporate debt securities(2)</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738,964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725,201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122,369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121,838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288,371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284,997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139,082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139,083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Total investments available for sale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2,793,350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10,846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(44,130)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2,760,066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380"/>
              <w:spacing w:after="0"/>
              <w:rPr>
                <w:sz w:val="20"/>
                <w:szCs w:val="20"/>
                <w:color w:val="auto"/>
              </w:rPr>
            </w:pPr>
            <w:r>
              <w:rPr>
                <w:rFonts w:ascii="Arial" w:cs="Arial" w:eastAsia="Arial" w:hAnsi="Arial"/>
                <w:sz w:val="14"/>
                <w:szCs w:val="14"/>
                <w:b w:val="1"/>
                <w:bCs w:val="1"/>
                <w:color w:val="auto"/>
              </w:rPr>
              <w:t>June 30,</w:t>
            </w:r>
          </w:p>
        </w:tc>
        <w:tc>
          <w:tcPr>
            <w:tcW w:w="1280" w:type="dxa"/>
            <w:vAlign w:val="bottom"/>
          </w:tcPr>
          <w:p>
            <w:pPr>
              <w:jc w:val="right"/>
              <w:ind w:right="1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3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4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General obligation bonds</w:t>
            </w:r>
          </w:p>
        </w:tc>
        <w:tc>
          <w:tcPr>
            <w:tcW w:w="4800" w:type="dxa"/>
            <w:vAlign w:val="bottom"/>
            <w:gridSpan w:val="3"/>
          </w:tcPr>
          <w:p>
            <w:pPr>
              <w:jc w:val="right"/>
              <w:ind w:right="99"/>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48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Tax allocation bonds</w:t>
            </w:r>
          </w:p>
        </w:tc>
        <w:tc>
          <w:tcPr>
            <w:tcW w:w="4800" w:type="dxa"/>
            <w:vAlign w:val="bottom"/>
            <w:gridSpan w:val="3"/>
          </w:tcPr>
          <w:p>
            <w:pPr>
              <w:jc w:val="right"/>
              <w:ind w:right="99"/>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3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4800" w:type="dxa"/>
            <w:vAlign w:val="bottom"/>
          </w:tcPr>
          <w:p>
            <w:pPr>
              <w:ind w:left="160"/>
              <w:spacing w:after="0"/>
              <w:rPr>
                <w:sz w:val="20"/>
                <w:szCs w:val="20"/>
                <w:color w:val="auto"/>
              </w:rPr>
            </w:pPr>
            <w:r>
              <w:rPr>
                <w:rFonts w:ascii="Arial" w:cs="Arial" w:eastAsia="Arial" w:hAnsi="Arial"/>
                <w:sz w:val="18"/>
                <w:szCs w:val="18"/>
                <w:color w:val="auto"/>
              </w:rPr>
              <w:t>Total</w:t>
            </w:r>
          </w:p>
        </w:tc>
        <w:tc>
          <w:tcPr>
            <w:tcW w:w="3520" w:type="dxa"/>
            <w:vAlign w:val="bottom"/>
            <w:gridSpan w:val="2"/>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420" w:type="dxa"/>
            <w:vAlign w:val="bottom"/>
            <w:vMerge w:val="restart"/>
          </w:tcPr>
          <w:p>
            <w:pPr>
              <w:jc w:val="right"/>
              <w:ind w:right="25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380"/>
              <w:spacing w:after="0"/>
              <w:rPr>
                <w:sz w:val="20"/>
                <w:szCs w:val="20"/>
                <w:color w:val="auto"/>
              </w:rPr>
            </w:pPr>
            <w:r>
              <w:rPr>
                <w:rFonts w:ascii="Arial" w:cs="Arial" w:eastAsia="Arial" w:hAnsi="Arial"/>
                <w:sz w:val="14"/>
                <w:szCs w:val="14"/>
                <w:b w:val="1"/>
                <w:bCs w:val="1"/>
                <w:color w:val="auto"/>
              </w:rPr>
              <w:t>June 30,</w:t>
            </w:r>
          </w:p>
        </w:tc>
        <w:tc>
          <w:tcPr>
            <w:tcW w:w="1280" w:type="dxa"/>
            <w:vAlign w:val="bottom"/>
          </w:tcPr>
          <w:p>
            <w:pPr>
              <w:jc w:val="right"/>
              <w:ind w:right="1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3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4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Consumer, non-cyclical</w:t>
            </w:r>
          </w:p>
        </w:tc>
        <w:tc>
          <w:tcPr>
            <w:tcW w:w="4800" w:type="dxa"/>
            <w:vAlign w:val="bottom"/>
            <w:gridSpan w:val="3"/>
          </w:tcPr>
          <w:p>
            <w:pPr>
              <w:jc w:val="right"/>
              <w:ind w:right="99"/>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48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Consumer, cyclical</w:t>
            </w:r>
          </w:p>
        </w:tc>
        <w:tc>
          <w:tcPr>
            <w:tcW w:w="4800" w:type="dxa"/>
            <w:vAlign w:val="bottom"/>
            <w:gridSpan w:val="3"/>
          </w:tcPr>
          <w:p>
            <w:pPr>
              <w:jc w:val="right"/>
              <w:ind w:right="99"/>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48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Utilities</w:t>
            </w:r>
          </w:p>
        </w:tc>
        <w:tc>
          <w:tcPr>
            <w:tcW w:w="4800" w:type="dxa"/>
            <w:vAlign w:val="bottom"/>
            <w:gridSpan w:val="3"/>
          </w:tcPr>
          <w:p>
            <w:pPr>
              <w:jc w:val="right"/>
              <w:ind w:right="99"/>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48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4800" w:type="dxa"/>
            <w:vAlign w:val="bottom"/>
            <w:gridSpan w:val="3"/>
          </w:tcPr>
          <w:p>
            <w:pPr>
              <w:jc w:val="right"/>
              <w:ind w:right="99"/>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3520" w:type="dxa"/>
            <w:vAlign w:val="bottom"/>
            <w:tcBorders>
              <w:bottom w:val="single" w:sz="8" w:color="CCEEFF"/>
            </w:tcBorders>
            <w:gridSpan w:val="2"/>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4800" w:type="dxa"/>
            <w:vAlign w:val="bottom"/>
          </w:tcPr>
          <w:p>
            <w:pPr>
              <w:ind w:left="160"/>
              <w:spacing w:after="0"/>
              <w:rPr>
                <w:sz w:val="20"/>
                <w:szCs w:val="20"/>
                <w:color w:val="auto"/>
              </w:rPr>
            </w:pPr>
            <w:r>
              <w:rPr>
                <w:rFonts w:ascii="Arial" w:cs="Arial" w:eastAsia="Arial" w:hAnsi="Arial"/>
                <w:sz w:val="18"/>
                <w:szCs w:val="18"/>
                <w:color w:val="auto"/>
              </w:rPr>
              <w:t>Total</w:t>
            </w:r>
          </w:p>
        </w:tc>
        <w:tc>
          <w:tcPr>
            <w:tcW w:w="3520" w:type="dxa"/>
            <w:vAlign w:val="bottom"/>
            <w:gridSpan w:val="2"/>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420" w:type="dxa"/>
            <w:vAlign w:val="bottom"/>
            <w:vMerge w:val="restart"/>
          </w:tcPr>
          <w:p>
            <w:pPr>
              <w:jc w:val="right"/>
              <w:ind w:right="259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125" w:right="4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June 30, 2019,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Amortized</w:t>
            </w:r>
          </w:p>
        </w:tc>
        <w:tc>
          <w:tcPr>
            <w:tcW w:w="440" w:type="dxa"/>
            <w:vAlign w:val="bottom"/>
          </w:tcPr>
          <w:p>
            <w:pPr>
              <w:spacing w:after="0"/>
              <w:rPr>
                <w:sz w:val="14"/>
                <w:szCs w:val="14"/>
                <w:color w:val="auto"/>
              </w:rPr>
            </w:pPr>
          </w:p>
        </w:tc>
        <w:tc>
          <w:tcPr>
            <w:tcW w:w="1480" w:type="dxa"/>
            <w:vAlign w:val="bottom"/>
          </w:tcPr>
          <w:p>
            <w:pPr>
              <w:jc w:val="right"/>
              <w:ind w:right="73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59,252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59,187</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164,266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166,851</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78,320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79,114</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301,838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305,152</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U.S. agency securities:</w:t>
            </w:r>
          </w:p>
        </w:tc>
        <w:tc>
          <w:tcPr>
            <w:tcW w:w="3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19,082</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14,441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14,391</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33,632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33,473</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Municipal debt securities:</w:t>
            </w:r>
          </w:p>
        </w:tc>
        <w:tc>
          <w:tcPr>
            <w:tcW w:w="3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54,384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55,625</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176,420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185,588</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150,036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159,500</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382,840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402,715</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Non-U.S. government securities:</w:t>
            </w:r>
          </w:p>
        </w:tc>
        <w:tc>
          <w:tcPr>
            <w:tcW w:w="3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19,821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20,613</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25,249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27,057</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45,070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47,670</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108,645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108,569</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403,824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410,788</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242,768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253,798</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756,474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774,506</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716,977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724,382</w:t>
            </w:r>
          </w:p>
        </w:tc>
        <w:tc>
          <w:tcPr>
            <w:tcW w:w="0" w:type="dxa"/>
            <w:vAlign w:val="bottom"/>
          </w:tcPr>
          <w:p>
            <w:pPr>
              <w:spacing w:after="0"/>
              <w:rPr>
                <w:sz w:val="1"/>
                <w:szCs w:val="1"/>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245,414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250,793</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352,729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352,053</w:t>
            </w:r>
          </w:p>
        </w:tc>
        <w:tc>
          <w:tcPr>
            <w:tcW w:w="0" w:type="dxa"/>
            <w:vAlign w:val="bottom"/>
          </w:tcPr>
          <w:p>
            <w:pPr>
              <w:spacing w:after="0"/>
              <w:rPr>
                <w:sz w:val="1"/>
                <w:szCs w:val="1"/>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209,466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209,470</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3,044,440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3,100,214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gains and losses realized on the sale of investments available for sale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1,923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1,309</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Realized gross losses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1,225</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673</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investments available for sale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2019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121,564</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27,374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15,672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252,174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2,380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11,733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41,212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8,368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49,580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133,870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65,367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199,237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246,865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559,271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806,136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2018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45,505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210,520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32,997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106,177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341,579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447,756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114,442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104,930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219,372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381,912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231,124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613,036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(14,768)</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51,477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217,546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29,852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247,398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930,556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918,818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1,849,374</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(44,130)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gross unrealized losses on these investment securities are principally associated with the changes in market interest rates as well as changes in credit spreads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We recorded an other-than-temporary impairment of $0.1 million in the three and six months ended June 30, 2019 on securities in an unrealized loss position. The impairment resulted from our intent to sell the security subsequent to the reporting date. There were no other-than-temporary impairments in each of the three and six months ended June 30, 2018.</w:t>
      </w:r>
    </w:p>
    <w:p>
      <w:pPr>
        <w:spacing w:after="0" w:line="193"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The Company's other invested assets at June 30, 2019 and December 31, 2018 totaled $69.9 million and $31.0 million, respectively. Other invested assets are comprised of limited partnership interests which are accounted for under the equity method of accounting with changes in value reported in other income. Due to the timing of receiving financial information from these partnerships, the results are generally reported on a one month or quarter lag.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investments deposited with insurance regulatory authorities to meet statutory requirements was $9.4 million at June 30, 2019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$8.9 million at December 31, 2018. In connection with its insurance and reinsurance activities, Essent Re is required to maintain assets in trusts for the benefit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its contractual counterparties. The fair value of the investments on deposit in these trusts was $687.7 million at June 30, 2019 and $759.9 million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Essent Guaranty is required to maintain assets on deposit in connection with its fully collateralized reinsurance agreements (see Note 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assets on deposit was $8.2 million at June 30, 2019 and $3.4 million at December 31, 2018. Essent Guaranty is also required to maintain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on deposit for the benefit of the sponsor of a fixed income investment commitment. The fair value of the assets on deposit was $6.4 million at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 and $6.3 million at December 31,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20,180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39,923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28,139</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2,049</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21,490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30,188</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(1,340)</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20,581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40,461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28,848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Reinsurance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ordinary course of business, our insurance subsidiaries may use reinsurance to provide protection against adverse loss experience and to expand our capital sources. Reinsurance recoverables are recorded as assets,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18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Essent Guaranty has entered into fully collateralized reinsurance agreements with unaffiliated special purpose insurers domiciled in Bermuda ("Radnor Re Transactions").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LIBOR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183"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summarizes Essent Guaranty's reinsurance agreements, respective coverages and retentions as of June 30, 2019:</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Vintage Year</w:t>
            </w:r>
          </w:p>
        </w:tc>
        <w:tc>
          <w:tcPr>
            <w:tcW w:w="12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Reinsurer</w:t>
            </w:r>
          </w:p>
        </w:tc>
        <w:tc>
          <w:tcPr>
            <w:tcW w:w="10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10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Optional Termination Date</w:t>
            </w:r>
          </w:p>
        </w:tc>
        <w:tc>
          <w:tcPr>
            <w:tcW w:w="620" w:type="dxa"/>
            <w:vAlign w:val="bottom"/>
            <w:tcBorders>
              <w:bottom w:val="single" w:sz="8" w:color="auto"/>
            </w:tcBorders>
          </w:tcPr>
          <w:p>
            <w:pPr>
              <w:spacing w:after="0"/>
              <w:rPr>
                <w:sz w:val="16"/>
                <w:szCs w:val="16"/>
                <w:color w:val="auto"/>
              </w:rPr>
            </w:pPr>
          </w:p>
        </w:tc>
      </w:tr>
      <w:tr>
        <w:trPr>
          <w:trHeight w:val="250"/>
        </w:trPr>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2015 &amp; 2016</w:t>
            </w:r>
          </w:p>
        </w:tc>
        <w:tc>
          <w:tcPr>
            <w:tcW w:w="12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2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June 20, 2019</w:t>
            </w:r>
          </w:p>
        </w:tc>
        <w:tc>
          <w:tcPr>
            <w:tcW w:w="268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89"/>
              </w:rPr>
              <w:t>June 25, 2024</w:t>
            </w: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20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Radnor Re 2018-1 Ltd.</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22, 2018</w:t>
            </w:r>
          </w:p>
        </w:tc>
        <w:tc>
          <w:tcPr>
            <w:tcW w:w="2680" w:type="dxa"/>
            <w:vAlign w:val="bottom"/>
          </w:tcPr>
          <w:p>
            <w:pPr>
              <w:jc w:val="center"/>
              <w:ind w:left="93"/>
              <w:spacing w:after="0"/>
              <w:rPr>
                <w:sz w:val="20"/>
                <w:szCs w:val="20"/>
                <w:color w:val="auto"/>
              </w:rPr>
            </w:pPr>
            <w:r>
              <w:rPr>
                <w:rFonts w:ascii="Arial" w:cs="Arial" w:eastAsia="Arial" w:hAnsi="Arial"/>
                <w:sz w:val="18"/>
                <w:szCs w:val="18"/>
                <w:color w:val="auto"/>
                <w:w w:val="91"/>
              </w:rPr>
              <w:t>March 25, 2023</w:t>
            </w: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November 1, 2018</w:t>
            </w:r>
          </w:p>
        </w:tc>
        <w:tc>
          <w:tcPr>
            <w:tcW w:w="268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91"/>
              </w:rPr>
              <w:t>October 1, 2023</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w:t>
            </w:r>
          </w:p>
        </w:tc>
      </w:tr>
      <w:tr>
        <w:trPr>
          <w:trHeight w:val="243"/>
        </w:trPr>
        <w:tc>
          <w:tcPr>
            <w:tcW w:w="20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February 28, 2019</w:t>
            </w:r>
          </w:p>
        </w:tc>
        <w:tc>
          <w:tcPr>
            <w:tcW w:w="2680" w:type="dxa"/>
            <w:vAlign w:val="bottom"/>
          </w:tcPr>
          <w:p>
            <w:pPr>
              <w:jc w:val="center"/>
              <w:ind w:left="93"/>
              <w:spacing w:after="0"/>
              <w:rPr>
                <w:sz w:val="20"/>
                <w:szCs w:val="20"/>
                <w:color w:val="auto"/>
              </w:rPr>
            </w:pPr>
            <w:r>
              <w:rPr>
                <w:rFonts w:ascii="Arial" w:cs="Arial" w:eastAsia="Arial" w:hAnsi="Arial"/>
                <w:sz w:val="18"/>
                <w:szCs w:val="18"/>
                <w:color w:val="auto"/>
                <w:w w:val="91"/>
              </w:rPr>
              <w:t>February 25, 2026</w:t>
            </w:r>
          </w:p>
        </w:tc>
        <w:tc>
          <w:tcPr>
            <w:tcW w:w="620" w:type="dxa"/>
            <w:vAlign w:val="bottom"/>
          </w:tcPr>
          <w:p>
            <w:pPr>
              <w:spacing w:after="0"/>
              <w:rPr>
                <w:sz w:val="21"/>
                <w:szCs w:val="2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3"/>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February 28, 2019</w:t>
            </w:r>
          </w:p>
        </w:tc>
        <w:tc>
          <w:tcPr>
            <w:tcW w:w="268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1"/>
              </w:rPr>
              <w:t>February 25, 2026</w:t>
            </w:r>
          </w:p>
        </w:tc>
        <w:tc>
          <w:tcPr>
            <w:tcW w:w="620" w:type="dxa"/>
            <w:vAlign w:val="bottom"/>
            <w:shd w:val="clear" w:color="auto" w:fill="CCEEFF"/>
          </w:tcPr>
          <w:p>
            <w:pPr>
              <w:spacing w:after="0"/>
              <w:rPr>
                <w:sz w:val="21"/>
                <w:szCs w:val="21"/>
                <w:color w:val="auto"/>
              </w:rPr>
            </w:pPr>
          </w:p>
        </w:tc>
      </w:tr>
      <w:tr>
        <w:trPr>
          <w:trHeight w:val="27"/>
        </w:trPr>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60" w:right="18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risk margin component of the reinsurance premium increases by 50%.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reinsurance premium increases by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38"/>
              <w:spacing w:after="0"/>
              <w:rPr>
                <w:sz w:val="20"/>
                <w:szCs w:val="20"/>
                <w:color w:val="auto"/>
              </w:rPr>
            </w:pPr>
            <w:r>
              <w:rPr>
                <w:rFonts w:ascii="Arial" w:cs="Arial" w:eastAsia="Arial" w:hAnsi="Arial"/>
                <w:sz w:val="14"/>
                <w:szCs w:val="14"/>
                <w:b w:val="1"/>
                <w:bCs w:val="1"/>
                <w:color w:val="auto"/>
              </w:rPr>
              <w:t>Remaining</w:t>
            </w: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4"/>
                <w:szCs w:val="14"/>
                <w:b w:val="1"/>
                <w:bCs w:val="1"/>
                <w:color w:val="auto"/>
              </w:rPr>
              <w:t>Reinsurance in Force</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340" w:type="dxa"/>
            <w:vAlign w:val="bottom"/>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w w:val="94"/>
              </w:rPr>
              <w:t>Remaining</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8"/>
              <w:spacing w:after="0" w:line="13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Vintage Year</w:t>
            </w:r>
          </w:p>
        </w:tc>
        <w:tc>
          <w:tcPr>
            <w:tcW w:w="28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Insurance</w:t>
            </w:r>
          </w:p>
        </w:tc>
        <w:tc>
          <w:tcPr>
            <w:tcW w:w="26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Risk</w:t>
            </w:r>
          </w:p>
        </w:tc>
        <w:tc>
          <w:tcPr>
            <w:tcW w:w="360" w:type="dxa"/>
            <w:vAlign w:val="bottom"/>
          </w:tcPr>
          <w:p>
            <w:pPr>
              <w:spacing w:after="0"/>
              <w:rPr>
                <w:sz w:val="12"/>
                <w:szCs w:val="12"/>
                <w:color w:val="auto"/>
              </w:rPr>
            </w:pPr>
          </w:p>
        </w:tc>
        <w:tc>
          <w:tcPr>
            <w:tcW w:w="112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ILN</w:t>
            </w:r>
          </w:p>
        </w:tc>
        <w:tc>
          <w:tcPr>
            <w:tcW w:w="220" w:type="dxa"/>
            <w:vAlign w:val="bottom"/>
          </w:tcPr>
          <w:p>
            <w:pPr>
              <w:spacing w:after="0"/>
              <w:rPr>
                <w:sz w:val="12"/>
                <w:szCs w:val="12"/>
                <w:color w:val="auto"/>
              </w:rPr>
            </w:pPr>
          </w:p>
        </w:tc>
        <w:tc>
          <w:tcPr>
            <w:tcW w:w="130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w w:val="94"/>
              </w:rPr>
              <w:t>Other Reinsurance</w:t>
            </w:r>
          </w:p>
        </w:tc>
        <w:tc>
          <w:tcPr>
            <w:tcW w:w="940" w:type="dxa"/>
            <w:vAlign w:val="bottom"/>
          </w:tcPr>
          <w:p>
            <w:pPr>
              <w:spacing w:after="0"/>
              <w:rPr>
                <w:sz w:val="12"/>
                <w:szCs w:val="12"/>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7"/>
              </w:rPr>
              <w:t>First Layer</w:t>
            </w:r>
          </w:p>
        </w:tc>
        <w:tc>
          <w:tcPr>
            <w:tcW w:w="0" w:type="dxa"/>
            <w:vAlign w:val="bottom"/>
          </w:tcPr>
          <w:p>
            <w:pPr>
              <w:spacing w:after="0"/>
              <w:rPr>
                <w:sz w:val="1"/>
                <w:szCs w:val="1"/>
                <w:color w:val="auto"/>
              </w:rPr>
            </w:pPr>
          </w:p>
        </w:tc>
      </w:tr>
      <w:tr>
        <w:trPr>
          <w:trHeight w:val="192"/>
        </w:trPr>
        <w:tc>
          <w:tcPr>
            <w:tcW w:w="15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 Force</w:t>
            </w:r>
          </w:p>
        </w:tc>
        <w:tc>
          <w:tcPr>
            <w:tcW w:w="26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Force</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Retention</w:t>
            </w:r>
          </w:p>
        </w:tc>
        <w:tc>
          <w:tcPr>
            <w:tcW w:w="0" w:type="dxa"/>
            <w:vAlign w:val="bottom"/>
          </w:tcPr>
          <w:p>
            <w:pPr>
              <w:spacing w:after="0"/>
              <w:rPr>
                <w:sz w:val="1"/>
                <w:szCs w:val="1"/>
                <w:color w:val="auto"/>
              </w:rPr>
            </w:pPr>
          </w:p>
        </w:tc>
      </w:tr>
      <w:tr>
        <w:trPr>
          <w:trHeight w:val="250"/>
        </w:trPr>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2015 &amp; 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30,826,843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8,331,331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333,844</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333,844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208,111</w:t>
            </w:r>
          </w:p>
        </w:tc>
        <w:tc>
          <w:tcPr>
            <w:tcW w:w="0" w:type="dxa"/>
            <w:vAlign w:val="bottom"/>
          </w:tcPr>
          <w:p>
            <w:pPr>
              <w:spacing w:after="0"/>
              <w:rPr>
                <w:sz w:val="1"/>
                <w:szCs w:val="1"/>
                <w:color w:val="auto"/>
              </w:rPr>
            </w:pPr>
          </w:p>
        </w:tc>
      </w:tr>
      <w:tr>
        <w:trPr>
          <w:trHeight w:val="243"/>
        </w:trPr>
        <w:tc>
          <w:tcPr>
            <w:tcW w:w="13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33,789,568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8,468,723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405,558</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165,167</w:t>
            </w:r>
          </w:p>
        </w:tc>
        <w:tc>
          <w:tcPr>
            <w:tcW w:w="940" w:type="dxa"/>
            <w:vAlign w:val="bottom"/>
          </w:tcPr>
          <w:p>
            <w:pPr>
              <w:jc w:val="right"/>
              <w:ind w:right="570"/>
              <w:spacing w:after="0"/>
              <w:rPr>
                <w:sz w:val="20"/>
                <w:szCs w:val="20"/>
                <w:color w:val="auto"/>
              </w:rPr>
            </w:pPr>
            <w:r>
              <w:rPr>
                <w:rFonts w:ascii="Arial" w:cs="Arial" w:eastAsia="Arial" w:hAnsi="Arial"/>
                <w:sz w:val="18"/>
                <w:szCs w:val="18"/>
                <w:b w:val="1"/>
                <w:bCs w:val="1"/>
                <w:color w:val="auto"/>
              </w:rPr>
              <w:t>(3)</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570,725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224,017</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41,985,709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10,531,739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473,184</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118,650</w:t>
            </w:r>
          </w:p>
        </w:tc>
        <w:tc>
          <w:tcPr>
            <w:tcW w:w="9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(4)</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591,834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253,643</w:t>
            </w:r>
          </w:p>
        </w:tc>
        <w:tc>
          <w:tcPr>
            <w:tcW w:w="0" w:type="dxa"/>
            <w:vAlign w:val="bottom"/>
          </w:tcPr>
          <w:p>
            <w:pPr>
              <w:spacing w:after="0"/>
              <w:rPr>
                <w:sz w:val="1"/>
                <w:szCs w:val="1"/>
                <w:color w:val="auto"/>
              </w:rPr>
            </w:pPr>
          </w:p>
        </w:tc>
      </w:tr>
      <w:tr>
        <w:trPr>
          <w:trHeight w:val="257"/>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106,602,120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27,331,793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1,212,586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283,817</w:t>
            </w: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1,496,403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685,771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immediately above the coverage provided by Radnor Re 2018-1 Ltd.</w:t>
      </w:r>
    </w:p>
    <w:p>
      <w:pPr>
        <w:spacing w:after="0" w:line="23" w:lineRule="exact"/>
        <w:rPr>
          <w:rFonts w:ascii="Arial" w:cs="Arial" w:eastAsia="Arial" w:hAnsi="Arial"/>
          <w:sz w:val="18"/>
          <w:szCs w:val="18"/>
          <w:color w:val="auto"/>
        </w:rPr>
      </w:pPr>
    </w:p>
    <w:p>
      <w:pPr>
        <w:ind w:left="660" w:right="4840" w:hanging="328"/>
        <w:spacing w:after="0" w:line="32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Coverage provided pari-passu to the coverage provided by Radnor Re 2019-1 Ltd. The effect of reinsurance on net premiums written and earned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1406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Direct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196,832</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171,989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380,514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337,508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Ceded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r>
      <w:tr>
        <w:trPr>
          <w:trHeight w:val="297"/>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premiums written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188,404</w:t>
            </w:r>
          </w:p>
        </w:tc>
        <w:tc>
          <w:tcPr>
            <w:tcW w:w="1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168,404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366,048</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333,629</w:t>
            </w:r>
          </w:p>
        </w:tc>
      </w:tr>
      <w:tr>
        <w:trPr>
          <w:trHeight w:val="31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196,918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380,747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313,395</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Ceded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(8,428)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(3,879)</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188,490</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156,958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366,281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309,516</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amount of monthly reinsurance premium ceded to the Radnor Re entities will fluctuate due to changes in one-month LIBOR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w:t>
      </w:r>
    </w:p>
    <w:p>
      <w:pPr>
        <w:spacing w:after="0" w:line="14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connection with the Radnor Re Transactions, we concluded that the risk transfer requirements for reinsurance accounting were met as each Radnor Re entity is assuming significant insurance risk and a reasonable possibility of a</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169"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 following table presents total assets of each Radnor Re special purpose insurer as well as our maximum exposure to loss associated with each Radnor Re entity, representing the fair value of the embedded derivative included in other assets on our condensed consolidated balance sheet and the estimated net present value of investment earnings on the assets in the reinsurance trust, each as of June 30, 2019:</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Maximum Exposure to Loss</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 VIE Assets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5"/>
              </w:rPr>
              <w:t>On - Balance Sheet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Off - Balance Sheet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Total</w:t>
            </w:r>
          </w:p>
        </w:tc>
      </w:tr>
      <w:tr>
        <w:trPr>
          <w:trHeight w:val="250"/>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2018-1 Ltd.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405,558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17,724</w:t>
            </w:r>
          </w:p>
        </w:tc>
      </w:tr>
      <w:tr>
        <w:trPr>
          <w:trHeight w:val="243"/>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473,184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25,131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25,956</w:t>
            </w: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333,844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16,242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16,274</w:t>
            </w:r>
          </w:p>
        </w:tc>
      </w:tr>
      <w:tr>
        <w:trPr>
          <w:trHeight w:val="257"/>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1,212,586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57,370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59,954</w:t>
            </w: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Reserve for Losses and Loss Adjustment Expenses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six months ended June 30: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46,850</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46,850</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16,528</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(9,406)</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incurred losses and LAE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7,122</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6,148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3,745</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3,956</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55,138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50,016</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55,138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50,016</w:t>
            </w:r>
          </w:p>
        </w:tc>
      </w:tr>
      <w:tr>
        <w:trPr>
          <w:trHeight w:val="67"/>
        </w:trPr>
        <w:tc>
          <w:tcPr>
            <w:tcW w:w="7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78"/>
        </w:trPr>
        <w:tc>
          <w:tcPr>
            <w:tcW w:w="7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Loans in default at end of period</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3,519</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the six months ended June 30, 2019, $6.1 million was paid for incurred claims and claim adjustment expenses attributable to insured events of prior years. There has been a $11.1 million favorable prior year development during the six months ended June 30, 2019. Reserves remaining as of June 30, 2019 for prior years are $32.2 million as a result of re-estimation of unpaid losses and loss adjustment expenses. For the six months ended June 30, 2018, $3.7 million was paid for incurred claims and claim adjustment expenses attributable to insured events of prior years. There was a $9.4 million favorable prior year development during the six months ended June 30, 2018. Reserves remaining as of June 30, 2018 for prior years were $33.7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29"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Essent Group and its subsidiaries, Essent Irish Intermediate Holdings Limited and Essent US Holdings, Inc. (collectively, the "Borrowers"), are parties to a secured credit facility (the “Credit Facility”) with committed capacity of $500 million. The Credit Facility provides for a $275 million revolving credit facility, $225 million of term loans and a $100 million uncommitted line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current annual commitment fee rate is 0.35%.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12). The borrowings under the Credit Facility contractually mature on May 17, 2021. This description is not intended to be complete in all respects and is qualified in its entirety by the terms of the Credit Facility, including its covenants. As of June 30, 2019, the Company was in compliance with the covenants and $225 million had been borrowed under the Credit Facility with a weighted average interest rate of 4.41%. As of December 31, 2018, $225 million had been borrowed with a weighted average interest rate of 4.43%.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less than $0.1 million related to remedies for each of the six months ended June 30, 2019 and 2018. As of June 30, 2019, management believes any potential claims for indemnification related to contract underwriting services through June 30, 2019 are not material to our consolidated financial position or results of operations.</w:t>
      </w:r>
    </w:p>
    <w:p>
      <w:pPr>
        <w:spacing w:after="0" w:line="16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June 30, 2019,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lease office space for use in our operations under leases accounted for as operating leases. These leases generally include options to extend them for periods of up to ten years. Our option to extend the term of our primary office locations at the greater of existing or prevailing market rates was not recognized in our right-of-use asset and lease liability. When establishing the value of our right-of-use asset and lease liability, we determine the discount rate for the underlying leases using the prevailing market interest rate for a borrowing of the same duration of the lease plus the risk premium inherent in the borrowings under our Credit Facility. Right-of-use assets and lease liabilities are reported on the condensed consolidated balance sheet as property and equipment and other accrued liabilities, respectively.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lease cost and other lease information as of June 30,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50"/>
        </w:trPr>
        <w:tc>
          <w:tcPr>
            <w:tcW w:w="94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Lease cost: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480" w:type="dxa"/>
            <w:vAlign w:val="bottom"/>
            <w:gridSpan w:val="3"/>
          </w:tcPr>
          <w:p>
            <w:pPr>
              <w:ind w:left="140"/>
              <w:spacing w:after="0"/>
              <w:rPr>
                <w:sz w:val="20"/>
                <w:szCs w:val="20"/>
                <w:color w:val="auto"/>
              </w:rPr>
            </w:pPr>
            <w:r>
              <w:rPr>
                <w:rFonts w:ascii="Arial" w:cs="Arial" w:eastAsia="Arial" w:hAnsi="Arial"/>
                <w:sz w:val="18"/>
                <w:szCs w:val="18"/>
                <w:color w:val="auto"/>
              </w:rPr>
              <w:t>Operating lease cost</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73"/>
              <w:spacing w:after="0"/>
              <w:rPr>
                <w:sz w:val="20"/>
                <w:szCs w:val="20"/>
                <w:color w:val="auto"/>
              </w:rPr>
            </w:pPr>
            <w:r>
              <w:rPr>
                <w:rFonts w:ascii="Arial" w:cs="Arial" w:eastAsia="Arial" w:hAnsi="Arial"/>
                <w:sz w:val="18"/>
                <w:szCs w:val="18"/>
                <w:color w:val="auto"/>
              </w:rPr>
              <w:t>1,197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Short-term lease cost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480" w:type="dxa"/>
            <w:vAlign w:val="bottom"/>
            <w:gridSpan w:val="3"/>
          </w:tcPr>
          <w:p>
            <w:pPr>
              <w:ind w:left="140"/>
              <w:spacing w:after="0"/>
              <w:rPr>
                <w:sz w:val="20"/>
                <w:szCs w:val="20"/>
                <w:color w:val="auto"/>
              </w:rPr>
            </w:pPr>
            <w:r>
              <w:rPr>
                <w:rFonts w:ascii="Arial" w:cs="Arial" w:eastAsia="Arial" w:hAnsi="Arial"/>
                <w:sz w:val="18"/>
                <w:szCs w:val="18"/>
                <w:color w:val="auto"/>
              </w:rPr>
              <w:t>Sublease income</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4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lease cost</w:t>
            </w: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1,214</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information:</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480" w:type="dxa"/>
            <w:vAlign w:val="bottom"/>
            <w:gridSpan w:val="3"/>
          </w:tcPr>
          <w:p>
            <w:pPr>
              <w:ind w:left="140"/>
              <w:spacing w:after="0"/>
              <w:rPr>
                <w:sz w:val="20"/>
                <w:szCs w:val="20"/>
                <w:color w:val="auto"/>
              </w:rPr>
            </w:pPr>
            <w:r>
              <w:rPr>
                <w:rFonts w:ascii="Arial" w:cs="Arial" w:eastAsia="Arial" w:hAnsi="Arial"/>
                <w:sz w:val="18"/>
                <w:szCs w:val="18"/>
                <w:color w:val="auto"/>
              </w:rPr>
              <w:t>Weighted average remaining lease term - operating leases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2"/>
          </w:tcPr>
          <w:p>
            <w:pPr>
              <w:ind w:left="780"/>
              <w:spacing w:after="0"/>
              <w:rPr>
                <w:sz w:val="20"/>
                <w:szCs w:val="20"/>
                <w:color w:val="auto"/>
              </w:rPr>
            </w:pPr>
            <w:r>
              <w:rPr>
                <w:rFonts w:ascii="Arial" w:cs="Arial" w:eastAsia="Arial" w:hAnsi="Arial"/>
                <w:sz w:val="18"/>
                <w:szCs w:val="18"/>
                <w:color w:val="auto"/>
              </w:rPr>
              <w:t>5.3 years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 - operating leases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40" w:type="dxa"/>
            <w:vAlign w:val="bottom"/>
          </w:tcPr>
          <w:p>
            <w:pPr>
              <w:spacing w:after="0"/>
              <w:rPr>
                <w:sz w:val="24"/>
                <w:szCs w:val="24"/>
                <w:color w:val="auto"/>
              </w:rPr>
            </w:pPr>
          </w:p>
        </w:tc>
        <w:tc>
          <w:tcPr>
            <w:tcW w:w="9480" w:type="dxa"/>
            <w:vAlign w:val="bottom"/>
            <w:gridSpan w:val="3"/>
          </w:tcPr>
          <w:p>
            <w:pPr>
              <w:ind w:left="620"/>
              <w:spacing w:after="0"/>
              <w:rPr>
                <w:sz w:val="20"/>
                <w:szCs w:val="20"/>
                <w:color w:val="auto"/>
              </w:rPr>
            </w:pPr>
            <w:r>
              <w:rPr>
                <w:rFonts w:ascii="Arial" w:cs="Arial" w:eastAsia="Arial" w:hAnsi="Arial"/>
                <w:sz w:val="18"/>
                <w:szCs w:val="18"/>
                <w:color w:val="auto"/>
              </w:rPr>
              <w:t>The following table presents a maturity analysis of our lease liabilities as follows at June 30, 2019: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52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2019 (July 1 through December 31)</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2,637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2,711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20" w:type="dxa"/>
            <w:vAlign w:val="bottom"/>
            <w:gridSpan w:val="4"/>
          </w:tcPr>
          <w:p>
            <w:pPr>
              <w:ind w:left="40"/>
              <w:spacing w:after="0"/>
              <w:rPr>
                <w:sz w:val="20"/>
                <w:szCs w:val="20"/>
                <w:color w:val="auto"/>
              </w:rPr>
            </w:pPr>
            <w:r>
              <w:rPr>
                <w:rFonts w:ascii="Arial" w:cs="Arial" w:eastAsia="Arial" w:hAnsi="Arial"/>
                <w:sz w:val="18"/>
                <w:szCs w:val="18"/>
                <w:color w:val="auto"/>
              </w:rPr>
              <w:t>2024 and thereafter</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1,963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6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lease payments to be paid</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20" w:type="dxa"/>
            <w:vAlign w:val="bottom"/>
            <w:gridSpan w:val="4"/>
          </w:tcPr>
          <w:p>
            <w:pPr>
              <w:ind w:left="40"/>
              <w:spacing w:after="0"/>
              <w:rPr>
                <w:sz w:val="20"/>
                <w:szCs w:val="20"/>
                <w:color w:val="auto"/>
              </w:rPr>
            </w:pPr>
            <w:r>
              <w:rPr>
                <w:rFonts w:ascii="Arial" w:cs="Arial" w:eastAsia="Arial" w:hAnsi="Arial"/>
                <w:sz w:val="18"/>
                <w:szCs w:val="18"/>
                <w:color w:val="auto"/>
              </w:rPr>
              <w:t>Less: Future interest expense</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6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5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400" w:type="dxa"/>
            <w:vAlign w:val="bottom"/>
            <w:tcBorders>
              <w:top w:val="single" w:sz="8" w:color="CCEEFF"/>
              <w:bottom w:val="single" w:sz="8" w:color="CCEEFF"/>
            </w:tcBorders>
            <w:gridSpan w:val="3"/>
            <w:vMerge w:val="restart"/>
          </w:tcPr>
          <w:p>
            <w:pPr>
              <w:ind w:left="562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94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080" w:type="dxa"/>
            <w:vAlign w:val="bottom"/>
          </w:tcPr>
          <w:p>
            <w:pPr>
              <w:jc w:val="center"/>
              <w:ind w:right="610"/>
              <w:spacing w:after="0"/>
              <w:rPr>
                <w:sz w:val="20"/>
                <w:szCs w:val="20"/>
                <w:color w:val="auto"/>
              </w:rPr>
            </w:pPr>
            <w:r>
              <w:rPr>
                <w:rFonts w:ascii="Arial" w:cs="Arial" w:eastAsia="Arial" w:hAnsi="Arial"/>
                <w:sz w:val="18"/>
                <w:szCs w:val="18"/>
                <w:b w:val="1"/>
                <w:bCs w:val="1"/>
                <w:color w:val="auto"/>
                <w:w w:val="89"/>
              </w:rPr>
              <w:t>Essent Group Ltd. and Subsidiaries</w:t>
            </w: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4"/>
        </w:trPr>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080" w:type="dxa"/>
            <w:vAlign w:val="bottom"/>
          </w:tcPr>
          <w:p>
            <w:pPr>
              <w:jc w:val="center"/>
              <w:ind w:right="610"/>
              <w:spacing w:after="0"/>
              <w:rPr>
                <w:sz w:val="20"/>
                <w:szCs w:val="20"/>
                <w:color w:val="auto"/>
              </w:rPr>
            </w:pPr>
            <w:r>
              <w:rPr>
                <w:rFonts w:ascii="Arial" w:cs="Arial" w:eastAsia="Arial" w:hAnsi="Arial"/>
                <w:sz w:val="18"/>
                <w:szCs w:val="18"/>
                <w:b w:val="1"/>
                <w:bCs w:val="1"/>
                <w:color w:val="auto"/>
                <w:w w:val="89"/>
              </w:rPr>
              <w:t>Notes to Condensed Consolidated Financial Statements (Unaudited)</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75"/>
        </w:trPr>
        <w:tc>
          <w:tcPr>
            <w:tcW w:w="40" w:type="dxa"/>
            <w:vAlign w:val="bottom"/>
          </w:tcPr>
          <w:p>
            <w:pPr>
              <w:spacing w:after="0"/>
              <w:rPr>
                <w:sz w:val="24"/>
                <w:szCs w:val="24"/>
                <w:color w:val="auto"/>
              </w:rPr>
            </w:pPr>
          </w:p>
        </w:tc>
        <w:tc>
          <w:tcPr>
            <w:tcW w:w="9560" w:type="dxa"/>
            <w:vAlign w:val="bottom"/>
            <w:gridSpan w:val="2"/>
          </w:tcPr>
          <w:p>
            <w:pPr>
              <w:ind w:left="620"/>
              <w:spacing w:after="0"/>
              <w:rPr>
                <w:sz w:val="20"/>
                <w:szCs w:val="20"/>
                <w:color w:val="auto"/>
              </w:rPr>
            </w:pPr>
            <w:r>
              <w:rPr>
                <w:rFonts w:ascii="Arial" w:cs="Arial" w:eastAsia="Arial" w:hAnsi="Arial"/>
                <w:sz w:val="18"/>
                <w:szCs w:val="18"/>
                <w:color w:val="auto"/>
              </w:rPr>
              <w:t>The future minimum lease payments of non-cancelable operating leases are as follows at December 31, 2018:</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81"/>
        </w:trPr>
        <w:tc>
          <w:tcPr>
            <w:tcW w:w="960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(In thousands)</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2,674</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7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2,628</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2,657</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7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2,711</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2,553</w:t>
            </w:r>
          </w:p>
        </w:tc>
      </w:tr>
      <w:tr>
        <w:trPr>
          <w:trHeight w:val="243"/>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2024 and thereafter</w:t>
            </w:r>
          </w:p>
        </w:tc>
        <w:tc>
          <w:tcPr>
            <w:tcW w:w="6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1,963</w:t>
            </w:r>
          </w:p>
        </w:tc>
      </w:tr>
      <w:tr>
        <w:trPr>
          <w:trHeight w:val="27"/>
        </w:trPr>
        <w:tc>
          <w:tcPr>
            <w:tcW w:w="4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payments required</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15,186</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Minimum lease payments shown above have not been reduced by minimum sublease rental income of $0.1 million due in 2019 under the non-cancelable sublease.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nonvested common share and nonvested common share unit activity for the six months ended June 30, 2019:</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ind w:left="440"/>
              <w:spacing w:after="0"/>
              <w:rPr>
                <w:sz w:val="20"/>
                <w:szCs w:val="20"/>
                <w:color w:val="auto"/>
              </w:rPr>
            </w:pPr>
            <w:r>
              <w:rPr>
                <w:rFonts w:ascii="Arial" w:cs="Arial" w:eastAsia="Arial" w:hAnsi="Arial"/>
                <w:sz w:val="14"/>
                <w:szCs w:val="14"/>
                <w:b w:val="1"/>
                <w:bCs w:val="1"/>
                <w:color w:val="auto"/>
              </w:rPr>
              <w:t>Time and Performance-</w:t>
            </w:r>
          </w:p>
        </w:tc>
        <w:tc>
          <w:tcPr>
            <w:tcW w:w="2360" w:type="dxa"/>
            <w:vAlign w:val="bottom"/>
            <w:gridSpan w:val="5"/>
          </w:tcPr>
          <w:p>
            <w:pPr>
              <w:ind w:left="780"/>
              <w:spacing w:after="0"/>
              <w:rPr>
                <w:sz w:val="20"/>
                <w:szCs w:val="20"/>
                <w:color w:val="auto"/>
              </w:rPr>
            </w:pPr>
            <w:r>
              <w:rPr>
                <w:rFonts w:ascii="Arial" w:cs="Arial" w:eastAsia="Arial" w:hAnsi="Arial"/>
                <w:sz w:val="14"/>
                <w:szCs w:val="14"/>
                <w:b w:val="1"/>
                <w:bCs w:val="1"/>
                <w:color w:val="auto"/>
              </w:rPr>
              <w:t>Time-Based</w:t>
            </w:r>
          </w:p>
        </w:tc>
        <w:tc>
          <w:tcPr>
            <w:tcW w:w="2260" w:type="dxa"/>
            <w:vAlign w:val="bottom"/>
            <w:gridSpan w:val="4"/>
            <w:vMerge w:val="restart"/>
          </w:tcPr>
          <w:p>
            <w:pPr>
              <w:jc w:val="right"/>
              <w:ind w:right="67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4"/>
                <w:szCs w:val="14"/>
                <w:b w:val="1"/>
                <w:bCs w:val="1"/>
                <w:color w:val="auto"/>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4"/>
                <w:szCs w:val="14"/>
                <w:b w:val="1"/>
                <w:bCs w:val="1"/>
                <w:color w:val="auto"/>
              </w:rPr>
              <w:t>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45.32</w:t>
            </w:r>
          </w:p>
        </w:tc>
        <w:tc>
          <w:tcPr>
            <w:tcW w:w="10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June 30, 2019</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414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41.18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174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40.83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365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February 2019, certain members of senior management were granted nonvested common shares under the Essent Group Ltd. 2013 Long-Term Incentive Plan ("2013 Plan") that were subject to time-based vesting. These awards vest in three equal installments on March 1, 2020, 2021 and 2022. In March 2019, certain members of senior management were granted nonvested common shares under the 2013 Plan that were subject to performance-based vesting. The performance-based share awards vest based upon our compounded annual book value per share growth percentage during a three-year performance period that commenced on January 1, 2019 and vest on March 1, 2022. The portion of these nonvested performance-based share awards that will be earned based upon the achievement of compounded annual book value per share growth is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level</w:t>
            </w:r>
          </w:p>
        </w:tc>
        <w:tc>
          <w:tcPr>
            <w:tcW w:w="2380" w:type="dxa"/>
            <w:vAlign w:val="bottom"/>
          </w:tcPr>
          <w:p>
            <w:pPr>
              <w:jc w:val="right"/>
              <w:ind w:right="194"/>
              <w:spacing w:after="0"/>
              <w:rPr>
                <w:sz w:val="20"/>
                <w:szCs w:val="20"/>
                <w:color w:val="auto"/>
              </w:rPr>
            </w:pPr>
            <w:r>
              <w:rPr>
                <w:rFonts w:ascii="Arial" w:cs="Arial" w:eastAsia="Arial" w:hAnsi="Arial"/>
                <w:sz w:val="14"/>
                <w:szCs w:val="14"/>
                <w:b w:val="1"/>
                <w:bCs w:val="1"/>
                <w:color w:val="auto"/>
                <w:w w:val="93"/>
              </w:rPr>
              <w:t>Compounded Annual Book Value</w:t>
            </w:r>
          </w:p>
        </w:tc>
        <w:tc>
          <w:tcPr>
            <w:tcW w:w="1880" w:type="dxa"/>
            <w:vAlign w:val="bottom"/>
          </w:tcPr>
          <w:p>
            <w:pPr>
              <w:jc w:val="right"/>
              <w:ind w:right="294"/>
              <w:spacing w:after="0"/>
              <w:rPr>
                <w:sz w:val="20"/>
                <w:szCs w:val="20"/>
                <w:color w:val="auto"/>
              </w:rPr>
            </w:pPr>
            <w:r>
              <w:rPr>
                <w:rFonts w:ascii="Arial" w:cs="Arial" w:eastAsia="Arial" w:hAnsi="Arial"/>
                <w:sz w:val="14"/>
                <w:szCs w:val="14"/>
                <w:b w:val="1"/>
                <w:bCs w:val="1"/>
                <w:color w:val="auto"/>
              </w:rPr>
              <w:t>Nonvested Common</w:t>
            </w:r>
          </w:p>
        </w:tc>
        <w:tc>
          <w:tcPr>
            <w:tcW w:w="0" w:type="dxa"/>
            <w:vAlign w:val="bottom"/>
          </w:tcPr>
          <w:p>
            <w:pPr>
              <w:spacing w:after="0"/>
              <w:rPr>
                <w:sz w:val="1"/>
                <w:szCs w:val="1"/>
                <w:color w:val="auto"/>
              </w:rPr>
            </w:pPr>
          </w:p>
        </w:tc>
      </w:tr>
      <w:tr>
        <w:trPr>
          <w:trHeight w:val="192"/>
        </w:trPr>
        <w:tc>
          <w:tcPr>
            <w:tcW w:w="7160" w:type="dxa"/>
            <w:vAlign w:val="bottom"/>
            <w:gridSpan w:val="2"/>
            <w:vMerge w:val="continue"/>
          </w:tcPr>
          <w:p>
            <w:pPr>
              <w:spacing w:after="0"/>
              <w:rPr>
                <w:sz w:val="16"/>
                <w:szCs w:val="16"/>
                <w:color w:val="auto"/>
              </w:rPr>
            </w:pPr>
          </w:p>
        </w:tc>
        <w:tc>
          <w:tcPr>
            <w:tcW w:w="2380" w:type="dxa"/>
            <w:vAlign w:val="bottom"/>
          </w:tcPr>
          <w:p>
            <w:pPr>
              <w:jc w:val="right"/>
              <w:ind w:right="654"/>
              <w:spacing w:after="0"/>
              <w:rPr>
                <w:sz w:val="20"/>
                <w:szCs w:val="20"/>
                <w:color w:val="auto"/>
              </w:rPr>
            </w:pPr>
            <w:r>
              <w:rPr>
                <w:rFonts w:ascii="Arial" w:cs="Arial" w:eastAsia="Arial" w:hAnsi="Arial"/>
                <w:sz w:val="14"/>
                <w:szCs w:val="14"/>
                <w:b w:val="1"/>
                <w:bCs w:val="1"/>
                <w:color w:val="auto"/>
              </w:rPr>
              <w:t>Per Share Growth</w:t>
            </w:r>
          </w:p>
        </w:tc>
        <w:tc>
          <w:tcPr>
            <w:tcW w:w="1880" w:type="dxa"/>
            <w:vAlign w:val="bottom"/>
          </w:tcPr>
          <w:p>
            <w:pPr>
              <w:jc w:val="right"/>
              <w:ind w:right="454"/>
              <w:spacing w:after="0"/>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50"/>
        </w:trPr>
        <w:tc>
          <w:tcPr>
            <w:tcW w:w="6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auto"/>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&lt;14%</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Threshold</w:t>
            </w:r>
          </w:p>
        </w:tc>
        <w:tc>
          <w:tcPr>
            <w:tcW w:w="2380" w:type="dxa"/>
            <w:vAlign w:val="bottom"/>
          </w:tcPr>
          <w:p>
            <w:pPr>
              <w:jc w:val="right"/>
              <w:ind w:right="174"/>
              <w:spacing w:after="0"/>
              <w:rPr>
                <w:sz w:val="20"/>
                <w:szCs w:val="20"/>
                <w:color w:val="auto"/>
              </w:rPr>
            </w:pPr>
            <w:r>
              <w:rPr>
                <w:rFonts w:ascii="Arial" w:cs="Arial" w:eastAsia="Arial" w:hAnsi="Arial"/>
                <w:sz w:val="18"/>
                <w:szCs w:val="18"/>
                <w:color w:val="auto"/>
              </w:rPr>
              <w:t>14%</w:t>
            </w: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15%</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tcPr>
          <w:p>
            <w:pPr>
              <w:jc w:val="right"/>
              <w:ind w:right="174"/>
              <w:spacing w:after="0"/>
              <w:rPr>
                <w:sz w:val="20"/>
                <w:szCs w:val="20"/>
                <w:color w:val="auto"/>
              </w:rPr>
            </w:pPr>
            <w:r>
              <w:rPr>
                <w:rFonts w:ascii="Arial" w:cs="Arial" w:eastAsia="Arial" w:hAnsi="Arial"/>
                <w:sz w:val="18"/>
                <w:szCs w:val="18"/>
                <w:color w:val="auto"/>
              </w:rPr>
              <w:t>16%</w:t>
            </w:r>
          </w:p>
        </w:tc>
        <w:tc>
          <w:tcPr>
            <w:tcW w:w="18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17%</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b w:val="1"/>
                <w:bCs w:val="1"/>
                <w:color w:val="auto"/>
              </w:rPr>
              <w:t>Maximum</w:t>
            </w:r>
          </w:p>
        </w:tc>
        <w:tc>
          <w:tcPr>
            <w:tcW w:w="2380" w:type="dxa"/>
            <w:vAlign w:val="bottom"/>
          </w:tcPr>
          <w:p>
            <w:pPr>
              <w:jc w:val="right"/>
              <w:ind w:right="174"/>
              <w:spacing w:after="0"/>
              <w:rPr>
                <w:sz w:val="20"/>
                <w:szCs w:val="20"/>
                <w:color w:val="auto"/>
              </w:rPr>
            </w:pPr>
            <w:r>
              <w:rPr>
                <w:rFonts w:ascii="Arial" w:cs="Arial" w:eastAsia="Arial" w:hAnsi="Arial"/>
                <w:sz w:val="18"/>
                <w:szCs w:val="18"/>
                <w:color w:val="auto"/>
              </w:rPr>
              <w:t>≥18%</w:t>
            </w:r>
          </w:p>
        </w:tc>
        <w:tc>
          <w:tcPr>
            <w:tcW w:w="18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9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2380" w:type="dxa"/>
            <w:vAlign w:val="bottom"/>
            <w:tcBorders>
              <w:bottom w:val="single" w:sz="8" w:color="auto"/>
            </w:tcBorders>
            <w:shd w:val="clear" w:color="auto" w:fill="CCEEFF"/>
          </w:tcPr>
          <w:p>
            <w:pPr>
              <w:spacing w:after="0"/>
              <w:rPr>
                <w:sz w:val="24"/>
                <w:szCs w:val="24"/>
                <w:color w:val="auto"/>
              </w:rPr>
            </w:pPr>
          </w:p>
        </w:tc>
        <w:tc>
          <w:tcPr>
            <w:tcW w:w="18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connection with our incentive program covering bonus awards for performance year 2018, in February 2019, time-based share units were issued to certain employees that vest in three equal installments on March 1, 2020, 2021 and 2022. In May 2019, time-based share units were granted to non-employee directors that vest one year from the date of grant.</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total fair value on the vesting date of nonvested shares or share units that vested was $23.6 million and $74.9 million for the six months ended June 30, 2019 and 2018, respectively. As of June 30, 2019, there was $25.6 million of total unrecognized compensation expense related to nonvested shares or share units outstanding at June 30, 2019 and we expect to recognize the expense over a weighted average period of 2.2 years.</w:t>
      </w:r>
    </w:p>
    <w:p>
      <w:pPr>
        <w:spacing w:after="0" w:line="16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Employees have the option to tender shares to Essent Group to pay the minimum employee statutory withholding taxes associated with shares upon vesting. Common shares tendered by employees to pay employee withholding taxes totaled 192,674 in the six months ended June 30, 2019. The tendered shares were recorded at cost and included in treasury stock. All treasury stock has been cancelled as of June 30, 2019.</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4,222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3,827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7,432</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1,385</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 (EPS)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136,405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264,125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222,824</w:t>
            </w: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Less: dividends declared</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shareholders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136,405</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264,125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222,824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97,798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97,426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97,697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97,362</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Dilutive effect of nonvested shares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546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98,170</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97,866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98,137</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97,908</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There were 17,018 and 318,556 antidilutive shares for the three months ended June 30, 2019 and 2018, respectively and 79,483 and 242,860 antidilutive shares for the six months ended June 30, 2019 and 2018, respectively.</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June 30, 2019 and 2018, 100% of the dilutive performance-based share awards would be issuable under the terms of the arrangements at each date if June 30 was the end of the contingency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Accumulated Other Comprehensive Income (Loss)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presents the rollforward of accumulated other comprehensive income (loss) for the three and six months ended June 30,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6"/>
        </w:trPr>
        <w:tc>
          <w:tcPr>
            <w:tcW w:w="3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Before Tax</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5"/>
              </w:rPr>
              <w:t>Tax Effect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Before Tax</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Tax Effect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Net of Tax</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13,041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9,373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(35,792)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3,790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(32,002)</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020" w:type="dxa"/>
            <w:vAlign w:val="bottom"/>
            <w:gridSpan w:val="2"/>
          </w:tcPr>
          <w:p>
            <w:pPr>
              <w:ind w:left="280"/>
              <w:spacing w:after="0"/>
              <w:rPr>
                <w:sz w:val="20"/>
                <w:szCs w:val="20"/>
                <w:color w:val="auto"/>
              </w:rPr>
            </w:pPr>
            <w:r>
              <w:rPr>
                <w:rFonts w:ascii="Arial" w:cs="Arial" w:eastAsia="Arial" w:hAnsi="Arial"/>
                <w:sz w:val="18"/>
                <w:szCs w:val="18"/>
                <w:color w:val="auto"/>
                <w:w w:val="93"/>
              </w:rPr>
              <w:t>Unrealized holding gains (losses) on investments: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Unrealized holding gains (losses) arising during</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0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the period</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43,664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36,453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r>
      <w:tr>
        <w:trPr>
          <w:trHeight w:val="229"/>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Less: Reclassification adjustment for gains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020" w:type="dxa"/>
            <w:vAlign w:val="bottom"/>
            <w:gridSpan w:val="2"/>
          </w:tcPr>
          <w:p>
            <w:pPr>
              <w:ind w:left="540"/>
              <w:spacing w:after="0"/>
              <w:rPr>
                <w:sz w:val="20"/>
                <w:szCs w:val="20"/>
                <w:color w:val="auto"/>
              </w:rPr>
            </w:pPr>
            <w:r>
              <w:rPr>
                <w:rFonts w:ascii="Arial" w:cs="Arial" w:eastAsia="Arial" w:hAnsi="Arial"/>
                <w:sz w:val="18"/>
                <w:szCs w:val="18"/>
                <w:color w:val="auto"/>
              </w:rPr>
              <w:t>included in net income (1)</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unrealized gains (losses) on investments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43,081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35,987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43,081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35,987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(7,246)</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56,122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(39,248)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563"/>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6"/>
        </w:trPr>
        <w:tc>
          <w:tcPr>
            <w:tcW w:w="3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Before Tax</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5"/>
              </w:rPr>
              <w:t>Tax Effect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Before Tax</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Tax Effect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Net of Tax</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Balance at beginning of year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(33,276)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(28,993)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(3,252)</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020" w:type="dxa"/>
            <w:vAlign w:val="bottom"/>
            <w:gridSpan w:val="2"/>
          </w:tcPr>
          <w:p>
            <w:pPr>
              <w:ind w:left="280"/>
              <w:spacing w:after="0"/>
              <w:rPr>
                <w:sz w:val="20"/>
                <w:szCs w:val="20"/>
                <w:color w:val="auto"/>
              </w:rPr>
            </w:pPr>
            <w:r>
              <w:rPr>
                <w:rFonts w:ascii="Arial" w:cs="Arial" w:eastAsia="Arial" w:hAnsi="Arial"/>
                <w:sz w:val="18"/>
                <w:szCs w:val="18"/>
                <w:color w:val="auto"/>
                <w:w w:val="93"/>
              </w:rPr>
              <w:t>Unrealized holding gains (losses) on investments: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Unrealized holding gains (losses) arising during</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0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the period</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90,641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75,359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(35,526)</w:t>
            </w:r>
          </w:p>
        </w:tc>
      </w:tr>
      <w:tr>
        <w:trPr>
          <w:trHeight w:val="229"/>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Less: Reclassification adjustment for gains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020" w:type="dxa"/>
            <w:vAlign w:val="bottom"/>
            <w:gridSpan w:val="2"/>
          </w:tcPr>
          <w:p>
            <w:pPr>
              <w:ind w:left="540"/>
              <w:spacing w:after="0"/>
              <w:rPr>
                <w:sz w:val="20"/>
                <w:szCs w:val="20"/>
                <w:color w:val="auto"/>
              </w:rPr>
            </w:pPr>
            <w:r>
              <w:rPr>
                <w:rFonts w:ascii="Arial" w:cs="Arial" w:eastAsia="Arial" w:hAnsi="Arial"/>
                <w:sz w:val="18"/>
                <w:szCs w:val="18"/>
                <w:color w:val="auto"/>
              </w:rPr>
              <w:t>included in net income (1)</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unrealized gains (losses) on investments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89,398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74,353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(35,996)</w:t>
            </w: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89,398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74,353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(35,996)</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56,122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(39,248)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Included in net realized investment gains on our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06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of Financial Instruments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60" w:right="14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right="20" w:hanging="328"/>
        <w:spacing w:after="0" w:line="273"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78" w:lineRule="exact"/>
        <w:rPr>
          <w:rFonts w:ascii="Arial" w:cs="Arial" w:eastAsia="Arial" w:hAnsi="Arial"/>
          <w:sz w:val="17"/>
          <w:szCs w:val="17"/>
          <w:color w:val="auto"/>
        </w:rPr>
      </w:pPr>
    </w:p>
    <w:p>
      <w:pPr>
        <w:ind w:left="660"/>
        <w:spacing w:after="0" w:line="287" w:lineRule="auto"/>
        <w:rPr>
          <w:rFonts w:ascii="Arial" w:cs="Arial" w:eastAsia="Arial" w:hAnsi="Arial"/>
          <w:sz w:val="17"/>
          <w:szCs w:val="17"/>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5"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2019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305,152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305,152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33,473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33,473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724,382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724,382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402,715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402,715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47,670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47,670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774,506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774,506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250,793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250,793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352,053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352,053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209,470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209,470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 (1)</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514,622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2,585,592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3,100,214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2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include the fair value of embedded derivatives, which we have accounted for separately as freestanding derivatives and included in other assets in our condensed consolidated balance sheet. See Note 4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406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2018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289,892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289,892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32,997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32,997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637,178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637,178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483,879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483,879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45,001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725,201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725,201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121,838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284,997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284,997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139,083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139,083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428,975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2,331,091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2,760,066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Statutory Accounting</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six months ended June 30:</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2018</w:t>
            </w: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208,268</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182,784</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940,290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798,183</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1,049,236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792,447</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97"/>
        </w:trPr>
        <w:tc>
          <w:tcPr>
            <w:tcW w:w="6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4,861</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51,151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47,495</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50,915</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45,985</w:t>
            </w:r>
          </w:p>
        </w:tc>
      </w:tr>
      <w:tr>
        <w:trPr>
          <w:trHeight w:val="27"/>
        </w:trPr>
        <w:tc>
          <w:tcPr>
            <w:tcW w:w="6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Net income determined in accordance with statutory accounting practices differs from GAAP. In 2019 and 2018,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 June 30, 2019 and 2018, the statutory capital of our U.S.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June 30, 2019, Essent Guaranty, our GSE-approved mortgage insurance company, was in compliance with PMIERs 2.0.</w:t>
      </w:r>
    </w:p>
    <w:p>
      <w:pPr>
        <w:spacing w:after="0" w:line="16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six months ended June 30, 2019, Essent Guaranty increased its contingency reserve by $132.7 million and Essent PA increased its contingency reserve by $2.4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six months ended June 30, 2019 or 2018.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2018, all such requirements were met.</w:t>
      </w:r>
    </w:p>
    <w:p>
      <w:pPr>
        <w:spacing w:after="0" w:line="173"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Essent Re's statutory capital and surplus was $899.0 million as of June 30, 2019 and $798.5 million as of December 31, 2018. Essent Re's statutory net income was $82.7 million and $65.0 million for the six months ended June 30, 2019 and 2018, respectively. Statutory capital and surplus as of June 30, 2019 and December 31, 2018 and statutory net income in the six months ended June 30, 2019 and 2018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2018 as filed with the Securities and Exchange Commission and referred to herein as the “Annual Report,” and our condensed consolidated financial statements and related notes as of and for the three and six months ended June 30, 2019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an established and growing private mortgage insurance company. Essent Guaranty, Inc., our wholly-owned insurance subsidiary which we refer to as "Essent Guaranty," is licensed to write coverage in all 50 states and the District of Columbia. The financial strength of Essent Guaranty is rated Baa1 with a stable outlook by Moody’s Investor Services (“Moody's”), BBB+ with a stable outlook by S&amp;P Global Ratings (“S&amp;P”) and A (Excellent) with a stable outlook by A.M. Best.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holding company is domiciled in Bermuda and our U.S. insurance business is headquartered in Radnor, Pennsylvania. We operate additional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underwriting and service centers in Winston-Salem, North Carolina and Irvine, California. We have a highly experienced, talented team with 383 employees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2019. We generated new insurance written, or NIW, of approximately $18.0 billion and $29.0 billion for the three and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2019, respectively, compared to approximately $12.9 billion and $22.2 billion for the three and six months ended June 30, 2018, respectively.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2019, we had approximately $153.3 billion of insurance in force.</w:t>
      </w:r>
    </w:p>
    <w:p>
      <w:pPr>
        <w:spacing w:after="0" w:line="21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also offer mortgage-related insurance and reinsurance through our wholly-owned Bermuda-based subsidiary, Essent Reinsurance Ltd., which we refer to as "Essent Re." As of June 30, 2019, Essent Re provided insurance or reinsurance relating to GSE risk share and other reinsurance transactions covering approximately $802.5 million of risk. Essent Re also reinsures 25% of Essent Guaranty’s NIW under a quota share reinsurance agreement. The insurer financial strength rating of Essent Re is BBB+ with a stable outlook by S&amp;P and A (Excellent) with a stable outlook by A.M. Best.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18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Effective December 31, 2015, Fannie Mae and Freddie Mac, at the direction of the Federal Housing Finance Agency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June 30, 2019, Essent Guaranty, our GSE-approved mortgage insurance company, was in compliance with PMIERs 2.0. See additional discussion in “— Liquidity and Capital Resources —Private Mortgage Insurer Eligibility Requirements.”</w:t>
      </w:r>
    </w:p>
    <w:p>
      <w:pPr>
        <w:spacing w:after="0" w:line="17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U.S. Internal Revenue Service and Department of the Treasury issued proposed regulations on July 10, 2019 relating to the tax treatment of passive foreign investment companies ("PFICs"). The proposed regulations provide guidance on various PFIC rules, including changes resulting from the 2017 Tax Cuts and Jobs Act. As these regulations have only been recently issued, management is currently in the process of evaluating the impact to its shareholders and business operations.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Premiums associated with our U.S. mortgage insurance business are based on insurance in force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54" w:lineRule="exact"/>
        <w:rPr>
          <w:sz w:val="20"/>
          <w:szCs w:val="20"/>
          <w:color w:val="auto"/>
        </w:rPr>
      </w:pPr>
    </w:p>
    <w:p>
      <w:pPr>
        <w:ind w:left="660" w:right="26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46" w:lineRule="exact"/>
        <w:rPr>
          <w:rFonts w:ascii="Arial" w:cs="Arial" w:eastAsia="Arial" w:hAnsi="Arial"/>
          <w:sz w:val="16"/>
          <w:szCs w:val="16"/>
          <w:color w:val="auto"/>
        </w:rPr>
      </w:pPr>
    </w:p>
    <w:p>
      <w:pPr>
        <w:ind w:left="660" w:right="10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34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Premiums ceded or assumed under reinsurance arrangements. See Note 4 to our condensed consolidated financial statements.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June 30, 2019 were non-refundable. Premiums collected on annual policies are recognized as net premiums earned on a straight-line basis over the year of coverage. For the six months ended June 30, 2019, monthly and single premium policies comprised 88.2% and 11.8% of our NIW,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Premiums associated with our GSE and other risk share transactions are based on the level of risk in force and premium rates on the transactions.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84.8% at June 30, 2019. Generally, higher prepayment speeds lead to lower persistency.</w:t>
      </w:r>
    </w:p>
    <w:p>
      <w:pPr>
        <w:spacing w:after="0" w:line="181" w:lineRule="exact"/>
        <w:rPr>
          <w:sz w:val="20"/>
          <w:szCs w:val="20"/>
          <w:color w:val="auto"/>
        </w:rPr>
      </w:pPr>
    </w:p>
    <w:p>
      <w:pPr>
        <w:ind w:right="100" w:firstLine="693"/>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25"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investment portfolio was predominantly comprised of investment-grade fixed income securities and money market funds as of June 30, 2019.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17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This fee is adjusted monthly based on the number of Triad’s mortgage insurance policies in force and, accordingly, will decrease over time as Triad’s existing policies are cancelled. The services agreement was automatically extended until November 30, 2019.</w:t>
      </w:r>
    </w:p>
    <w:p>
      <w:pPr>
        <w:spacing w:after="0" w:line="173"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As more fully described in Note 4 to our condensed consolidated financial statements, the premium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3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38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8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1"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As of June 30, 2019, 69% of our IIF relates to business written since January 1, 2017 and was less than three years old. As a result, based on historical industry performance, we expect the number of defaults and claims we experience, as well as our provision for losses and loss adjustment expenses, to increase as our portfolio seasons. See “— Mortgage Insurance Earnings and Cash Flow Cycle” below.</w:t>
      </w:r>
    </w:p>
    <w:p>
      <w:pPr>
        <w:spacing w:after="0" w:line="187"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w:t>
      </w:r>
    </w:p>
    <w:p>
      <w:pPr>
        <w:jc w:val="both"/>
        <w:ind w:right="460"/>
        <w:spacing w:after="0" w:line="255" w:lineRule="auto"/>
        <w:rPr>
          <w:sz w:val="20"/>
          <w:szCs w:val="20"/>
          <w:color w:val="auto"/>
        </w:rPr>
      </w:pPr>
      <w:r>
        <w:rPr>
          <w:rFonts w:ascii="Arial" w:cs="Arial" w:eastAsia="Arial" w:hAnsi="Arial"/>
          <w:sz w:val="18"/>
          <w:szCs w:val="18"/>
          <w:color w:val="auto"/>
        </w:rPr>
        <w:t>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believe, based upon our experience and industry data, that claims incidence for mortgage insurance is generally highest in the third through sixth years after loan origination. As of June 30, 2019, 69% of our IIF relates to business written since January 1, 2017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During the third quarter of 2017, certain regions of the U.S. experienced hurricanes which have impacted our insured portfolio’s performance. Loans in default identified as hurricane-related defaults totaled 2,288 as of December 31, 2017. In the year ended December 31, 2018, 2,150 of the 2,288 defaults previously identified as hurricane-related cured. Based on our experience to date and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Third-Party Reinsurance</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most significant expense is compensation and benefits for our employees, which represented 56% of other underwriting and operating expenses for each of the three and six months ended June 30, 2019, compared to 61% and 62% of other underwriting and operating expenses for the three and six months ended June 30, 2018, respectively. Compensation and benefits expense includes base and incentive cash compensation, stock compensation expense, benefits and payroll taxes.</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increase. In addition, as a result of the increase in our IIF, we expect that our net premiums earned will grow faster than our underwriting and other expenses resulting in a decline in our expense ratio for the full year 2019 as compared to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18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Essent Group Ltd. and its wholly-owned subsidiary, Essent Re, are domiciled in Bermuda, which does not have a corporate income tax. Essent Re reinsures 25% of Essent Guaranty's NIW under a quota share reinsurance agreement. Essent Re also provides insurance and reinsurance to Freddie Mac and Fannie Mae.</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and six months ended June 30, 2019 and 2018 for our U.S. mortgage insurance portfolio. In addition, this table includes RIF at the end of each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94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143,181,641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115,250,949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137,720,786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110,461,950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NIW - Flow</w:t>
            </w:r>
          </w:p>
        </w:tc>
        <w:tc>
          <w:tcPr>
            <w:tcW w:w="3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17,973,505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12,850,642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28,918,812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22,186,792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NIW - Bulk</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Cancellations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(7,867,513)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(5,600,345)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(13,406,967)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(10,147,496)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153,317,157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122,501,246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153,317,157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122,501,246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Average IIF during the period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gridSpan w:val="2"/>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148,188,377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118,658,900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144,302,864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115,878,005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RIF,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37,034,687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30,154,694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37,034,687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30,154,694</w:t>
            </w:r>
          </w:p>
        </w:tc>
        <w:tc>
          <w:tcPr>
            <w:tcW w:w="0" w:type="dxa"/>
            <w:vAlign w:val="bottom"/>
          </w:tcPr>
          <w:p>
            <w:pPr>
              <w:spacing w:after="0"/>
              <w:rPr>
                <w:sz w:val="1"/>
                <w:szCs w:val="1"/>
                <w:color w:val="auto"/>
              </w:rPr>
            </w:pPr>
          </w:p>
        </w:tc>
      </w:tr>
      <w:tr>
        <w:trPr>
          <w:trHeight w:val="67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4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IIF at June 30, 2019 by vintage: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w:t>
            </w: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(through June 30)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28,526,663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42,790,095</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27.9</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34,821,992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22.7</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22,423,350</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14.6</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11,777,504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w:t>
            </w: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2014 and prior</w:t>
            </w: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12,977,553</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8.5</w:t>
            </w:r>
          </w:p>
        </w:tc>
      </w:tr>
      <w:tr>
        <w:trPr>
          <w:trHeight w:val="27"/>
        </w:trPr>
        <w:tc>
          <w:tcPr>
            <w:tcW w:w="7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7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153,317,157</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Net Premium Rate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average net premium rate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For the three and six months ended June 30, 2019, our average net premium rate was 0.49% and 0.48%, respectively, as compared to 0.51% for each of the three and six months ended June 30, 2018. In 2018 and 2019, Essent Guaranty entered into third-party reinsurance agreements, and in June 2018, we announced a reduction in pricing on our published rates effective for future NIW. We anticipate that the continued use of third-party reinsurance and the announced pricing reductions on future NIW will reduce our average net premium rate in future periods.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of June 30, 2019, our combined net risk in force for our U.S. insurance companies was $28.5 billion and our combined statutory capital was $2.1 billion, resulting in a risk-to-capital ratio of 13.6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Summary of Operations</w:t>
            </w:r>
          </w:p>
        </w:tc>
        <w:tc>
          <w:tcPr>
            <w:tcW w:w="40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188,404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168,404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366,048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333,629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Decrease (increase) in unearned premiums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(24,113)</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188,490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156,958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366,281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309,516</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28,848</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636</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2,231</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211,892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173,768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412,418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341,231</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41,520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36,428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82,550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74,552</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5,068</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losses and expenses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49,159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40,859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99,966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86,742</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162,733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132,909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312,452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254,489</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26,328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21,154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48,327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31,665</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136,405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111,755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264,125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222,824</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2019 Compared to the Three and Six Months Ended June 30, 2018</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the three months ended June 30, 2019, we reported net income of $136.4 million, compared to net income of $111.8 million for the three months ended June 30, 2018. For the six months ended June 30, 2019, we reported net income of $264.1 million, compared to net income of $222.8 million for the six months ended June 30, 2018. The increases in our operating results in 2019 over the same periods in 2018 were primarily due to the increase in net premiums earned associated with the growth of our IIF and the increase in net investment income, partially offset by increases in the provision for losses and LAE, other underwriting and operating expenses and income tax expense.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Net premiums earned increased in the three months ended June 30, 2019 by 20%, compared to the three months ended June 30, 2018 primarily due to the increase in our average IIF from $118.7 billion at June 30, 2018 to $148.2 billion at June 30, 2019, partially offset by a decrease in average net premium rate from 0.51% for the three months ended June 30, 2018 to 0.49% for the three months ended June 30, 2019. Net premiums earned increased in the six months ended June 30, 2019 by 18% compared to the six months ended June 30, 2018 due to the increase in our average IIF from $115.9 billion at June 30, 2018 to $144.3 billion at June 30, 2019, partially offset by a decrease in the average net premium rate from 0.51% in the six months ended June 30, 2018 to 0.48% in the six months ended June 30, 2019. The decrease in the average net premium rate during the three and six months ended June 30, 2019 is primarily due to an increase in premiums ceded under third-party reinsurance agreements, partially offset by an increase in premiums earned on the cancellation of non-refundable single premium policies in the respective periods, along with changes in the mix of the mortgages we insure and changes in our pricing.</w:t>
      </w:r>
    </w:p>
    <w:p>
      <w:pPr>
        <w:spacing w:after="0" w:line="19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Net premiums written increased in the three months ended June 30, 2019 by 12%, compared to the three months ended June 30, 2018 primarily due to the increase in average IIF for the three months ended June 30, 2019 as compared to the same period in 2018, partially offset by a decrease in new single premium policies written, an increase in premiums ceded under third-party reinsurance agreements, changes in the mix of mortgages we insure and changes in our pricing. Net premiums written increased in the six months ended June 30, 2019 by 10%, compared to the six months ended June 30, 2018 primarily due to the increase in average IIF for the six months ended June 30, 2019, as compared to the same period in 2018, partially offset by an increase in premiums ceded under third-party reinsurance agreements in the six months ended June 30, 2019.</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the three months ended June 30, 2019 and 2018, unearned premiums decreased by $0.1 million and increased by $11.4 million, respectively. The change in unearned premiums was a result of net premiums written on single premium policies of $26.5 million and $31.7 million, respectively, which was partially offset by $26.6 million and $20.3 million, respectively, of unearned premium that was recognized in earnings during the periods. In the six months ended June 30, 2019 and 2018, unearned premiums decreased by $0.2 million and increased by $24.1 million, respectively. This was a result of net premiums written on single premium policies of $46.5 million and $62.9 million, respectively, which was partially offset by $46.7 million and $38.8 million, respectively, of unearned premium that was recognized in earnings during the periods.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20,180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14,496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39,923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28,139</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2,049</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21,490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15,794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42,291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30,188</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(1,830)</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(1,340)</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20,581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15,134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40,461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28,848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increase in net investment income for the three and six months ended June 30, 2019 as compared to the same periods in 2018 was due to the increase in the weighted average balance of our investment portfolio and the increase in the pre-tax investment income yield. The average cash and investment portfolio balance increased to $3.0 billion for the three months ended June 30, 2019 from $2.6 billion for the three months ended June 30, 2018. The average cash and investment portfolio balance was $3.0 billion for the six months ended June 30, 2019 compared to $2.5 billion for the six months ended June 30, 2018. The increase in the average cash and investment portfolio in both periods was primarily due to investing cash flows from operations. The pre-tax investment income yield increased from 2.5% and 2.4% in the three and six months ended June 30, 2018, respectively, to 2.8% in each of the three and six months ended June 30, 2019 primarily due to an increase in short-term market interest rates and an increase in the portion of our investment portfolio invested in spread and duration assets. The pre-tax investment income yields are calculated based on amortized cost and exclude investment expenses. See “— Liquidity and Capital Resources” for further details of our investment portfolio.</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Other income includes fees earned for information technology and customer support services provided to Triad, contract underwriting revenues, underwriting consulting services to third-party reinsurers and changes in the fair value of embedded derivatives contained in certain of our reinsurance agreements. The increases in other income for the three and six months ended June 30, 2019 as compared to the same periods in 2018 were primarily due to the increases in fair value of the embedded derivatives, partially offset by decreases in contract underwriting revenues.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provision for losses and LAE was $5.0 million and $1.8 million in the three months ended June 30, 2019 and 2018, respectively, and $12.1 million and $7.1 million in the six months ended June 30, 2019 and 2018, respectively. The increases in the provision for losses and LAE in the three and six months ended June 30, 2019 as compared to the same periods in 2018 were primarily due to increases in the number of insured loans in default in the current period and were also impacted by changes in the age and composition of the insured loans in default. The following table presents a rollforward of insured loans in default for the periods indicated: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r>
      <w:tr>
        <w:trPr>
          <w:trHeight w:val="264"/>
        </w:trPr>
        <w:tc>
          <w:tcPr>
            <w:tcW w:w="5700" w:type="dxa"/>
            <w:vAlign w:val="bottom"/>
            <w:gridSpan w:val="2"/>
          </w:tcPr>
          <w:p>
            <w:pPr>
              <w:ind w:left="5360"/>
              <w:spacing w:after="0"/>
              <w:rPr>
                <w:sz w:val="20"/>
                <w:szCs w:val="20"/>
                <w:color w:val="auto"/>
              </w:rPr>
            </w:pPr>
            <w:r>
              <w:rPr>
                <w:rFonts w:ascii="Arial" w:cs="Arial" w:eastAsia="Arial" w:hAnsi="Arial"/>
                <w:sz w:val="14"/>
                <w:szCs w:val="14"/>
                <w:b w:val="1"/>
                <w:bCs w:val="1"/>
                <w:color w:val="auto"/>
              </w:rPr>
              <w:t>2019</w:t>
            </w:r>
          </w:p>
        </w:tc>
        <w:tc>
          <w:tcPr>
            <w:tcW w:w="17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17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22"/>
                <w:szCs w:val="22"/>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4,783</w:t>
            </w:r>
          </w:p>
        </w:tc>
      </w:tr>
      <w:tr>
        <w:trPr>
          <w:trHeight w:val="243"/>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Plus: new defaults</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5,767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3,695</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(2,433)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(2,572)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(5,182)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(4,842)</w:t>
            </w:r>
          </w:p>
        </w:tc>
      </w:tr>
      <w:tr>
        <w:trPr>
          <w:trHeight w:val="243"/>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Less: claims paid</w:t>
            </w: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rescissions and denials, net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3"/>
            <w:shd w:val="clear" w:color="auto" w:fill="CCEEFF"/>
          </w:tcPr>
          <w:p>
            <w:pPr>
              <w:jc w:val="right"/>
              <w:ind w:right="112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4,405</w:t>
            </w: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3,519</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3,519</w:t>
            </w: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increase in the number of defaults at June 30, 2019 compared to June 30, 2018 was primarily due to the increase in our IIF and policies in force, partially offset by the previously identified hurricane-related defaults that have cured subsequent to June 30, 2018 and further seasoning of our insurance portfolio. A total of 663 previously identified hurricane-related defaults cured between July 1, 2018 and December 31,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As of June 30,</w:t>
            </w:r>
          </w:p>
        </w:tc>
        <w:tc>
          <w:tcPr>
            <w:tcW w:w="1120" w:type="dxa"/>
            <w:vAlign w:val="bottom"/>
            <w:tcBorders>
              <w:bottom w:val="single" w:sz="8" w:color="auto"/>
            </w:tcBorders>
          </w:tcPr>
          <w:p>
            <w:pPr>
              <w:spacing w:after="0"/>
              <w:rPr>
                <w:sz w:val="16"/>
                <w:szCs w:val="16"/>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 reserves (in thousands)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3"/>
              </w:rPr>
              <w:t>50,576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45,773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Total reserves (in thousands)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w w:val="83"/>
              </w:rPr>
              <w:t>55,138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50,016</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3,519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13.0</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total reserve per default (in thousands)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r>
      <w:tr>
        <w:trPr>
          <w:trHeight w:val="27"/>
        </w:trPr>
        <w:tc>
          <w:tcPr>
            <w:tcW w:w="79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decrease in the average case reserve per default was primarily due to changes in the composition (such as mark-to-market loan-to-value ratios, risk in force, and number of months past due) of the underlying loans in default and improvements in economic fundamentals.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a reconciliation of the beginning and ending reserve balances for losses and LAE and a detail of reserves and defaulted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RIF by the number of missed payments and pending claims: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53,484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46,850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16,528</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(9,406)</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Incurred losses and LAE during the current period</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7,122</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occurring in:</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6,148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3,745</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and LAE payments during the current period</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3,956</w:t>
            </w: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55,138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50,016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55,138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50,016</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4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As of June 30, 2019</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12,646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133,536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22,292</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78,047</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11,583</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22,093</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4,055</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4,657</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4,405</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50,576</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238,333</w:t>
            </w:r>
          </w:p>
        </w:tc>
        <w:tc>
          <w:tcPr>
            <w:tcW w:w="144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3,792</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55,138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As of June 30, 2018</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9,077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84,685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26,688</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96,627</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8,368</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14,476</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1,640</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1,946</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45,773</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197,734</w:t>
            </w:r>
          </w:p>
        </w:tc>
        <w:tc>
          <w:tcPr>
            <w:tcW w:w="144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3,433</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gridSpan w:val="2"/>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50,016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the three months ended June 30, 2019, the provision for losses and LAE was $5.0 million, comprised of $11.4 million of current year losses partially offset by $6.4 million of favorable prior years’ loss development. During the three months ended June 30, 2018, the provision for losses and LAE was $1.8 million, comprised of $6.6 million of current year losses partially offset by $4.8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six months ended June 30, 2019, the provision for losses and LAE was $12.1 million, comprised of $23.2 million of current year losses partially offset by $11.1 million of favorable prior years’ loss development. During the six months ended June 30, 2018, the provision for losses and LAE was $7.1 million, comprised of $16.5 million of current year losses partially offset by $9.4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3000" w:type="dxa"/>
            <w:vAlign w:val="bottom"/>
            <w:gridSpan w:val="4"/>
          </w:tcPr>
          <w:p>
            <w:pPr>
              <w:jc w:val="right"/>
              <w:ind w:right="75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115</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Amount of claims paid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6"/>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7"/>
              <w:spacing w:after="0"/>
              <w:rPr>
                <w:sz w:val="20"/>
                <w:szCs w:val="20"/>
                <w:color w:val="auto"/>
              </w:rPr>
            </w:pPr>
            <w:r>
              <w:rPr>
                <w:rFonts w:ascii="Arial" w:cs="Arial" w:eastAsia="Arial" w:hAnsi="Arial"/>
                <w:sz w:val="18"/>
                <w:szCs w:val="18"/>
                <w:color w:val="auto"/>
              </w:rPr>
              <w:t>6,107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3,819</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675"/>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Three Months Ended 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w w:val="91"/>
              </w:rPr>
              <w:t>Six Months Ended June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23,167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22,285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46,516</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45,850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18,353</w:t>
            </w:r>
          </w:p>
        </w:tc>
        <w:tc>
          <w:tcPr>
            <w:tcW w:w="120" w:type="dxa"/>
            <w:vAlign w:val="bottom"/>
          </w:tcPr>
          <w:p>
            <w:pPr>
              <w:spacing w:after="0"/>
              <w:rPr>
                <w:sz w:val="21"/>
                <w:szCs w:val="21"/>
                <w:color w:val="auto"/>
              </w:rPr>
            </w:pP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14,143</w:t>
            </w:r>
          </w:p>
        </w:tc>
        <w:tc>
          <w:tcPr>
            <w:tcW w:w="100" w:type="dxa"/>
            <w:vAlign w:val="bottom"/>
          </w:tcPr>
          <w:p>
            <w:pPr>
              <w:spacing w:after="0"/>
              <w:rPr>
                <w:sz w:val="21"/>
                <w:szCs w:val="21"/>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36,034</w:t>
            </w:r>
          </w:p>
        </w:tc>
        <w:tc>
          <w:tcPr>
            <w:tcW w:w="80" w:type="dxa"/>
            <w:vAlign w:val="bottom"/>
          </w:tcPr>
          <w:p>
            <w:pPr>
              <w:spacing w:after="0"/>
              <w:rPr>
                <w:sz w:val="21"/>
                <w:szCs w:val="21"/>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28,702</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other underwriting and operating</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41,520</w:t>
            </w:r>
          </w:p>
        </w:tc>
        <w:tc>
          <w:tcPr>
            <w:tcW w:w="12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36,428</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82,550</w:t>
            </w:r>
          </w:p>
        </w:tc>
        <w:tc>
          <w:tcPr>
            <w:tcW w:w="80" w:type="dxa"/>
            <w:vAlign w:val="bottom"/>
            <w:shd w:val="clear" w:color="auto" w:fill="CCEEFF"/>
          </w:tcPr>
          <w:p>
            <w:pPr>
              <w:spacing w:after="0"/>
              <w:rPr>
                <w:sz w:val="18"/>
                <w:szCs w:val="18"/>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74,552</w:t>
            </w:r>
          </w:p>
        </w:tc>
        <w:tc>
          <w:tcPr>
            <w:tcW w:w="10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60" w:type="dxa"/>
            <w:vAlign w:val="bottom"/>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employees at end of period</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3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20" w:hanging="328"/>
        <w:spacing w:after="0" w:line="29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Compensation and benefits increased in the three months ended June 30, 2019 as compared to the three months ended June 30, 2018 primarily due to an increase in stock compensation expense associated with shares granted in 2019 and increased overtime associated with our increased NIW. Compensation and benefits increased in the six months ended June 30, 2019 as compared to the six months ended June 30, 2018 due to an increase in stock compensation expense associated with shares granted in 2018 and 2019 and increased overtime associated with our increased NIW, partially offset by a decrease in payroll taxes associated with the full vesting of stock grants issued in 2013 and 2014 during the six months ended June 30, 2018. Compensation and benefits includes salaries, wages and bonus, stock compensation expense, benefits and payroll taxes.</w:t>
      </w:r>
    </w:p>
    <w:p>
      <w:pPr>
        <w:spacing w:after="0" w:line="164"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For the three and six months ended June 30, 2019, we incurred interest expense of $2.7 million and $5.3 million, respectively, as compared to $2.6 million and $5.1 million for the three and six months ended June 30, 2018, respectively. The increase in both periods was primarily due to an increase in the weighted average interest rate for borrowings outstanding, partially offset by a decrease in the average amounts outstanding under the Credit Facility. As of June 30, 2019 and 2018, the borrowings under the Credit Facility had a weighted average interest rate of 4.41% and 4.05%, respectively. For each of the three and six months ended June 30, 2019, the average amount outstanding under the Credit Facility was $225.0 million as compared to $250.9 million and $255.6 million for the three and six months ended June 30, 2018,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subsidiaries in the United States file a consolidated U.S. Federal income tax return. For interim reporting periods, we use an annual effective tax rate method required under GAAP to calculate the income tax provision. Our income tax expense was $26.3 million and $21.2 million for the three months ended June 30, 2019 and 2018, respectively, and $48.3 million and $31.7 million for the six months ended June 30, 2019 and 2018, respectively. Income tax expense for the three and six months ended June 30, 2019 was calculated using an estimated annual effective tax rate of 16.1%, as compared to 16.2% for the three and six months ended June 30, 2018. For the six months ended June 30, 2019 and 2018, income tax expense was reduced by excess tax benefits associated with the vesting of common shares and common share units of $2.0 million and $9.6 million, respectively. The tax effects associated with the vesting of common shares and common share units are treated as discrete items in the reporting period in which they occur and are not considered in determining the annual effective tax rate.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obligations consist primarily 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As of June 30, 2019, we had substantial liquidity with cash of $25.3 million, short-term investments of $251.5 million and fixed maturity investments of $2.8 billion. We also had $275 million available capacity under the revolving credit component of our Credit Facility, with $225 million of term borrowings outstanding under our Credit Facility. Borrowings under the Credit Facility contractually mature on May 17, 2021. At June 30, 2019, net cash and investments at the holding company were $72.0 million.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June 30, 2019. In August 2019, the Company announced that its Board of Directors declared Essent's inaugural quarterly cash dividend of $0.15 per common share payable in September 2019.</w:t>
      </w:r>
    </w:p>
    <w:p>
      <w:pPr>
        <w:spacing w:after="0" w:line="17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mortgage insurance portfolio, or to fund new business initiatives including the insurance activities of Essent Re.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June 30, 2019, Essent Guaranty had unassigned surplus of approximately $235.0 million. Essent Guaranty of PA, Inc. (“Essent PA") had unassigned surplus of approximately $12.2 million as of June 30, 2019.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June 30, 2019, Essent Re had total equity of $899.1 million. In connection with its insurance and</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25"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reinsurance activities, Essent Re is required to maintain assets in trusts for the benefit of its contractual counterparties. See Note 3 to our condensed consolidated financial statements. At June 30, 2019, our insurance subsidiaries were in compliance with these rules, regulations and agreements.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265,484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342,656</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(296,935)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(304,867)</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(56,649)</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decrease in cash</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(39,691)</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(18,860)</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Cash flow provided by operating activities totaled $265.5 million for the six months ended June 30, 2019, as compared to $342.7 million for the six months ended June 30, 2018. The decrease in cash flow provided by operating activities of $77.2 million was primarily due the net decrease in United States Mortgage Guaranty Tax and Loss Bonds (“T&amp;L Bonds”) during 2018, partially offset by increases in premiums collected during 2019.</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Cash flow used in investing activities totaled $296.9 million and $304.9 million for the six months ended June 30, 2019 and 2018, respectively. In both periods, cash flow used in investing activities primarily related to investing cash flows from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Cash flow used in financing activities totaled $8.2 million for the six months ended June 30, 2019, primarily related to treasury stock acquired from employees to satisfy tax withholding obligations. Cash flow used in financing activities totaled $56.6 million for the six months ended June 30, 2018, primarily related to treasury stock acquired from employees to satisfy tax withholding obligations and $25 million of net repayments of borrowings under the Credit Facility.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six months ended June 30, 2019, no capital contributions were made to our U.S. insurance subsidiaries. During the six months ended June 30, 2018, Essent US Holdings, Inc. ("Essent Holdings") made capital contributions to Essent Guaranty of $15 million to support new and existing business and Essent Guaranty paid a dividend to Essent Holdings of $40 million which was used to pay down the borrowings remaining under the revolving component of the Credit Facility.</w:t>
      </w:r>
    </w:p>
    <w:p>
      <w:pPr>
        <w:spacing w:after="0" w:line="18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Essent Guaranty has entered into reinsurance agreements that provide excess of loss reinsurance coverage for new defaults on portfolios of mortgage insurance policies issued in 2015 through 2018. The aggregate excess of loss reinsurance coverages decrease over a ten-year period as the underlying covered mortgages amortize. The reinsurance coverage also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ind w:right="2080"/>
        <w:spacing w:after="0"/>
        <w:rPr>
          <w:sz w:val="20"/>
          <w:szCs w:val="20"/>
          <w:color w:val="auto"/>
        </w:rPr>
      </w:pPr>
      <w:r>
        <w:rPr>
          <w:rFonts w:ascii="Arial" w:cs="Arial" w:eastAsia="Arial" w:hAnsi="Arial"/>
          <w:sz w:val="16"/>
          <w:szCs w:val="16"/>
          <w:color w:val="auto"/>
        </w:rPr>
        <w:t>reduces net risk in force and PMIERs Minimum Required Assets. See Note 4 to our condensed consolidated financial statements.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risk-to-capital calculation for our U.S. insurance subsidiaries as of June 30, 2019 was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Policyholders’ surplus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991,756</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Contingency reserves</w:t>
            </w:r>
          </w:p>
        </w:tc>
        <w:tc>
          <w:tcPr>
            <w:tcW w:w="5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1,100,151</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2,091,907</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9400" w:type="dxa"/>
            <w:vAlign w:val="bottom"/>
          </w:tcPr>
          <w:p>
            <w:pPr>
              <w:ind w:left="40"/>
              <w:spacing w:after="0"/>
              <w:rPr>
                <w:sz w:val="20"/>
                <w:szCs w:val="20"/>
                <w:color w:val="auto"/>
              </w:rPr>
            </w:pPr>
            <w:r>
              <w:rPr>
                <w:rFonts w:ascii="Arial" w:cs="Arial" w:eastAsia="Arial" w:hAnsi="Arial"/>
                <w:sz w:val="18"/>
                <w:szCs w:val="18"/>
                <w:color w:val="auto"/>
              </w:rPr>
              <w:t>Combined net risk in force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28,459,376</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risk-to-capital ratio</w:t>
            </w: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13.6:1</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For additional information regarding regulatory capital, see Note 12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6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Essent Re has entered into GSE and other risk share transactions, including insurance and reinsurance transactions with Freddie Mac and Fannie Mae. Essent Re also reinsures 25% of Essent Guaranty’s NIW under a quota share reinsurance agreement. As of June 30, 2019, Essent Re had total stockholders’ equity of $899.1 million and net risk in force of $9.3 billion.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insurer financial strength rating of Essent Guaranty, our principal mortgage insurance subsidiary, is rated Baa1 with a stable outlook by Moody's, BBB+ with a stable outlook by S&amp;P and A (Excellent) with stable outlook by A.M. Best. The insurer financial strength rating of Essent Re is BBB+ with a stable outlook by S&amp;P and A (Excellent) with stable outlook by A.M. Best.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June 30, 2019, Essent Guaranty, our GSE-approved mortgage insurance company, was in compliance with PMIERs 2.0. As of June 30, 2019, Essent Guaranty's Available Assets were $2.09 billion and its Minimum Required Assets were $1.18 billion based on our interpretation of PMIERs 2.0.</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As of June 30, 2019, stockholders’ equity was $2.7 billion, compared to $2.4 billion as of December 31, 2018. This increase was primarily due to net income generated in 2019 and an increase in accumulated other comprehensive income related to an increase in our unrealized investment gains.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June 30, 2019, investments totaled $3.2 billion compared to $2.8 billion as of December 31, 2018. In addition, our total cash was $25.3 million as of June 30, 2019, compared to $64.9 million as of December 31, 2018. The increase in investments was primarily due to investing net cash flows from operations during the six months ended June 30, 2019.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Investments Available for Sale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8"/>
              </w:rPr>
              <w:t>June 30, 2019</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0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gridSpan w:val="2"/>
          </w:tcPr>
          <w:p>
            <w:pPr>
              <w:spacing w:after="0"/>
              <w:rPr>
                <w:sz w:val="22"/>
                <w:szCs w:val="22"/>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305,152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289,892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33,473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32,997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724,382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637,178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402,715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483,879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47,670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Corporate debt securities(2)</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774,506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725,201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250,793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121,838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352,053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284,997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209,470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139,083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80" w:type="dxa"/>
            <w:vAlign w:val="bottom"/>
            <w:gridSpan w:val="4"/>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3,100,214</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2,760,066</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387"/>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vMerge w:val="continue"/>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(1) The following table summarizes municipal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36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(2) The following table summarizes corporate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Consumer, cyclical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Utilities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36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vMerge w:val="restart"/>
          </w:tcPr>
          <w:p>
            <w:pPr>
              <w:jc w:val="right"/>
              <w:ind w:right="27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Investments Available for Sale by Rating</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Rating(1)</w:t>
            </w:r>
          </w:p>
        </w:tc>
        <w:tc>
          <w:tcPr>
            <w:tcW w:w="3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June 30, 2019</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2018</w:t>
            </w:r>
          </w:p>
        </w:tc>
        <w:tc>
          <w:tcPr>
            <w:tcW w:w="116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1,638,005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1,362,781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127,936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124,435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4.5</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159,631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196,218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7.1</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164,922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143,315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5.2</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A1</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216,738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222,073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8.0</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174,426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199,238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7.2</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174,948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146,300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5.3</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Baa1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170,537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162,695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5.9</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161,799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140,168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5.1</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Baa3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44,854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26,805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1.0</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Below Baa3</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66,418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36,038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r>
      <w:tr>
        <w:trPr>
          <w:trHeight w:val="257"/>
        </w:trPr>
        <w:tc>
          <w:tcPr>
            <w:tcW w:w="41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3,100,214</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2,760,066</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Ratings ("Fitch") rating utilized if Moody’s not available.</w:t>
      </w:r>
    </w:p>
    <w:p>
      <w:pPr>
        <w:spacing w:after="0" w:line="221" w:lineRule="exact"/>
        <w:rPr>
          <w:rFonts w:ascii="Arial" w:cs="Arial" w:eastAsia="Arial" w:hAnsi="Arial"/>
          <w:sz w:val="18"/>
          <w:szCs w:val="18"/>
          <w:color w:val="auto"/>
        </w:rPr>
      </w:pPr>
    </w:p>
    <w:p>
      <w:pPr>
        <w:ind w:left="3700"/>
        <w:spacing w:after="0"/>
        <w:rPr>
          <w:rFonts w:ascii="Arial" w:cs="Arial" w:eastAsia="Arial" w:hAnsi="Arial"/>
          <w:sz w:val="18"/>
          <w:szCs w:val="18"/>
          <w:color w:val="auto"/>
        </w:rPr>
      </w:pPr>
      <w:r>
        <w:rPr>
          <w:rFonts w:ascii="Arial" w:cs="Arial" w:eastAsia="Arial" w:hAnsi="Arial"/>
          <w:sz w:val="18"/>
          <w:szCs w:val="18"/>
          <w:b w:val="1"/>
          <w:bCs w:val="1"/>
          <w:color w:val="auto"/>
        </w:rPr>
        <w:t>Investments Available for Sale by Effective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 Duration</w:t>
            </w:r>
          </w:p>
        </w:tc>
        <w:tc>
          <w:tcPr>
            <w:tcW w:w="3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June 30, 2019</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2018</w:t>
            </w:r>
          </w:p>
        </w:tc>
        <w:tc>
          <w:tcPr>
            <w:tcW w:w="116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&lt; 1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812,953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529,545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1 to &lt; 2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401,313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285,060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10.3</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 to &lt; 3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277,580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251,763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9.1</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3 to &lt; 4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395,083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278,804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10.1</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 to &lt; 5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303,485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429,005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15.6</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5 or more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909,800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985,889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35.7</w:t>
            </w:r>
          </w:p>
        </w:tc>
      </w:tr>
      <w:tr>
        <w:trPr>
          <w:trHeight w:val="27"/>
        </w:trPr>
        <w:tc>
          <w:tcPr>
            <w:tcW w:w="4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3,100,214</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2,760,066</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62"/>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Ten Investments Available for Sale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408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Security</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4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Gain (Loss)(1)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0.000% 7/2/2019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41,998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41,998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U.S. Treasury 2.625% 7/15/2021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36,822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36,146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5.250% 11/15/2028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U.S. Treasury 2.625% 6/30/2023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27,411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26,362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Fannie Mae 4.500% 5/1/2048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U.S. Treasury 1.500% 8/15/2026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17,057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17,441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Freddie Mac 4.000% 5/15/2050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Fannie Mae 4.000% 5/1/2056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13,586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13,061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Fannie Mae 3.000% 12/1/2032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12,085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Fannie Mae 4.500% 11/1/2048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11,967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11,515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225,216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221,474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3,742</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320" w:type="dxa"/>
            <w:vAlign w:val="bottom"/>
            <w:gridSpan w:val="3"/>
          </w:tcPr>
          <w:p>
            <w:pPr>
              <w:ind w:left="40"/>
              <w:spacing w:after="0"/>
              <w:rPr>
                <w:sz w:val="20"/>
                <w:szCs w:val="20"/>
                <w:color w:val="auto"/>
              </w:rPr>
            </w:pPr>
            <w:r>
              <w:rPr>
                <w:rFonts w:ascii="Arial" w:cs="Arial" w:eastAsia="Arial" w:hAnsi="Arial"/>
                <w:sz w:val="18"/>
                <w:szCs w:val="18"/>
                <w:b w:val="1"/>
                <w:bCs w:val="1"/>
                <w:color w:val="auto"/>
              </w:rPr>
              <w:t>Percent of Investments Available for Sale</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2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June 30, 2019, for securities in unrealized loss positions, management believes decline in fair values are principally associated with the changes in the interest rate environment subsequent to their purchase. Also, see Note 3 to our condensed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1414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Rank</w:t>
            </w:r>
          </w:p>
        </w:tc>
        <w:tc>
          <w:tcPr>
            <w:tcW w:w="1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3"/>
          </w:tcPr>
          <w:p>
            <w:pPr>
              <w:jc w:val="right"/>
              <w:ind w:right="2300"/>
              <w:spacing w:after="0"/>
              <w:rPr>
                <w:sz w:val="20"/>
                <w:szCs w:val="20"/>
                <w:color w:val="auto"/>
              </w:rPr>
            </w:pPr>
            <w:r>
              <w:rPr>
                <w:rFonts w:ascii="Arial" w:cs="Arial" w:eastAsia="Arial" w:hAnsi="Arial"/>
                <w:sz w:val="14"/>
                <w:szCs w:val="14"/>
                <w:b w:val="1"/>
                <w:bCs w:val="1"/>
                <w:color w:val="auto"/>
              </w:rPr>
              <w:t>December 31, 2018</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jc w:val="right"/>
              <w:ind w:right="2939"/>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2.625% 7/15/2021</w:t>
            </w:r>
          </w:p>
        </w:tc>
        <w:tc>
          <w:tcPr>
            <w:tcW w:w="4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36,323</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color w:val="auto"/>
                <w:w w:val="90"/>
              </w:rPr>
              <w:t>U.S. Treasury 5.250%</w:t>
            </w:r>
          </w:p>
        </w:tc>
        <w:tc>
          <w:tcPr>
            <w:tcW w:w="1140" w:type="dxa"/>
            <w:vAlign w:val="bottom"/>
          </w:tcPr>
          <w:p>
            <w:pPr>
              <w:ind w:left="20"/>
              <w:spacing w:after="0"/>
              <w:rPr>
                <w:sz w:val="20"/>
                <w:szCs w:val="20"/>
                <w:color w:val="auto"/>
              </w:rPr>
            </w:pPr>
            <w:r>
              <w:rPr>
                <w:rFonts w:ascii="Arial" w:cs="Arial" w:eastAsia="Arial" w:hAnsi="Arial"/>
                <w:sz w:val="18"/>
                <w:szCs w:val="18"/>
                <w:color w:val="auto"/>
              </w:rPr>
              <w:t>11/15/2028</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28,213</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U.S. Treasury 2.625%</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6/30/2023</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26,637</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780" w:type="dxa"/>
            <w:vAlign w:val="bottom"/>
            <w:gridSpan w:val="3"/>
          </w:tcPr>
          <w:p>
            <w:pPr>
              <w:ind w:left="20"/>
              <w:spacing w:after="0"/>
              <w:rPr>
                <w:sz w:val="20"/>
                <w:szCs w:val="20"/>
                <w:color w:val="auto"/>
              </w:rPr>
            </w:pPr>
            <w:r>
              <w:rPr>
                <w:rFonts w:ascii="Arial" w:cs="Arial" w:eastAsia="Arial" w:hAnsi="Arial"/>
                <w:sz w:val="18"/>
                <w:szCs w:val="18"/>
                <w:color w:val="auto"/>
              </w:rPr>
              <w:t>Fannie Mae 4.500% 5/1/2048</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19,419</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U.S. Treasury 1.500%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8/15/2026</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18,924</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500" w:type="dxa"/>
            <w:vAlign w:val="bottom"/>
          </w:tcPr>
          <w:p>
            <w:pPr>
              <w:ind w:left="20"/>
              <w:spacing w:after="0"/>
              <w:rPr>
                <w:sz w:val="20"/>
                <w:szCs w:val="20"/>
                <w:color w:val="auto"/>
              </w:rPr>
            </w:pPr>
            <w:r>
              <w:rPr>
                <w:rFonts w:ascii="Arial" w:cs="Arial" w:eastAsia="Arial" w:hAnsi="Arial"/>
                <w:sz w:val="18"/>
                <w:szCs w:val="18"/>
                <w:color w:val="auto"/>
                <w:w w:val="90"/>
              </w:rPr>
              <w:t>Fannie Mae 4.000%</w:t>
            </w: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5/1/2056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14,287</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Fannie Mae 3.000%</w:t>
            </w:r>
          </w:p>
        </w:tc>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12/1/2032</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12,797</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500" w:type="dxa"/>
            <w:vAlign w:val="bottom"/>
          </w:tcPr>
          <w:p>
            <w:pPr>
              <w:ind w:left="20"/>
              <w:spacing w:after="0"/>
              <w:rPr>
                <w:sz w:val="20"/>
                <w:szCs w:val="20"/>
                <w:color w:val="auto"/>
              </w:rPr>
            </w:pPr>
            <w:r>
              <w:rPr>
                <w:rFonts w:ascii="Arial" w:cs="Arial" w:eastAsia="Arial" w:hAnsi="Arial"/>
                <w:sz w:val="18"/>
                <w:szCs w:val="18"/>
                <w:color w:val="auto"/>
                <w:w w:val="90"/>
              </w:rPr>
              <w:t>Fannie Mae 4.500%</w:t>
            </w: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11/1/2048</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12,130</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U.S. Treasury 2.000%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1/15/2021</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11,382</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500" w:type="dxa"/>
            <w:vAlign w:val="bottom"/>
          </w:tcPr>
          <w:p>
            <w:pPr>
              <w:ind w:left="20"/>
              <w:spacing w:after="0"/>
              <w:rPr>
                <w:sz w:val="20"/>
                <w:szCs w:val="20"/>
                <w:color w:val="auto"/>
              </w:rPr>
            </w:pPr>
            <w:r>
              <w:rPr>
                <w:rFonts w:ascii="Arial" w:cs="Arial" w:eastAsia="Arial" w:hAnsi="Arial"/>
                <w:sz w:val="18"/>
                <w:szCs w:val="18"/>
                <w:color w:val="auto"/>
                <w:w w:val="90"/>
              </w:rPr>
              <w:t>Fannie Mae 1.500%</w:t>
            </w: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6/22/2020</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11,133</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191,245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Percent of Investments Available for Sale</w:t>
            </w: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vMerge w:val="restart"/>
          </w:tcPr>
          <w:p>
            <w:pPr>
              <w:ind w:left="700"/>
              <w:spacing w:after="0"/>
              <w:rPr>
                <w:sz w:val="20"/>
                <w:szCs w:val="20"/>
                <w:color w:val="auto"/>
              </w:rPr>
            </w:pPr>
            <w:r>
              <w:rPr>
                <w:rFonts w:ascii="Arial" w:cs="Arial" w:eastAsia="Arial" w:hAnsi="Arial"/>
                <w:sz w:val="18"/>
                <w:szCs w:val="18"/>
                <w:color w:val="auto"/>
              </w:rPr>
              <w:t>39</w:t>
            </w: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include municipal debt securities for states that represent more than 10% of the total municipal bond position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100" w:type="dxa"/>
            <w:vAlign w:val="bottom"/>
            <w:gridSpan w:val="2"/>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Credit</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State of Texas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8,530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8,214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City of Houston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The Texas A&amp;M University System</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6,031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University of Houston System</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Dallas/Fort Worth International Airport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2,198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City of Austin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North Texas Municipal Water District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1,991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Harris County Cultural Education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City of Dallas</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Fort Worth TX W&amp;S Revenue</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City of College Station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City of Garland</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City of San Antonio</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Bryan Independent School District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Spring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City of Corpus Christi</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Harris County Toll Road Authority</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County of Fort Bend</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Austin-Bergstrom Landhost Enterprises, Inc.</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City of El Paso</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50,911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48,753</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 w:type="dxa"/>
            <w:vAlign w:val="bottom"/>
          </w:tcPr>
          <w:p>
            <w:pPr>
              <w:spacing w:after="0"/>
              <w:rPr>
                <w:sz w:val="23"/>
                <w:szCs w:val="23"/>
                <w:color w:val="auto"/>
              </w:rPr>
            </w:pPr>
          </w:p>
        </w:tc>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00" w:type="dxa"/>
            <w:vAlign w:val="bottom"/>
            <w:gridSpan w:val="2"/>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Cost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The Port Authority of New York and New Jersey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7,293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6,973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City of New York</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New York City Transitional Finance Authority</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5,720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5,386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Metropolitan Transportation Authority</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The Dormitory Authority of the State of New York</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4,196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3,990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New York State Urban Development Corporation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TSASC, Inc.</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2,385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2,213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County of Nassau</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Public Service Enterprise Group, Inc.</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1,880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1,789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Town of Oyster Bay</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Syracuse Industrial Development Agency</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340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Ba2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5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40,717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38,464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2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of the above securities may include financial guaranty insurance or state enhancements. The above ratings include the effect of these credit enhancements, if applicable.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Radnor Re 2018-1 Ltd., Radnor Re 2019-1 Ltd. and Radnor Re 2019-2 Ltd. are special purpose variable interest entities that are not consolidated in our condensed consolidated financial statements because we do not have the unilateral power to direct those activities that are significant to their economic performance. As of June 30, 2019, our estimated off-balance sheet maximum exposure to loss from the Radnor Re entities was $57.4 million, representing the estimated net present value of investment earnings on the assets in the reinsurance trusts. See Note 4 to our condensed consolidated financial statements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filing date of this report, there were no significant changes in our critical accounting policies from those discussed in our 2018 Form 10-K.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2 to our condensed consolidated financial statements for recently issued accounting standards under evaluation.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7" w:lineRule="exact"/>
        <w:rPr>
          <w:sz w:val="20"/>
          <w:szCs w:val="20"/>
          <w:color w:val="auto"/>
        </w:rPr>
      </w:pPr>
    </w:p>
    <w:p>
      <w:pPr>
        <w:ind w:left="660" w:right="60" w:hanging="328"/>
        <w:spacing w:after="0" w:line="302" w:lineRule="auto"/>
        <w:tabs>
          <w:tab w:leader="none" w:pos="66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i w:val="1"/>
          <w:iCs w:val="1"/>
          <w:color w:val="auto"/>
        </w:rPr>
      </w:pPr>
    </w:p>
    <w:p>
      <w:pPr>
        <w:ind w:left="660" w:right="240" w:hanging="328"/>
        <w:spacing w:after="0" w:line="277"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i w:val="1"/>
          <w:iCs w:val="1"/>
          <w:color w:val="auto"/>
        </w:rPr>
      </w:pPr>
    </w:p>
    <w:p>
      <w:pPr>
        <w:ind w:left="660" w:right="520" w:hanging="328"/>
        <w:spacing w:after="0" w:line="342" w:lineRule="auto"/>
        <w:tabs>
          <w:tab w:leader="none" w:pos="66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i w:val="1"/>
          <w:iCs w:val="1"/>
          <w:color w:val="auto"/>
        </w:rPr>
      </w:pPr>
    </w:p>
    <w:p>
      <w:pPr>
        <w:ind w:left="660" w:right="400" w:hanging="328"/>
        <w:spacing w:after="0" w:line="342" w:lineRule="auto"/>
        <w:tabs>
          <w:tab w:leader="none" w:pos="66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i w:val="1"/>
          <w:iCs w:val="1"/>
          <w:color w:val="auto"/>
        </w:rPr>
      </w:pPr>
    </w:p>
    <w:p>
      <w:pPr>
        <w:ind w:left="660" w:right="120" w:hanging="328"/>
        <w:spacing w:after="0" w:line="277"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At June 30, 2019, the effective duration of our investments available for sale was 3.2 years, which means that an instantaneous parallel shift (movement up or down) in the yield curve of 100 basis points would result in a change of 3.2% in fair value of our investments available for sale. Excluding short-term investments, our investments available for sale effective duration was 3.5 years, which means that an instantaneous parallel shift (movement up or down) in the yield curve of 100 basis points would result in a change of 3.5% in fair value of our investments available for sale.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June 30, 2019, the end of the period covered by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in our Annual Report on Form 10-K for the year ended December 31, 2018.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of our common shares during the three months ended June 30, 2019.</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5" w:right="2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80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620" w:type="dxa"/>
            <w:vAlign w:val="bottom"/>
            <w:gridSpan w:val="3"/>
          </w:tcPr>
          <w:p>
            <w:pPr>
              <w:spacing w:after="0"/>
              <w:rPr>
                <w:sz w:val="20"/>
                <w:szCs w:val="20"/>
                <w:color w:val="auto"/>
              </w:rPr>
            </w:pPr>
            <w:r>
              <w:rPr>
                <w:rFonts w:ascii="Arial" w:cs="Arial" w:eastAsia="Arial" w:hAnsi="Arial"/>
                <w:sz w:val="18"/>
                <w:szCs w:val="18"/>
                <w:color w:val="auto"/>
              </w:rPr>
              <w:t>(a)</w:t>
            </w:r>
          </w:p>
        </w:tc>
        <w:tc>
          <w:tcPr>
            <w:tcW w:w="10800" w:type="dxa"/>
            <w:vAlign w:val="bottom"/>
            <w:gridSpan w:val="3"/>
          </w:tcPr>
          <w:p>
            <w:pPr>
              <w:ind w:left="6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545"/>
        </w:trPr>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vMerge w:val="restart"/>
          </w:tcPr>
          <w:p>
            <w:pPr>
              <w:ind w:left="4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6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No.</w:t>
            </w:r>
          </w:p>
        </w:tc>
        <w:tc>
          <w:tcPr>
            <w:tcW w:w="54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9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20" w:type="dxa"/>
            <w:vAlign w:val="bottom"/>
            <w:gridSpan w:val="3"/>
          </w:tcPr>
          <w:p>
            <w:pPr>
              <w:ind w:left="40"/>
              <w:spacing w:after="0" w:line="202"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0" w:type="dxa"/>
            <w:vAlign w:val="bottom"/>
          </w:tcPr>
          <w:p>
            <w:pPr>
              <w:ind w:left="20"/>
              <w:spacing w:after="0" w:line="202" w:lineRule="exact"/>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30"/>
        </w:trPr>
        <w:tc>
          <w:tcPr>
            <w:tcW w:w="620" w:type="dxa"/>
            <w:vAlign w:val="bottom"/>
            <w:gridSpan w:val="3"/>
          </w:tcPr>
          <w:p>
            <w:pPr>
              <w:ind w:left="4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30"/>
        </w:trPr>
        <w:tc>
          <w:tcPr>
            <w:tcW w:w="620" w:type="dxa"/>
            <w:vAlign w:val="bottom"/>
            <w:gridSpan w:val="3"/>
          </w:tcPr>
          <w:p>
            <w:pPr>
              <w:ind w:left="4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340" w:type="dxa"/>
            <w:vAlign w:val="bottom"/>
            <w:gridSpan w:val="2"/>
          </w:tcPr>
          <w:p>
            <w:pPr>
              <w:ind w:left="40"/>
              <w:spacing w:after="0"/>
              <w:rPr>
                <w:sz w:val="20"/>
                <w:szCs w:val="20"/>
                <w:color w:val="auto"/>
              </w:rPr>
            </w:pPr>
            <w:r>
              <w:rPr>
                <w:rFonts w:ascii="Arial" w:cs="Arial" w:eastAsia="Arial" w:hAnsi="Arial"/>
                <w:sz w:val="18"/>
                <w:szCs w:val="18"/>
                <w:color w:val="auto"/>
                <w:w w:val="93"/>
              </w:rPr>
              <w:t>101</w:t>
            </w: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The following financial information from this Quarterly Report on Form 10-Q for the quarter ended June 30, 2019, formatted in Inline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XBRL: (i) the Condensed Consolidated Balance Sheets (Unaudited); (ii) the Condensed Consolidated Statements of Comprehensive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Income (Unaudited); (iii) the Condensed Consolidated Statements of Changes in Stockholders’ Equity (Unaudited); (iv) the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Condensed Consolidated Statements of Cash Flows (Unaudited); and (v) the Notes to Condensed Consolidated Financial Statements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702"/>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0" w:type="dxa"/>
            <w:vAlign w:val="bottom"/>
            <w:gridSpan w:val="3"/>
          </w:tcPr>
          <w:p>
            <w:pPr>
              <w:jc w:val="right"/>
              <w:ind w:right="553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2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August 5, 2019</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August 5, 2019</w:t>
      </w:r>
      <w:r>
        <w:rPr>
          <w:sz w:val="20"/>
          <w:szCs w:val="20"/>
          <w:color w:val="auto"/>
        </w:rPr>
        <w:tab/>
      </w: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August 5, 2019</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David B. Weinstock</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125" w:right="4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1" w:name="page52"/>
    <w:bookmarkEnd w:id="51"/>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1" w:lineRule="exact"/>
        <w:rPr>
          <w:sz w:val="20"/>
          <w:szCs w:val="20"/>
          <w:color w:val="auto"/>
        </w:rPr>
      </w:pPr>
    </w:p>
    <w:p>
      <w:pPr>
        <w:ind w:right="380" w:firstLine="8"/>
        <w:spacing w:after="0" w:line="324" w:lineRule="auto"/>
        <w:tabs>
          <w:tab w:leader="none" w:pos="6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2019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40" w:firstLine="8"/>
        <w:spacing w:after="0" w:line="575" w:lineRule="auto"/>
        <w:tabs>
          <w:tab w:leader="none" w:pos="6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5, 2019</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3"/>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3"/>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Letter"/>
      <w:start w:val="2"/>
    </w:lvl>
  </w:abstractNum>
  <w:abstractNum w:abstractNumId="25">
    <w:nsid w:val="8138641"/>
    <w:multiLevelType w:val="hybridMultilevel"/>
    <w:lvl w:ilvl="0">
      <w:lvlJc w:val="left"/>
      <w:lvlText w:val="(%1)"/>
      <w:numFmt w:val="lowerLetter"/>
      <w:start w:val="3"/>
    </w:lvl>
  </w:abstractNum>
  <w:abstractNum w:abstractNumId="26">
    <w:nsid w:val="1E7FF521"/>
    <w:multiLevelType w:val="hybridMultilevel"/>
    <w:lvl w:ilvl="0">
      <w:lvlJc w:val="left"/>
      <w:lvlText w:val="%1."/>
      <w:numFmt w:val="decimal"/>
      <w:start w:val="5"/>
    </w:lvl>
    <w:lvl w:ilvl="1">
      <w:lvlJc w:val="left"/>
      <w:lvlText w:val="(%2)"/>
      <w:numFmt w:val="lowerLetter"/>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3"/>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lowerLetter"/>
      <w:start w:val="2"/>
    </w:lvl>
  </w:abstractNum>
  <w:abstractNum w:abstractNumId="31">
    <w:nsid w:val="4516DDE9"/>
    <w:multiLevelType w:val="hybridMultilevel"/>
    <w:lvl w:ilvl="0">
      <w:lvlJc w:val="left"/>
      <w:lvlText w:val="(%1)"/>
      <w:numFmt w:val="lowerLetter"/>
      <w:start w:val="3"/>
    </w:lvl>
  </w:abstractNum>
  <w:abstractNum w:abstractNumId="32">
    <w:nsid w:val="3006C83E"/>
    <w:multiLevelType w:val="hybridMultilevel"/>
    <w:lvl w:ilvl="0">
      <w:lvlJc w:val="left"/>
      <w:lvlText w:val="%1."/>
      <w:numFmt w:val="decimal"/>
      <w:start w:val="5"/>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2020-02-26T02:02:24Z</dcterms:created>
  <dcterms:modified xsi:type="dcterms:W3CDTF">2020-02-26T02:02:24Z</dcterms:modified>
</cp:coreProperties>
</file>