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hyperlink w:anchor="TableOfContents">
        <w:bookmarkStart w:id="0" w:name="a14-19645_110q.htm"/>
        <w:bookmarkStart w:id="1" w:name="ksa1419645_110q"/>
        <w:bookmarkEnd w:id="0"/>
        <w:bookmarkEnd w:id="1"/>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10-Q</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(Mark One)</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Wingdings" w:hAnsi="Wingdings"/>
          <w:b/>
          <w:sz w:val="20"/>
        </w:rPr>
        <w:t>x</w:t>
      </w:r>
      <w:r>
        <w:rPr>
          <w:rFonts w:ascii="Times New Roman" w:hAnsi="Times New Roman"/>
          <w:sz w:val="20"/>
        </w:rPr>
        <w:t xml:space="preserve">      </w:t>
      </w:r>
      <w:r>
        <w:rPr>
          <w:rFonts w:ascii="Times New Roman" w:hAnsi="Times New Roman"/>
          <w:b/>
          <w:sz w:val="20"/>
        </w:rPr>
        <w:t>QUARTERLY REPORT 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 the period ended September 30, 2014</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Wingdings" w:hAnsi="Wingdings"/>
          <w:b/>
          <w:sz w:val="20"/>
        </w:rPr>
        <w:t>o</w:t>
      </w:r>
      <w:r>
        <w:rPr>
          <w:rFonts w:ascii="Times New Roman" w:hAnsi="Times New Roman"/>
          <w:sz w:val="20"/>
        </w:rPr>
        <w:t xml:space="preserve">         </w:t>
      </w:r>
      <w:r>
        <w:rPr>
          <w:rFonts w:ascii="Times New Roman" w:hAnsi="Times New Roman"/>
          <w:b/>
          <w:sz w:val="20"/>
        </w:rPr>
        <w:t>TRANSITION REPORT 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 the transition period from              to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Commission file number 005-87689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ESSENT GROUP LTD.</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4999"/>
        <w:gridCol w:w="206"/>
        <w:gridCol w:w="5000"/>
      </w:tblGrid>
      <w:tr>
        <w:trPr/>
        <w:tc>
          <w:tcPr>
            <w:tcW w:w="4999"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Bermuda</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Not Applicable</w:t>
            </w:r>
          </w:p>
        </w:tc>
      </w:tr>
      <w:tr>
        <w:trPr/>
        <w:tc>
          <w:tcPr>
            <w:tcW w:w="499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 or organization)</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br/>
              <w:t>Identification Number)</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rPr>
      </w:pPr>
      <w:r>
        <w:rPr>
          <w:rFonts w:ascii="Times New Roman" w:hAnsi="Times New Roman"/>
          <w:b/>
          <w:sz w:val="17"/>
        </w:rPr>
        <w:t>Clarendon House</w:t>
        <w:br/>
        <w:t>2 Church Street</w:t>
        <w:br/>
        <w:t>Hamilton HM11, Bermuda</w:t>
        <w:br/>
      </w:r>
      <w:r>
        <w:rPr>
          <w:rFonts w:ascii="Times New Roman" w:hAnsi="Times New Roman"/>
          <w:sz w:val="17"/>
        </w:rPr>
        <w:t>(Address of principal executive offices and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b/>
          <w:sz w:val="17"/>
        </w:rPr>
        <w:t>(441) 297-9901</w:t>
        <w:br/>
      </w: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17"/>
        </w:rPr>
        <w:t>x</w:t>
      </w:r>
      <w:r>
        <w:rPr>
          <w:rFonts w:ascii="Times New Roman" w:hAnsi="Times New Roman"/>
        </w:rPr>
        <w:t xml:space="preserve">  </w:t>
      </w:r>
      <w:r>
        <w:rPr>
          <w:rFonts w:ascii="Times New Roman" w:hAnsi="Times New Roman"/>
          <w:sz w:val="17"/>
        </w:rPr>
        <w:t xml:space="preserve">No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17"/>
        </w:rPr>
        <w:t>x</w:t>
      </w:r>
      <w:r>
        <w:rPr>
          <w:rFonts w:ascii="Times New Roman" w:hAnsi="Times New Roman"/>
        </w:rPr>
        <w:t xml:space="preserve">  </w:t>
      </w:r>
      <w:r>
        <w:rPr>
          <w:rFonts w:ascii="Times New Roman" w:hAnsi="Times New Roman"/>
          <w:sz w:val="17"/>
        </w:rPr>
        <w:t xml:space="preserve">No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4999"/>
        <w:gridCol w:w="206"/>
        <w:gridCol w:w="5000"/>
      </w:tblGrid>
      <w:tr>
        <w:trPr/>
        <w:tc>
          <w:tcPr>
            <w:tcW w:w="4999" w:type="dxa"/>
            <w:tcBorders/>
            <w:shd w:fill="auto" w:val="clear"/>
          </w:tcPr>
          <w:p>
            <w:pPr>
              <w:pStyle w:val="TableContents"/>
              <w:spacing w:before="0" w:after="0"/>
              <w:ind w:left="0" w:right="0" w:hanging="0"/>
              <w:jc w:val="center"/>
              <w:rPr/>
            </w:pPr>
            <w:r>
              <w:rPr>
                <w:rFonts w:ascii="Times New Roman" w:hAnsi="Times New Roman"/>
                <w:sz w:val="17"/>
              </w:rPr>
              <w:t xml:space="preserve">Large accelerated filer </w:t>
            </w:r>
            <w:r>
              <w:rPr>
                <w:rFonts w:ascii="Wingdings" w:hAnsi="Wingdings"/>
                <w:sz w:val="17"/>
              </w:rPr>
              <w:t>o</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pPr>
            <w:r>
              <w:rPr>
                <w:rFonts w:ascii="Times New Roman" w:hAnsi="Times New Roman"/>
                <w:sz w:val="17"/>
              </w:rPr>
              <w:t xml:space="preserve">Accelerated filer </w:t>
            </w:r>
            <w:r>
              <w:rPr>
                <w:rFonts w:ascii="Wingdings" w:hAnsi="Wingdings"/>
                <w:sz w:val="17"/>
              </w:rPr>
              <w:t>o</w:t>
            </w:r>
          </w:p>
        </w:tc>
      </w:tr>
      <w:tr>
        <w:trPr/>
        <w:tc>
          <w:tcPr>
            <w:tcW w:w="4999" w:type="dxa"/>
            <w:tcBorders/>
            <w:shd w:fill="auto" w:val="clear"/>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pPr>
            <w:r>
              <w:rPr/>
              <w:t> </w:t>
            </w:r>
          </w:p>
        </w:tc>
      </w:tr>
      <w:tr>
        <w:trPr/>
        <w:tc>
          <w:tcPr>
            <w:tcW w:w="4999" w:type="dxa"/>
            <w:tcBorders/>
            <w:shd w:fill="auto" w:val="clear"/>
          </w:tcPr>
          <w:p>
            <w:pPr>
              <w:pStyle w:val="TableContents"/>
              <w:spacing w:before="0" w:after="0"/>
              <w:ind w:left="0" w:right="0" w:hanging="0"/>
              <w:jc w:val="center"/>
              <w:rPr/>
            </w:pPr>
            <w:r>
              <w:rPr>
                <w:rFonts w:ascii="Times New Roman" w:hAnsi="Times New Roman"/>
                <w:sz w:val="17"/>
              </w:rPr>
              <w:t xml:space="preserve">Non-accelerated filer </w:t>
            </w:r>
            <w:r>
              <w:rPr>
                <w:rFonts w:ascii="Wingdings" w:hAnsi="Wingdings"/>
                <w:sz w:val="17"/>
              </w:rPr>
              <w:t>x</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pPr>
            <w:r>
              <w:rPr>
                <w:rFonts w:ascii="Times New Roman" w:hAnsi="Times New Roman"/>
                <w:sz w:val="17"/>
              </w:rPr>
              <w:t xml:space="preserve">Smaller reporting company </w:t>
            </w:r>
            <w:r>
              <w:rPr>
                <w:rFonts w:ascii="Wingdings" w:hAnsi="Wingdings"/>
                <w:sz w:val="17"/>
              </w:rPr>
              <w:t>o</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is a shell company (as defined in Rule 12b-2 of the Exchange Act).  Yes </w:t>
      </w:r>
      <w:r>
        <w:rPr>
          <w:rFonts w:ascii="Wingdings" w:hAnsi="Wingdings"/>
          <w:sz w:val="17"/>
        </w:rPr>
        <w:t>o</w:t>
      </w:r>
      <w:r>
        <w:rPr>
          <w:rFonts w:ascii="Times New Roman" w:hAnsi="Times New Roman"/>
        </w:rPr>
        <w:t xml:space="preserve">  </w:t>
      </w:r>
      <w:r>
        <w:rPr>
          <w:rFonts w:ascii="Times New Roman" w:hAnsi="Times New Roman"/>
          <w:sz w:val="17"/>
        </w:rPr>
        <w:t>No </w:t>
      </w:r>
      <w:r>
        <w:rPr>
          <w:rFonts w:ascii="Wingdings" w:hAnsi="Wingdings"/>
          <w:sz w:val="17"/>
        </w:rPr>
        <w:t>x</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number of the registrants common shares outstanding as of November 7, 2014 was 86,524,092.</w:t>
      </w:r>
    </w:p>
    <w:p>
      <w:pPr>
        <w:pStyle w:val="TextBody"/>
        <w:spacing w:before="0" w:after="0"/>
        <w:ind w:left="0" w:right="0" w:hanging="0"/>
        <w:jc w:val="center"/>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Form 10-Q</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bookmarkStart w:id="2" w:name="TableOfContents"/>
      <w:bookmarkEnd w:id="2"/>
      <w:r>
        <w:rPr>
          <w:rFonts w:ascii="Times New Roman" w:hAnsi="Times New Roman"/>
          <w:b/>
          <w:sz w:val="17"/>
        </w:rPr>
        <w:t>Index</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237"/>
        <w:gridCol w:w="8453"/>
        <w:gridCol w:w="515"/>
      </w:tblGrid>
      <w:tr>
        <w:trPr/>
        <w:tc>
          <w:tcPr>
            <w:tcW w:w="1237" w:type="dxa"/>
            <w:tcBorders/>
            <w:shd w:fill="auto" w:val="clear"/>
            <w:vAlign w:val="bottom"/>
          </w:tcPr>
          <w:p>
            <w:pPr>
              <w:pStyle w:val="TableContents"/>
              <w:spacing w:before="0" w:after="0"/>
              <w:ind w:left="0" w:right="0" w:hanging="0"/>
              <w:rPr/>
            </w:pPr>
            <w:hyperlink w:anchor="PartiFinancialInformation_113652">
              <w:r>
                <w:rPr>
                  <w:rStyle w:val="InternetLink"/>
                  <w:rFonts w:ascii="Times New Roman" w:hAnsi="Times New Roman"/>
                  <w:b/>
                  <w:sz w:val="17"/>
                </w:rPr>
                <w:t>PART I.</w:t>
              </w:r>
            </w:hyperlink>
          </w:p>
        </w:tc>
        <w:tc>
          <w:tcPr>
            <w:tcW w:w="8453" w:type="dxa"/>
            <w:tcBorders/>
            <w:shd w:fill="auto" w:val="clear"/>
            <w:vAlign w:val="bottom"/>
          </w:tcPr>
          <w:p>
            <w:pPr>
              <w:pStyle w:val="TableContents"/>
              <w:spacing w:before="0" w:after="0"/>
              <w:ind w:left="0" w:right="0" w:hanging="0"/>
              <w:rPr/>
            </w:pPr>
            <w:hyperlink w:anchor="PartiFinancialInformation_113652">
              <w:r>
                <w:rPr>
                  <w:rStyle w:val="InternetLink"/>
                  <w:rFonts w:ascii="Times New Roman" w:hAnsi="Times New Roman"/>
                  <w:b/>
                  <w:sz w:val="17"/>
                </w:rPr>
                <w:t>FINANCIAL INFORMATION</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hyperlink w:anchor="Item1_FinancialStatementsunaudite_113653">
              <w:r>
                <w:rPr>
                  <w:rStyle w:val="InternetLink"/>
                  <w:rFonts w:ascii="Times New Roman" w:hAnsi="Times New Roman"/>
                  <w:b/>
                  <w:sz w:val="17"/>
                </w:rPr>
                <w:t>Item 1.</w:t>
              </w:r>
            </w:hyperlink>
          </w:p>
        </w:tc>
        <w:tc>
          <w:tcPr>
            <w:tcW w:w="8453" w:type="dxa"/>
            <w:tcBorders/>
            <w:shd w:fill="auto" w:val="clear"/>
          </w:tcPr>
          <w:p>
            <w:pPr>
              <w:pStyle w:val="TableContents"/>
              <w:spacing w:before="0" w:after="0"/>
              <w:ind w:left="0" w:right="0" w:hanging="0"/>
              <w:rPr/>
            </w:pPr>
            <w:hyperlink w:anchor="Item1_FinancialStatementsunaudite_113653">
              <w:r>
                <w:rPr>
                  <w:rStyle w:val="InternetLink"/>
                  <w:rFonts w:ascii="Times New Roman" w:hAnsi="Times New Roman"/>
                  <w:b/>
                  <w:sz w:val="17"/>
                </w:rPr>
                <w:t>Financial Statements (Unaudited)</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hyperlink w:anchor="CondensedConsolidatedBalanceSheet_113655">
              <w:r>
                <w:rPr>
                  <w:rStyle w:val="InternetLink"/>
                  <w:rFonts w:ascii="Times New Roman" w:hAnsi="Times New Roman"/>
                  <w:b/>
                  <w:sz w:val="17"/>
                </w:rPr>
                <w:t>Condensed Consolidated Balance Sheets (Unaudited)</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hyperlink w:anchor="CondensedConsolidatedStatementsOf_113700">
              <w:r>
                <w:rPr>
                  <w:rStyle w:val="InternetLink"/>
                  <w:rFonts w:ascii="Times New Roman" w:hAnsi="Times New Roman"/>
                  <w:b/>
                  <w:sz w:val="17"/>
                </w:rPr>
                <w:t>Condensed Consolidated Statements of Comprehensive Income (Unaudited)</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hyperlink w:anchor="CondensedConsolidatedStatementsOf_114246">
              <w:r>
                <w:rPr>
                  <w:rStyle w:val="InternetLink"/>
                  <w:rFonts w:ascii="Times New Roman" w:hAnsi="Times New Roman"/>
                  <w:b/>
                  <w:sz w:val="17"/>
                </w:rPr>
                <w:t>Condensed Consolidated Statements of Changes in Stockholders Equity (Unaudited)</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hyperlink w:anchor="CondensedConsolidatedStatementsOf_114704">
              <w:r>
                <w:rPr>
                  <w:rStyle w:val="InternetLink"/>
                  <w:rFonts w:ascii="Times New Roman" w:hAnsi="Times New Roman"/>
                  <w:b/>
                  <w:sz w:val="17"/>
                </w:rPr>
                <w:t>Condensed Consolidated Statements of Cash Flows (Unaudited)</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hyperlink w:anchor="NotesToCondensedConsolidatedFinan_130529">
              <w:r>
                <w:rPr>
                  <w:rStyle w:val="InternetLink"/>
                  <w:rFonts w:ascii="Times New Roman" w:hAnsi="Times New Roman"/>
                  <w:b/>
                  <w:sz w:val="17"/>
                </w:rPr>
                <w:t>Notes to Condensed Consolidated Financial Statements (Unaudited)</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hyperlink w:anchor="Item2_ManagementsDiscussionAndAna_125535">
              <w:r>
                <w:rPr>
                  <w:rStyle w:val="InternetLink"/>
                  <w:rFonts w:ascii="Times New Roman" w:hAnsi="Times New Roman"/>
                  <w:b/>
                  <w:sz w:val="17"/>
                </w:rPr>
                <w:t>Item 2.</w:t>
              </w:r>
            </w:hyperlink>
          </w:p>
        </w:tc>
        <w:tc>
          <w:tcPr>
            <w:tcW w:w="8453" w:type="dxa"/>
            <w:tcBorders/>
            <w:shd w:fill="auto" w:val="clear"/>
          </w:tcPr>
          <w:p>
            <w:pPr>
              <w:pStyle w:val="TableContents"/>
              <w:spacing w:before="0" w:after="0"/>
              <w:ind w:left="0" w:right="0" w:hanging="0"/>
              <w:rPr/>
            </w:pPr>
            <w:hyperlink w:anchor="Item2_ManagementsDiscussionAndAna_125535">
              <w:r>
                <w:rPr>
                  <w:rStyle w:val="InternetLink"/>
                  <w:rFonts w:ascii="Times New Roman" w:hAnsi="Times New Roman"/>
                  <w:b/>
                  <w:sz w:val="17"/>
                </w:rPr>
                <w:t>Managements Discussion and Analysis of Financial Condition and Results of Operations</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hyperlink w:anchor="Item3_QuantitativeAndQualitativeD_140126">
              <w:r>
                <w:rPr>
                  <w:rStyle w:val="InternetLink"/>
                  <w:rFonts w:ascii="Times New Roman" w:hAnsi="Times New Roman"/>
                  <w:b/>
                  <w:sz w:val="17"/>
                </w:rPr>
                <w:t>Item 3.</w:t>
              </w:r>
            </w:hyperlink>
          </w:p>
        </w:tc>
        <w:tc>
          <w:tcPr>
            <w:tcW w:w="8453" w:type="dxa"/>
            <w:tcBorders/>
            <w:shd w:fill="auto" w:val="clear"/>
          </w:tcPr>
          <w:p>
            <w:pPr>
              <w:pStyle w:val="TableContents"/>
              <w:spacing w:before="0" w:after="0"/>
              <w:ind w:left="0" w:right="0" w:hanging="0"/>
              <w:rPr/>
            </w:pPr>
            <w:hyperlink w:anchor="Item3_QuantitativeAndQualitativeD_140126">
              <w:r>
                <w:rPr>
                  <w:rStyle w:val="InternetLink"/>
                  <w:rFonts w:ascii="Times New Roman" w:hAnsi="Times New Roman"/>
                  <w:b/>
                  <w:sz w:val="17"/>
                </w:rPr>
                <w:t>Quantitative and Qualitative Disclosures About Market Risk</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hyperlink w:anchor="Item4_ControlsAndProcedures_140209">
              <w:r>
                <w:rPr>
                  <w:rStyle w:val="InternetLink"/>
                  <w:rFonts w:ascii="Times New Roman" w:hAnsi="Times New Roman"/>
                  <w:b/>
                  <w:sz w:val="17"/>
                </w:rPr>
                <w:t>Item 4.</w:t>
              </w:r>
            </w:hyperlink>
          </w:p>
        </w:tc>
        <w:tc>
          <w:tcPr>
            <w:tcW w:w="8453" w:type="dxa"/>
            <w:tcBorders/>
            <w:shd w:fill="auto" w:val="clear"/>
          </w:tcPr>
          <w:p>
            <w:pPr>
              <w:pStyle w:val="TableContents"/>
              <w:spacing w:before="0" w:after="0"/>
              <w:ind w:left="0" w:right="0" w:hanging="0"/>
              <w:rPr/>
            </w:pPr>
            <w:hyperlink w:anchor="Item4_ControlsAndProcedures_140209">
              <w:r>
                <w:rPr>
                  <w:rStyle w:val="InternetLink"/>
                  <w:rFonts w:ascii="Times New Roman" w:hAnsi="Times New Roman"/>
                  <w:b/>
                  <w:sz w:val="17"/>
                </w:rPr>
                <w:t>Controls and Procedures</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hyperlink w:anchor="PartiiOtherInformation_140203">
              <w:r>
                <w:rPr>
                  <w:rStyle w:val="InternetLink"/>
                  <w:rFonts w:ascii="Times New Roman" w:hAnsi="Times New Roman"/>
                  <w:b/>
                  <w:sz w:val="17"/>
                </w:rPr>
                <w:t>PART II.</w:t>
              </w:r>
            </w:hyperlink>
          </w:p>
        </w:tc>
        <w:tc>
          <w:tcPr>
            <w:tcW w:w="8453" w:type="dxa"/>
            <w:tcBorders/>
            <w:shd w:fill="auto" w:val="clear"/>
          </w:tcPr>
          <w:p>
            <w:pPr>
              <w:pStyle w:val="TableContents"/>
              <w:spacing w:before="0" w:after="0"/>
              <w:ind w:left="0" w:right="0" w:hanging="0"/>
              <w:rPr/>
            </w:pPr>
            <w:hyperlink w:anchor="PartiiOtherInformation_140203">
              <w:r>
                <w:rPr>
                  <w:rStyle w:val="InternetLink"/>
                  <w:rFonts w:ascii="Times New Roman" w:hAnsi="Times New Roman"/>
                  <w:b/>
                  <w:sz w:val="17"/>
                </w:rPr>
                <w:t>OTHER INFORMATION</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hyperlink w:anchor="Item1_LegalProceedings_140223">
              <w:r>
                <w:rPr>
                  <w:rStyle w:val="InternetLink"/>
                  <w:rFonts w:ascii="Times New Roman" w:hAnsi="Times New Roman"/>
                  <w:b/>
                  <w:sz w:val="17"/>
                </w:rPr>
                <w:t>Item 1.</w:t>
              </w:r>
            </w:hyperlink>
          </w:p>
        </w:tc>
        <w:tc>
          <w:tcPr>
            <w:tcW w:w="8453" w:type="dxa"/>
            <w:tcBorders/>
            <w:shd w:fill="auto" w:val="clear"/>
          </w:tcPr>
          <w:p>
            <w:pPr>
              <w:pStyle w:val="TableContents"/>
              <w:spacing w:before="0" w:after="0"/>
              <w:ind w:left="0" w:right="0" w:hanging="0"/>
              <w:rPr/>
            </w:pPr>
            <w:hyperlink w:anchor="Item1_LegalProceedings_140223">
              <w:r>
                <w:rPr>
                  <w:rStyle w:val="InternetLink"/>
                  <w:rFonts w:ascii="Times New Roman" w:hAnsi="Times New Roman"/>
                  <w:b/>
                  <w:sz w:val="17"/>
                </w:rPr>
                <w:t>Legal Proceedings</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hyperlink w:anchor="Item1a_RiskFactors_140225">
              <w:r>
                <w:rPr>
                  <w:rStyle w:val="InternetLink"/>
                  <w:rFonts w:ascii="Times New Roman" w:hAnsi="Times New Roman"/>
                  <w:b/>
                  <w:sz w:val="17"/>
                </w:rPr>
                <w:t>Item 1A.</w:t>
              </w:r>
            </w:hyperlink>
          </w:p>
        </w:tc>
        <w:tc>
          <w:tcPr>
            <w:tcW w:w="8453" w:type="dxa"/>
            <w:tcBorders/>
            <w:shd w:fill="auto" w:val="clear"/>
          </w:tcPr>
          <w:p>
            <w:pPr>
              <w:pStyle w:val="TableContents"/>
              <w:spacing w:before="0" w:after="0"/>
              <w:ind w:left="0" w:right="0" w:hanging="0"/>
              <w:rPr/>
            </w:pPr>
            <w:hyperlink w:anchor="Item1a_RiskFactors_140225">
              <w:r>
                <w:rPr>
                  <w:rStyle w:val="InternetLink"/>
                  <w:rFonts w:ascii="Times New Roman" w:hAnsi="Times New Roman"/>
                  <w:b/>
                  <w:sz w:val="17"/>
                </w:rPr>
                <w:t>Risk Factors</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hyperlink w:anchor="Item2_UnregisteredSalesOfEquitySe_140229">
              <w:r>
                <w:rPr>
                  <w:rStyle w:val="InternetLink"/>
                  <w:rFonts w:ascii="Times New Roman" w:hAnsi="Times New Roman"/>
                  <w:b/>
                  <w:sz w:val="17"/>
                </w:rPr>
                <w:t>Item 2.</w:t>
              </w:r>
            </w:hyperlink>
          </w:p>
        </w:tc>
        <w:tc>
          <w:tcPr>
            <w:tcW w:w="8453" w:type="dxa"/>
            <w:tcBorders/>
            <w:shd w:fill="auto" w:val="clear"/>
          </w:tcPr>
          <w:p>
            <w:pPr>
              <w:pStyle w:val="TableContents"/>
              <w:spacing w:before="0" w:after="0"/>
              <w:ind w:left="0" w:right="0" w:hanging="0"/>
              <w:rPr/>
            </w:pPr>
            <w:hyperlink w:anchor="Item2_UnregisteredSalesOfEquitySe_140229">
              <w:r>
                <w:rPr>
                  <w:rStyle w:val="InternetLink"/>
                  <w:rFonts w:ascii="Times New Roman" w:hAnsi="Times New Roman"/>
                  <w:b/>
                  <w:sz w:val="17"/>
                </w:rPr>
                <w:t>Unregistered Sales of Equity Securities and Use of Proceeds</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hyperlink w:anchor="Item5_OtherInformation_031156">
              <w:r>
                <w:rPr>
                  <w:rStyle w:val="InternetLink"/>
                  <w:rFonts w:ascii="Times New Roman" w:hAnsi="Times New Roman"/>
                  <w:b/>
                  <w:sz w:val="17"/>
                </w:rPr>
                <w:t>Item 5.</w:t>
              </w:r>
            </w:hyperlink>
          </w:p>
        </w:tc>
        <w:tc>
          <w:tcPr>
            <w:tcW w:w="8453" w:type="dxa"/>
            <w:tcBorders/>
            <w:shd w:fill="auto" w:val="clear"/>
          </w:tcPr>
          <w:p>
            <w:pPr>
              <w:pStyle w:val="TableContents"/>
              <w:spacing w:before="0" w:after="0"/>
              <w:ind w:left="0" w:right="0" w:hanging="0"/>
              <w:rPr/>
            </w:pPr>
            <w:hyperlink w:anchor="Item5_OtherInformation_031156">
              <w:r>
                <w:rPr>
                  <w:rStyle w:val="InternetLink"/>
                  <w:rFonts w:ascii="Times New Roman" w:hAnsi="Times New Roman"/>
                  <w:b/>
                  <w:sz w:val="17"/>
                </w:rPr>
                <w:t>Other Information</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1237" w:type="dxa"/>
            <w:tcBorders/>
            <w:shd w:fill="auto" w:val="clear"/>
          </w:tcPr>
          <w:p>
            <w:pPr>
              <w:pStyle w:val="TableContents"/>
              <w:spacing w:before="0" w:after="0"/>
              <w:ind w:left="0" w:right="0" w:hanging="0"/>
              <w:rPr/>
            </w:pPr>
            <w:hyperlink w:anchor="Item6_Exhibits_140233">
              <w:r>
                <w:rPr>
                  <w:rStyle w:val="InternetLink"/>
                  <w:rFonts w:ascii="Times New Roman" w:hAnsi="Times New Roman"/>
                  <w:b/>
                  <w:sz w:val="17"/>
                </w:rPr>
                <w:t>Item 6.</w:t>
              </w:r>
            </w:hyperlink>
          </w:p>
        </w:tc>
        <w:tc>
          <w:tcPr>
            <w:tcW w:w="8453" w:type="dxa"/>
            <w:tcBorders/>
            <w:shd w:fill="auto" w:val="clear"/>
          </w:tcPr>
          <w:p>
            <w:pPr>
              <w:pStyle w:val="TableContents"/>
              <w:spacing w:before="0" w:after="0"/>
              <w:ind w:left="0" w:right="0" w:hanging="0"/>
              <w:rPr/>
            </w:pPr>
            <w:hyperlink w:anchor="Item6_Exhibits_140233">
              <w:r>
                <w:rPr>
                  <w:rStyle w:val="InternetLink"/>
                  <w:rFonts w:ascii="Times New Roman" w:hAnsi="Times New Roman"/>
                  <w:b/>
                  <w:sz w:val="17"/>
                </w:rPr>
                <w:t>Exhibits</w:t>
              </w:r>
            </w:hyperlink>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9690" w:type="dxa"/>
            <w:gridSpan w:val="2"/>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pPr>
            <w:hyperlink w:anchor="Signatures_140239">
              <w:r>
                <w:rPr>
                  <w:rStyle w:val="InternetLink"/>
                  <w:rFonts w:ascii="Times New Roman" w:hAnsi="Times New Roman"/>
                  <w:b/>
                  <w:sz w:val="17"/>
                </w:rPr>
                <w:t>SIGNATURES</w:t>
              </w:r>
            </w:hyperlink>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9690" w:type="dxa"/>
            <w:gridSpan w:val="2"/>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pPr>
            <w:hyperlink w:anchor="Exhibitindex_140246">
              <w:r>
                <w:rPr>
                  <w:rStyle w:val="InternetLink"/>
                  <w:rFonts w:ascii="Times New Roman" w:hAnsi="Times New Roman"/>
                  <w:b/>
                  <w:sz w:val="17"/>
                </w:rPr>
                <w:t>EXHIBIT INDEX</w:t>
              </w:r>
            </w:hyperlink>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w:t>
      </w:r>
      <w:bookmarkStart w:id="3" w:name="PB_i_110613_7056"/>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i/>
          <w:sz w:val="17"/>
        </w:rPr>
      </w:pPr>
      <w:r>
        <w:rPr>
          <w:rFonts w:ascii="Times New Roman" w:hAnsi="Times New Roman"/>
          <w:i/>
          <w:sz w:val="17"/>
        </w:rPr>
        <w:t>Unless the context otherwise indicates or requires, the terms we, our, us, Essent, and the Company, as used in this Quarterly Report on Form 10-Q, refer to Essent Group Ltd. and its directly and indirectly owned subsidiaries, including our primary operating subsidiary, Essent Guaranty, Inc., as a combined entity, except where otherwise stated or where it is clear that the terms mean only Essent Group Ltd. exclusive of its subsidiaries.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SPECIAL NOTE REGARDING FORWARD-LOOKING STATEMENTS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merchandise,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factors described in Part I, Item 2 Managements Discussion and Analysis of Financial Condition and Results of Operations of this Quarterly Report, and factors described in Part I, Item 1A Risk Factors of our Annual Report on Form 10-K for the year ended December 31, 2013 filed with the Securities and Exchange Commission.  These factors include, without limitation,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changes in or to Fannie Mae and Freddie Mac, which we refer to collectively as the GSEs, whether through Federal legislation, restructurings or a shift in business practices;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continue to meet the mortgage insurer eligibility requirements of the GSEs;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competition for our customers;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lenders or investors seeking alternatives to private mortgage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 in the number of loans insured through Federal government mortgage insurance programs, including those offered by the Federal Housing Administration;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decline in new insurance written, or NIW, and franchise value due to loss of a significant customer;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decline in the volume of low down payment mortgage originations;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definition of Qualified Mortgage reducing the size of the mortgage origination market or creating incentives to use government mortgage insurance programs;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definition of Qualified Residential Mortgage reducing the number of low down payment loans or lenders and investors seeking alternatives to private mortgage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implementation of the Basel III Capital Accord, which may discourage the use of private mortgage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decrease in the length of time our insurance policies are in force;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uncertainty of loss reserve estimates;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deteriorating economic conditions;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management of risk in our investment portfolio;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interest rates;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w:t>
      </w:r>
      <w:bookmarkStart w:id="4" w:name="PB_ii_110643_5335"/>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inadequacy of the premiums we charge to compensate for our losses incurred;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dependence on management team and qualified personnel;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disturbance to our information technology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change in our customers capital requirements discouraging the use of mortgage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declines in the value of borrowers homes;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limited availability of capital;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claims arise under and risks associated with our contract underwriting program;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industry practice that loss reserves are established only upon a loan default;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disruption in mortgage loan servicing;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 of future legal proceedings;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customers technological demands;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non-U.S. operations becoming subject to U.S. Federal income taxation;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becoming considered a passive foreign investment company for U.S. Federal income tax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scope of recently enacted legislation is uncertain;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potential inability of our insurance subsidiaries to pay dividends.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iii</w:t>
      </w:r>
      <w:bookmarkStart w:id="5" w:name="PB_iii_110702_5796"/>
      <w:bookmarkEnd w:id="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  FINANCIAL INFORMATION</w:t>
      </w:r>
      <w:bookmarkStart w:id="6" w:name="PartiFinancialInformation_113652"/>
      <w:bookmarkEnd w:id="6"/>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1.   Financial Statements (Unaudited)</w:t>
      </w:r>
      <w:bookmarkStart w:id="7" w:name="Item1_FinancialStatementsunaudite_113653"/>
      <w:bookmarkEnd w:id="7"/>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Balance Sheets (Unaudited)</w:t>
      </w:r>
      <w:bookmarkStart w:id="8" w:name="CondensedConsolidatedBalanceSheet_113655"/>
      <w:bookmarkEnd w:id="8"/>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06"/>
        <w:gridCol w:w="202"/>
        <w:gridCol w:w="125"/>
        <w:gridCol w:w="1118"/>
        <w:gridCol w:w="202"/>
        <w:gridCol w:w="123"/>
        <w:gridCol w:w="1109"/>
        <w:gridCol w:w="120"/>
      </w:tblGrid>
      <w:tr>
        <w:trPr/>
        <w:tc>
          <w:tcPr>
            <w:tcW w:w="7206"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124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2" w:type="dxa"/>
            <w:tcBorders/>
            <w:shd w:fill="auto" w:val="clear"/>
            <w:vAlign w:val="bottom"/>
          </w:tcPr>
          <w:p>
            <w:pPr>
              <w:pStyle w:val="TableContents"/>
              <w:spacing w:before="0" w:after="0"/>
              <w:ind w:left="0" w:right="0" w:hanging="0"/>
              <w:jc w:val="center"/>
              <w:rPr/>
            </w:pPr>
            <w:r>
              <w:rPr/>
              <w:t> </w:t>
            </w:r>
          </w:p>
        </w:tc>
        <w:tc>
          <w:tcPr>
            <w:tcW w:w="123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0" w:type="dxa"/>
            <w:tcBorders/>
            <w:shd w:fill="auto" w:val="clear"/>
            <w:vAlign w:val="bottom"/>
          </w:tcPr>
          <w:p>
            <w:pPr>
              <w:pStyle w:val="TableContents"/>
              <w:spacing w:before="0" w:after="0"/>
              <w:ind w:left="0" w:right="0" w:hanging="0"/>
              <w:jc w:val="center"/>
              <w:rPr/>
            </w:pPr>
            <w:r>
              <w:rPr/>
              <w:t> </w:t>
            </w:r>
          </w:p>
        </w:tc>
      </w:tr>
      <w:tr>
        <w:trPr/>
        <w:tc>
          <w:tcPr>
            <w:tcW w:w="7206"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 except per share amounts)</w:t>
            </w:r>
          </w:p>
        </w:tc>
        <w:tc>
          <w:tcPr>
            <w:tcW w:w="202" w:type="dxa"/>
            <w:tcBorders/>
            <w:shd w:fill="auto" w:val="clear"/>
            <w:vAlign w:val="bottom"/>
          </w:tcPr>
          <w:p>
            <w:pPr>
              <w:pStyle w:val="TableContents"/>
              <w:spacing w:before="0" w:after="0"/>
              <w:ind w:left="0" w:right="0" w:hanging="0"/>
              <w:jc w:val="center"/>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02" w:type="dxa"/>
            <w:tcBorders/>
            <w:shd w:fill="auto" w:val="clear"/>
            <w:vAlign w:val="bottom"/>
          </w:tcPr>
          <w:p>
            <w:pPr>
              <w:pStyle w:val="TableContents"/>
              <w:spacing w:before="0" w:after="0"/>
              <w:ind w:left="0" w:right="0" w:hanging="0"/>
              <w:jc w:val="center"/>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0" w:type="dxa"/>
            <w:tcBorders/>
            <w:shd w:fill="auto" w:val="clear"/>
            <w:vAlign w:val="bottom"/>
          </w:tcPr>
          <w:p>
            <w:pPr>
              <w:pStyle w:val="TableContents"/>
              <w:spacing w:before="0" w:after="0"/>
              <w:ind w:left="0" w:right="0" w:hanging="0"/>
              <w:jc w:val="center"/>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Assets</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Investments available for sale, at fair value</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Fixed maturities</w:t>
            </w:r>
          </w:p>
        </w:tc>
        <w:tc>
          <w:tcPr>
            <w:tcW w:w="202"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790,888</w:t>
            </w:r>
          </w:p>
        </w:tc>
        <w:tc>
          <w:tcPr>
            <w:tcW w:w="202"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318,476</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investments</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106,263</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14,079</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investments</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897,151</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332,555</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17,574</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477,655</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Accrued investment income</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5,034</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1,978</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receivable</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13,168</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10,006</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policy acquisition costs</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8,784</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6,173</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and equipment (at cost, less accumulated depreciation of $38,630 in 2014 and $36,796 in 2013)</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5,200</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4,411</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Prepaid federal income tax</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42,673</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8,000</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deferred tax asset</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10,346</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assets</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2,016</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2,846</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assets</w:t>
            </w:r>
          </w:p>
        </w:tc>
        <w:tc>
          <w:tcPr>
            <w:tcW w:w="202"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991,600</w:t>
            </w:r>
          </w:p>
        </w:tc>
        <w:tc>
          <w:tcPr>
            <w:tcW w:w="20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853,970</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Liabilities and Stockholders Equity</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Liabilities</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Reserve for losses and LAE</w:t>
            </w:r>
          </w:p>
        </w:tc>
        <w:tc>
          <w:tcPr>
            <w:tcW w:w="202"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5,682</w:t>
            </w:r>
          </w:p>
        </w:tc>
        <w:tc>
          <w:tcPr>
            <w:tcW w:w="202"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3,070</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Unearned premium reserve</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141,544</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103,399</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Amounts due under Asset Purchase Agreement</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2,493</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4,949</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Accrued payroll and bonuses</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11,119</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13,076</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deferred tax liability</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22,036</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accrued liabilities</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13,833</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7,335</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196,707</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131,829</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Commitments and contingencies</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Stockholders Equity</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Shares, $0.015 par value:</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shd w:fill="CCEEFF" w:val="clear"/>
            <w:vAlign w:val="bottom"/>
          </w:tcPr>
          <w:p>
            <w:pPr>
              <w:pStyle w:val="TableContents"/>
              <w:spacing w:before="0" w:after="0"/>
              <w:ind w:left="0" w:right="0" w:hanging="0"/>
              <w:jc w:val="right"/>
              <w:rPr/>
            </w:pPr>
            <w:r>
              <w:rPr/>
              <w:t> </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Authorized - 233,333; issued - 86,524 shares in 2014 and 86,491 shares in 2013</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1,298</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1,297</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Additional paid-in capital</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763,521</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754,390</w:t>
            </w:r>
          </w:p>
        </w:tc>
        <w:tc>
          <w:tcPr>
            <w:tcW w:w="120" w:type="dxa"/>
            <w:tcBorders/>
            <w:shd w:fill="CCEEFF" w:val="clear"/>
            <w:vAlign w:val="bottom"/>
          </w:tcPr>
          <w:p>
            <w:pPr>
              <w:pStyle w:val="TableContents"/>
              <w:spacing w:before="0" w:after="0"/>
              <w:ind w:left="0" w:right="0" w:hanging="0"/>
              <w:rPr/>
            </w:pPr>
            <w:r>
              <w:rPr/>
              <w:t> </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Accumulated other comprehensive income (loss)</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2,542</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(1,447</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Retained earnings (accumulated deficit)</w:t>
            </w:r>
          </w:p>
        </w:tc>
        <w:tc>
          <w:tcPr>
            <w:tcW w:w="202" w:type="dxa"/>
            <w:tcBorders/>
            <w:shd w:fill="CCEEFF" w:val="clear"/>
            <w:vAlign w:val="bottom"/>
          </w:tcPr>
          <w:p>
            <w:pPr>
              <w:pStyle w:val="TableContents"/>
              <w:spacing w:before="0" w:after="0"/>
              <w:ind w:left="0" w:right="0" w:hanging="0"/>
              <w:rPr/>
            </w:pPr>
            <w:r>
              <w:rPr/>
              <w:t> </w:t>
            </w:r>
          </w:p>
        </w:tc>
        <w:tc>
          <w:tcPr>
            <w:tcW w:w="12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27,532</w:t>
            </w:r>
          </w:p>
        </w:tc>
        <w:tc>
          <w:tcPr>
            <w:tcW w:w="202" w:type="dxa"/>
            <w:tcBorders/>
            <w:shd w:fill="CCEEFF"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(32,099</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stockholders equity</w:t>
            </w:r>
          </w:p>
        </w:tc>
        <w:tc>
          <w:tcPr>
            <w:tcW w:w="202" w:type="dxa"/>
            <w:tcBorders/>
            <w:shd w:fill="auto" w:val="clear"/>
            <w:vAlign w:val="bottom"/>
          </w:tcPr>
          <w:p>
            <w:pPr>
              <w:pStyle w:val="TableContents"/>
              <w:spacing w:before="0" w:after="0"/>
              <w:ind w:left="0" w:right="0" w:hanging="0"/>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794,893</w:t>
            </w:r>
          </w:p>
        </w:tc>
        <w:tc>
          <w:tcPr>
            <w:tcW w:w="202" w:type="dxa"/>
            <w:tcBorders/>
            <w:shd w:fill="auto"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722,141</w:t>
            </w:r>
          </w:p>
        </w:tc>
        <w:tc>
          <w:tcPr>
            <w:tcW w:w="120" w:type="dxa"/>
            <w:tcBorders/>
            <w:shd w:fill="auto" w:val="clear"/>
            <w:vAlign w:val="bottom"/>
          </w:tcPr>
          <w:p>
            <w:pPr>
              <w:pStyle w:val="TableContents"/>
              <w:spacing w:before="0" w:after="0"/>
              <w:ind w:left="0" w:right="0" w:hanging="0"/>
              <w:rPr/>
            </w:pPr>
            <w:r>
              <w:rPr/>
              <w:t> </w:t>
            </w:r>
          </w:p>
        </w:tc>
      </w:tr>
      <w:tr>
        <w:trPr/>
        <w:tc>
          <w:tcPr>
            <w:tcW w:w="720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liabilities and stockholders equity</w:t>
            </w:r>
          </w:p>
        </w:tc>
        <w:tc>
          <w:tcPr>
            <w:tcW w:w="202"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991,600</w:t>
            </w:r>
          </w:p>
        </w:tc>
        <w:tc>
          <w:tcPr>
            <w:tcW w:w="202"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853,970</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See accompanying notes to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9" w:name="PB_1_112553_7056"/>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Comprehensive Income (Unaudited)</w:t>
      </w:r>
      <w:bookmarkStart w:id="10" w:name="CondensedConsolidatedStatementsOf_113700"/>
      <w:bookmarkEnd w:id="10"/>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26"/>
        <w:gridCol w:w="165"/>
        <w:gridCol w:w="171"/>
        <w:gridCol w:w="1142"/>
        <w:gridCol w:w="205"/>
        <w:gridCol w:w="171"/>
        <w:gridCol w:w="1144"/>
        <w:gridCol w:w="177"/>
        <w:gridCol w:w="154"/>
        <w:gridCol w:w="1141"/>
        <w:gridCol w:w="193"/>
        <w:gridCol w:w="153"/>
        <w:gridCol w:w="1143"/>
        <w:gridCol w:w="120"/>
      </w:tblGrid>
      <w:tr>
        <w:trPr/>
        <w:tc>
          <w:tcPr>
            <w:tcW w:w="4126"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283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w:t>
            </w:r>
          </w:p>
        </w:tc>
        <w:tc>
          <w:tcPr>
            <w:tcW w:w="177" w:type="dxa"/>
            <w:tcBorders/>
            <w:shd w:fill="auto" w:val="clear"/>
            <w:vAlign w:val="bottom"/>
          </w:tcPr>
          <w:p>
            <w:pPr>
              <w:pStyle w:val="TableContents"/>
              <w:spacing w:before="0" w:after="0"/>
              <w:ind w:left="0" w:right="0" w:hanging="0"/>
              <w:jc w:val="center"/>
              <w:rPr/>
            </w:pPr>
            <w:r>
              <w:rPr/>
              <w:t> </w:t>
            </w:r>
          </w:p>
        </w:tc>
        <w:tc>
          <w:tcPr>
            <w:tcW w:w="278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20" w:type="dxa"/>
            <w:tcBorders/>
            <w:shd w:fill="auto" w:val="clear"/>
            <w:vAlign w:val="bottom"/>
          </w:tcPr>
          <w:p>
            <w:pPr>
              <w:pStyle w:val="TableContents"/>
              <w:spacing w:before="0" w:after="0"/>
              <w:ind w:left="0" w:right="0" w:hanging="0"/>
              <w:jc w:val="center"/>
              <w:rPr/>
            </w:pPr>
            <w:r>
              <w:rPr/>
              <w:t> </w:t>
            </w:r>
          </w:p>
        </w:tc>
      </w:tr>
      <w:tr>
        <w:trPr/>
        <w:tc>
          <w:tcPr>
            <w:tcW w:w="4126"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 except per share amounts)</w:t>
            </w:r>
          </w:p>
        </w:tc>
        <w:tc>
          <w:tcPr>
            <w:tcW w:w="165" w:type="dxa"/>
            <w:tcBorders/>
            <w:shd w:fill="auto" w:val="clear"/>
            <w:vAlign w:val="bottom"/>
          </w:tcPr>
          <w:p>
            <w:pPr>
              <w:pStyle w:val="TableContents"/>
              <w:spacing w:before="0" w:after="0"/>
              <w:ind w:left="0" w:right="0" w:hanging="0"/>
              <w:jc w:val="center"/>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05" w:type="dxa"/>
            <w:tcBorders/>
            <w:shd w:fill="auto" w:val="clear"/>
            <w:vAlign w:val="bottom"/>
          </w:tcPr>
          <w:p>
            <w:pPr>
              <w:pStyle w:val="TableContents"/>
              <w:spacing w:before="0" w:after="0"/>
              <w:ind w:left="0" w:right="0" w:hanging="0"/>
              <w:jc w:val="center"/>
              <w:rPr/>
            </w:pPr>
            <w:r>
              <w:rPr/>
              <w:t> </w:t>
            </w:r>
          </w:p>
        </w:tc>
        <w:tc>
          <w:tcPr>
            <w:tcW w:w="131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77" w:type="dxa"/>
            <w:tcBorders/>
            <w:shd w:fill="auto" w:val="clear"/>
            <w:vAlign w:val="bottom"/>
          </w:tcPr>
          <w:p>
            <w:pPr>
              <w:pStyle w:val="TableContents"/>
              <w:spacing w:before="0" w:after="0"/>
              <w:ind w:left="0" w:right="0" w:hanging="0"/>
              <w:jc w:val="center"/>
              <w:rPr/>
            </w:pPr>
            <w:r>
              <w:rPr/>
              <w:t> </w:t>
            </w:r>
          </w:p>
        </w:tc>
        <w:tc>
          <w:tcPr>
            <w:tcW w:w="12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9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0" w:type="dxa"/>
            <w:tcBorders/>
            <w:shd w:fill="auto" w:val="clear"/>
            <w:vAlign w:val="bottom"/>
          </w:tcPr>
          <w:p>
            <w:pPr>
              <w:pStyle w:val="TableContents"/>
              <w:spacing w:before="0" w:after="0"/>
              <w:ind w:left="0" w:right="0" w:hanging="0"/>
              <w:jc w:val="center"/>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premiums written</w:t>
            </w:r>
          </w:p>
        </w:tc>
        <w:tc>
          <w:tcPr>
            <w:tcW w:w="165"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77,862</w:t>
            </w:r>
          </w:p>
        </w:tc>
        <w:tc>
          <w:tcPr>
            <w:tcW w:w="205"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55,026</w:t>
            </w:r>
          </w:p>
        </w:tc>
        <w:tc>
          <w:tcPr>
            <w:tcW w:w="177"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193,559</w:t>
            </w:r>
          </w:p>
        </w:tc>
        <w:tc>
          <w:tcPr>
            <w:tcW w:w="193"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133,322</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Increase in unearned premiums</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(17,539</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(20,744</w:t>
            </w:r>
          </w:p>
        </w:tc>
        <w:tc>
          <w:tcPr>
            <w:tcW w:w="1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(38,144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(50,295</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premiums earned</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60,323</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34,282</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155,415</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83,027</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investment income</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3,405</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1,138</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8,383</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2,882</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Realized investment gains, net</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1,033</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2,308</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3,046</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revenues</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64,621</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36,455</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166,725</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89,050</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Losses and expenses:</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Provision for losses and LAE</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1,391</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3,259</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1,629</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underwriting and operating expenses</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24,469</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18,237</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71,576</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48,756</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losses and expenses</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25,860</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18,556</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74,835</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50,385</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before income taxes</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38,761</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17,899</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91,890</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38,665</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 (benefit)</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13,691</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2,280</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32,259</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(7,731</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2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165" w:type="dxa"/>
            <w:tcBorders/>
            <w:shd w:fill="CCEEFF" w:val="clear"/>
            <w:vAlign w:val="bottom"/>
          </w:tcPr>
          <w:p>
            <w:pPr>
              <w:pStyle w:val="TableContents"/>
              <w:spacing w:before="0" w:after="0"/>
              <w:ind w:left="0" w:right="0" w:hanging="0"/>
              <w:rPr/>
            </w:pPr>
            <w:r>
              <w:rPr/>
              <w:t> </w:t>
            </w:r>
          </w:p>
        </w:tc>
        <w:tc>
          <w:tcPr>
            <w:tcW w:w="17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25,070</w:t>
            </w:r>
          </w:p>
        </w:tc>
        <w:tc>
          <w:tcPr>
            <w:tcW w:w="205" w:type="dxa"/>
            <w:tcBorders/>
            <w:shd w:fill="CCEEFF" w:val="clear"/>
            <w:vAlign w:val="bottom"/>
          </w:tcPr>
          <w:p>
            <w:pPr>
              <w:pStyle w:val="TableContents"/>
              <w:spacing w:before="0" w:after="0"/>
              <w:ind w:left="0" w:right="0" w:hanging="0"/>
              <w:rPr/>
            </w:pPr>
            <w:r>
              <w:rPr/>
              <w:t> </w:t>
            </w:r>
          </w:p>
        </w:tc>
        <w:tc>
          <w:tcPr>
            <w:tcW w:w="17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15,619</w:t>
            </w:r>
          </w:p>
        </w:tc>
        <w:tc>
          <w:tcPr>
            <w:tcW w:w="177"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59,631</w:t>
            </w:r>
          </w:p>
        </w:tc>
        <w:tc>
          <w:tcPr>
            <w:tcW w:w="193"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46,396</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Earnings per share:</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Shares</w:t>
            </w:r>
          </w:p>
        </w:tc>
        <w:tc>
          <w:tcPr>
            <w:tcW w:w="165"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0.30</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77"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0.72</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A common shares</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5"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93"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B-2 common shares</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0.50</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Shares</w:t>
            </w:r>
          </w:p>
        </w:tc>
        <w:tc>
          <w:tcPr>
            <w:tcW w:w="165"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0.29</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77"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A common shares</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5"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0.35</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93"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B-2 common shares</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0.02</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0.11</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Weighted average common shares outstanding:</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Shares</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83,640</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83,263</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A common shares</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43,616</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37,449</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B-2 common shares</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1,822</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1,340</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Shares</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85,028</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84,811</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A common shares</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43,788</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37,573</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B-2 common shares</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6,054</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6,033</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165"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25,070</w:t>
            </w:r>
          </w:p>
        </w:tc>
        <w:tc>
          <w:tcPr>
            <w:tcW w:w="205"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15,619</w:t>
            </w:r>
          </w:p>
        </w:tc>
        <w:tc>
          <w:tcPr>
            <w:tcW w:w="177"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59,631</w:t>
            </w:r>
          </w:p>
        </w:tc>
        <w:tc>
          <w:tcPr>
            <w:tcW w:w="193"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46,396</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1315" w:type="dxa"/>
            <w:gridSpan w:val="2"/>
            <w:tcBorders/>
            <w:shd w:fill="auto" w:val="clear"/>
            <w:vAlign w:val="bottom"/>
          </w:tcPr>
          <w:p>
            <w:pPr>
              <w:pStyle w:val="TableContents"/>
              <w:spacing w:before="0" w:after="0"/>
              <w:ind w:left="0" w:right="0" w:hanging="0"/>
              <w:jc w:val="right"/>
              <w:rPr/>
            </w:pPr>
            <w:r>
              <w:rPr/>
              <w:t> </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412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comprehensive income (loss):</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1315" w:type="dxa"/>
            <w:gridSpan w:val="2"/>
            <w:tcBorders/>
            <w:shd w:fill="CCEEFF" w:val="clear"/>
            <w:vAlign w:val="bottom"/>
          </w:tcPr>
          <w:p>
            <w:pPr>
              <w:pStyle w:val="TableContents"/>
              <w:spacing w:before="0" w:after="0"/>
              <w:ind w:left="0" w:right="0" w:hanging="0"/>
              <w:jc w:val="right"/>
              <w:rPr/>
            </w:pPr>
            <w:r>
              <w:rPr/>
              <w:t> </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4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in unrealized appreciation (depreciation) of investments, net of tax expense (benefit) of ($494) and $339 in the three months ended September 30, 2014 and 2013 and $1,971 and ($1,843) in the nine months ended September 30, 2014 and 2013</w:t>
            </w:r>
          </w:p>
        </w:tc>
        <w:tc>
          <w:tcPr>
            <w:tcW w:w="165" w:type="dxa"/>
            <w:tcBorders/>
            <w:shd w:fill="auto" w:val="clear"/>
            <w:vAlign w:val="bottom"/>
          </w:tcPr>
          <w:p>
            <w:pPr>
              <w:pStyle w:val="TableContents"/>
              <w:spacing w:before="0" w:after="0"/>
              <w:ind w:left="0" w:right="0" w:hanging="0"/>
              <w:rPr/>
            </w:pPr>
            <w:r>
              <w:rPr/>
              <w:t> </w:t>
            </w:r>
          </w:p>
        </w:tc>
        <w:tc>
          <w:tcPr>
            <w:tcW w:w="13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(1,405</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630</w:t>
            </w:r>
          </w:p>
        </w:tc>
        <w:tc>
          <w:tcPr>
            <w:tcW w:w="177" w:type="dxa"/>
            <w:tcBorders/>
            <w:shd w:fill="auto" w:val="clear"/>
            <w:vAlign w:val="bottom"/>
          </w:tcPr>
          <w:p>
            <w:pPr>
              <w:pStyle w:val="TableContents"/>
              <w:spacing w:before="0" w:after="0"/>
              <w:ind w:left="0" w:right="0" w:hanging="0"/>
              <w:rPr/>
            </w:pPr>
            <w:r>
              <w:rPr/>
              <w:t> </w:t>
            </w:r>
          </w:p>
        </w:tc>
        <w:tc>
          <w:tcPr>
            <w:tcW w:w="12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3,989</w:t>
            </w:r>
          </w:p>
        </w:tc>
        <w:tc>
          <w:tcPr>
            <w:tcW w:w="193" w:type="dxa"/>
            <w:tcBorders/>
            <w:shd w:fill="auto" w:val="clear"/>
            <w:vAlign w:val="bottom"/>
          </w:tcPr>
          <w:p>
            <w:pPr>
              <w:pStyle w:val="TableContents"/>
              <w:spacing w:before="0" w:after="0"/>
              <w:ind w:left="0" w:right="0" w:hanging="0"/>
              <w:rPr/>
            </w:pPr>
            <w:r>
              <w:rPr/>
              <w:t> </w:t>
            </w:r>
          </w:p>
        </w:tc>
        <w:tc>
          <w:tcPr>
            <w:tcW w:w="12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(3,423</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other comprehensive income (loss)</w:t>
            </w:r>
          </w:p>
        </w:tc>
        <w:tc>
          <w:tcPr>
            <w:tcW w:w="165" w:type="dxa"/>
            <w:tcBorders/>
            <w:shd w:fill="CCEEFF" w:val="clear"/>
            <w:vAlign w:val="bottom"/>
          </w:tcPr>
          <w:p>
            <w:pPr>
              <w:pStyle w:val="TableContents"/>
              <w:spacing w:before="0" w:after="0"/>
              <w:ind w:left="0" w:right="0" w:hanging="0"/>
              <w:rPr/>
            </w:pPr>
            <w:r>
              <w:rPr/>
              <w:t> </w:t>
            </w:r>
          </w:p>
        </w:tc>
        <w:tc>
          <w:tcPr>
            <w:tcW w:w="1313"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(1,405</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5"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630</w:t>
            </w:r>
          </w:p>
        </w:tc>
        <w:tc>
          <w:tcPr>
            <w:tcW w:w="177" w:type="dxa"/>
            <w:tcBorders/>
            <w:shd w:fill="CCEEFF" w:val="clear"/>
            <w:vAlign w:val="bottom"/>
          </w:tcPr>
          <w:p>
            <w:pPr>
              <w:pStyle w:val="TableContents"/>
              <w:spacing w:before="0" w:after="0"/>
              <w:ind w:left="0" w:right="0" w:hanging="0"/>
              <w:rPr/>
            </w:pPr>
            <w:r>
              <w:rPr/>
              <w:t> </w:t>
            </w:r>
          </w:p>
        </w:tc>
        <w:tc>
          <w:tcPr>
            <w:tcW w:w="1295"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3,989</w:t>
            </w:r>
          </w:p>
        </w:tc>
        <w:tc>
          <w:tcPr>
            <w:tcW w:w="193" w:type="dxa"/>
            <w:tcBorders/>
            <w:shd w:fill="CCEEFF" w:val="clear"/>
            <w:vAlign w:val="bottom"/>
          </w:tcPr>
          <w:p>
            <w:pPr>
              <w:pStyle w:val="TableContents"/>
              <w:spacing w:before="0" w:after="0"/>
              <w:ind w:left="0" w:right="0" w:hanging="0"/>
              <w:rPr/>
            </w:pPr>
            <w:r>
              <w:rPr/>
              <w:t> </w:t>
            </w:r>
          </w:p>
        </w:tc>
        <w:tc>
          <w:tcPr>
            <w:tcW w:w="1296" w:type="dxa"/>
            <w:gridSpan w:val="2"/>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(3,423</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2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Comprehensive income</w:t>
            </w:r>
          </w:p>
        </w:tc>
        <w:tc>
          <w:tcPr>
            <w:tcW w:w="165"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23,665</w:t>
            </w:r>
          </w:p>
        </w:tc>
        <w:tc>
          <w:tcPr>
            <w:tcW w:w="205"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16,249</w:t>
            </w:r>
          </w:p>
        </w:tc>
        <w:tc>
          <w:tcPr>
            <w:tcW w:w="177"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63,620</w:t>
            </w:r>
          </w:p>
        </w:tc>
        <w:tc>
          <w:tcPr>
            <w:tcW w:w="193"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42,973</w:t>
            </w:r>
          </w:p>
        </w:tc>
        <w:tc>
          <w:tcPr>
            <w:tcW w:w="12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See accompanying notes to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11" w:name="PB_2_113624_5335"/>
      <w:bookmarkEnd w:id="1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Changes in Stockholders Equity (Unaudited)</w:t>
      </w:r>
      <w:bookmarkStart w:id="12" w:name="CondensedConsolidatedStatementsOf_114246"/>
      <w:bookmarkEnd w:id="12"/>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57"/>
        <w:gridCol w:w="98"/>
        <w:gridCol w:w="136"/>
        <w:gridCol w:w="590"/>
        <w:gridCol w:w="113"/>
        <w:gridCol w:w="164"/>
        <w:gridCol w:w="562"/>
        <w:gridCol w:w="113"/>
        <w:gridCol w:w="208"/>
        <w:gridCol w:w="518"/>
        <w:gridCol w:w="113"/>
        <w:gridCol w:w="134"/>
        <w:gridCol w:w="718"/>
        <w:gridCol w:w="113"/>
        <w:gridCol w:w="181"/>
        <w:gridCol w:w="836"/>
        <w:gridCol w:w="113"/>
        <w:gridCol w:w="152"/>
        <w:gridCol w:w="787"/>
        <w:gridCol w:w="113"/>
        <w:gridCol w:w="134"/>
        <w:gridCol w:w="696"/>
        <w:gridCol w:w="113"/>
        <w:gridCol w:w="145"/>
        <w:gridCol w:w="772"/>
        <w:gridCol w:w="126"/>
      </w:tblGrid>
      <w:tr>
        <w:trPr/>
        <w:tc>
          <w:tcPr>
            <w:tcW w:w="2457" w:type="dxa"/>
            <w:tcBorders/>
            <w:shd w:fill="auto" w:val="clear"/>
            <w:vAlign w:val="bottom"/>
          </w:tcPr>
          <w:p>
            <w:pPr>
              <w:pStyle w:val="TableContents"/>
              <w:spacing w:before="0" w:after="0"/>
              <w:ind w:left="0" w:right="0" w:hanging="0"/>
              <w:rPr/>
            </w:pPr>
            <w:r>
              <w:rPr/>
              <w:t> </w:t>
            </w:r>
          </w:p>
        </w:tc>
        <w:tc>
          <w:tcPr>
            <w:tcW w:w="98" w:type="dxa"/>
            <w:tcBorders/>
            <w:shd w:fill="auto" w:val="clear"/>
            <w:vAlign w:val="bottom"/>
          </w:tcPr>
          <w:p>
            <w:pPr>
              <w:pStyle w:val="TableContents"/>
              <w:spacing w:before="0" w:after="0"/>
              <w:ind w:left="0" w:right="0" w:hanging="0"/>
              <w:jc w:val="center"/>
              <w:rPr/>
            </w:pPr>
            <w:r>
              <w:rPr/>
              <w:t> </w:t>
            </w:r>
          </w:p>
        </w:tc>
        <w:tc>
          <w:tcPr>
            <w:tcW w:w="726" w:type="dxa"/>
            <w:gridSpan w:val="2"/>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726" w:type="dxa"/>
            <w:gridSpan w:val="2"/>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726" w:type="dxa"/>
            <w:gridSpan w:val="2"/>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852" w:type="dxa"/>
            <w:gridSpan w:val="2"/>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10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Accumulated</w:t>
            </w:r>
          </w:p>
        </w:tc>
        <w:tc>
          <w:tcPr>
            <w:tcW w:w="113" w:type="dxa"/>
            <w:tcBorders/>
            <w:shd w:fill="auto" w:val="clear"/>
            <w:vAlign w:val="bottom"/>
          </w:tcPr>
          <w:p>
            <w:pPr>
              <w:pStyle w:val="TableContents"/>
              <w:spacing w:before="0" w:after="0"/>
              <w:ind w:left="0" w:right="0" w:hanging="0"/>
              <w:jc w:val="center"/>
              <w:rPr/>
            </w:pPr>
            <w:r>
              <w:rPr/>
              <w:t> </w:t>
            </w:r>
          </w:p>
        </w:tc>
        <w:tc>
          <w:tcPr>
            <w:tcW w:w="9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Retained</w:t>
            </w:r>
          </w:p>
        </w:tc>
        <w:tc>
          <w:tcPr>
            <w:tcW w:w="113" w:type="dxa"/>
            <w:tcBorders/>
            <w:shd w:fill="auto" w:val="clear"/>
            <w:vAlign w:val="bottom"/>
          </w:tcPr>
          <w:p>
            <w:pPr>
              <w:pStyle w:val="TableContents"/>
              <w:spacing w:before="0" w:after="0"/>
              <w:ind w:left="0" w:right="0" w:hanging="0"/>
              <w:jc w:val="center"/>
              <w:rPr/>
            </w:pPr>
            <w:r>
              <w:rPr/>
              <w:t> </w:t>
            </w:r>
          </w:p>
        </w:tc>
        <w:tc>
          <w:tcPr>
            <w:tcW w:w="830" w:type="dxa"/>
            <w:gridSpan w:val="2"/>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917" w:type="dxa"/>
            <w:gridSpan w:val="2"/>
            <w:tcBorders/>
            <w:shd w:fill="auto" w:val="clear"/>
            <w:vAlign w:val="bottom"/>
          </w:tcPr>
          <w:p>
            <w:pPr>
              <w:pStyle w:val="TableContents"/>
              <w:spacing w:before="0" w:after="0"/>
              <w:ind w:left="0" w:right="0" w:hanging="0"/>
              <w:jc w:val="center"/>
              <w:rPr/>
            </w:pPr>
            <w:r>
              <w:rPr/>
              <w:t> </w:t>
            </w:r>
          </w:p>
        </w:tc>
        <w:tc>
          <w:tcPr>
            <w:tcW w:w="126" w:type="dxa"/>
            <w:tcBorders/>
            <w:shd w:fill="auto" w:val="clear"/>
            <w:vAlign w:val="bottom"/>
          </w:tcPr>
          <w:p>
            <w:pPr>
              <w:pStyle w:val="TableContents"/>
              <w:spacing w:before="0" w:after="0"/>
              <w:ind w:left="0" w:right="0" w:hanging="0"/>
              <w:jc w:val="center"/>
              <w:rPr/>
            </w:pPr>
            <w:r>
              <w:rPr/>
              <w:t> </w:t>
            </w:r>
          </w:p>
        </w:tc>
      </w:tr>
      <w:tr>
        <w:trPr/>
        <w:tc>
          <w:tcPr>
            <w:tcW w:w="2457" w:type="dxa"/>
            <w:tcBorders/>
            <w:shd w:fill="auto" w:val="clear"/>
            <w:vAlign w:val="bottom"/>
          </w:tcPr>
          <w:p>
            <w:pPr>
              <w:pStyle w:val="TableContents"/>
              <w:spacing w:before="0" w:after="0"/>
              <w:ind w:left="0" w:right="0" w:hanging="0"/>
              <w:rPr/>
            </w:pPr>
            <w:r>
              <w:rPr/>
              <w:t> </w:t>
            </w:r>
          </w:p>
        </w:tc>
        <w:tc>
          <w:tcPr>
            <w:tcW w:w="98" w:type="dxa"/>
            <w:tcBorders/>
            <w:shd w:fill="auto" w:val="clear"/>
            <w:vAlign w:val="bottom"/>
          </w:tcPr>
          <w:p>
            <w:pPr>
              <w:pStyle w:val="TableContents"/>
              <w:spacing w:before="0" w:after="0"/>
              <w:ind w:left="0" w:right="0" w:hanging="0"/>
              <w:jc w:val="center"/>
              <w:rPr/>
            </w:pPr>
            <w:r>
              <w:rPr/>
              <w:t> </w:t>
            </w:r>
          </w:p>
        </w:tc>
        <w:tc>
          <w:tcPr>
            <w:tcW w:w="726" w:type="dxa"/>
            <w:gridSpan w:val="2"/>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72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Class A</w:t>
            </w:r>
          </w:p>
        </w:tc>
        <w:tc>
          <w:tcPr>
            <w:tcW w:w="113" w:type="dxa"/>
            <w:tcBorders/>
            <w:shd w:fill="auto" w:val="clear"/>
            <w:vAlign w:val="bottom"/>
          </w:tcPr>
          <w:p>
            <w:pPr>
              <w:pStyle w:val="TableContents"/>
              <w:spacing w:before="0" w:after="0"/>
              <w:ind w:left="0" w:right="0" w:hanging="0"/>
              <w:jc w:val="center"/>
              <w:rPr/>
            </w:pPr>
            <w:r>
              <w:rPr/>
              <w:t> </w:t>
            </w:r>
          </w:p>
        </w:tc>
        <w:tc>
          <w:tcPr>
            <w:tcW w:w="72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Class B-2</w:t>
            </w:r>
          </w:p>
        </w:tc>
        <w:tc>
          <w:tcPr>
            <w:tcW w:w="113" w:type="dxa"/>
            <w:tcBorders/>
            <w:shd w:fill="auto" w:val="clear"/>
            <w:vAlign w:val="bottom"/>
          </w:tcPr>
          <w:p>
            <w:pPr>
              <w:pStyle w:val="TableContents"/>
              <w:spacing w:before="0" w:after="0"/>
              <w:ind w:left="0" w:right="0" w:hanging="0"/>
              <w:jc w:val="center"/>
              <w:rPr/>
            </w:pPr>
            <w:r>
              <w:rPr/>
              <w:t> </w:t>
            </w:r>
          </w:p>
        </w:tc>
        <w:tc>
          <w:tcPr>
            <w:tcW w:w="8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Additional</w:t>
            </w:r>
          </w:p>
        </w:tc>
        <w:tc>
          <w:tcPr>
            <w:tcW w:w="113" w:type="dxa"/>
            <w:tcBorders/>
            <w:shd w:fill="auto" w:val="clear"/>
            <w:vAlign w:val="bottom"/>
          </w:tcPr>
          <w:p>
            <w:pPr>
              <w:pStyle w:val="TableContents"/>
              <w:spacing w:before="0" w:after="0"/>
              <w:ind w:left="0" w:right="0" w:hanging="0"/>
              <w:jc w:val="center"/>
              <w:rPr/>
            </w:pPr>
            <w:r>
              <w:rPr/>
              <w:t> </w:t>
            </w:r>
          </w:p>
        </w:tc>
        <w:tc>
          <w:tcPr>
            <w:tcW w:w="10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r>
          </w:p>
        </w:tc>
        <w:tc>
          <w:tcPr>
            <w:tcW w:w="113" w:type="dxa"/>
            <w:tcBorders/>
            <w:shd w:fill="auto" w:val="clear"/>
            <w:vAlign w:val="bottom"/>
          </w:tcPr>
          <w:p>
            <w:pPr>
              <w:pStyle w:val="TableContents"/>
              <w:spacing w:before="0" w:after="0"/>
              <w:ind w:left="0" w:right="0" w:hanging="0"/>
              <w:jc w:val="center"/>
              <w:rPr/>
            </w:pPr>
            <w:r>
              <w:rPr/>
              <w:t> </w:t>
            </w:r>
          </w:p>
        </w:tc>
        <w:tc>
          <w:tcPr>
            <w:tcW w:w="9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Earnings</w:t>
            </w:r>
          </w:p>
        </w:tc>
        <w:tc>
          <w:tcPr>
            <w:tcW w:w="113" w:type="dxa"/>
            <w:tcBorders/>
            <w:shd w:fill="auto" w:val="clear"/>
            <w:vAlign w:val="bottom"/>
          </w:tcPr>
          <w:p>
            <w:pPr>
              <w:pStyle w:val="TableContents"/>
              <w:spacing w:before="0" w:after="0"/>
              <w:ind w:left="0" w:right="0" w:hanging="0"/>
              <w:jc w:val="center"/>
              <w:rPr/>
            </w:pPr>
            <w:r>
              <w:rPr/>
              <w:t> </w:t>
            </w:r>
          </w:p>
        </w:tc>
        <w:tc>
          <w:tcPr>
            <w:tcW w:w="830" w:type="dxa"/>
            <w:gridSpan w:val="2"/>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9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6" w:type="dxa"/>
            <w:tcBorders/>
            <w:shd w:fill="auto" w:val="clear"/>
            <w:vAlign w:val="bottom"/>
          </w:tcPr>
          <w:p>
            <w:pPr>
              <w:pStyle w:val="TableContents"/>
              <w:spacing w:before="0" w:after="0"/>
              <w:ind w:left="0" w:right="0" w:hanging="0"/>
              <w:jc w:val="center"/>
              <w:rPr/>
            </w:pPr>
            <w:r>
              <w:rPr/>
              <w:t> </w:t>
            </w:r>
          </w:p>
        </w:tc>
      </w:tr>
      <w:tr>
        <w:trPr/>
        <w:tc>
          <w:tcPr>
            <w:tcW w:w="2457" w:type="dxa"/>
            <w:tcBorders/>
            <w:shd w:fill="auto" w:val="clear"/>
            <w:vAlign w:val="bottom"/>
          </w:tcPr>
          <w:p>
            <w:pPr>
              <w:pStyle w:val="TableContents"/>
              <w:spacing w:before="0" w:after="0"/>
              <w:ind w:left="0" w:right="0" w:hanging="0"/>
              <w:rPr/>
            </w:pPr>
            <w:r>
              <w:rPr/>
              <w:t> </w:t>
            </w:r>
          </w:p>
        </w:tc>
        <w:tc>
          <w:tcPr>
            <w:tcW w:w="98" w:type="dxa"/>
            <w:tcBorders/>
            <w:shd w:fill="auto" w:val="clear"/>
            <w:vAlign w:val="bottom"/>
          </w:tcPr>
          <w:p>
            <w:pPr>
              <w:pStyle w:val="TableContents"/>
              <w:spacing w:before="0" w:after="0"/>
              <w:ind w:left="0" w:right="0" w:hanging="0"/>
              <w:jc w:val="center"/>
              <w:rPr/>
            </w:pPr>
            <w:r>
              <w:rPr/>
              <w:t> </w:t>
            </w:r>
          </w:p>
        </w:tc>
        <w:tc>
          <w:tcPr>
            <w:tcW w:w="72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r>
          </w:p>
        </w:tc>
        <w:tc>
          <w:tcPr>
            <w:tcW w:w="113" w:type="dxa"/>
            <w:tcBorders/>
            <w:shd w:fill="auto" w:val="clear"/>
            <w:vAlign w:val="bottom"/>
          </w:tcPr>
          <w:p>
            <w:pPr>
              <w:pStyle w:val="TableContents"/>
              <w:spacing w:before="0" w:after="0"/>
              <w:ind w:left="0" w:right="0" w:hanging="0"/>
              <w:jc w:val="center"/>
              <w:rPr/>
            </w:pPr>
            <w:r>
              <w:rPr/>
              <w:t> </w:t>
            </w:r>
          </w:p>
        </w:tc>
        <w:tc>
          <w:tcPr>
            <w:tcW w:w="72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r>
          </w:p>
        </w:tc>
        <w:tc>
          <w:tcPr>
            <w:tcW w:w="113" w:type="dxa"/>
            <w:tcBorders/>
            <w:shd w:fill="auto" w:val="clear"/>
            <w:vAlign w:val="bottom"/>
          </w:tcPr>
          <w:p>
            <w:pPr>
              <w:pStyle w:val="TableContents"/>
              <w:spacing w:before="0" w:after="0"/>
              <w:ind w:left="0" w:right="0" w:hanging="0"/>
              <w:jc w:val="center"/>
              <w:rPr/>
            </w:pPr>
            <w:r>
              <w:rPr/>
              <w:t> </w:t>
            </w:r>
          </w:p>
        </w:tc>
        <w:tc>
          <w:tcPr>
            <w:tcW w:w="72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r>
          </w:p>
        </w:tc>
        <w:tc>
          <w:tcPr>
            <w:tcW w:w="113" w:type="dxa"/>
            <w:tcBorders/>
            <w:shd w:fill="auto" w:val="clear"/>
            <w:vAlign w:val="bottom"/>
          </w:tcPr>
          <w:p>
            <w:pPr>
              <w:pStyle w:val="TableContents"/>
              <w:spacing w:before="0" w:after="0"/>
              <w:ind w:left="0" w:right="0" w:hanging="0"/>
              <w:jc w:val="center"/>
              <w:rPr/>
            </w:pPr>
            <w:r>
              <w:rPr/>
              <w:t> </w:t>
            </w:r>
          </w:p>
        </w:tc>
        <w:tc>
          <w:tcPr>
            <w:tcW w:w="8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Paid-In</w:t>
            </w:r>
          </w:p>
        </w:tc>
        <w:tc>
          <w:tcPr>
            <w:tcW w:w="113" w:type="dxa"/>
            <w:tcBorders/>
            <w:shd w:fill="auto" w:val="clear"/>
            <w:vAlign w:val="bottom"/>
          </w:tcPr>
          <w:p>
            <w:pPr>
              <w:pStyle w:val="TableContents"/>
              <w:spacing w:before="0" w:after="0"/>
              <w:ind w:left="0" w:right="0" w:hanging="0"/>
              <w:jc w:val="center"/>
              <w:rPr/>
            </w:pPr>
            <w:r>
              <w:rPr/>
              <w:t> </w:t>
            </w:r>
          </w:p>
        </w:tc>
        <w:tc>
          <w:tcPr>
            <w:tcW w:w="10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Comprehensive</w:t>
            </w:r>
          </w:p>
        </w:tc>
        <w:tc>
          <w:tcPr>
            <w:tcW w:w="113" w:type="dxa"/>
            <w:tcBorders/>
            <w:shd w:fill="auto" w:val="clear"/>
            <w:vAlign w:val="bottom"/>
          </w:tcPr>
          <w:p>
            <w:pPr>
              <w:pStyle w:val="TableContents"/>
              <w:spacing w:before="0" w:after="0"/>
              <w:ind w:left="0" w:right="0" w:hanging="0"/>
              <w:jc w:val="center"/>
              <w:rPr/>
            </w:pPr>
            <w:r>
              <w:rPr/>
              <w:t> </w:t>
            </w:r>
          </w:p>
        </w:tc>
        <w:tc>
          <w:tcPr>
            <w:tcW w:w="9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(Accumulated</w:t>
            </w:r>
          </w:p>
        </w:tc>
        <w:tc>
          <w:tcPr>
            <w:tcW w:w="113" w:type="dxa"/>
            <w:tcBorders/>
            <w:shd w:fill="auto" w:val="clear"/>
            <w:vAlign w:val="bottom"/>
          </w:tcPr>
          <w:p>
            <w:pPr>
              <w:pStyle w:val="TableContents"/>
              <w:spacing w:before="0" w:after="0"/>
              <w:ind w:left="0" w:right="0" w:hanging="0"/>
              <w:jc w:val="center"/>
              <w:rPr/>
            </w:pPr>
            <w:r>
              <w:rPr/>
              <w:t> </w:t>
            </w:r>
          </w:p>
        </w:tc>
        <w:tc>
          <w:tcPr>
            <w:tcW w:w="83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Treasury</w:t>
            </w:r>
          </w:p>
        </w:tc>
        <w:tc>
          <w:tcPr>
            <w:tcW w:w="113" w:type="dxa"/>
            <w:tcBorders/>
            <w:shd w:fill="auto" w:val="clear"/>
            <w:vAlign w:val="bottom"/>
          </w:tcPr>
          <w:p>
            <w:pPr>
              <w:pStyle w:val="TableContents"/>
              <w:spacing w:before="0" w:after="0"/>
              <w:ind w:left="0" w:right="0" w:hanging="0"/>
              <w:jc w:val="center"/>
              <w:rPr/>
            </w:pPr>
            <w:r>
              <w:rPr/>
              <w:t> </w:t>
            </w:r>
          </w:p>
        </w:tc>
        <w:tc>
          <w:tcPr>
            <w:tcW w:w="91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Stockholders</w:t>
            </w:r>
          </w:p>
        </w:tc>
        <w:tc>
          <w:tcPr>
            <w:tcW w:w="126" w:type="dxa"/>
            <w:tcBorders/>
            <w:shd w:fill="auto" w:val="clear"/>
            <w:vAlign w:val="bottom"/>
          </w:tcPr>
          <w:p>
            <w:pPr>
              <w:pStyle w:val="TableContents"/>
              <w:spacing w:before="0" w:after="0"/>
              <w:ind w:left="0" w:right="0" w:hanging="0"/>
              <w:jc w:val="center"/>
              <w:rPr/>
            </w:pPr>
            <w:r>
              <w:rPr/>
              <w:t> </w:t>
            </w:r>
          </w:p>
        </w:tc>
      </w:tr>
      <w:tr>
        <w:trPr/>
        <w:tc>
          <w:tcPr>
            <w:tcW w:w="245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w:t>
            </w:r>
          </w:p>
        </w:tc>
        <w:tc>
          <w:tcPr>
            <w:tcW w:w="98" w:type="dxa"/>
            <w:tcBorders/>
            <w:shd w:fill="auto" w:val="clear"/>
            <w:vAlign w:val="bottom"/>
          </w:tcPr>
          <w:p>
            <w:pPr>
              <w:pStyle w:val="TableContents"/>
              <w:spacing w:before="0" w:after="0"/>
              <w:ind w:left="0" w:right="0" w:hanging="0"/>
              <w:jc w:val="center"/>
              <w:rPr/>
            </w:pPr>
            <w:r>
              <w:rPr/>
              <w:t> </w:t>
            </w:r>
          </w:p>
        </w:tc>
        <w:tc>
          <w:tcPr>
            <w:tcW w:w="7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Shares</w:t>
            </w:r>
          </w:p>
        </w:tc>
        <w:tc>
          <w:tcPr>
            <w:tcW w:w="113" w:type="dxa"/>
            <w:tcBorders/>
            <w:shd w:fill="auto" w:val="clear"/>
            <w:vAlign w:val="bottom"/>
          </w:tcPr>
          <w:p>
            <w:pPr>
              <w:pStyle w:val="TableContents"/>
              <w:spacing w:before="0" w:after="0"/>
              <w:ind w:left="0" w:right="0" w:hanging="0"/>
              <w:jc w:val="center"/>
              <w:rPr/>
            </w:pPr>
            <w:r>
              <w:rPr/>
              <w:t> </w:t>
            </w:r>
          </w:p>
        </w:tc>
        <w:tc>
          <w:tcPr>
            <w:tcW w:w="7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Shares</w:t>
            </w:r>
          </w:p>
        </w:tc>
        <w:tc>
          <w:tcPr>
            <w:tcW w:w="113" w:type="dxa"/>
            <w:tcBorders/>
            <w:shd w:fill="auto" w:val="clear"/>
            <w:vAlign w:val="bottom"/>
          </w:tcPr>
          <w:p>
            <w:pPr>
              <w:pStyle w:val="TableContents"/>
              <w:spacing w:before="0" w:after="0"/>
              <w:ind w:left="0" w:right="0" w:hanging="0"/>
              <w:jc w:val="center"/>
              <w:rPr/>
            </w:pPr>
            <w:r>
              <w:rPr/>
              <w:t> </w:t>
            </w:r>
          </w:p>
        </w:tc>
        <w:tc>
          <w:tcPr>
            <w:tcW w:w="7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Shares</w:t>
            </w:r>
          </w:p>
        </w:tc>
        <w:tc>
          <w:tcPr>
            <w:tcW w:w="113" w:type="dxa"/>
            <w:tcBorders/>
            <w:shd w:fill="auto" w:val="clear"/>
            <w:vAlign w:val="bottom"/>
          </w:tcPr>
          <w:p>
            <w:pPr>
              <w:pStyle w:val="TableContents"/>
              <w:spacing w:before="0" w:after="0"/>
              <w:ind w:left="0" w:right="0" w:hanging="0"/>
              <w:jc w:val="center"/>
              <w:rPr/>
            </w:pPr>
            <w:r>
              <w:rPr/>
              <w:t> </w:t>
            </w:r>
          </w:p>
        </w:tc>
        <w:tc>
          <w:tcPr>
            <w:tcW w:w="8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Capital</w:t>
            </w:r>
          </w:p>
        </w:tc>
        <w:tc>
          <w:tcPr>
            <w:tcW w:w="113" w:type="dxa"/>
            <w:tcBorders/>
            <w:shd w:fill="auto" w:val="clear"/>
            <w:vAlign w:val="bottom"/>
          </w:tcPr>
          <w:p>
            <w:pPr>
              <w:pStyle w:val="TableContents"/>
              <w:spacing w:before="0" w:after="0"/>
              <w:ind w:left="0" w:right="0" w:hanging="0"/>
              <w:jc w:val="center"/>
              <w:rPr/>
            </w:pPr>
            <w:r>
              <w:rPr/>
              <w:t> </w:t>
            </w:r>
          </w:p>
        </w:tc>
        <w:tc>
          <w:tcPr>
            <w:tcW w:w="10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Income (Loss)</w:t>
            </w:r>
          </w:p>
        </w:tc>
        <w:tc>
          <w:tcPr>
            <w:tcW w:w="113" w:type="dxa"/>
            <w:tcBorders/>
            <w:shd w:fill="auto" w:val="clear"/>
            <w:vAlign w:val="bottom"/>
          </w:tcPr>
          <w:p>
            <w:pPr>
              <w:pStyle w:val="TableContents"/>
              <w:spacing w:before="0" w:after="0"/>
              <w:ind w:left="0" w:right="0" w:hanging="0"/>
              <w:jc w:val="center"/>
              <w:rPr/>
            </w:pPr>
            <w:r>
              <w:rPr/>
              <w:t> </w:t>
            </w:r>
          </w:p>
        </w:tc>
        <w:tc>
          <w:tcPr>
            <w:tcW w:w="9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Deficit)</w:t>
            </w:r>
          </w:p>
        </w:tc>
        <w:tc>
          <w:tcPr>
            <w:tcW w:w="113" w:type="dxa"/>
            <w:tcBorders/>
            <w:shd w:fill="auto" w:val="clear"/>
            <w:vAlign w:val="bottom"/>
          </w:tcPr>
          <w:p>
            <w:pPr>
              <w:pStyle w:val="TableContents"/>
              <w:spacing w:before="0" w:after="0"/>
              <w:ind w:left="0" w:right="0" w:hanging="0"/>
              <w:jc w:val="center"/>
              <w:rPr/>
            </w:pPr>
            <w:r>
              <w:rPr/>
              <w:t> </w:t>
            </w:r>
          </w:p>
        </w:tc>
        <w:tc>
          <w:tcPr>
            <w:tcW w:w="8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Stock</w:t>
            </w:r>
          </w:p>
        </w:tc>
        <w:tc>
          <w:tcPr>
            <w:tcW w:w="113" w:type="dxa"/>
            <w:tcBorders/>
            <w:shd w:fill="auto" w:val="clear"/>
            <w:vAlign w:val="bottom"/>
          </w:tcPr>
          <w:p>
            <w:pPr>
              <w:pStyle w:val="TableContents"/>
              <w:spacing w:before="0" w:after="0"/>
              <w:ind w:left="0" w:right="0" w:hanging="0"/>
              <w:jc w:val="center"/>
              <w:rPr/>
            </w:pPr>
            <w:r>
              <w:rPr/>
              <w:t> </w:t>
            </w:r>
          </w:p>
        </w:tc>
        <w:tc>
          <w:tcPr>
            <w:tcW w:w="9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Equity</w:t>
            </w:r>
          </w:p>
        </w:tc>
        <w:tc>
          <w:tcPr>
            <w:tcW w:w="126" w:type="dxa"/>
            <w:tcBorders/>
            <w:shd w:fill="auto" w:val="clear"/>
            <w:vAlign w:val="bottom"/>
          </w:tcPr>
          <w:p>
            <w:pPr>
              <w:pStyle w:val="TableContents"/>
              <w:spacing w:before="0" w:after="0"/>
              <w:ind w:left="0" w:right="0" w:hanging="0"/>
              <w:jc w:val="center"/>
              <w:rPr/>
            </w:pPr>
            <w:r>
              <w:rPr/>
              <w:t> </w:t>
            </w:r>
          </w:p>
        </w:tc>
      </w:tr>
      <w:tr>
        <w:trPr/>
        <w:tc>
          <w:tcPr>
            <w:tcW w:w="24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January 1, 2013</w:t>
            </w:r>
          </w:p>
        </w:tc>
        <w:tc>
          <w:tcPr>
            <w:tcW w:w="98"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9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13" w:type="dxa"/>
            <w:tcBorders/>
            <w:shd w:fill="CCEEFF" w:val="clear"/>
            <w:vAlign w:val="bottom"/>
          </w:tcPr>
          <w:p>
            <w:pPr>
              <w:pStyle w:val="TableContents"/>
              <w:spacing w:before="0" w:after="0"/>
              <w:ind w:left="0" w:right="0" w:hanging="0"/>
              <w:rPr/>
            </w:pPr>
            <w:r>
              <w:rPr/>
              <w:t> </w:t>
            </w:r>
          </w:p>
        </w:tc>
        <w:tc>
          <w:tcPr>
            <w:tcW w:w="1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348</w:t>
            </w:r>
          </w:p>
        </w:tc>
        <w:tc>
          <w:tcPr>
            <w:tcW w:w="113"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91</w:t>
            </w:r>
          </w:p>
        </w:tc>
        <w:tc>
          <w:tcPr>
            <w:tcW w:w="113"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347,924</w:t>
            </w:r>
          </w:p>
        </w:tc>
        <w:tc>
          <w:tcPr>
            <w:tcW w:w="113"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2,414</w:t>
            </w:r>
          </w:p>
        </w:tc>
        <w:tc>
          <w:tcPr>
            <w:tcW w:w="113"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(97,512</w:t>
            </w:r>
          </w:p>
        </w:tc>
        <w:tc>
          <w:tcPr>
            <w:tcW w:w="11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(34,142</w:t>
            </w:r>
          </w:p>
        </w:tc>
        <w:tc>
          <w:tcPr>
            <w:tcW w:w="11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4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219,123</w:t>
            </w:r>
          </w:p>
        </w:tc>
        <w:tc>
          <w:tcPr>
            <w:tcW w:w="126" w:type="dxa"/>
            <w:tcBorders/>
            <w:shd w:fill="CCEEFF" w:val="clear"/>
            <w:vAlign w:val="bottom"/>
          </w:tcPr>
          <w:p>
            <w:pPr>
              <w:pStyle w:val="TableContents"/>
              <w:spacing w:before="0" w:after="0"/>
              <w:ind w:left="0" w:right="0" w:hanging="0"/>
              <w:rPr/>
            </w:pPr>
            <w:r>
              <w:rPr/>
              <w:t> </w:t>
            </w:r>
          </w:p>
        </w:tc>
      </w:tr>
      <w:tr>
        <w:trPr/>
        <w:tc>
          <w:tcPr>
            <w:tcW w:w="2457" w:type="dxa"/>
            <w:tcBorders/>
            <w:shd w:fill="auto" w:val="clear"/>
            <w:vAlign w:val="bottom"/>
          </w:tcPr>
          <w:p>
            <w:pPr>
              <w:pStyle w:val="TableContents"/>
              <w:spacing w:before="0" w:after="0"/>
              <w:ind w:left="0" w:right="0" w:hanging="0"/>
              <w:rPr/>
            </w:pPr>
            <w:r>
              <w:rPr/>
              <w:t> </w:t>
            </w:r>
          </w:p>
        </w:tc>
        <w:tc>
          <w:tcPr>
            <w:tcW w:w="98"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3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30"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17"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24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98"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65,413</w:t>
            </w:r>
          </w:p>
        </w:tc>
        <w:tc>
          <w:tcPr>
            <w:tcW w:w="113" w:type="dxa"/>
            <w:tcBorders/>
            <w:shd w:fill="CCEEFF" w:val="clear"/>
            <w:vAlign w:val="bottom"/>
          </w:tcPr>
          <w:p>
            <w:pPr>
              <w:pStyle w:val="TableContents"/>
              <w:spacing w:before="0" w:after="0"/>
              <w:ind w:left="0" w:right="0" w:hanging="0"/>
              <w:rPr/>
            </w:pPr>
            <w:r>
              <w:rPr/>
              <w:t> </w:t>
            </w:r>
          </w:p>
        </w:tc>
        <w:tc>
          <w:tcPr>
            <w:tcW w:w="830"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65,413</w:t>
            </w:r>
          </w:p>
        </w:tc>
        <w:tc>
          <w:tcPr>
            <w:tcW w:w="126" w:type="dxa"/>
            <w:tcBorders/>
            <w:shd w:fill="CCEEFF" w:val="clear"/>
            <w:vAlign w:val="bottom"/>
          </w:tcPr>
          <w:p>
            <w:pPr>
              <w:pStyle w:val="TableContents"/>
              <w:spacing w:before="0" w:after="0"/>
              <w:ind w:left="0" w:right="0" w:hanging="0"/>
              <w:rPr/>
            </w:pPr>
            <w:r>
              <w:rPr/>
              <w:t> </w:t>
            </w:r>
          </w:p>
        </w:tc>
      </w:tr>
      <w:tr>
        <w:trPr/>
        <w:tc>
          <w:tcPr>
            <w:tcW w:w="24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loss</w:t>
            </w:r>
          </w:p>
        </w:tc>
        <w:tc>
          <w:tcPr>
            <w:tcW w:w="98"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(3,861</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30"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(3,861</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Class A and Class B-2 common shares net of issuance cost of $1,143</w:t>
            </w:r>
          </w:p>
        </w:tc>
        <w:tc>
          <w:tcPr>
            <w:tcW w:w="98"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123,729</w:t>
            </w:r>
          </w:p>
        </w:tc>
        <w:tc>
          <w:tcPr>
            <w:tcW w:w="113"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3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30"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123,852</w:t>
            </w:r>
          </w:p>
        </w:tc>
        <w:tc>
          <w:tcPr>
            <w:tcW w:w="126" w:type="dxa"/>
            <w:tcBorders/>
            <w:shd w:fill="CCEEFF" w:val="clear"/>
            <w:vAlign w:val="bottom"/>
          </w:tcPr>
          <w:p>
            <w:pPr>
              <w:pStyle w:val="TableContents"/>
              <w:spacing w:before="0" w:after="0"/>
              <w:ind w:left="0" w:right="0" w:hanging="0"/>
              <w:rPr/>
            </w:pPr>
            <w:r>
              <w:rPr/>
              <w:t> </w:t>
            </w:r>
          </w:p>
        </w:tc>
      </w:tr>
      <w:tr>
        <w:trPr/>
        <w:tc>
          <w:tcPr>
            <w:tcW w:w="24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Conversion of Class A and Class B-2 common shares into Common Shares</w:t>
            </w:r>
          </w:p>
        </w:tc>
        <w:tc>
          <w:tcPr>
            <w:tcW w:w="98"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1,004</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(476</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7"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3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30"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6" w:type="dxa"/>
            <w:tcBorders/>
            <w:shd w:fill="auto" w:val="clear"/>
            <w:vAlign w:val="bottom"/>
          </w:tcPr>
          <w:p>
            <w:pPr>
              <w:pStyle w:val="TableContents"/>
              <w:spacing w:before="0" w:after="0"/>
              <w:ind w:left="0" w:right="0" w:hanging="0"/>
              <w:rPr/>
            </w:pPr>
            <w:r>
              <w:rPr/>
              <w:t> </w:t>
            </w:r>
          </w:p>
        </w:tc>
      </w:tr>
      <w:tr>
        <w:trPr/>
        <w:tc>
          <w:tcPr>
            <w:tcW w:w="24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Shares net of issuance cost of $25,546</w:t>
            </w:r>
          </w:p>
        </w:tc>
        <w:tc>
          <w:tcPr>
            <w:tcW w:w="98"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313,414</w:t>
            </w:r>
          </w:p>
        </w:tc>
        <w:tc>
          <w:tcPr>
            <w:tcW w:w="113"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3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30"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313,713</w:t>
            </w:r>
          </w:p>
        </w:tc>
        <w:tc>
          <w:tcPr>
            <w:tcW w:w="126" w:type="dxa"/>
            <w:tcBorders/>
            <w:shd w:fill="CCEEFF" w:val="clear"/>
            <w:vAlign w:val="bottom"/>
          </w:tcPr>
          <w:p>
            <w:pPr>
              <w:pStyle w:val="TableContents"/>
              <w:spacing w:before="0" w:after="0"/>
              <w:ind w:left="0" w:right="0" w:hanging="0"/>
              <w:rPr/>
            </w:pPr>
            <w:r>
              <w:rPr/>
              <w:t> </w:t>
            </w:r>
          </w:p>
        </w:tc>
      </w:tr>
      <w:tr>
        <w:trPr/>
        <w:tc>
          <w:tcPr>
            <w:tcW w:w="24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management incentive shares</w:t>
            </w:r>
          </w:p>
        </w:tc>
        <w:tc>
          <w:tcPr>
            <w:tcW w:w="98"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3"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582</w:t>
            </w:r>
          </w:p>
        </w:tc>
        <w:tc>
          <w:tcPr>
            <w:tcW w:w="113"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3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30"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615</w:t>
            </w:r>
          </w:p>
        </w:tc>
        <w:tc>
          <w:tcPr>
            <w:tcW w:w="126" w:type="dxa"/>
            <w:tcBorders/>
            <w:shd w:fill="auto" w:val="clear"/>
            <w:vAlign w:val="bottom"/>
          </w:tcPr>
          <w:p>
            <w:pPr>
              <w:pStyle w:val="TableContents"/>
              <w:spacing w:before="0" w:after="0"/>
              <w:ind w:left="0" w:right="0" w:hanging="0"/>
              <w:rPr/>
            </w:pPr>
            <w:r>
              <w:rPr/>
              <w:t> </w:t>
            </w:r>
          </w:p>
        </w:tc>
      </w:tr>
      <w:tr>
        <w:trPr/>
        <w:tc>
          <w:tcPr>
            <w:tcW w:w="24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Forfeiture of management incentive shares</w:t>
            </w:r>
          </w:p>
        </w:tc>
        <w:tc>
          <w:tcPr>
            <w:tcW w:w="98"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13"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3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30"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6" w:type="dxa"/>
            <w:tcBorders/>
            <w:shd w:fill="CCEEFF" w:val="clear"/>
            <w:vAlign w:val="bottom"/>
          </w:tcPr>
          <w:p>
            <w:pPr>
              <w:pStyle w:val="TableContents"/>
              <w:spacing w:before="0" w:after="0"/>
              <w:ind w:left="0" w:right="0" w:hanging="0"/>
              <w:rPr/>
            </w:pPr>
            <w:r>
              <w:rPr/>
              <w:t> </w:t>
            </w:r>
          </w:p>
        </w:tc>
      </w:tr>
      <w:tr>
        <w:trPr/>
        <w:tc>
          <w:tcPr>
            <w:tcW w:w="24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Stock-based compensation expense</w:t>
            </w:r>
          </w:p>
        </w:tc>
        <w:tc>
          <w:tcPr>
            <w:tcW w:w="98"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3,597</w:t>
            </w:r>
          </w:p>
        </w:tc>
        <w:tc>
          <w:tcPr>
            <w:tcW w:w="113"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3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30"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3,597</w:t>
            </w:r>
          </w:p>
        </w:tc>
        <w:tc>
          <w:tcPr>
            <w:tcW w:w="126" w:type="dxa"/>
            <w:tcBorders/>
            <w:shd w:fill="auto" w:val="clear"/>
            <w:vAlign w:val="bottom"/>
          </w:tcPr>
          <w:p>
            <w:pPr>
              <w:pStyle w:val="TableContents"/>
              <w:spacing w:before="0" w:after="0"/>
              <w:ind w:left="0" w:right="0" w:hanging="0"/>
              <w:rPr/>
            </w:pPr>
            <w:r>
              <w:rPr/>
              <w:t> </w:t>
            </w:r>
          </w:p>
        </w:tc>
      </w:tr>
      <w:tr>
        <w:trPr/>
        <w:tc>
          <w:tcPr>
            <w:tcW w:w="24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Treasury stock acquired</w:t>
            </w:r>
          </w:p>
        </w:tc>
        <w:tc>
          <w:tcPr>
            <w:tcW w:w="98"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3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(311</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(311</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Cancellation of treasury stock</w:t>
            </w:r>
          </w:p>
        </w:tc>
        <w:tc>
          <w:tcPr>
            <w:tcW w:w="98" w:type="dxa"/>
            <w:tcBorders/>
            <w:shd w:fill="auto" w:val="clear"/>
            <w:vAlign w:val="bottom"/>
          </w:tcPr>
          <w:p>
            <w:pPr>
              <w:pStyle w:val="TableContents"/>
              <w:spacing w:before="0" w:after="0"/>
              <w:ind w:left="0" w:right="0" w:hanging="0"/>
              <w:rPr/>
            </w:pPr>
            <w:r>
              <w:rPr/>
              <w:t> </w:t>
            </w:r>
          </w:p>
        </w:tc>
        <w:tc>
          <w:tcPr>
            <w:tcW w:w="7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(34,419</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34,453</w:t>
            </w:r>
          </w:p>
        </w:tc>
        <w:tc>
          <w:tcPr>
            <w:tcW w:w="113" w:type="dxa"/>
            <w:tcBorders/>
            <w:shd w:fill="auto" w:val="clear"/>
            <w:vAlign w:val="bottom"/>
          </w:tcPr>
          <w:p>
            <w:pPr>
              <w:pStyle w:val="TableContents"/>
              <w:spacing w:before="0" w:after="0"/>
              <w:ind w:left="0" w:right="0" w:hanging="0"/>
              <w:rPr/>
            </w:pPr>
            <w:r>
              <w:rPr/>
              <w:t> </w:t>
            </w:r>
          </w:p>
        </w:tc>
        <w:tc>
          <w:tcPr>
            <w:tcW w:w="9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6" w:type="dxa"/>
            <w:tcBorders/>
            <w:shd w:fill="auto" w:val="clear"/>
            <w:vAlign w:val="bottom"/>
          </w:tcPr>
          <w:p>
            <w:pPr>
              <w:pStyle w:val="TableContents"/>
              <w:spacing w:before="0" w:after="0"/>
              <w:ind w:left="0" w:right="0" w:hanging="0"/>
              <w:rPr/>
            </w:pPr>
            <w:r>
              <w:rPr/>
              <w:t> </w:t>
            </w:r>
          </w:p>
        </w:tc>
      </w:tr>
      <w:tr>
        <w:trPr/>
        <w:tc>
          <w:tcPr>
            <w:tcW w:w="24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2013</w:t>
            </w:r>
          </w:p>
        </w:tc>
        <w:tc>
          <w:tcPr>
            <w:tcW w:w="98"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9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1,297</w:t>
            </w:r>
          </w:p>
        </w:tc>
        <w:tc>
          <w:tcPr>
            <w:tcW w:w="113" w:type="dxa"/>
            <w:tcBorders/>
            <w:shd w:fill="CCEEFF" w:val="clear"/>
            <w:vAlign w:val="bottom"/>
          </w:tcPr>
          <w:p>
            <w:pPr>
              <w:pStyle w:val="TableContents"/>
              <w:spacing w:before="0" w:after="0"/>
              <w:ind w:left="0" w:right="0" w:hanging="0"/>
              <w:rPr/>
            </w:pPr>
            <w:r>
              <w:rPr/>
              <w:t> </w:t>
            </w:r>
          </w:p>
        </w:tc>
        <w:tc>
          <w:tcPr>
            <w:tcW w:w="1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13"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13"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1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754,390</w:t>
            </w:r>
          </w:p>
        </w:tc>
        <w:tc>
          <w:tcPr>
            <w:tcW w:w="113"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(1,447</w:t>
            </w:r>
          </w:p>
        </w:tc>
        <w:tc>
          <w:tcPr>
            <w:tcW w:w="11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5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(32,099</w:t>
            </w:r>
          </w:p>
        </w:tc>
        <w:tc>
          <w:tcPr>
            <w:tcW w:w="11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13"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722,141</w:t>
            </w:r>
          </w:p>
        </w:tc>
        <w:tc>
          <w:tcPr>
            <w:tcW w:w="126" w:type="dxa"/>
            <w:tcBorders/>
            <w:shd w:fill="CCEEFF" w:val="clear"/>
            <w:vAlign w:val="bottom"/>
          </w:tcPr>
          <w:p>
            <w:pPr>
              <w:pStyle w:val="TableContents"/>
              <w:spacing w:before="0" w:after="0"/>
              <w:ind w:left="0" w:right="0" w:hanging="0"/>
              <w:rPr/>
            </w:pPr>
            <w:r>
              <w:rPr/>
              <w:t> </w:t>
            </w:r>
          </w:p>
        </w:tc>
      </w:tr>
      <w:tr>
        <w:trPr/>
        <w:tc>
          <w:tcPr>
            <w:tcW w:w="2457" w:type="dxa"/>
            <w:tcBorders/>
            <w:shd w:fill="auto" w:val="clear"/>
            <w:vAlign w:val="bottom"/>
          </w:tcPr>
          <w:p>
            <w:pPr>
              <w:pStyle w:val="TableContents"/>
              <w:spacing w:before="0" w:after="0"/>
              <w:ind w:left="0" w:right="0" w:hanging="0"/>
              <w:rPr/>
            </w:pPr>
            <w:r>
              <w:rPr/>
              <w:t> </w:t>
            </w:r>
          </w:p>
        </w:tc>
        <w:tc>
          <w:tcPr>
            <w:tcW w:w="98"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3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30"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17"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24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98"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59,631</w:t>
            </w:r>
          </w:p>
        </w:tc>
        <w:tc>
          <w:tcPr>
            <w:tcW w:w="113" w:type="dxa"/>
            <w:tcBorders/>
            <w:shd w:fill="CCEEFF" w:val="clear"/>
            <w:vAlign w:val="bottom"/>
          </w:tcPr>
          <w:p>
            <w:pPr>
              <w:pStyle w:val="TableContents"/>
              <w:spacing w:before="0" w:after="0"/>
              <w:ind w:left="0" w:right="0" w:hanging="0"/>
              <w:rPr/>
            </w:pPr>
            <w:r>
              <w:rPr/>
              <w:t> </w:t>
            </w:r>
          </w:p>
        </w:tc>
        <w:tc>
          <w:tcPr>
            <w:tcW w:w="830"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59,631</w:t>
            </w:r>
          </w:p>
        </w:tc>
        <w:tc>
          <w:tcPr>
            <w:tcW w:w="126" w:type="dxa"/>
            <w:tcBorders/>
            <w:shd w:fill="CCEEFF" w:val="clear"/>
            <w:vAlign w:val="bottom"/>
          </w:tcPr>
          <w:p>
            <w:pPr>
              <w:pStyle w:val="TableContents"/>
              <w:spacing w:before="0" w:after="0"/>
              <w:ind w:left="0" w:right="0" w:hanging="0"/>
              <w:rPr/>
            </w:pPr>
            <w:r>
              <w:rPr/>
              <w:t> </w:t>
            </w:r>
          </w:p>
        </w:tc>
      </w:tr>
      <w:tr>
        <w:trPr/>
        <w:tc>
          <w:tcPr>
            <w:tcW w:w="24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w:t>
            </w:r>
          </w:p>
        </w:tc>
        <w:tc>
          <w:tcPr>
            <w:tcW w:w="98"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3,989</w:t>
            </w:r>
          </w:p>
        </w:tc>
        <w:tc>
          <w:tcPr>
            <w:tcW w:w="113" w:type="dxa"/>
            <w:tcBorders/>
            <w:shd w:fill="auto" w:val="clear"/>
            <w:vAlign w:val="bottom"/>
          </w:tcPr>
          <w:p>
            <w:pPr>
              <w:pStyle w:val="TableContents"/>
              <w:spacing w:before="0" w:after="0"/>
              <w:ind w:left="0" w:right="0" w:hanging="0"/>
              <w:rPr/>
            </w:pPr>
            <w:r>
              <w:rPr/>
              <w:t> </w:t>
            </w:r>
          </w:p>
        </w:tc>
        <w:tc>
          <w:tcPr>
            <w:tcW w:w="93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30"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3,989</w:t>
            </w:r>
          </w:p>
        </w:tc>
        <w:tc>
          <w:tcPr>
            <w:tcW w:w="126" w:type="dxa"/>
            <w:tcBorders/>
            <w:shd w:fill="auto" w:val="clear"/>
            <w:vAlign w:val="bottom"/>
          </w:tcPr>
          <w:p>
            <w:pPr>
              <w:pStyle w:val="TableContents"/>
              <w:spacing w:before="0" w:after="0"/>
              <w:ind w:left="0" w:right="0" w:hanging="0"/>
              <w:rPr/>
            </w:pPr>
            <w:r>
              <w:rPr/>
              <w:t> </w:t>
            </w:r>
          </w:p>
        </w:tc>
      </w:tr>
      <w:tr>
        <w:trPr/>
        <w:tc>
          <w:tcPr>
            <w:tcW w:w="24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management incentive shares</w:t>
            </w:r>
          </w:p>
        </w:tc>
        <w:tc>
          <w:tcPr>
            <w:tcW w:w="98"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113"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3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30"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126" w:type="dxa"/>
            <w:tcBorders/>
            <w:shd w:fill="CCEEFF" w:val="clear"/>
            <w:vAlign w:val="bottom"/>
          </w:tcPr>
          <w:p>
            <w:pPr>
              <w:pStyle w:val="TableContents"/>
              <w:spacing w:before="0" w:after="0"/>
              <w:ind w:left="0" w:right="0" w:hanging="0"/>
              <w:rPr/>
            </w:pPr>
            <w:r>
              <w:rPr/>
              <w:t> </w:t>
            </w:r>
          </w:p>
        </w:tc>
      </w:tr>
      <w:tr>
        <w:trPr/>
        <w:tc>
          <w:tcPr>
            <w:tcW w:w="24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Forfeiture of management incentive shares</w:t>
            </w:r>
          </w:p>
        </w:tc>
        <w:tc>
          <w:tcPr>
            <w:tcW w:w="98"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3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30"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6" w:type="dxa"/>
            <w:tcBorders/>
            <w:shd w:fill="auto" w:val="clear"/>
            <w:vAlign w:val="bottom"/>
          </w:tcPr>
          <w:p>
            <w:pPr>
              <w:pStyle w:val="TableContents"/>
              <w:spacing w:before="0" w:after="0"/>
              <w:ind w:left="0" w:right="0" w:hanging="0"/>
              <w:rPr/>
            </w:pPr>
            <w:r>
              <w:rPr/>
              <w:t> </w:t>
            </w:r>
          </w:p>
        </w:tc>
      </w:tr>
      <w:tr>
        <w:trPr/>
        <w:tc>
          <w:tcPr>
            <w:tcW w:w="24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Stock-based compensation expense</w:t>
            </w:r>
          </w:p>
        </w:tc>
        <w:tc>
          <w:tcPr>
            <w:tcW w:w="98"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9,408</w:t>
            </w:r>
          </w:p>
        </w:tc>
        <w:tc>
          <w:tcPr>
            <w:tcW w:w="113" w:type="dxa"/>
            <w:tcBorders/>
            <w:shd w:fill="CCEEFF" w:val="clear"/>
            <w:vAlign w:val="bottom"/>
          </w:tcPr>
          <w:p>
            <w:pPr>
              <w:pStyle w:val="TableContents"/>
              <w:spacing w:before="0" w:after="0"/>
              <w:ind w:left="0" w:right="0" w:hanging="0"/>
              <w:rPr/>
            </w:pPr>
            <w:r>
              <w:rPr/>
              <w:t> </w:t>
            </w:r>
          </w:p>
        </w:tc>
        <w:tc>
          <w:tcPr>
            <w:tcW w:w="1017"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3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30"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9,408</w:t>
            </w:r>
          </w:p>
        </w:tc>
        <w:tc>
          <w:tcPr>
            <w:tcW w:w="126" w:type="dxa"/>
            <w:tcBorders/>
            <w:shd w:fill="CCEEFF" w:val="clear"/>
            <w:vAlign w:val="bottom"/>
          </w:tcPr>
          <w:p>
            <w:pPr>
              <w:pStyle w:val="TableContents"/>
              <w:spacing w:before="0" w:after="0"/>
              <w:ind w:left="0" w:right="0" w:hanging="0"/>
              <w:rPr/>
            </w:pPr>
            <w:r>
              <w:rPr/>
              <w:t> </w:t>
            </w:r>
          </w:p>
        </w:tc>
      </w:tr>
      <w:tr>
        <w:trPr/>
        <w:tc>
          <w:tcPr>
            <w:tcW w:w="24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Treasury stock acquired</w:t>
            </w:r>
          </w:p>
        </w:tc>
        <w:tc>
          <w:tcPr>
            <w:tcW w:w="98"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52"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1017"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3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(2,421</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(2,421</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Cancellation of treasury stock</w:t>
            </w:r>
          </w:p>
        </w:tc>
        <w:tc>
          <w:tcPr>
            <w:tcW w:w="98"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72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(2,420</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7"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93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8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2,421</w:t>
            </w:r>
          </w:p>
        </w:tc>
        <w:tc>
          <w:tcPr>
            <w:tcW w:w="113" w:type="dxa"/>
            <w:tcBorders/>
            <w:shd w:fill="CCEEFF" w:val="clear"/>
            <w:vAlign w:val="bottom"/>
          </w:tcPr>
          <w:p>
            <w:pPr>
              <w:pStyle w:val="TableContents"/>
              <w:spacing w:before="0" w:after="0"/>
              <w:ind w:left="0" w:right="0" w:hanging="0"/>
              <w:rPr/>
            </w:pPr>
            <w:r>
              <w:rPr/>
              <w:t> </w:t>
            </w:r>
          </w:p>
        </w:tc>
        <w:tc>
          <w:tcPr>
            <w:tcW w:w="9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6" w:type="dxa"/>
            <w:tcBorders/>
            <w:shd w:fill="CCEEFF" w:val="clear"/>
            <w:vAlign w:val="bottom"/>
          </w:tcPr>
          <w:p>
            <w:pPr>
              <w:pStyle w:val="TableContents"/>
              <w:spacing w:before="0" w:after="0"/>
              <w:ind w:left="0" w:right="0" w:hanging="0"/>
              <w:rPr/>
            </w:pPr>
            <w:r>
              <w:rPr/>
              <w:t> </w:t>
            </w:r>
          </w:p>
        </w:tc>
      </w:tr>
      <w:tr>
        <w:trPr/>
        <w:tc>
          <w:tcPr>
            <w:tcW w:w="24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Excess tax benefits from stock-based compensation expense</w:t>
            </w:r>
          </w:p>
        </w:tc>
        <w:tc>
          <w:tcPr>
            <w:tcW w:w="98" w:type="dxa"/>
            <w:tcBorders/>
            <w:shd w:fill="auto" w:val="clear"/>
            <w:vAlign w:val="bottom"/>
          </w:tcPr>
          <w:p>
            <w:pPr>
              <w:pStyle w:val="TableContents"/>
              <w:spacing w:before="0" w:after="0"/>
              <w:ind w:left="0" w:right="0" w:hanging="0"/>
              <w:rPr/>
            </w:pPr>
            <w:r>
              <w:rPr/>
              <w:t> </w:t>
            </w:r>
          </w:p>
        </w:tc>
        <w:tc>
          <w:tcPr>
            <w:tcW w:w="7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1,729</w:t>
            </w:r>
          </w:p>
        </w:tc>
        <w:tc>
          <w:tcPr>
            <w:tcW w:w="113" w:type="dxa"/>
            <w:tcBorders/>
            <w:shd w:fill="auto" w:val="clear"/>
            <w:vAlign w:val="bottom"/>
          </w:tcPr>
          <w:p>
            <w:pPr>
              <w:pStyle w:val="TableContents"/>
              <w:spacing w:before="0" w:after="0"/>
              <w:ind w:left="0" w:right="0" w:hanging="0"/>
              <w:rPr/>
            </w:pPr>
            <w:r>
              <w:rPr/>
              <w:t> </w:t>
            </w:r>
          </w:p>
        </w:tc>
        <w:tc>
          <w:tcPr>
            <w:tcW w:w="10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8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9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1,729</w:t>
            </w:r>
          </w:p>
        </w:tc>
        <w:tc>
          <w:tcPr>
            <w:tcW w:w="126" w:type="dxa"/>
            <w:tcBorders/>
            <w:shd w:fill="auto" w:val="clear"/>
            <w:vAlign w:val="bottom"/>
          </w:tcPr>
          <w:p>
            <w:pPr>
              <w:pStyle w:val="TableContents"/>
              <w:spacing w:before="0" w:after="0"/>
              <w:ind w:left="0" w:right="0" w:hanging="0"/>
              <w:rPr/>
            </w:pPr>
            <w:r>
              <w:rPr/>
              <w:t> </w:t>
            </w:r>
          </w:p>
        </w:tc>
      </w:tr>
      <w:tr>
        <w:trPr/>
        <w:tc>
          <w:tcPr>
            <w:tcW w:w="24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September 30, 2014</w:t>
            </w:r>
          </w:p>
        </w:tc>
        <w:tc>
          <w:tcPr>
            <w:tcW w:w="98"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9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1,298</w:t>
            </w:r>
          </w:p>
        </w:tc>
        <w:tc>
          <w:tcPr>
            <w:tcW w:w="113" w:type="dxa"/>
            <w:tcBorders/>
            <w:shd w:fill="CCEEFF" w:val="clear"/>
            <w:vAlign w:val="bottom"/>
          </w:tcPr>
          <w:p>
            <w:pPr>
              <w:pStyle w:val="TableContents"/>
              <w:spacing w:before="0" w:after="0"/>
              <w:ind w:left="0" w:right="0" w:hanging="0"/>
              <w:rPr/>
            </w:pPr>
            <w:r>
              <w:rPr/>
              <w:t> </w:t>
            </w:r>
          </w:p>
        </w:tc>
        <w:tc>
          <w:tcPr>
            <w:tcW w:w="1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13" w:type="dxa"/>
            <w:tcBorders/>
            <w:shd w:fill="CCEEFF" w:val="clear"/>
            <w:vAlign w:val="bottom"/>
          </w:tcPr>
          <w:p>
            <w:pPr>
              <w:pStyle w:val="TableContents"/>
              <w:spacing w:before="0" w:after="0"/>
              <w:ind w:left="0" w:right="0" w:hanging="0"/>
              <w:rPr/>
            </w:pPr>
            <w:r>
              <w:rPr/>
              <w:t> </w:t>
            </w:r>
          </w:p>
        </w:tc>
        <w:tc>
          <w:tcPr>
            <w:tcW w:w="20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1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13"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1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763,521</w:t>
            </w:r>
          </w:p>
        </w:tc>
        <w:tc>
          <w:tcPr>
            <w:tcW w:w="113" w:type="dxa"/>
            <w:tcBorders/>
            <w:shd w:fill="CCEEFF" w:val="clear"/>
            <w:vAlign w:val="bottom"/>
          </w:tcPr>
          <w:p>
            <w:pPr>
              <w:pStyle w:val="TableContents"/>
              <w:spacing w:before="0" w:after="0"/>
              <w:ind w:left="0" w:right="0" w:hanging="0"/>
              <w:rPr/>
            </w:pPr>
            <w:r>
              <w:rPr/>
              <w:t> </w:t>
            </w:r>
          </w:p>
        </w:tc>
        <w:tc>
          <w:tcPr>
            <w:tcW w:w="18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3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2,542</w:t>
            </w:r>
          </w:p>
        </w:tc>
        <w:tc>
          <w:tcPr>
            <w:tcW w:w="113"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27,532</w:t>
            </w:r>
          </w:p>
        </w:tc>
        <w:tc>
          <w:tcPr>
            <w:tcW w:w="113"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13"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794,893</w:t>
            </w:r>
          </w:p>
        </w:tc>
        <w:tc>
          <w:tcPr>
            <w:tcW w:w="12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See accompanying notes to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13" w:name="PB_3_114207_5335"/>
      <w:bookmarkEnd w:id="1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Cash Flows (Unaudited)</w:t>
      </w:r>
      <w:bookmarkStart w:id="14" w:name="CondensedConsolidatedStatementsOf_114704"/>
      <w:bookmarkEnd w:id="14"/>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840"/>
        <w:gridCol w:w="208"/>
        <w:gridCol w:w="155"/>
        <w:gridCol w:w="1218"/>
        <w:gridCol w:w="229"/>
        <w:gridCol w:w="155"/>
        <w:gridCol w:w="1272"/>
        <w:gridCol w:w="128"/>
      </w:tblGrid>
      <w:tr>
        <w:trPr/>
        <w:tc>
          <w:tcPr>
            <w:tcW w:w="684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302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28" w:type="dxa"/>
            <w:tcBorders/>
            <w:shd w:fill="auto" w:val="clear"/>
            <w:vAlign w:val="bottom"/>
          </w:tcPr>
          <w:p>
            <w:pPr>
              <w:pStyle w:val="TableContents"/>
              <w:spacing w:before="0" w:after="0"/>
              <w:ind w:left="0" w:right="0" w:hanging="0"/>
              <w:jc w:val="center"/>
              <w:rPr/>
            </w:pPr>
            <w:r>
              <w:rPr/>
              <w:t> </w:t>
            </w:r>
          </w:p>
        </w:tc>
      </w:tr>
      <w:tr>
        <w:trPr/>
        <w:tc>
          <w:tcPr>
            <w:tcW w:w="684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w:t>
            </w:r>
          </w:p>
        </w:tc>
        <w:tc>
          <w:tcPr>
            <w:tcW w:w="208" w:type="dxa"/>
            <w:tcBorders/>
            <w:shd w:fill="auto" w:val="clear"/>
            <w:vAlign w:val="bottom"/>
          </w:tcPr>
          <w:p>
            <w:pPr>
              <w:pStyle w:val="TableContents"/>
              <w:spacing w:before="0" w:after="0"/>
              <w:ind w:left="0" w:right="0" w:hanging="0"/>
              <w:jc w:val="center"/>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29" w:type="dxa"/>
            <w:tcBorders/>
            <w:shd w:fill="auto" w:val="clear"/>
            <w:vAlign w:val="bottom"/>
          </w:tcPr>
          <w:p>
            <w:pPr>
              <w:pStyle w:val="TableContents"/>
              <w:spacing w:before="0" w:after="0"/>
              <w:ind w:left="0" w:right="0" w:hanging="0"/>
              <w:jc w:val="center"/>
              <w:rPr/>
            </w:pPr>
            <w:r>
              <w:rPr/>
              <w:t> </w:t>
            </w:r>
          </w:p>
        </w:tc>
        <w:tc>
          <w:tcPr>
            <w:tcW w:w="14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8" w:type="dxa"/>
            <w:tcBorders/>
            <w:shd w:fill="auto" w:val="clear"/>
            <w:vAlign w:val="bottom"/>
          </w:tcPr>
          <w:p>
            <w:pPr>
              <w:pStyle w:val="TableContents"/>
              <w:spacing w:before="0" w:after="0"/>
              <w:ind w:left="0" w:right="0" w:hanging="0"/>
              <w:jc w:val="center"/>
              <w:rPr/>
            </w:pPr>
            <w:r>
              <w:rPr/>
              <w:t> </w:t>
            </w:r>
          </w:p>
        </w:tc>
      </w:tr>
      <w:tr>
        <w:trPr/>
        <w:tc>
          <w:tcPr>
            <w:tcW w:w="684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Activities</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08"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59,631</w:t>
            </w:r>
          </w:p>
        </w:tc>
        <w:tc>
          <w:tcPr>
            <w:tcW w:w="229"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46,396</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Adjustments to reconcile net income to net cash provided by operating activities:</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the sale of investments, net</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1,834</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1,633</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Amortization of discount on payments due under Asset Purchase Agreement</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29" w:type="dxa"/>
            <w:tcBorders/>
            <w:shd w:fill="auto" w:val="clear"/>
            <w:vAlign w:val="bottom"/>
          </w:tcPr>
          <w:p>
            <w:pPr>
              <w:pStyle w:val="TableContents"/>
              <w:spacing w:before="0" w:after="0"/>
              <w:ind w:left="0" w:right="0" w:hanging="0"/>
              <w:rPr/>
            </w:pPr>
            <w:r>
              <w:rPr/>
              <w:t> </w:t>
            </w:r>
          </w:p>
        </w:tc>
        <w:tc>
          <w:tcPr>
            <w:tcW w:w="1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Stock-based compensation expense</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9,408</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1,635</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Amortization of premium on investment securities</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4,722</w:t>
            </w:r>
          </w:p>
        </w:tc>
        <w:tc>
          <w:tcPr>
            <w:tcW w:w="229" w:type="dxa"/>
            <w:tcBorders/>
            <w:shd w:fill="auto" w:val="clear"/>
            <w:vAlign w:val="bottom"/>
          </w:tcPr>
          <w:p>
            <w:pPr>
              <w:pStyle w:val="TableContents"/>
              <w:spacing w:before="0" w:after="0"/>
              <w:ind w:left="0" w:right="0" w:hanging="0"/>
              <w:rPr/>
            </w:pPr>
            <w:r>
              <w:rPr/>
              <w:t> </w:t>
            </w:r>
          </w:p>
        </w:tc>
        <w:tc>
          <w:tcPr>
            <w:tcW w:w="1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2,279</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provision</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30,412</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(8,077</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Excess tax benefits from stock-based compensation</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(1,729</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in:</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Accrued investment income</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(3,056</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(646</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receivable</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(3,160</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(4,120</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policy acquisition costs</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(2,611</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(3,188</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Prepaid federal income tax</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(34,673</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assets</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830</w:t>
            </w:r>
          </w:p>
        </w:tc>
        <w:tc>
          <w:tcPr>
            <w:tcW w:w="229" w:type="dxa"/>
            <w:tcBorders/>
            <w:shd w:fill="auto" w:val="clear"/>
            <w:vAlign w:val="bottom"/>
          </w:tcPr>
          <w:p>
            <w:pPr>
              <w:pStyle w:val="TableContents"/>
              <w:spacing w:before="0" w:after="0"/>
              <w:ind w:left="0" w:right="0" w:hanging="0"/>
              <w:rPr/>
            </w:pPr>
            <w:r>
              <w:rPr/>
              <w:t> </w:t>
            </w:r>
          </w:p>
        </w:tc>
        <w:tc>
          <w:tcPr>
            <w:tcW w:w="1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Reserve for losses and LAE</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2,611</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1,228</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Unearned premium reserve</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38,145</w:t>
            </w:r>
          </w:p>
        </w:tc>
        <w:tc>
          <w:tcPr>
            <w:tcW w:w="229" w:type="dxa"/>
            <w:tcBorders/>
            <w:shd w:fill="auto" w:val="clear"/>
            <w:vAlign w:val="bottom"/>
          </w:tcPr>
          <w:p>
            <w:pPr>
              <w:pStyle w:val="TableContents"/>
              <w:spacing w:before="0" w:after="0"/>
              <w:ind w:left="0" w:right="0" w:hanging="0"/>
              <w:rPr/>
            </w:pPr>
            <w:r>
              <w:rPr/>
              <w:t> </w:t>
            </w:r>
          </w:p>
        </w:tc>
        <w:tc>
          <w:tcPr>
            <w:tcW w:w="1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50,296</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expenses</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2,444</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101,566</w:t>
            </w:r>
          </w:p>
        </w:tc>
        <w:tc>
          <w:tcPr>
            <w:tcW w:w="229" w:type="dxa"/>
            <w:tcBorders/>
            <w:shd w:fill="auto" w:val="clear"/>
            <w:vAlign w:val="bottom"/>
          </w:tcPr>
          <w:p>
            <w:pPr>
              <w:pStyle w:val="TableContents"/>
              <w:spacing w:before="0" w:after="0"/>
              <w:ind w:left="0" w:right="0" w:hanging="0"/>
              <w:rPr/>
            </w:pPr>
            <w:r>
              <w:rPr/>
              <w:t> </w:t>
            </w:r>
          </w:p>
        </w:tc>
        <w:tc>
          <w:tcPr>
            <w:tcW w:w="14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89,285</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Investing Activities</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427"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change in short-term investments</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(92,181</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(6,974</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 of investments available for sale</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(570,341</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(125,981</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maturity of investments available for sale</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18,832</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7,400</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sales of investments available for sale</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88,695</w:t>
            </w:r>
          </w:p>
        </w:tc>
        <w:tc>
          <w:tcPr>
            <w:tcW w:w="229" w:type="dxa"/>
            <w:tcBorders/>
            <w:shd w:fill="auto" w:val="clear"/>
            <w:vAlign w:val="bottom"/>
          </w:tcPr>
          <w:p>
            <w:pPr>
              <w:pStyle w:val="TableContents"/>
              <w:spacing w:before="0" w:after="0"/>
              <w:ind w:left="0" w:right="0" w:hanging="0"/>
              <w:rPr/>
            </w:pPr>
            <w:r>
              <w:rPr/>
              <w:t> </w:t>
            </w:r>
          </w:p>
        </w:tc>
        <w:tc>
          <w:tcPr>
            <w:tcW w:w="1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26,098</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 of property and equipment, net</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(2,623</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(2,011</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(557,618</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(101,468</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4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Financing Activities</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427"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shares net of costs</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123,852</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Treasury stock acquired</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(2,421</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Payment of offering costs</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(837</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Excess tax benefits from stock-based compensation</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1,729</w:t>
            </w:r>
          </w:p>
        </w:tc>
        <w:tc>
          <w:tcPr>
            <w:tcW w:w="229" w:type="dxa"/>
            <w:tcBorders/>
            <w:shd w:fill="auto" w:val="clear"/>
            <w:vAlign w:val="bottom"/>
          </w:tcPr>
          <w:p>
            <w:pPr>
              <w:pStyle w:val="TableContents"/>
              <w:spacing w:before="0" w:after="0"/>
              <w:ind w:left="0" w:right="0" w:hanging="0"/>
              <w:rPr/>
            </w:pPr>
            <w:r>
              <w:rPr/>
              <w:t> </w:t>
            </w:r>
          </w:p>
        </w:tc>
        <w:tc>
          <w:tcPr>
            <w:tcW w:w="1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Payments under Asset Purchase Agreement</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provided by financing activities</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(4,029</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121,125</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(decrease) increase in cash</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(460,081</w:t>
            </w:r>
          </w:p>
        </w:tc>
        <w:tc>
          <w:tcPr>
            <w:tcW w:w="2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108,942</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at beginning of year</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477,655</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22,315</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at end of period</w:t>
            </w:r>
          </w:p>
        </w:tc>
        <w:tc>
          <w:tcPr>
            <w:tcW w:w="208"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17,574</w:t>
            </w:r>
          </w:p>
        </w:tc>
        <w:tc>
          <w:tcPr>
            <w:tcW w:w="229"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131,257</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Supplemental Disclosure of Cash Flow Information</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427"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(payments) refunds</w:t>
            </w:r>
          </w:p>
        </w:tc>
        <w:tc>
          <w:tcPr>
            <w:tcW w:w="208"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4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427"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684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Noncash Transactions</w:t>
            </w:r>
          </w:p>
        </w:tc>
        <w:tc>
          <w:tcPr>
            <w:tcW w:w="208"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c>
          <w:tcPr>
            <w:tcW w:w="1427"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6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management incentive shares (see Note 6)</w:t>
            </w:r>
          </w:p>
        </w:tc>
        <w:tc>
          <w:tcPr>
            <w:tcW w:w="208"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229"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615</w:t>
            </w:r>
          </w:p>
        </w:tc>
        <w:tc>
          <w:tcPr>
            <w:tcW w:w="12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See accompanying notes to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15" w:name="PB_4_114558_7056"/>
      <w:bookmarkEnd w:id="1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bookmarkStart w:id="16" w:name="NotesToCondensedConsolidatedFinan_130529"/>
      <w:bookmarkEnd w:id="16"/>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these notes to condensed consolidated financial statements, Essent, Company, we, us, and our refer to Essent Group Ltd. and its subsidiaries, unless the context otherwise requires.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 Nature of Operations and Basis of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low-down payment (generally less than 20%) mortgage loans into the secondary mortgage market, primarily to the government sponsored enterprises (GSEs), Fannie Mae and Freddie Mac. Essent Group was incorporated in Bermuda in July 2008. In March 2014, Essent Group formed Essent Irish Intermediate Holdings Limited (Essent Irish Intermediate) as a wholly-owned subsidiary.  In April 2014, Essent Group contributed the stock of Essent US Holdings, Inc. (Essent Holdings) to Essent Irish Intermediate.  The primary mortgage insurance operations are conducted through Essent Holdings regulated and licensed wholly-owned subsidiaries, Essent Guaranty, Inc. (Essent Guaranty) and Essent Guaranty of PA, Inc. (Essent PA). Essent Guaranty is approved as a qualified mortgage insurer by the GSEs and is licensed to write mortgage insurance in all 50 states and the District of Columbia.  Essent Group also has a wholly-owned Bermuda domiciled Class 3A Insurer licensed pursuant to Section 4 of the Bermuda Insurance Act 1978, Essent Reinsurance, Ltd. (Essent Re).  Essent Re issued its first insurance policy in July 2014 and began to reinsure 25% of Essent Guarantys GSE-eligible new insurance written effective July 1, 2014 under a quota share reinsurance transaction.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2013,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September 30, 2014 prior to the issuance of these condensed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described more fully in our Annual Report on Form 10-K for the year ended December 31, 2013, Class B-2 common share and per share data in all periods presented has been restated for the 2 for 3 share split and the 1 for 1 conversion rate to Common Shares that was effective immediately prior to the closing of the Companys initial public offering in November 2013.  Class A common share and per share data has not been restated because the conversion to Common Shares in connection with the initial public offering was considered a value-for-value exchange of equity interests at the point of the transaction that resulted in a change in shareholder rights and rank before and after the transaction.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Certain amounts in prior years have been reclassified to conform to the current year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2. Investments Available for Sale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Investments available for sale consist of the following:</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4240"/>
        <w:gridCol w:w="206"/>
        <w:gridCol w:w="129"/>
        <w:gridCol w:w="1133"/>
        <w:gridCol w:w="206"/>
        <w:gridCol w:w="138"/>
        <w:gridCol w:w="1108"/>
        <w:gridCol w:w="206"/>
        <w:gridCol w:w="133"/>
        <w:gridCol w:w="1113"/>
        <w:gridCol w:w="212"/>
        <w:gridCol w:w="129"/>
        <w:gridCol w:w="1132"/>
        <w:gridCol w:w="120"/>
      </w:tblGrid>
      <w:tr>
        <w:trPr/>
        <w:tc>
          <w:tcPr>
            <w:tcW w:w="4240"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September 30, 2014</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Amortized</w:t>
              <w:br/>
              <w:t>Cost</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24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Unrealized</w:t>
              <w:br/>
              <w:t>Gains</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24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Unrealized</w:t>
              <w:br/>
              <w:t>Losses</w:t>
            </w:r>
          </w:p>
        </w:tc>
        <w:tc>
          <w:tcPr>
            <w:tcW w:w="212" w:type="dxa"/>
            <w:tcBorders/>
            <w:shd w:fill="auto" w:val="clear"/>
            <w:tcMar>
              <w:bottom w:w="0" w:type="dxa"/>
            </w:tcMar>
            <w:vAlign w:val="bottom"/>
          </w:tcPr>
          <w:p>
            <w:pPr>
              <w:pStyle w:val="TableContents"/>
              <w:spacing w:before="0" w:after="0"/>
              <w:ind w:left="0" w:right="0" w:hanging="0"/>
              <w:jc w:val="center"/>
              <w:rPr/>
            </w:pPr>
            <w:r>
              <w:rPr/>
              <w:t> </w:t>
            </w:r>
          </w:p>
        </w:tc>
        <w:tc>
          <w:tcPr>
            <w:tcW w:w="1261"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w:t>
              <w:br/>
              <w:t>Value</w:t>
            </w:r>
          </w:p>
        </w:tc>
        <w:tc>
          <w:tcPr>
            <w:tcW w:w="120" w:type="dxa"/>
            <w:tcBorders/>
            <w:shd w:fill="auto" w:val="clear"/>
            <w:tcMar>
              <w:bottom w:w="0" w:type="dxa"/>
            </w:tcMar>
            <w:vAlign w:val="bottom"/>
          </w:tcPr>
          <w:p>
            <w:pPr>
              <w:pStyle w:val="TableContents"/>
              <w:spacing w:before="0" w:after="0"/>
              <w:ind w:left="0" w:right="0" w:hanging="0"/>
              <w:jc w:val="center"/>
              <w:rPr/>
            </w:pPr>
            <w:r>
              <w:rPr/>
              <w:t> </w:t>
            </w:r>
          </w:p>
        </w:tc>
      </w:tr>
      <w:tr>
        <w:trPr/>
        <w:tc>
          <w:tcPr>
            <w:tcW w:w="424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U.S. Treasury securities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68,845</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8"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2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68,603</w:t>
            </w:r>
          </w:p>
        </w:tc>
        <w:tc>
          <w:tcPr>
            <w:tcW w:w="120" w:type="dxa"/>
            <w:tcBorders/>
            <w:shd w:fill="CCEEFF" w:val="clear"/>
            <w:tcMar>
              <w:bottom w:w="0" w:type="dxa"/>
            </w:tcMar>
            <w:vAlign w:val="bottom"/>
          </w:tcPr>
          <w:p>
            <w:pPr>
              <w:pStyle w:val="TableContents"/>
              <w:spacing w:before="0" w:after="0"/>
              <w:ind w:left="0" w:right="0" w:hanging="0"/>
              <w:rPr/>
            </w:pPr>
            <w:r>
              <w:rPr/>
              <w:t> </w:t>
            </w:r>
          </w:p>
        </w:tc>
      </w:tr>
      <w:tr>
        <w:trPr/>
        <w:tc>
          <w:tcPr>
            <w:tcW w:w="424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U.S. agency securities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62"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6,103</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tcMar>
              <w:bottom w:w="0" w:type="dxa"/>
            </w:tcMar>
            <w:vAlign w:val="bottom"/>
          </w:tcPr>
          <w:p>
            <w:pPr>
              <w:pStyle w:val="TableContents"/>
              <w:spacing w:before="0" w:after="0"/>
              <w:ind w:left="0" w:right="0" w:hanging="0"/>
              <w:rPr/>
            </w:pPr>
            <w:r>
              <w:rPr/>
              <w:t> </w:t>
            </w:r>
          </w:p>
        </w:tc>
        <w:tc>
          <w:tcPr>
            <w:tcW w:w="1261"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6,140</w:t>
            </w:r>
          </w:p>
        </w:tc>
        <w:tc>
          <w:tcPr>
            <w:tcW w:w="120" w:type="dxa"/>
            <w:tcBorders/>
            <w:shd w:fill="auto" w:val="clear"/>
            <w:tcMar>
              <w:bottom w:w="0" w:type="dxa"/>
            </w:tcMar>
            <w:vAlign w:val="bottom"/>
          </w:tcPr>
          <w:p>
            <w:pPr>
              <w:pStyle w:val="TableContents"/>
              <w:spacing w:before="0" w:after="0"/>
              <w:ind w:left="0" w:right="0" w:hanging="0"/>
              <w:rPr/>
            </w:pPr>
            <w:r>
              <w:rPr/>
              <w:t> </w:t>
            </w:r>
          </w:p>
        </w:tc>
      </w:tr>
      <w:tr>
        <w:trPr/>
        <w:tc>
          <w:tcPr>
            <w:tcW w:w="424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U.S. agency mortgage-backed securities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6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68,861</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46"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708</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46"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2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69,143</w:t>
            </w:r>
          </w:p>
        </w:tc>
        <w:tc>
          <w:tcPr>
            <w:tcW w:w="120" w:type="dxa"/>
            <w:tcBorders/>
            <w:shd w:fill="CCEEFF" w:val="clear"/>
            <w:tcMar>
              <w:bottom w:w="0" w:type="dxa"/>
            </w:tcMar>
            <w:vAlign w:val="bottom"/>
          </w:tcPr>
          <w:p>
            <w:pPr>
              <w:pStyle w:val="TableContents"/>
              <w:spacing w:before="0" w:after="0"/>
              <w:ind w:left="0" w:right="0" w:hanging="0"/>
              <w:rPr/>
            </w:pPr>
            <w:r>
              <w:rPr/>
              <w:t> </w:t>
            </w:r>
          </w:p>
        </w:tc>
      </w:tr>
      <w:tr>
        <w:trPr/>
        <w:tc>
          <w:tcPr>
            <w:tcW w:w="424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Municipal debt securities(1)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62"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187,309</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3,530</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190,656</w:t>
            </w:r>
          </w:p>
        </w:tc>
        <w:tc>
          <w:tcPr>
            <w:tcW w:w="120" w:type="dxa"/>
            <w:tcBorders/>
            <w:shd w:fill="auto" w:val="clear"/>
            <w:tcMar>
              <w:bottom w:w="0" w:type="dxa"/>
            </w:tcMar>
            <w:vAlign w:val="bottom"/>
          </w:tcPr>
          <w:p>
            <w:pPr>
              <w:pStyle w:val="TableContents"/>
              <w:spacing w:before="0" w:after="0"/>
              <w:ind w:left="0" w:right="0" w:hanging="0"/>
              <w:rPr/>
            </w:pPr>
            <w:r>
              <w:rPr/>
              <w:t> </w:t>
            </w:r>
          </w:p>
        </w:tc>
      </w:tr>
      <w:tr>
        <w:trPr/>
        <w:tc>
          <w:tcPr>
            <w:tcW w:w="424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Corporate debt securities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6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271,175</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46"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1,445</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46"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w:t>
            </w:r>
          </w:p>
        </w:tc>
        <w:tc>
          <w:tcPr>
            <w:tcW w:w="2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271,988</w:t>
            </w:r>
          </w:p>
        </w:tc>
        <w:tc>
          <w:tcPr>
            <w:tcW w:w="120" w:type="dxa"/>
            <w:tcBorders/>
            <w:shd w:fill="CCEEFF" w:val="clear"/>
            <w:tcMar>
              <w:bottom w:w="0" w:type="dxa"/>
            </w:tcMar>
            <w:vAlign w:val="bottom"/>
          </w:tcPr>
          <w:p>
            <w:pPr>
              <w:pStyle w:val="TableContents"/>
              <w:spacing w:before="0" w:after="0"/>
              <w:ind w:left="0" w:right="0" w:hanging="0"/>
              <w:rPr/>
            </w:pPr>
            <w:r>
              <w:rPr/>
              <w:t> </w:t>
            </w:r>
          </w:p>
        </w:tc>
      </w:tr>
      <w:tr>
        <w:trPr/>
        <w:tc>
          <w:tcPr>
            <w:tcW w:w="424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Mortgage-backed securities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62"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62,903</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(862</w:t>
            </w:r>
          </w:p>
        </w:tc>
        <w:tc>
          <w:tcPr>
            <w:tcW w:w="2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62,276</w:t>
            </w:r>
          </w:p>
        </w:tc>
        <w:tc>
          <w:tcPr>
            <w:tcW w:w="120" w:type="dxa"/>
            <w:tcBorders/>
            <w:shd w:fill="auto" w:val="clear"/>
            <w:tcMar>
              <w:bottom w:w="0" w:type="dxa"/>
            </w:tcMar>
            <w:vAlign w:val="bottom"/>
          </w:tcPr>
          <w:p>
            <w:pPr>
              <w:pStyle w:val="TableContents"/>
              <w:spacing w:before="0" w:after="0"/>
              <w:ind w:left="0" w:right="0" w:hanging="0"/>
              <w:rPr/>
            </w:pPr>
            <w:r>
              <w:rPr/>
              <w:t> </w:t>
            </w:r>
          </w:p>
        </w:tc>
      </w:tr>
      <w:tr>
        <w:trPr/>
        <w:tc>
          <w:tcPr>
            <w:tcW w:w="424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Asset-backed securities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6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121,959</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46"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46"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122,082</w:t>
            </w:r>
          </w:p>
        </w:tc>
        <w:tc>
          <w:tcPr>
            <w:tcW w:w="120" w:type="dxa"/>
            <w:tcBorders/>
            <w:shd w:fill="CCEEFF" w:val="clear"/>
            <w:tcMar>
              <w:bottom w:w="0" w:type="dxa"/>
            </w:tcMar>
            <w:vAlign w:val="bottom"/>
          </w:tcPr>
          <w:p>
            <w:pPr>
              <w:pStyle w:val="TableContents"/>
              <w:spacing w:before="0" w:after="0"/>
              <w:ind w:left="0" w:right="0" w:hanging="0"/>
              <w:rPr/>
            </w:pPr>
            <w:r>
              <w:rPr/>
              <w:t> </w:t>
            </w:r>
          </w:p>
        </w:tc>
      </w:tr>
      <w:tr>
        <w:trPr/>
        <w:tc>
          <w:tcPr>
            <w:tcW w:w="424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Money market funds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62"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106,263</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tcMar>
              <w:bottom w:w="0" w:type="dxa"/>
            </w:tcMar>
            <w:vAlign w:val="bottom"/>
          </w:tcPr>
          <w:p>
            <w:pPr>
              <w:pStyle w:val="TableContents"/>
              <w:spacing w:before="0" w:after="0"/>
              <w:ind w:left="0" w:right="0" w:hanging="0"/>
              <w:rPr/>
            </w:pPr>
            <w:r>
              <w:rPr/>
              <w:t> </w:t>
            </w:r>
          </w:p>
        </w:tc>
        <w:tc>
          <w:tcPr>
            <w:tcW w:w="1261"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106,263</w:t>
            </w:r>
          </w:p>
        </w:tc>
        <w:tc>
          <w:tcPr>
            <w:tcW w:w="120" w:type="dxa"/>
            <w:tcBorders/>
            <w:shd w:fill="auto" w:val="clear"/>
            <w:tcMar>
              <w:bottom w:w="0" w:type="dxa"/>
            </w:tcMar>
            <w:vAlign w:val="bottom"/>
          </w:tcPr>
          <w:p>
            <w:pPr>
              <w:pStyle w:val="TableContents"/>
              <w:spacing w:before="0" w:after="0"/>
              <w:ind w:left="0" w:right="0" w:hanging="0"/>
              <w:rPr/>
            </w:pPr>
            <w:r>
              <w:rPr/>
              <w:t> </w:t>
            </w:r>
          </w:p>
        </w:tc>
      </w:tr>
      <w:tr>
        <w:trPr/>
        <w:tc>
          <w:tcPr>
            <w:tcW w:w="424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Total investments available for sale</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9"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893,418</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8"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8"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6,459</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3"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(2,726</w:t>
            </w:r>
          </w:p>
        </w:tc>
        <w:tc>
          <w:tcPr>
            <w:tcW w:w="2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897,151</w:t>
            </w:r>
          </w:p>
        </w:tc>
        <w:tc>
          <w:tcPr>
            <w:tcW w:w="120"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7" w:name="PB_5_120849_7056"/>
      <w:bookmarkEnd w:id="1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4240"/>
        <w:gridCol w:w="206"/>
        <w:gridCol w:w="129"/>
        <w:gridCol w:w="1133"/>
        <w:gridCol w:w="206"/>
        <w:gridCol w:w="138"/>
        <w:gridCol w:w="1108"/>
        <w:gridCol w:w="206"/>
        <w:gridCol w:w="133"/>
        <w:gridCol w:w="1113"/>
        <w:gridCol w:w="212"/>
        <w:gridCol w:w="129"/>
        <w:gridCol w:w="1132"/>
        <w:gridCol w:w="120"/>
      </w:tblGrid>
      <w:tr>
        <w:trPr/>
        <w:tc>
          <w:tcPr>
            <w:tcW w:w="4240"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December 31, 2013</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Amortized</w:t>
              <w:br/>
              <w:t>Cost</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24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Unrealized</w:t>
              <w:br/>
              <w:t>Gains</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24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Unrealized</w:t>
              <w:br/>
              <w:t>Losses</w:t>
            </w:r>
          </w:p>
        </w:tc>
        <w:tc>
          <w:tcPr>
            <w:tcW w:w="212" w:type="dxa"/>
            <w:tcBorders/>
            <w:shd w:fill="auto" w:val="clear"/>
            <w:tcMar>
              <w:bottom w:w="0" w:type="dxa"/>
            </w:tcMar>
            <w:vAlign w:val="bottom"/>
          </w:tcPr>
          <w:p>
            <w:pPr>
              <w:pStyle w:val="TableContents"/>
              <w:spacing w:before="0" w:after="0"/>
              <w:ind w:left="0" w:right="0" w:hanging="0"/>
              <w:jc w:val="center"/>
              <w:rPr/>
            </w:pPr>
            <w:r>
              <w:rPr/>
              <w:t> </w:t>
            </w:r>
          </w:p>
        </w:tc>
        <w:tc>
          <w:tcPr>
            <w:tcW w:w="1261"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w:t>
              <w:br/>
              <w:t>Value</w:t>
            </w:r>
          </w:p>
        </w:tc>
        <w:tc>
          <w:tcPr>
            <w:tcW w:w="120" w:type="dxa"/>
            <w:tcBorders/>
            <w:shd w:fill="auto" w:val="clear"/>
            <w:tcMar>
              <w:bottom w:w="0" w:type="dxa"/>
            </w:tcMar>
            <w:vAlign w:val="bottom"/>
          </w:tcPr>
          <w:p>
            <w:pPr>
              <w:pStyle w:val="TableContents"/>
              <w:spacing w:before="0" w:after="0"/>
              <w:ind w:left="0" w:right="0" w:hanging="0"/>
              <w:jc w:val="center"/>
              <w:rPr/>
            </w:pPr>
            <w:r>
              <w:rPr/>
              <w:t> </w:t>
            </w:r>
          </w:p>
        </w:tc>
      </w:tr>
      <w:tr>
        <w:trPr/>
        <w:tc>
          <w:tcPr>
            <w:tcW w:w="424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U.S. Treasury securities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59,100</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8"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977</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(890</w:t>
            </w:r>
          </w:p>
        </w:tc>
        <w:tc>
          <w:tcPr>
            <w:tcW w:w="2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59,187</w:t>
            </w:r>
          </w:p>
        </w:tc>
        <w:tc>
          <w:tcPr>
            <w:tcW w:w="120" w:type="dxa"/>
            <w:tcBorders/>
            <w:shd w:fill="CCEEFF" w:val="clear"/>
            <w:tcMar>
              <w:bottom w:w="0" w:type="dxa"/>
            </w:tcMar>
            <w:vAlign w:val="bottom"/>
          </w:tcPr>
          <w:p>
            <w:pPr>
              <w:pStyle w:val="TableContents"/>
              <w:spacing w:before="0" w:after="0"/>
              <w:ind w:left="0" w:right="0" w:hanging="0"/>
              <w:rPr/>
            </w:pPr>
            <w:r>
              <w:rPr/>
              <w:t> </w:t>
            </w:r>
          </w:p>
        </w:tc>
      </w:tr>
      <w:tr>
        <w:trPr/>
        <w:tc>
          <w:tcPr>
            <w:tcW w:w="424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U.S. agency securities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62"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14,763</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tcMar>
              <w:bottom w:w="0" w:type="dxa"/>
            </w:tcMar>
            <w:vAlign w:val="bottom"/>
          </w:tcPr>
          <w:p>
            <w:pPr>
              <w:pStyle w:val="TableContents"/>
              <w:spacing w:before="0" w:after="0"/>
              <w:ind w:left="0" w:right="0" w:hanging="0"/>
              <w:rPr/>
            </w:pPr>
            <w:r>
              <w:rPr/>
              <w:t> </w:t>
            </w:r>
          </w:p>
        </w:tc>
        <w:tc>
          <w:tcPr>
            <w:tcW w:w="1261"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14,839</w:t>
            </w:r>
          </w:p>
        </w:tc>
        <w:tc>
          <w:tcPr>
            <w:tcW w:w="120" w:type="dxa"/>
            <w:tcBorders/>
            <w:shd w:fill="auto" w:val="clear"/>
            <w:tcMar>
              <w:bottom w:w="0" w:type="dxa"/>
            </w:tcMar>
            <w:vAlign w:val="bottom"/>
          </w:tcPr>
          <w:p>
            <w:pPr>
              <w:pStyle w:val="TableContents"/>
              <w:spacing w:before="0" w:after="0"/>
              <w:ind w:left="0" w:right="0" w:hanging="0"/>
              <w:rPr/>
            </w:pPr>
            <w:r>
              <w:rPr/>
              <w:t> </w:t>
            </w:r>
          </w:p>
        </w:tc>
      </w:tr>
      <w:tr>
        <w:trPr/>
        <w:tc>
          <w:tcPr>
            <w:tcW w:w="424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U.S. agency mortgage-backed securities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6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23,023</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46"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46"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(835</w:t>
            </w:r>
          </w:p>
        </w:tc>
        <w:tc>
          <w:tcPr>
            <w:tcW w:w="2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22,241</w:t>
            </w:r>
          </w:p>
        </w:tc>
        <w:tc>
          <w:tcPr>
            <w:tcW w:w="120" w:type="dxa"/>
            <w:tcBorders/>
            <w:shd w:fill="CCEEFF" w:val="clear"/>
            <w:tcMar>
              <w:bottom w:w="0" w:type="dxa"/>
            </w:tcMar>
            <w:vAlign w:val="bottom"/>
          </w:tcPr>
          <w:p>
            <w:pPr>
              <w:pStyle w:val="TableContents"/>
              <w:spacing w:before="0" w:after="0"/>
              <w:ind w:left="0" w:right="0" w:hanging="0"/>
              <w:rPr/>
            </w:pPr>
            <w:r>
              <w:rPr/>
              <w:t> </w:t>
            </w:r>
          </w:p>
        </w:tc>
      </w:tr>
      <w:tr>
        <w:trPr/>
        <w:tc>
          <w:tcPr>
            <w:tcW w:w="424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Municipal debt securities(1)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62"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57,947</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w:t>
            </w:r>
          </w:p>
        </w:tc>
        <w:tc>
          <w:tcPr>
            <w:tcW w:w="2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57,650</w:t>
            </w:r>
          </w:p>
        </w:tc>
        <w:tc>
          <w:tcPr>
            <w:tcW w:w="120" w:type="dxa"/>
            <w:tcBorders/>
            <w:shd w:fill="auto" w:val="clear"/>
            <w:tcMar>
              <w:bottom w:w="0" w:type="dxa"/>
            </w:tcMar>
            <w:vAlign w:val="bottom"/>
          </w:tcPr>
          <w:p>
            <w:pPr>
              <w:pStyle w:val="TableContents"/>
              <w:spacing w:before="0" w:after="0"/>
              <w:ind w:left="0" w:right="0" w:hanging="0"/>
              <w:rPr/>
            </w:pPr>
            <w:r>
              <w:rPr/>
              <w:t> </w:t>
            </w:r>
          </w:p>
        </w:tc>
      </w:tr>
      <w:tr>
        <w:trPr/>
        <w:tc>
          <w:tcPr>
            <w:tcW w:w="424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Corporate debt securities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6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126,311</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46"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46"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(1,096</w:t>
            </w:r>
          </w:p>
        </w:tc>
        <w:tc>
          <w:tcPr>
            <w:tcW w:w="2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125,593</w:t>
            </w:r>
          </w:p>
        </w:tc>
        <w:tc>
          <w:tcPr>
            <w:tcW w:w="120" w:type="dxa"/>
            <w:tcBorders/>
            <w:shd w:fill="CCEEFF" w:val="clear"/>
            <w:tcMar>
              <w:bottom w:w="0" w:type="dxa"/>
            </w:tcMar>
            <w:vAlign w:val="bottom"/>
          </w:tcPr>
          <w:p>
            <w:pPr>
              <w:pStyle w:val="TableContents"/>
              <w:spacing w:before="0" w:after="0"/>
              <w:ind w:left="0" w:right="0" w:hanging="0"/>
              <w:rPr/>
            </w:pPr>
            <w:r>
              <w:rPr/>
              <w:t> </w:t>
            </w:r>
          </w:p>
        </w:tc>
      </w:tr>
      <w:tr>
        <w:trPr/>
        <w:tc>
          <w:tcPr>
            <w:tcW w:w="424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Mortgage-backed securities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62"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19,219</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2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18,581</w:t>
            </w:r>
          </w:p>
        </w:tc>
        <w:tc>
          <w:tcPr>
            <w:tcW w:w="120" w:type="dxa"/>
            <w:tcBorders/>
            <w:shd w:fill="auto" w:val="clear"/>
            <w:tcMar>
              <w:bottom w:w="0" w:type="dxa"/>
            </w:tcMar>
            <w:vAlign w:val="bottom"/>
          </w:tcPr>
          <w:p>
            <w:pPr>
              <w:pStyle w:val="TableContents"/>
              <w:spacing w:before="0" w:after="0"/>
              <w:ind w:left="0" w:right="0" w:hanging="0"/>
              <w:rPr/>
            </w:pPr>
            <w:r>
              <w:rPr/>
              <w:t> </w:t>
            </w:r>
          </w:p>
        </w:tc>
      </w:tr>
      <w:tr>
        <w:trPr/>
        <w:tc>
          <w:tcPr>
            <w:tcW w:w="424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Asset-backed securities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6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20,340</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46"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46"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20,385</w:t>
            </w:r>
          </w:p>
        </w:tc>
        <w:tc>
          <w:tcPr>
            <w:tcW w:w="120" w:type="dxa"/>
            <w:tcBorders/>
            <w:shd w:fill="CCEEFF" w:val="clear"/>
            <w:tcMar>
              <w:bottom w:w="0" w:type="dxa"/>
            </w:tcMar>
            <w:vAlign w:val="bottom"/>
          </w:tcPr>
          <w:p>
            <w:pPr>
              <w:pStyle w:val="TableContents"/>
              <w:spacing w:before="0" w:after="0"/>
              <w:ind w:left="0" w:right="0" w:hanging="0"/>
              <w:rPr/>
            </w:pPr>
            <w:r>
              <w:rPr/>
              <w:t> </w:t>
            </w:r>
          </w:p>
        </w:tc>
      </w:tr>
      <w:tr>
        <w:trPr/>
        <w:tc>
          <w:tcPr>
            <w:tcW w:w="424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Money market funds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62"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14,079</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6"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tcMar>
              <w:bottom w:w="0" w:type="dxa"/>
            </w:tcMar>
            <w:vAlign w:val="bottom"/>
          </w:tcPr>
          <w:p>
            <w:pPr>
              <w:pStyle w:val="TableContents"/>
              <w:spacing w:before="0" w:after="0"/>
              <w:ind w:left="0" w:right="0" w:hanging="0"/>
              <w:rPr/>
            </w:pPr>
            <w:r>
              <w:rPr/>
              <w:t> </w:t>
            </w:r>
          </w:p>
        </w:tc>
        <w:tc>
          <w:tcPr>
            <w:tcW w:w="1261"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14,079</w:t>
            </w:r>
          </w:p>
        </w:tc>
        <w:tc>
          <w:tcPr>
            <w:tcW w:w="120" w:type="dxa"/>
            <w:tcBorders/>
            <w:shd w:fill="auto" w:val="clear"/>
            <w:tcMar>
              <w:bottom w:w="0" w:type="dxa"/>
            </w:tcMar>
            <w:vAlign w:val="bottom"/>
          </w:tcPr>
          <w:p>
            <w:pPr>
              <w:pStyle w:val="TableContents"/>
              <w:spacing w:before="0" w:after="0"/>
              <w:ind w:left="0" w:right="0" w:hanging="0"/>
              <w:rPr/>
            </w:pPr>
            <w:r>
              <w:rPr/>
              <w:t> </w:t>
            </w:r>
          </w:p>
        </w:tc>
      </w:tr>
      <w:tr>
        <w:trPr/>
        <w:tc>
          <w:tcPr>
            <w:tcW w:w="424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Total investments available for sale</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29"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334,782</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8"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8"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1,720</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3"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3"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(3,947</w:t>
            </w:r>
          </w:p>
        </w:tc>
        <w:tc>
          <w:tcPr>
            <w:tcW w:w="2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2"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332,555</w:t>
            </w:r>
          </w:p>
        </w:tc>
        <w:tc>
          <w:tcPr>
            <w:tcW w:w="120"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At September 30, 2014, approximately 59.3% of municipal debt securities were special revenue bonds, 37.3% were general obligation bonds, 2.1% were tax allocation bonds, 0.8% were certification of participation bonds and 0.5% were special assessment bonds. At December 31, 2013, all municipal debt securities were general obligation bonds.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amortized cost and fair value of available for sale securities at September 30, 2014, by contractual maturity, are shown below. Expected maturities will differ from contractual maturities because borrowers may have the right to call or prepay obligations with or without call or prepayment penalties. Because most mortgage-backed securities and asset-backed securities provide for periodic payments throughout their lives, they are listed below in separate categories.</w:t>
      </w:r>
    </w:p>
    <w:p>
      <w:pPr>
        <w:pStyle w:val="TextBody"/>
        <w:spacing w:before="0" w:after="0"/>
        <w:ind w:left="0" w:right="0" w:hanging="0"/>
        <w:jc w:val="center"/>
        <w:rPr/>
      </w:pPr>
      <w:r>
        <w:rPr/>
        <w:t> </w:t>
      </w:r>
    </w:p>
    <w:tbl>
      <w:tblPr>
        <w:tblW w:w="4000" w:type="pct"/>
        <w:jc w:val="left"/>
        <w:tblInd w:w="0" w:type="dxa"/>
        <w:tblCellMar>
          <w:top w:w="0" w:type="dxa"/>
          <w:left w:w="0" w:type="dxa"/>
          <w:bottom w:w="0" w:type="dxa"/>
          <w:right w:w="0" w:type="dxa"/>
        </w:tblCellMar>
      </w:tblPr>
      <w:tblGrid>
        <w:gridCol w:w="5031"/>
        <w:gridCol w:w="243"/>
        <w:gridCol w:w="110"/>
        <w:gridCol w:w="1165"/>
        <w:gridCol w:w="243"/>
        <w:gridCol w:w="110"/>
        <w:gridCol w:w="1165"/>
        <w:gridCol w:w="97"/>
      </w:tblGrid>
      <w:tr>
        <w:trPr/>
        <w:tc>
          <w:tcPr>
            <w:tcW w:w="5031" w:type="dxa"/>
            <w:tcBorders/>
            <w:shd w:fill="auto" w:val="clear"/>
            <w:vAlign w:val="bottom"/>
          </w:tcPr>
          <w:p>
            <w:pPr>
              <w:pStyle w:val="TableContents"/>
              <w:spacing w:before="0" w:after="0"/>
              <w:ind w:left="0" w:right="0" w:hanging="0"/>
              <w:rPr/>
            </w:pPr>
            <w:r>
              <w:rPr/>
              <w:t> </w:t>
            </w:r>
          </w:p>
        </w:tc>
        <w:tc>
          <w:tcPr>
            <w:tcW w:w="243" w:type="dxa"/>
            <w:tcBorders/>
            <w:shd w:fill="auto" w:val="clear"/>
            <w:vAlign w:val="bottom"/>
          </w:tcPr>
          <w:p>
            <w:pPr>
              <w:pStyle w:val="TableContents"/>
              <w:spacing w:before="0" w:after="0"/>
              <w:ind w:left="0" w:right="0" w:hanging="0"/>
              <w:jc w:val="center"/>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Amortized</w:t>
              <w:br/>
              <w:t>Cost</w:t>
            </w:r>
          </w:p>
        </w:tc>
        <w:tc>
          <w:tcPr>
            <w:tcW w:w="243" w:type="dxa"/>
            <w:tcBorders/>
            <w:shd w:fill="auto" w:val="clear"/>
            <w:vAlign w:val="bottom"/>
          </w:tcPr>
          <w:p>
            <w:pPr>
              <w:pStyle w:val="TableContents"/>
              <w:spacing w:before="0" w:after="0"/>
              <w:ind w:left="0" w:right="0" w:hanging="0"/>
              <w:jc w:val="center"/>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w:t>
              <w:br/>
              <w:t>Value</w:t>
            </w:r>
          </w:p>
        </w:tc>
        <w:tc>
          <w:tcPr>
            <w:tcW w:w="97" w:type="dxa"/>
            <w:tcBorders/>
            <w:shd w:fill="auto" w:val="clear"/>
            <w:vAlign w:val="bottom"/>
          </w:tcPr>
          <w:p>
            <w:pPr>
              <w:pStyle w:val="TableContents"/>
              <w:spacing w:before="0" w:after="0"/>
              <w:ind w:left="0" w:right="0" w:hanging="0"/>
              <w:jc w:val="center"/>
              <w:rPr/>
            </w:pPr>
            <w:r>
              <w:rPr/>
              <w:t> </w:t>
            </w:r>
          </w:p>
        </w:tc>
      </w:tr>
      <w:tr>
        <w:trPr/>
        <w:tc>
          <w:tcPr>
            <w:tcW w:w="503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U.S. Treasury securities:</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pPr>
            <w:r>
              <w:rPr/>
              <w:t> </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pPr>
            <w:r>
              <w:rPr/>
              <w:t> </w:t>
            </w:r>
          </w:p>
        </w:tc>
        <w:tc>
          <w:tcPr>
            <w:tcW w:w="97" w:type="dxa"/>
            <w:tcBorders/>
            <w:shd w:fill="CCEEFF" w:val="clear"/>
            <w:vAlign w:val="bottom"/>
          </w:tcPr>
          <w:p>
            <w:pPr>
              <w:pStyle w:val="TableContents"/>
              <w:spacing w:before="0" w:after="0"/>
              <w:ind w:left="0" w:right="0" w:hanging="0"/>
              <w:rPr/>
            </w:pPr>
            <w:r>
              <w:rPr/>
              <w:t> </w:t>
            </w:r>
          </w:p>
        </w:tc>
      </w:tr>
      <w:tr>
        <w:trPr/>
        <w:tc>
          <w:tcPr>
            <w:tcW w:w="5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Due in 1 year</w:t>
            </w:r>
          </w:p>
        </w:tc>
        <w:tc>
          <w:tcPr>
            <w:tcW w:w="24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9,047</w:t>
            </w:r>
          </w:p>
        </w:tc>
        <w:tc>
          <w:tcPr>
            <w:tcW w:w="24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9,079</w:t>
            </w:r>
          </w:p>
        </w:tc>
        <w:tc>
          <w:tcPr>
            <w:tcW w:w="97" w:type="dxa"/>
            <w:tcBorders/>
            <w:shd w:fill="auto" w:val="clear"/>
            <w:vAlign w:val="bottom"/>
          </w:tcPr>
          <w:p>
            <w:pPr>
              <w:pStyle w:val="TableContents"/>
              <w:spacing w:before="0" w:after="0"/>
              <w:ind w:left="0" w:right="0" w:hanging="0"/>
              <w:rPr/>
            </w:pPr>
            <w:r>
              <w:rPr/>
              <w:t> </w:t>
            </w:r>
          </w:p>
        </w:tc>
      </w:tr>
      <w:tr>
        <w:trPr/>
        <w:tc>
          <w:tcPr>
            <w:tcW w:w="503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Due after 1 but within 5 years</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8,962</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8,997</w:t>
            </w:r>
          </w:p>
        </w:tc>
        <w:tc>
          <w:tcPr>
            <w:tcW w:w="97" w:type="dxa"/>
            <w:tcBorders/>
            <w:shd w:fill="CCEEFF" w:val="clear"/>
            <w:vAlign w:val="bottom"/>
          </w:tcPr>
          <w:p>
            <w:pPr>
              <w:pStyle w:val="TableContents"/>
              <w:spacing w:before="0" w:after="0"/>
              <w:ind w:left="0" w:right="0" w:hanging="0"/>
              <w:rPr/>
            </w:pPr>
            <w:r>
              <w:rPr/>
              <w:t> </w:t>
            </w:r>
          </w:p>
        </w:tc>
      </w:tr>
      <w:tr>
        <w:trPr/>
        <w:tc>
          <w:tcPr>
            <w:tcW w:w="5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Due after 5 but within 10 years</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50,836</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50,527</w:t>
            </w:r>
          </w:p>
        </w:tc>
        <w:tc>
          <w:tcPr>
            <w:tcW w:w="97" w:type="dxa"/>
            <w:tcBorders/>
            <w:shd w:fill="auto" w:val="clear"/>
            <w:vAlign w:val="bottom"/>
          </w:tcPr>
          <w:p>
            <w:pPr>
              <w:pStyle w:val="TableContents"/>
              <w:spacing w:before="0" w:after="0"/>
              <w:ind w:left="0" w:right="0" w:hanging="0"/>
              <w:rPr/>
            </w:pPr>
            <w:r>
              <w:rPr/>
              <w:t> </w:t>
            </w:r>
          </w:p>
        </w:tc>
      </w:tr>
      <w:tr>
        <w:trPr/>
        <w:tc>
          <w:tcPr>
            <w:tcW w:w="503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68,845</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68,603</w:t>
            </w:r>
          </w:p>
        </w:tc>
        <w:tc>
          <w:tcPr>
            <w:tcW w:w="97" w:type="dxa"/>
            <w:tcBorders/>
            <w:shd w:fill="CCEEFF" w:val="clear"/>
            <w:vAlign w:val="bottom"/>
          </w:tcPr>
          <w:p>
            <w:pPr>
              <w:pStyle w:val="TableContents"/>
              <w:spacing w:before="0" w:after="0"/>
              <w:ind w:left="0" w:right="0" w:hanging="0"/>
              <w:rPr/>
            </w:pPr>
            <w:r>
              <w:rPr/>
              <w:t> </w:t>
            </w:r>
          </w:p>
        </w:tc>
      </w:tr>
      <w:tr>
        <w:trPr/>
        <w:tc>
          <w:tcPr>
            <w:tcW w:w="5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 agency securities:</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pPr>
            <w:r>
              <w:rPr/>
              <w:t> </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pPr>
            <w:r>
              <w:rPr/>
              <w:t> </w:t>
            </w:r>
          </w:p>
        </w:tc>
        <w:tc>
          <w:tcPr>
            <w:tcW w:w="97" w:type="dxa"/>
            <w:tcBorders/>
            <w:shd w:fill="auto" w:val="clear"/>
            <w:vAlign w:val="bottom"/>
          </w:tcPr>
          <w:p>
            <w:pPr>
              <w:pStyle w:val="TableContents"/>
              <w:spacing w:before="0" w:after="0"/>
              <w:ind w:left="0" w:right="0" w:hanging="0"/>
              <w:rPr/>
            </w:pPr>
            <w:r>
              <w:rPr/>
              <w:t> </w:t>
            </w:r>
          </w:p>
        </w:tc>
      </w:tr>
      <w:tr>
        <w:trPr/>
        <w:tc>
          <w:tcPr>
            <w:tcW w:w="503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Due in 1 year</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2,910</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2,913</w:t>
            </w:r>
          </w:p>
        </w:tc>
        <w:tc>
          <w:tcPr>
            <w:tcW w:w="97" w:type="dxa"/>
            <w:tcBorders/>
            <w:shd w:fill="CCEEFF" w:val="clear"/>
            <w:vAlign w:val="bottom"/>
          </w:tcPr>
          <w:p>
            <w:pPr>
              <w:pStyle w:val="TableContents"/>
              <w:spacing w:before="0" w:after="0"/>
              <w:ind w:left="0" w:right="0" w:hanging="0"/>
              <w:rPr/>
            </w:pPr>
            <w:r>
              <w:rPr/>
              <w:t> </w:t>
            </w:r>
          </w:p>
        </w:tc>
      </w:tr>
      <w:tr>
        <w:trPr/>
        <w:tc>
          <w:tcPr>
            <w:tcW w:w="5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Due after 1 but within 5 years</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3,193</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3,227</w:t>
            </w:r>
          </w:p>
        </w:tc>
        <w:tc>
          <w:tcPr>
            <w:tcW w:w="97" w:type="dxa"/>
            <w:tcBorders/>
            <w:shd w:fill="auto" w:val="clear"/>
            <w:vAlign w:val="bottom"/>
          </w:tcPr>
          <w:p>
            <w:pPr>
              <w:pStyle w:val="TableContents"/>
              <w:spacing w:before="0" w:after="0"/>
              <w:ind w:left="0" w:right="0" w:hanging="0"/>
              <w:rPr/>
            </w:pPr>
            <w:r>
              <w:rPr/>
              <w:t> </w:t>
            </w:r>
          </w:p>
        </w:tc>
      </w:tr>
      <w:tr>
        <w:trPr/>
        <w:tc>
          <w:tcPr>
            <w:tcW w:w="503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6,103</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6,140</w:t>
            </w:r>
          </w:p>
        </w:tc>
        <w:tc>
          <w:tcPr>
            <w:tcW w:w="97" w:type="dxa"/>
            <w:tcBorders/>
            <w:shd w:fill="CCEEFF" w:val="clear"/>
            <w:vAlign w:val="bottom"/>
          </w:tcPr>
          <w:p>
            <w:pPr>
              <w:pStyle w:val="TableContents"/>
              <w:spacing w:before="0" w:after="0"/>
              <w:ind w:left="0" w:right="0" w:hanging="0"/>
              <w:rPr/>
            </w:pPr>
            <w:r>
              <w:rPr/>
              <w:t> </w:t>
            </w:r>
          </w:p>
        </w:tc>
      </w:tr>
      <w:tr>
        <w:trPr/>
        <w:tc>
          <w:tcPr>
            <w:tcW w:w="5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Municipal debt securities:</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pPr>
            <w:r>
              <w:rPr/>
              <w:t> </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pPr>
            <w:r>
              <w:rPr/>
              <w:t> </w:t>
            </w:r>
          </w:p>
        </w:tc>
        <w:tc>
          <w:tcPr>
            <w:tcW w:w="97" w:type="dxa"/>
            <w:tcBorders/>
            <w:shd w:fill="auto" w:val="clear"/>
            <w:vAlign w:val="bottom"/>
          </w:tcPr>
          <w:p>
            <w:pPr>
              <w:pStyle w:val="TableContents"/>
              <w:spacing w:before="0" w:after="0"/>
              <w:ind w:left="0" w:right="0" w:hanging="0"/>
              <w:rPr/>
            </w:pPr>
            <w:r>
              <w:rPr/>
              <w:t> </w:t>
            </w:r>
          </w:p>
        </w:tc>
      </w:tr>
      <w:tr>
        <w:trPr/>
        <w:tc>
          <w:tcPr>
            <w:tcW w:w="503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Due in 1 year</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884</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883</w:t>
            </w:r>
          </w:p>
        </w:tc>
        <w:tc>
          <w:tcPr>
            <w:tcW w:w="97" w:type="dxa"/>
            <w:tcBorders/>
            <w:shd w:fill="CCEEFF" w:val="clear"/>
            <w:vAlign w:val="bottom"/>
          </w:tcPr>
          <w:p>
            <w:pPr>
              <w:pStyle w:val="TableContents"/>
              <w:spacing w:before="0" w:after="0"/>
              <w:ind w:left="0" w:right="0" w:hanging="0"/>
              <w:rPr/>
            </w:pPr>
            <w:r>
              <w:rPr/>
              <w:t> </w:t>
            </w:r>
          </w:p>
        </w:tc>
      </w:tr>
      <w:tr>
        <w:trPr/>
        <w:tc>
          <w:tcPr>
            <w:tcW w:w="5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Due after 1 but within 5 years</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75,495</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75,920</w:t>
            </w:r>
          </w:p>
        </w:tc>
        <w:tc>
          <w:tcPr>
            <w:tcW w:w="97" w:type="dxa"/>
            <w:tcBorders/>
            <w:shd w:fill="auto" w:val="clear"/>
            <w:vAlign w:val="bottom"/>
          </w:tcPr>
          <w:p>
            <w:pPr>
              <w:pStyle w:val="TableContents"/>
              <w:spacing w:before="0" w:after="0"/>
              <w:ind w:left="0" w:right="0" w:hanging="0"/>
              <w:rPr/>
            </w:pPr>
            <w:r>
              <w:rPr/>
              <w:t> </w:t>
            </w:r>
          </w:p>
        </w:tc>
      </w:tr>
      <w:tr>
        <w:trPr/>
        <w:tc>
          <w:tcPr>
            <w:tcW w:w="503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Due after 5 but within 10 years</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61,557</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63,203</w:t>
            </w:r>
          </w:p>
        </w:tc>
        <w:tc>
          <w:tcPr>
            <w:tcW w:w="97" w:type="dxa"/>
            <w:tcBorders/>
            <w:shd w:fill="CCEEFF" w:val="clear"/>
            <w:vAlign w:val="bottom"/>
          </w:tcPr>
          <w:p>
            <w:pPr>
              <w:pStyle w:val="TableContents"/>
              <w:spacing w:before="0" w:after="0"/>
              <w:ind w:left="0" w:right="0" w:hanging="0"/>
              <w:rPr/>
            </w:pPr>
            <w:r>
              <w:rPr/>
              <w:t> </w:t>
            </w:r>
          </w:p>
        </w:tc>
      </w:tr>
      <w:tr>
        <w:trPr/>
        <w:tc>
          <w:tcPr>
            <w:tcW w:w="5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Due after 10 years</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49,373</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50,650</w:t>
            </w:r>
          </w:p>
        </w:tc>
        <w:tc>
          <w:tcPr>
            <w:tcW w:w="97" w:type="dxa"/>
            <w:tcBorders/>
            <w:shd w:fill="auto" w:val="clear"/>
            <w:vAlign w:val="bottom"/>
          </w:tcPr>
          <w:p>
            <w:pPr>
              <w:pStyle w:val="TableContents"/>
              <w:spacing w:before="0" w:after="0"/>
              <w:ind w:left="0" w:right="0" w:hanging="0"/>
              <w:rPr/>
            </w:pPr>
            <w:r>
              <w:rPr/>
              <w:t> </w:t>
            </w:r>
          </w:p>
        </w:tc>
      </w:tr>
      <w:tr>
        <w:trPr/>
        <w:tc>
          <w:tcPr>
            <w:tcW w:w="503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187,309</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190,656</w:t>
            </w:r>
          </w:p>
        </w:tc>
        <w:tc>
          <w:tcPr>
            <w:tcW w:w="97" w:type="dxa"/>
            <w:tcBorders/>
            <w:shd w:fill="CCEEFF" w:val="clear"/>
            <w:vAlign w:val="bottom"/>
          </w:tcPr>
          <w:p>
            <w:pPr>
              <w:pStyle w:val="TableContents"/>
              <w:spacing w:before="0" w:after="0"/>
              <w:ind w:left="0" w:right="0" w:hanging="0"/>
              <w:rPr/>
            </w:pPr>
            <w:r>
              <w:rPr/>
              <w:t> </w:t>
            </w:r>
          </w:p>
        </w:tc>
      </w:tr>
      <w:tr>
        <w:trPr/>
        <w:tc>
          <w:tcPr>
            <w:tcW w:w="5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Corporate debt securities:</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pPr>
            <w:r>
              <w:rPr/>
              <w:t> </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pPr>
            <w:r>
              <w:rPr/>
              <w:t> </w:t>
            </w:r>
          </w:p>
        </w:tc>
        <w:tc>
          <w:tcPr>
            <w:tcW w:w="97" w:type="dxa"/>
            <w:tcBorders/>
            <w:shd w:fill="auto" w:val="clear"/>
            <w:vAlign w:val="bottom"/>
          </w:tcPr>
          <w:p>
            <w:pPr>
              <w:pStyle w:val="TableContents"/>
              <w:spacing w:before="0" w:after="0"/>
              <w:ind w:left="0" w:right="0" w:hanging="0"/>
              <w:rPr/>
            </w:pPr>
            <w:r>
              <w:rPr/>
              <w:t> </w:t>
            </w:r>
          </w:p>
        </w:tc>
      </w:tr>
      <w:tr>
        <w:trPr/>
        <w:tc>
          <w:tcPr>
            <w:tcW w:w="503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Due in 1 year</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11,359</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11,400</w:t>
            </w:r>
          </w:p>
        </w:tc>
        <w:tc>
          <w:tcPr>
            <w:tcW w:w="97" w:type="dxa"/>
            <w:tcBorders/>
            <w:shd w:fill="CCEEFF" w:val="clear"/>
            <w:vAlign w:val="bottom"/>
          </w:tcPr>
          <w:p>
            <w:pPr>
              <w:pStyle w:val="TableContents"/>
              <w:spacing w:before="0" w:after="0"/>
              <w:ind w:left="0" w:right="0" w:hanging="0"/>
              <w:rPr/>
            </w:pPr>
            <w:r>
              <w:rPr/>
              <w:t> </w:t>
            </w:r>
          </w:p>
        </w:tc>
      </w:tr>
      <w:tr>
        <w:trPr/>
        <w:tc>
          <w:tcPr>
            <w:tcW w:w="5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Due after 1 but within 5 years</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182,825</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182,900</w:t>
            </w:r>
          </w:p>
        </w:tc>
        <w:tc>
          <w:tcPr>
            <w:tcW w:w="97" w:type="dxa"/>
            <w:tcBorders/>
            <w:shd w:fill="auto" w:val="clear"/>
            <w:vAlign w:val="bottom"/>
          </w:tcPr>
          <w:p>
            <w:pPr>
              <w:pStyle w:val="TableContents"/>
              <w:spacing w:before="0" w:after="0"/>
              <w:ind w:left="0" w:right="0" w:hanging="0"/>
              <w:rPr/>
            </w:pPr>
            <w:r>
              <w:rPr/>
              <w:t> </w:t>
            </w:r>
          </w:p>
        </w:tc>
      </w:tr>
      <w:tr>
        <w:trPr/>
        <w:tc>
          <w:tcPr>
            <w:tcW w:w="503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Due after 5 but within 10 years</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75,116</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75,813</w:t>
            </w:r>
          </w:p>
        </w:tc>
        <w:tc>
          <w:tcPr>
            <w:tcW w:w="97" w:type="dxa"/>
            <w:tcBorders/>
            <w:shd w:fill="CCEEFF" w:val="clear"/>
            <w:vAlign w:val="bottom"/>
          </w:tcPr>
          <w:p>
            <w:pPr>
              <w:pStyle w:val="TableContents"/>
              <w:spacing w:before="0" w:after="0"/>
              <w:ind w:left="0" w:right="0" w:hanging="0"/>
              <w:rPr/>
            </w:pPr>
            <w:r>
              <w:rPr/>
              <w:t> </w:t>
            </w:r>
          </w:p>
        </w:tc>
      </w:tr>
      <w:tr>
        <w:trPr/>
        <w:tc>
          <w:tcPr>
            <w:tcW w:w="5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Due after 10 years</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1,875</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1,875</w:t>
            </w:r>
          </w:p>
        </w:tc>
        <w:tc>
          <w:tcPr>
            <w:tcW w:w="97" w:type="dxa"/>
            <w:tcBorders/>
            <w:shd w:fill="auto" w:val="clear"/>
            <w:vAlign w:val="bottom"/>
          </w:tcPr>
          <w:p>
            <w:pPr>
              <w:pStyle w:val="TableContents"/>
              <w:spacing w:before="0" w:after="0"/>
              <w:ind w:left="0" w:right="0" w:hanging="0"/>
              <w:rPr/>
            </w:pPr>
            <w:r>
              <w:rPr/>
              <w:t> </w:t>
            </w:r>
          </w:p>
        </w:tc>
      </w:tr>
      <w:tr>
        <w:trPr/>
        <w:tc>
          <w:tcPr>
            <w:tcW w:w="503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271,175</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271,988</w:t>
            </w:r>
          </w:p>
        </w:tc>
        <w:tc>
          <w:tcPr>
            <w:tcW w:w="97" w:type="dxa"/>
            <w:tcBorders/>
            <w:shd w:fill="CCEEFF" w:val="clear"/>
            <w:vAlign w:val="bottom"/>
          </w:tcPr>
          <w:p>
            <w:pPr>
              <w:pStyle w:val="TableContents"/>
              <w:spacing w:before="0" w:after="0"/>
              <w:ind w:left="0" w:right="0" w:hanging="0"/>
              <w:rPr/>
            </w:pPr>
            <w:r>
              <w:rPr/>
              <w:t> </w:t>
            </w:r>
          </w:p>
        </w:tc>
      </w:tr>
      <w:tr>
        <w:trPr/>
        <w:tc>
          <w:tcPr>
            <w:tcW w:w="5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 agency mortgage-backed securities</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68,861</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69,143</w:t>
            </w:r>
          </w:p>
        </w:tc>
        <w:tc>
          <w:tcPr>
            <w:tcW w:w="97" w:type="dxa"/>
            <w:tcBorders/>
            <w:shd w:fill="auto" w:val="clear"/>
            <w:vAlign w:val="bottom"/>
          </w:tcPr>
          <w:p>
            <w:pPr>
              <w:pStyle w:val="TableContents"/>
              <w:spacing w:before="0" w:after="0"/>
              <w:ind w:left="0" w:right="0" w:hanging="0"/>
              <w:rPr/>
            </w:pPr>
            <w:r>
              <w:rPr/>
              <w:t> </w:t>
            </w:r>
          </w:p>
        </w:tc>
      </w:tr>
      <w:tr>
        <w:trPr/>
        <w:tc>
          <w:tcPr>
            <w:tcW w:w="503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Mortgage-backed securities</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62,903</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62,276</w:t>
            </w:r>
          </w:p>
        </w:tc>
        <w:tc>
          <w:tcPr>
            <w:tcW w:w="97" w:type="dxa"/>
            <w:tcBorders/>
            <w:shd w:fill="CCEEFF" w:val="clear"/>
            <w:vAlign w:val="bottom"/>
          </w:tcPr>
          <w:p>
            <w:pPr>
              <w:pStyle w:val="TableContents"/>
              <w:spacing w:before="0" w:after="0"/>
              <w:ind w:left="0" w:right="0" w:hanging="0"/>
              <w:rPr/>
            </w:pPr>
            <w:r>
              <w:rPr/>
              <w:t> </w:t>
            </w:r>
          </w:p>
        </w:tc>
      </w:tr>
      <w:tr>
        <w:trPr/>
        <w:tc>
          <w:tcPr>
            <w:tcW w:w="5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Asset-backed securities</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121,959</w:t>
            </w:r>
          </w:p>
        </w:tc>
        <w:tc>
          <w:tcPr>
            <w:tcW w:w="243" w:type="dxa"/>
            <w:tcBorders/>
            <w:shd w:fill="auto"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122,082</w:t>
            </w:r>
          </w:p>
        </w:tc>
        <w:tc>
          <w:tcPr>
            <w:tcW w:w="97" w:type="dxa"/>
            <w:tcBorders/>
            <w:shd w:fill="auto" w:val="clear"/>
            <w:vAlign w:val="bottom"/>
          </w:tcPr>
          <w:p>
            <w:pPr>
              <w:pStyle w:val="TableContents"/>
              <w:spacing w:before="0" w:after="0"/>
              <w:ind w:left="0" w:right="0" w:hanging="0"/>
              <w:rPr/>
            </w:pPr>
            <w:r>
              <w:rPr/>
              <w:t> </w:t>
            </w:r>
          </w:p>
        </w:tc>
      </w:tr>
      <w:tr>
        <w:trPr/>
        <w:tc>
          <w:tcPr>
            <w:tcW w:w="503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Money market funds</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106,263</w:t>
            </w:r>
          </w:p>
        </w:tc>
        <w:tc>
          <w:tcPr>
            <w:tcW w:w="24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106,263</w:t>
            </w:r>
          </w:p>
        </w:tc>
        <w:tc>
          <w:tcPr>
            <w:tcW w:w="97" w:type="dxa"/>
            <w:tcBorders/>
            <w:shd w:fill="CCEEFF" w:val="clear"/>
            <w:vAlign w:val="bottom"/>
          </w:tcPr>
          <w:p>
            <w:pPr>
              <w:pStyle w:val="TableContents"/>
              <w:spacing w:before="0" w:after="0"/>
              <w:ind w:left="0" w:right="0" w:hanging="0"/>
              <w:rPr/>
            </w:pPr>
            <w:r>
              <w:rPr/>
              <w:t> </w:t>
            </w:r>
          </w:p>
        </w:tc>
      </w:tr>
      <w:tr>
        <w:trPr/>
        <w:tc>
          <w:tcPr>
            <w:tcW w:w="5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investments available for sale</w:t>
            </w:r>
          </w:p>
        </w:tc>
        <w:tc>
          <w:tcPr>
            <w:tcW w:w="24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893,418</w:t>
            </w:r>
          </w:p>
        </w:tc>
        <w:tc>
          <w:tcPr>
            <w:tcW w:w="24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897,151</w:t>
            </w:r>
          </w:p>
        </w:tc>
        <w:tc>
          <w:tcPr>
            <w:tcW w:w="9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Essent realized gross gains and losses on the sale of investments available for sale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27"/>
        <w:gridCol w:w="182"/>
        <w:gridCol w:w="337"/>
        <w:gridCol w:w="1381"/>
        <w:gridCol w:w="281"/>
        <w:gridCol w:w="337"/>
        <w:gridCol w:w="941"/>
        <w:gridCol w:w="182"/>
        <w:gridCol w:w="291"/>
        <w:gridCol w:w="1260"/>
        <w:gridCol w:w="295"/>
        <w:gridCol w:w="291"/>
        <w:gridCol w:w="1078"/>
        <w:gridCol w:w="122"/>
      </w:tblGrid>
      <w:tr>
        <w:trPr/>
        <w:tc>
          <w:tcPr>
            <w:tcW w:w="3227"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327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w:t>
            </w:r>
          </w:p>
        </w:tc>
        <w:tc>
          <w:tcPr>
            <w:tcW w:w="182" w:type="dxa"/>
            <w:tcBorders/>
            <w:shd w:fill="auto" w:val="clear"/>
            <w:vAlign w:val="bottom"/>
          </w:tcPr>
          <w:p>
            <w:pPr>
              <w:pStyle w:val="TableContents"/>
              <w:spacing w:before="0" w:after="0"/>
              <w:ind w:left="0" w:right="0" w:hanging="0"/>
              <w:jc w:val="center"/>
              <w:rPr/>
            </w:pPr>
            <w:r>
              <w:rPr/>
              <w:t> </w:t>
            </w:r>
          </w:p>
        </w:tc>
        <w:tc>
          <w:tcPr>
            <w:tcW w:w="321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22" w:type="dxa"/>
            <w:tcBorders/>
            <w:shd w:fill="auto" w:val="clear"/>
            <w:vAlign w:val="bottom"/>
          </w:tcPr>
          <w:p>
            <w:pPr>
              <w:pStyle w:val="TableContents"/>
              <w:spacing w:before="0" w:after="0"/>
              <w:ind w:left="0" w:right="0" w:hanging="0"/>
              <w:jc w:val="center"/>
              <w:rPr/>
            </w:pPr>
            <w:r>
              <w:rPr/>
              <w:t> </w:t>
            </w:r>
          </w:p>
        </w:tc>
      </w:tr>
      <w:tr>
        <w:trPr/>
        <w:tc>
          <w:tcPr>
            <w:tcW w:w="3227"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7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81" w:type="dxa"/>
            <w:tcBorders/>
            <w:shd w:fill="auto" w:val="clear"/>
            <w:vAlign w:val="bottom"/>
          </w:tcPr>
          <w:p>
            <w:pPr>
              <w:pStyle w:val="TableContents"/>
              <w:spacing w:before="0" w:after="0"/>
              <w:ind w:left="0" w:right="0" w:hanging="0"/>
              <w:jc w:val="center"/>
              <w:rPr/>
            </w:pPr>
            <w:r>
              <w:rPr/>
              <w:t> </w:t>
            </w:r>
          </w:p>
        </w:tc>
        <w:tc>
          <w:tcPr>
            <w:tcW w:w="127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82" w:type="dxa"/>
            <w:tcBorders/>
            <w:shd w:fill="auto" w:val="clear"/>
            <w:vAlign w:val="bottom"/>
          </w:tcPr>
          <w:p>
            <w:pPr>
              <w:pStyle w:val="TableContents"/>
              <w:spacing w:before="0" w:after="0"/>
              <w:ind w:left="0" w:right="0" w:hanging="0"/>
              <w:jc w:val="center"/>
              <w:rPr/>
            </w:pPr>
            <w:r>
              <w:rPr/>
              <w:t> </w:t>
            </w:r>
          </w:p>
        </w:tc>
        <w:tc>
          <w:tcPr>
            <w:tcW w:w="15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6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2" w:type="dxa"/>
            <w:tcBorders/>
            <w:shd w:fill="auto" w:val="clear"/>
            <w:vAlign w:val="bottom"/>
          </w:tcPr>
          <w:p>
            <w:pPr>
              <w:pStyle w:val="TableContents"/>
              <w:spacing w:before="0" w:after="0"/>
              <w:ind w:left="0" w:right="0" w:hanging="0"/>
              <w:jc w:val="center"/>
              <w:rPr/>
            </w:pPr>
            <w:r>
              <w:rPr/>
              <w:t> </w:t>
            </w:r>
          </w:p>
        </w:tc>
      </w:tr>
      <w:tr>
        <w:trPr/>
        <w:tc>
          <w:tcPr>
            <w:tcW w:w="322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Realized gross gains</w:t>
            </w:r>
          </w:p>
        </w:tc>
        <w:tc>
          <w:tcPr>
            <w:tcW w:w="182" w:type="dxa"/>
            <w:tcBorders/>
            <w:shd w:fill="CCEEFF" w:val="clear"/>
            <w:vAlign w:val="bottom"/>
          </w:tcPr>
          <w:p>
            <w:pPr>
              <w:pStyle w:val="TableContents"/>
              <w:spacing w:before="0" w:after="0"/>
              <w:ind w:left="0" w:right="0" w:hanging="0"/>
              <w:rPr/>
            </w:pPr>
            <w:r>
              <w:rPr/>
              <w:t> </w:t>
            </w:r>
          </w:p>
        </w:tc>
        <w:tc>
          <w:tcPr>
            <w:tcW w:w="3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81" w:type="dxa"/>
            <w:tcBorders/>
            <w:shd w:fill="CCEEFF" w:val="clear"/>
            <w:vAlign w:val="bottom"/>
          </w:tcPr>
          <w:p>
            <w:pPr>
              <w:pStyle w:val="TableContents"/>
              <w:spacing w:before="0" w:after="0"/>
              <w:ind w:left="0" w:right="0" w:hanging="0"/>
              <w:rPr/>
            </w:pPr>
            <w:r>
              <w:rPr/>
              <w:t> </w:t>
            </w:r>
          </w:p>
        </w:tc>
        <w:tc>
          <w:tcPr>
            <w:tcW w:w="3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2" w:type="dxa"/>
            <w:tcBorders/>
            <w:shd w:fill="CCEEFF" w:val="clear"/>
            <w:vAlign w:val="bottom"/>
          </w:tcPr>
          <w:p>
            <w:pPr>
              <w:pStyle w:val="TableContents"/>
              <w:spacing w:before="0" w:after="0"/>
              <w:ind w:left="0" w:right="0" w:hanging="0"/>
              <w:rPr/>
            </w:pPr>
            <w:r>
              <w:rPr/>
              <w:t> </w:t>
            </w:r>
          </w:p>
        </w:tc>
        <w:tc>
          <w:tcPr>
            <w:tcW w:w="2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991</w:t>
            </w:r>
          </w:p>
        </w:tc>
        <w:tc>
          <w:tcPr>
            <w:tcW w:w="295" w:type="dxa"/>
            <w:tcBorders/>
            <w:shd w:fill="CCEEFF" w:val="clear"/>
            <w:vAlign w:val="bottom"/>
          </w:tcPr>
          <w:p>
            <w:pPr>
              <w:pStyle w:val="TableContents"/>
              <w:spacing w:before="0" w:after="0"/>
              <w:ind w:left="0" w:right="0" w:hanging="0"/>
              <w:rPr/>
            </w:pPr>
            <w:r>
              <w:rPr/>
              <w:t> </w:t>
            </w:r>
          </w:p>
        </w:tc>
        <w:tc>
          <w:tcPr>
            <w:tcW w:w="2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22" w:type="dxa"/>
            <w:tcBorders/>
            <w:shd w:fill="CCEEFF" w:val="clear"/>
            <w:vAlign w:val="bottom"/>
          </w:tcPr>
          <w:p>
            <w:pPr>
              <w:pStyle w:val="TableContents"/>
              <w:spacing w:before="0" w:after="0"/>
              <w:ind w:left="0" w:right="0" w:hanging="0"/>
              <w:rPr/>
            </w:pPr>
            <w:r>
              <w:rPr/>
              <w:t> </w:t>
            </w:r>
          </w:p>
        </w:tc>
      </w:tr>
      <w:tr>
        <w:trPr/>
        <w:tc>
          <w:tcPr>
            <w:tcW w:w="322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Realized gross losses</w:t>
            </w:r>
          </w:p>
        </w:tc>
        <w:tc>
          <w:tcPr>
            <w:tcW w:w="182" w:type="dxa"/>
            <w:tcBorders/>
            <w:shd w:fill="auto" w:val="clear"/>
            <w:vAlign w:val="bottom"/>
          </w:tcPr>
          <w:p>
            <w:pPr>
              <w:pStyle w:val="TableContents"/>
              <w:spacing w:before="0" w:after="0"/>
              <w:ind w:left="0" w:right="0" w:hanging="0"/>
              <w:rPr/>
            </w:pPr>
            <w:r>
              <w:rPr/>
              <w:t> </w:t>
            </w:r>
          </w:p>
        </w:tc>
        <w:tc>
          <w:tcPr>
            <w:tcW w:w="17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81"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5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(372</w:t>
            </w:r>
          </w:p>
        </w:tc>
        <w:tc>
          <w:tcPr>
            <w:tcW w:w="2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 w:type="dxa"/>
            <w:tcBorders/>
            <w:shd w:fill="auto" w:val="clear"/>
            <w:vAlign w:val="bottom"/>
          </w:tcPr>
          <w:p>
            <w:pPr>
              <w:pStyle w:val="TableContents"/>
              <w:spacing w:before="0" w:after="0"/>
              <w:ind w:left="0" w:right="0" w:hanging="0"/>
              <w:rPr/>
            </w:pPr>
            <w:r>
              <w:rPr/>
              <w:t> </w:t>
            </w:r>
          </w:p>
        </w:tc>
      </w:tr>
      <w:tr>
        <w:trPr/>
        <w:tc>
          <w:tcPr>
            <w:tcW w:w="322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8" w:name="PB_6_125134_5335"/>
      <w:bookmarkEnd w:id="1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investments in an unrealized loss position and the related unrealized losses were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16"/>
        <w:gridCol w:w="184"/>
        <w:gridCol w:w="133"/>
        <w:gridCol w:w="927"/>
        <w:gridCol w:w="184"/>
        <w:gridCol w:w="159"/>
        <w:gridCol w:w="875"/>
        <w:gridCol w:w="194"/>
        <w:gridCol w:w="133"/>
        <w:gridCol w:w="880"/>
        <w:gridCol w:w="184"/>
        <w:gridCol w:w="140"/>
        <w:gridCol w:w="895"/>
        <w:gridCol w:w="194"/>
        <w:gridCol w:w="133"/>
        <w:gridCol w:w="927"/>
        <w:gridCol w:w="184"/>
        <w:gridCol w:w="140"/>
        <w:gridCol w:w="894"/>
        <w:gridCol w:w="129"/>
      </w:tblGrid>
      <w:tr>
        <w:trPr/>
        <w:tc>
          <w:tcPr>
            <w:tcW w:w="2716"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227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Less than</w:t>
              <w:br/>
              <w:t>12 months</w:t>
            </w:r>
          </w:p>
        </w:tc>
        <w:tc>
          <w:tcPr>
            <w:tcW w:w="194" w:type="dxa"/>
            <w:tcBorders/>
            <w:shd w:fill="auto" w:val="clear"/>
            <w:vAlign w:val="bottom"/>
          </w:tcPr>
          <w:p>
            <w:pPr>
              <w:pStyle w:val="TableContents"/>
              <w:spacing w:before="0" w:after="0"/>
              <w:ind w:left="0" w:right="0" w:hanging="0"/>
              <w:jc w:val="center"/>
              <w:rPr/>
            </w:pPr>
            <w:r>
              <w:rPr/>
              <w:t> </w:t>
            </w:r>
          </w:p>
        </w:tc>
        <w:tc>
          <w:tcPr>
            <w:tcW w:w="223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or more</w:t>
            </w:r>
          </w:p>
        </w:tc>
        <w:tc>
          <w:tcPr>
            <w:tcW w:w="194" w:type="dxa"/>
            <w:tcBorders/>
            <w:shd w:fill="auto" w:val="clear"/>
            <w:vAlign w:val="bottom"/>
          </w:tcPr>
          <w:p>
            <w:pPr>
              <w:pStyle w:val="TableContents"/>
              <w:spacing w:before="0" w:after="0"/>
              <w:ind w:left="0" w:right="0" w:hanging="0"/>
              <w:jc w:val="center"/>
              <w:rPr/>
            </w:pPr>
            <w:r>
              <w:rPr/>
              <w:t> </w:t>
            </w:r>
          </w:p>
        </w:tc>
        <w:tc>
          <w:tcPr>
            <w:tcW w:w="227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9" w:type="dxa"/>
            <w:tcBorders/>
            <w:shd w:fill="auto" w:val="clear"/>
            <w:vAlign w:val="bottom"/>
          </w:tcPr>
          <w:p>
            <w:pPr>
              <w:pStyle w:val="TableContents"/>
              <w:spacing w:before="0" w:after="0"/>
              <w:ind w:left="0" w:right="0" w:hanging="0"/>
              <w:jc w:val="center"/>
              <w:rPr/>
            </w:pPr>
            <w:r>
              <w:rPr/>
              <w:t> </w:t>
            </w:r>
          </w:p>
        </w:tc>
      </w:tr>
      <w:tr>
        <w:trPr/>
        <w:tc>
          <w:tcPr>
            <w:tcW w:w="2716"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0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w:t>
              <w:br/>
              <w:t>Value</w:t>
            </w:r>
          </w:p>
        </w:tc>
        <w:tc>
          <w:tcPr>
            <w:tcW w:w="184" w:type="dxa"/>
            <w:tcBorders/>
            <w:shd w:fill="auto" w:val="clear"/>
            <w:vAlign w:val="bottom"/>
          </w:tcPr>
          <w:p>
            <w:pPr>
              <w:pStyle w:val="TableContents"/>
              <w:spacing w:before="0" w:after="0"/>
              <w:ind w:left="0" w:right="0" w:hanging="0"/>
              <w:jc w:val="center"/>
              <w:rPr/>
            </w:pPr>
            <w:r>
              <w:rPr/>
              <w:t> </w:t>
            </w:r>
          </w:p>
        </w:tc>
        <w:tc>
          <w:tcPr>
            <w:tcW w:w="103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Gross</w:t>
              <w:br/>
              <w:t>Unrealized</w:t>
              <w:br/>
              <w:t>Losses</w:t>
            </w:r>
          </w:p>
        </w:tc>
        <w:tc>
          <w:tcPr>
            <w:tcW w:w="194" w:type="dxa"/>
            <w:tcBorders/>
            <w:shd w:fill="auto" w:val="clear"/>
            <w:vAlign w:val="bottom"/>
          </w:tcPr>
          <w:p>
            <w:pPr>
              <w:pStyle w:val="TableContents"/>
              <w:spacing w:before="0" w:after="0"/>
              <w:ind w:left="0" w:right="0" w:hanging="0"/>
              <w:jc w:val="center"/>
              <w:rPr/>
            </w:pPr>
            <w:r>
              <w:rPr/>
              <w:t> </w:t>
            </w:r>
          </w:p>
        </w:tc>
        <w:tc>
          <w:tcPr>
            <w:tcW w:w="10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w:t>
              <w:br/>
              <w:t>Value</w:t>
            </w:r>
          </w:p>
        </w:tc>
        <w:tc>
          <w:tcPr>
            <w:tcW w:w="184" w:type="dxa"/>
            <w:tcBorders/>
            <w:shd w:fill="auto" w:val="clear"/>
            <w:vAlign w:val="bottom"/>
          </w:tcPr>
          <w:p>
            <w:pPr>
              <w:pStyle w:val="TableContents"/>
              <w:spacing w:before="0" w:after="0"/>
              <w:ind w:left="0" w:right="0" w:hanging="0"/>
              <w:jc w:val="center"/>
              <w:rPr/>
            </w:pPr>
            <w:r>
              <w:rPr/>
              <w:t> </w:t>
            </w:r>
          </w:p>
        </w:tc>
        <w:tc>
          <w:tcPr>
            <w:tcW w:w="10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Gross</w:t>
              <w:br/>
              <w:t>Unrealized</w:t>
              <w:br/>
              <w:t>Losses</w:t>
            </w:r>
          </w:p>
        </w:tc>
        <w:tc>
          <w:tcPr>
            <w:tcW w:w="194" w:type="dxa"/>
            <w:tcBorders/>
            <w:shd w:fill="auto" w:val="clear"/>
            <w:vAlign w:val="bottom"/>
          </w:tcPr>
          <w:p>
            <w:pPr>
              <w:pStyle w:val="TableContents"/>
              <w:spacing w:before="0" w:after="0"/>
              <w:ind w:left="0" w:right="0" w:hanging="0"/>
              <w:jc w:val="center"/>
              <w:rPr/>
            </w:pPr>
            <w:r>
              <w:rPr/>
              <w:t> </w:t>
            </w:r>
          </w:p>
        </w:tc>
        <w:tc>
          <w:tcPr>
            <w:tcW w:w="10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w:t>
              <w:br/>
              <w:t>Value</w:t>
            </w:r>
          </w:p>
        </w:tc>
        <w:tc>
          <w:tcPr>
            <w:tcW w:w="18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3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Gross</w:t>
              <w:br/>
              <w:t>Unrealized</w:t>
              <w:br/>
              <w:t>Losses</w:t>
            </w:r>
          </w:p>
        </w:tc>
        <w:tc>
          <w:tcPr>
            <w:tcW w:w="129" w:type="dxa"/>
            <w:tcBorders/>
            <w:shd w:fill="auto" w:val="clear"/>
            <w:vAlign w:val="bottom"/>
          </w:tcPr>
          <w:p>
            <w:pPr>
              <w:pStyle w:val="TableContents"/>
              <w:spacing w:before="0" w:after="0"/>
              <w:ind w:left="0" w:right="0" w:hanging="0"/>
              <w:jc w:val="center"/>
              <w:rPr/>
            </w:pPr>
            <w:r>
              <w:rPr/>
              <w:t> </w:t>
            </w:r>
          </w:p>
        </w:tc>
      </w:tr>
      <w:tr>
        <w:trPr/>
        <w:tc>
          <w:tcPr>
            <w:tcW w:w="271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At September 30, 2014</w:t>
            </w:r>
          </w:p>
        </w:tc>
        <w:tc>
          <w:tcPr>
            <w:tcW w:w="184" w:type="dxa"/>
            <w:tcBorders/>
            <w:shd w:fill="CCEEFF" w:val="clear"/>
            <w:vAlign w:val="bottom"/>
          </w:tcPr>
          <w:p>
            <w:pPr>
              <w:pStyle w:val="TableContents"/>
              <w:spacing w:before="0" w:after="0"/>
              <w:ind w:left="0" w:right="0" w:hanging="0"/>
              <w:rPr/>
            </w:pPr>
            <w:r>
              <w:rPr/>
              <w:t> </w:t>
            </w:r>
          </w:p>
        </w:tc>
        <w:tc>
          <w:tcPr>
            <w:tcW w:w="1060"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1013"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1035"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1060"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2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 Treasury securities</w:t>
            </w:r>
          </w:p>
        </w:tc>
        <w:tc>
          <w:tcPr>
            <w:tcW w:w="184"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40,965</w:t>
            </w:r>
          </w:p>
        </w:tc>
        <w:tc>
          <w:tcPr>
            <w:tcW w:w="184"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7,136</w:t>
            </w:r>
          </w:p>
        </w:tc>
        <w:tc>
          <w:tcPr>
            <w:tcW w:w="184"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48,101</w:t>
            </w:r>
          </w:p>
        </w:tc>
        <w:tc>
          <w:tcPr>
            <w:tcW w:w="184"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U.S. agency mortgage-backed securities</w:t>
            </w:r>
          </w:p>
        </w:tc>
        <w:tc>
          <w:tcPr>
            <w:tcW w:w="184" w:type="dxa"/>
            <w:tcBorders/>
            <w:shd w:fill="CCEEFF" w:val="clear"/>
            <w:vAlign w:val="bottom"/>
          </w:tcPr>
          <w:p>
            <w:pPr>
              <w:pStyle w:val="TableContents"/>
              <w:spacing w:before="0" w:after="0"/>
              <w:ind w:left="0" w:right="0" w:hanging="0"/>
              <w:rPr/>
            </w:pPr>
            <w:r>
              <w:rPr/>
              <w:t> </w:t>
            </w:r>
          </w:p>
        </w:tc>
        <w:tc>
          <w:tcPr>
            <w:tcW w:w="10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14,327</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8,516</w:t>
            </w:r>
          </w:p>
        </w:tc>
        <w:tc>
          <w:tcPr>
            <w:tcW w:w="184" w:type="dxa"/>
            <w:tcBorders/>
            <w:shd w:fill="CCEEFF" w:val="clear"/>
            <w:vAlign w:val="bottom"/>
          </w:tcPr>
          <w:p>
            <w:pPr>
              <w:pStyle w:val="TableContents"/>
              <w:spacing w:before="0" w:after="0"/>
              <w:ind w:left="0" w:right="0" w:hanging="0"/>
              <w:rPr/>
            </w:pPr>
            <w:r>
              <w:rPr/>
              <w:t> </w:t>
            </w:r>
          </w:p>
        </w:tc>
        <w:tc>
          <w:tcPr>
            <w:tcW w:w="10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22,843</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Municipal debt securities</w:t>
            </w:r>
          </w:p>
        </w:tc>
        <w:tc>
          <w:tcPr>
            <w:tcW w:w="184" w:type="dxa"/>
            <w:tcBorders/>
            <w:shd w:fill="auto" w:val="clear"/>
            <w:vAlign w:val="bottom"/>
          </w:tcPr>
          <w:p>
            <w:pPr>
              <w:pStyle w:val="TableContents"/>
              <w:spacing w:before="0" w:after="0"/>
              <w:ind w:left="0" w:right="0" w:hanging="0"/>
              <w:rPr/>
            </w:pPr>
            <w:r>
              <w:rPr/>
              <w:t> </w:t>
            </w:r>
          </w:p>
        </w:tc>
        <w:tc>
          <w:tcPr>
            <w:tcW w:w="10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24,250</w:t>
            </w:r>
          </w:p>
        </w:tc>
        <w:tc>
          <w:tcPr>
            <w:tcW w:w="184" w:type="dxa"/>
            <w:tcBorders/>
            <w:shd w:fill="auto" w:val="clear"/>
            <w:vAlign w:val="bottom"/>
          </w:tcPr>
          <w:p>
            <w:pPr>
              <w:pStyle w:val="TableContents"/>
              <w:spacing w:before="0" w:after="0"/>
              <w:ind w:left="0" w:right="0" w:hanging="0"/>
              <w:rPr/>
            </w:pPr>
            <w:r>
              <w:rPr/>
              <w:t> </w:t>
            </w:r>
          </w:p>
        </w:tc>
        <w:tc>
          <w:tcPr>
            <w:tcW w:w="10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8,768</w:t>
            </w:r>
          </w:p>
        </w:tc>
        <w:tc>
          <w:tcPr>
            <w:tcW w:w="184" w:type="dxa"/>
            <w:tcBorders/>
            <w:shd w:fill="auto" w:val="clear"/>
            <w:vAlign w:val="bottom"/>
          </w:tcPr>
          <w:p>
            <w:pPr>
              <w:pStyle w:val="TableContents"/>
              <w:spacing w:before="0" w:after="0"/>
              <w:ind w:left="0" w:right="0" w:hanging="0"/>
              <w:rPr/>
            </w:pPr>
            <w:r>
              <w:rPr/>
              <w:t> </w:t>
            </w:r>
          </w:p>
        </w:tc>
        <w:tc>
          <w:tcPr>
            <w:tcW w:w="10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33,018</w:t>
            </w:r>
          </w:p>
        </w:tc>
        <w:tc>
          <w:tcPr>
            <w:tcW w:w="184" w:type="dxa"/>
            <w:tcBorders/>
            <w:shd w:fill="auto" w:val="clear"/>
            <w:vAlign w:val="bottom"/>
          </w:tcPr>
          <w:p>
            <w:pPr>
              <w:pStyle w:val="TableContents"/>
              <w:spacing w:before="0" w:after="0"/>
              <w:ind w:left="0" w:right="0" w:hanging="0"/>
              <w:rPr/>
            </w:pPr>
            <w:r>
              <w:rPr/>
              <w:t> </w:t>
            </w:r>
          </w:p>
        </w:tc>
        <w:tc>
          <w:tcPr>
            <w:tcW w:w="10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Corporate debt securities</w:t>
            </w:r>
          </w:p>
        </w:tc>
        <w:tc>
          <w:tcPr>
            <w:tcW w:w="184" w:type="dxa"/>
            <w:tcBorders/>
            <w:shd w:fill="CCEEFF" w:val="clear"/>
            <w:vAlign w:val="bottom"/>
          </w:tcPr>
          <w:p>
            <w:pPr>
              <w:pStyle w:val="TableContents"/>
              <w:spacing w:before="0" w:after="0"/>
              <w:ind w:left="0" w:right="0" w:hanging="0"/>
              <w:rPr/>
            </w:pPr>
            <w:r>
              <w:rPr/>
              <w:t> </w:t>
            </w:r>
          </w:p>
        </w:tc>
        <w:tc>
          <w:tcPr>
            <w:tcW w:w="10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101,589</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(487</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14,567</w:t>
            </w:r>
          </w:p>
        </w:tc>
        <w:tc>
          <w:tcPr>
            <w:tcW w:w="184" w:type="dxa"/>
            <w:tcBorders/>
            <w:shd w:fill="CCEEFF" w:val="clear"/>
            <w:vAlign w:val="bottom"/>
          </w:tcPr>
          <w:p>
            <w:pPr>
              <w:pStyle w:val="TableContents"/>
              <w:spacing w:before="0" w:after="0"/>
              <w:ind w:left="0" w:right="0" w:hanging="0"/>
              <w:rPr/>
            </w:pPr>
            <w:r>
              <w:rPr/>
              <w:t> </w:t>
            </w:r>
          </w:p>
        </w:tc>
        <w:tc>
          <w:tcPr>
            <w:tcW w:w="10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116,156</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Mortgage-backed securities</w:t>
            </w:r>
          </w:p>
        </w:tc>
        <w:tc>
          <w:tcPr>
            <w:tcW w:w="184" w:type="dxa"/>
            <w:tcBorders/>
            <w:shd w:fill="auto" w:val="clear"/>
            <w:vAlign w:val="bottom"/>
          </w:tcPr>
          <w:p>
            <w:pPr>
              <w:pStyle w:val="TableContents"/>
              <w:spacing w:before="0" w:after="0"/>
              <w:ind w:left="0" w:right="0" w:hanging="0"/>
              <w:rPr/>
            </w:pPr>
            <w:r>
              <w:rPr/>
              <w:t> </w:t>
            </w:r>
          </w:p>
        </w:tc>
        <w:tc>
          <w:tcPr>
            <w:tcW w:w="10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33,976</w:t>
            </w:r>
          </w:p>
        </w:tc>
        <w:tc>
          <w:tcPr>
            <w:tcW w:w="184" w:type="dxa"/>
            <w:tcBorders/>
            <w:shd w:fill="auto" w:val="clear"/>
            <w:vAlign w:val="bottom"/>
          </w:tcPr>
          <w:p>
            <w:pPr>
              <w:pStyle w:val="TableContents"/>
              <w:spacing w:before="0" w:after="0"/>
              <w:ind w:left="0" w:right="0" w:hanging="0"/>
              <w:rPr/>
            </w:pPr>
            <w:r>
              <w:rPr/>
              <w:t> </w:t>
            </w:r>
          </w:p>
        </w:tc>
        <w:tc>
          <w:tcPr>
            <w:tcW w:w="10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11,999</w:t>
            </w:r>
          </w:p>
        </w:tc>
        <w:tc>
          <w:tcPr>
            <w:tcW w:w="184" w:type="dxa"/>
            <w:tcBorders/>
            <w:shd w:fill="auto" w:val="clear"/>
            <w:vAlign w:val="bottom"/>
          </w:tcPr>
          <w:p>
            <w:pPr>
              <w:pStyle w:val="TableContents"/>
              <w:spacing w:before="0" w:after="0"/>
              <w:ind w:left="0" w:right="0" w:hanging="0"/>
              <w:rPr/>
            </w:pPr>
            <w:r>
              <w:rPr/>
              <w:t> </w:t>
            </w:r>
          </w:p>
        </w:tc>
        <w:tc>
          <w:tcPr>
            <w:tcW w:w="10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45,975</w:t>
            </w:r>
          </w:p>
        </w:tc>
        <w:tc>
          <w:tcPr>
            <w:tcW w:w="184" w:type="dxa"/>
            <w:tcBorders/>
            <w:shd w:fill="auto" w:val="clear"/>
            <w:vAlign w:val="bottom"/>
          </w:tcPr>
          <w:p>
            <w:pPr>
              <w:pStyle w:val="TableContents"/>
              <w:spacing w:before="0" w:after="0"/>
              <w:ind w:left="0" w:right="0" w:hanging="0"/>
              <w:rPr/>
            </w:pPr>
            <w:r>
              <w:rPr/>
              <w:t> </w:t>
            </w:r>
          </w:p>
        </w:tc>
        <w:tc>
          <w:tcPr>
            <w:tcW w:w="10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(862</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Asset-backed securities</w:t>
            </w:r>
          </w:p>
        </w:tc>
        <w:tc>
          <w:tcPr>
            <w:tcW w:w="184" w:type="dxa"/>
            <w:tcBorders/>
            <w:shd w:fill="CCEEFF" w:val="clear"/>
            <w:vAlign w:val="bottom"/>
          </w:tcPr>
          <w:p>
            <w:pPr>
              <w:pStyle w:val="TableContents"/>
              <w:spacing w:before="0" w:after="0"/>
              <w:ind w:left="0" w:right="0" w:hanging="0"/>
              <w:rPr/>
            </w:pPr>
            <w:r>
              <w:rPr/>
              <w:t> </w:t>
            </w:r>
          </w:p>
        </w:tc>
        <w:tc>
          <w:tcPr>
            <w:tcW w:w="10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51,457</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2,386</w:t>
            </w:r>
          </w:p>
        </w:tc>
        <w:tc>
          <w:tcPr>
            <w:tcW w:w="184" w:type="dxa"/>
            <w:tcBorders/>
            <w:shd w:fill="CCEEFF" w:val="clear"/>
            <w:vAlign w:val="bottom"/>
          </w:tcPr>
          <w:p>
            <w:pPr>
              <w:pStyle w:val="TableContents"/>
              <w:spacing w:before="0" w:after="0"/>
              <w:ind w:left="0" w:right="0" w:hanging="0"/>
              <w:rPr/>
            </w:pPr>
            <w:r>
              <w:rPr/>
              <w:t> </w:t>
            </w:r>
          </w:p>
        </w:tc>
        <w:tc>
          <w:tcPr>
            <w:tcW w:w="10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53,843</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84"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266,564</w:t>
            </w:r>
          </w:p>
        </w:tc>
        <w:tc>
          <w:tcPr>
            <w:tcW w:w="184" w:type="dxa"/>
            <w:tcBorders/>
            <w:shd w:fill="auto" w:val="clear"/>
            <w:vAlign w:val="bottom"/>
          </w:tcPr>
          <w:p>
            <w:pPr>
              <w:pStyle w:val="TableContents"/>
              <w:spacing w:before="0" w:after="0"/>
              <w:ind w:left="0" w:right="0" w:hanging="0"/>
              <w:rPr/>
            </w:pPr>
            <w:r>
              <w:rPr/>
              <w:t> </w:t>
            </w:r>
          </w:p>
        </w:tc>
        <w:tc>
          <w:tcPr>
            <w:tcW w:w="103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(1,245</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53,372</w:t>
            </w:r>
          </w:p>
        </w:tc>
        <w:tc>
          <w:tcPr>
            <w:tcW w:w="184"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(1,481</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319,936</w:t>
            </w:r>
          </w:p>
        </w:tc>
        <w:tc>
          <w:tcPr>
            <w:tcW w:w="184"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(2,726</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1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716"/>
        <w:gridCol w:w="184"/>
        <w:gridCol w:w="133"/>
        <w:gridCol w:w="927"/>
        <w:gridCol w:w="184"/>
        <w:gridCol w:w="140"/>
        <w:gridCol w:w="895"/>
        <w:gridCol w:w="194"/>
        <w:gridCol w:w="133"/>
        <w:gridCol w:w="880"/>
        <w:gridCol w:w="184"/>
        <w:gridCol w:w="159"/>
        <w:gridCol w:w="875"/>
        <w:gridCol w:w="194"/>
        <w:gridCol w:w="133"/>
        <w:gridCol w:w="927"/>
        <w:gridCol w:w="184"/>
        <w:gridCol w:w="140"/>
        <w:gridCol w:w="894"/>
        <w:gridCol w:w="129"/>
      </w:tblGrid>
      <w:tr>
        <w:trPr/>
        <w:tc>
          <w:tcPr>
            <w:tcW w:w="2716"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227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Less than</w:t>
              <w:br/>
              <w:t>12 months</w:t>
            </w:r>
          </w:p>
        </w:tc>
        <w:tc>
          <w:tcPr>
            <w:tcW w:w="194" w:type="dxa"/>
            <w:tcBorders/>
            <w:shd w:fill="auto" w:val="clear"/>
            <w:vAlign w:val="bottom"/>
          </w:tcPr>
          <w:p>
            <w:pPr>
              <w:pStyle w:val="TableContents"/>
              <w:spacing w:before="0" w:after="0"/>
              <w:ind w:left="0" w:right="0" w:hanging="0"/>
              <w:jc w:val="center"/>
              <w:rPr/>
            </w:pPr>
            <w:r>
              <w:rPr/>
              <w:t> </w:t>
            </w:r>
          </w:p>
        </w:tc>
        <w:tc>
          <w:tcPr>
            <w:tcW w:w="223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or more</w:t>
            </w:r>
          </w:p>
        </w:tc>
        <w:tc>
          <w:tcPr>
            <w:tcW w:w="194" w:type="dxa"/>
            <w:tcBorders/>
            <w:shd w:fill="auto" w:val="clear"/>
            <w:vAlign w:val="bottom"/>
          </w:tcPr>
          <w:p>
            <w:pPr>
              <w:pStyle w:val="TableContents"/>
              <w:spacing w:before="0" w:after="0"/>
              <w:ind w:left="0" w:right="0" w:hanging="0"/>
              <w:jc w:val="center"/>
              <w:rPr/>
            </w:pPr>
            <w:r>
              <w:rPr/>
              <w:t> </w:t>
            </w:r>
          </w:p>
        </w:tc>
        <w:tc>
          <w:tcPr>
            <w:tcW w:w="227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9" w:type="dxa"/>
            <w:tcBorders/>
            <w:shd w:fill="auto" w:val="clear"/>
            <w:vAlign w:val="bottom"/>
          </w:tcPr>
          <w:p>
            <w:pPr>
              <w:pStyle w:val="TableContents"/>
              <w:spacing w:before="0" w:after="0"/>
              <w:ind w:left="0" w:right="0" w:hanging="0"/>
              <w:jc w:val="center"/>
              <w:rPr/>
            </w:pPr>
            <w:r>
              <w:rPr/>
              <w:t> </w:t>
            </w:r>
          </w:p>
        </w:tc>
      </w:tr>
      <w:tr>
        <w:trPr/>
        <w:tc>
          <w:tcPr>
            <w:tcW w:w="2716"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0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w:t>
              <w:br/>
              <w:t>Value</w:t>
            </w:r>
          </w:p>
        </w:tc>
        <w:tc>
          <w:tcPr>
            <w:tcW w:w="184" w:type="dxa"/>
            <w:tcBorders/>
            <w:shd w:fill="auto" w:val="clear"/>
            <w:vAlign w:val="bottom"/>
          </w:tcPr>
          <w:p>
            <w:pPr>
              <w:pStyle w:val="TableContents"/>
              <w:spacing w:before="0" w:after="0"/>
              <w:ind w:left="0" w:right="0" w:hanging="0"/>
              <w:jc w:val="center"/>
              <w:rPr/>
            </w:pPr>
            <w:r>
              <w:rPr/>
              <w:t> </w:t>
            </w:r>
          </w:p>
        </w:tc>
        <w:tc>
          <w:tcPr>
            <w:tcW w:w="103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Gross</w:t>
              <w:br/>
              <w:t>Unrealized</w:t>
              <w:br/>
              <w:t>Losses</w:t>
            </w:r>
          </w:p>
        </w:tc>
        <w:tc>
          <w:tcPr>
            <w:tcW w:w="194" w:type="dxa"/>
            <w:tcBorders/>
            <w:shd w:fill="auto" w:val="clear"/>
            <w:vAlign w:val="bottom"/>
          </w:tcPr>
          <w:p>
            <w:pPr>
              <w:pStyle w:val="TableContents"/>
              <w:spacing w:before="0" w:after="0"/>
              <w:ind w:left="0" w:right="0" w:hanging="0"/>
              <w:jc w:val="center"/>
              <w:rPr/>
            </w:pPr>
            <w:r>
              <w:rPr/>
              <w:t> </w:t>
            </w:r>
          </w:p>
        </w:tc>
        <w:tc>
          <w:tcPr>
            <w:tcW w:w="10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w:t>
              <w:br/>
              <w:t>Value</w:t>
            </w:r>
          </w:p>
        </w:tc>
        <w:tc>
          <w:tcPr>
            <w:tcW w:w="184" w:type="dxa"/>
            <w:tcBorders/>
            <w:shd w:fill="auto" w:val="clear"/>
            <w:vAlign w:val="bottom"/>
          </w:tcPr>
          <w:p>
            <w:pPr>
              <w:pStyle w:val="TableContents"/>
              <w:spacing w:before="0" w:after="0"/>
              <w:ind w:left="0" w:right="0" w:hanging="0"/>
              <w:jc w:val="center"/>
              <w:rPr/>
            </w:pPr>
            <w:r>
              <w:rPr/>
              <w:t> </w:t>
            </w:r>
          </w:p>
        </w:tc>
        <w:tc>
          <w:tcPr>
            <w:tcW w:w="10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Gross</w:t>
              <w:br/>
              <w:t>Unrealized</w:t>
              <w:br/>
              <w:t>Losses</w:t>
            </w:r>
          </w:p>
        </w:tc>
        <w:tc>
          <w:tcPr>
            <w:tcW w:w="194" w:type="dxa"/>
            <w:tcBorders/>
            <w:shd w:fill="auto" w:val="clear"/>
            <w:vAlign w:val="bottom"/>
          </w:tcPr>
          <w:p>
            <w:pPr>
              <w:pStyle w:val="TableContents"/>
              <w:spacing w:before="0" w:after="0"/>
              <w:ind w:left="0" w:right="0" w:hanging="0"/>
              <w:jc w:val="center"/>
              <w:rPr/>
            </w:pPr>
            <w:r>
              <w:rPr/>
              <w:t> </w:t>
            </w:r>
          </w:p>
        </w:tc>
        <w:tc>
          <w:tcPr>
            <w:tcW w:w="10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w:t>
              <w:br/>
              <w:t>Value</w:t>
            </w:r>
          </w:p>
        </w:tc>
        <w:tc>
          <w:tcPr>
            <w:tcW w:w="18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3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Gross</w:t>
              <w:br/>
              <w:t>Unrealized</w:t>
              <w:br/>
              <w:t>Losses</w:t>
            </w:r>
          </w:p>
        </w:tc>
        <w:tc>
          <w:tcPr>
            <w:tcW w:w="129" w:type="dxa"/>
            <w:tcBorders/>
            <w:shd w:fill="auto" w:val="clear"/>
            <w:vAlign w:val="bottom"/>
          </w:tcPr>
          <w:p>
            <w:pPr>
              <w:pStyle w:val="TableContents"/>
              <w:spacing w:before="0" w:after="0"/>
              <w:ind w:left="0" w:right="0" w:hanging="0"/>
              <w:jc w:val="center"/>
              <w:rPr/>
            </w:pPr>
            <w:r>
              <w:rPr/>
              <w:t> </w:t>
            </w:r>
          </w:p>
        </w:tc>
      </w:tr>
      <w:tr>
        <w:trPr/>
        <w:tc>
          <w:tcPr>
            <w:tcW w:w="271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At December 31, 2013</w:t>
            </w:r>
          </w:p>
        </w:tc>
        <w:tc>
          <w:tcPr>
            <w:tcW w:w="184" w:type="dxa"/>
            <w:tcBorders/>
            <w:shd w:fill="CCEEFF" w:val="clear"/>
            <w:vAlign w:val="bottom"/>
          </w:tcPr>
          <w:p>
            <w:pPr>
              <w:pStyle w:val="TableContents"/>
              <w:spacing w:before="0" w:after="0"/>
              <w:ind w:left="0" w:right="0" w:hanging="0"/>
              <w:rPr/>
            </w:pPr>
            <w:r>
              <w:rPr/>
              <w:t> </w:t>
            </w:r>
          </w:p>
        </w:tc>
        <w:tc>
          <w:tcPr>
            <w:tcW w:w="1060"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1035"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1013"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shd w:fill="CCEEFF" w:val="clear"/>
            <w:vAlign w:val="bottom"/>
          </w:tcPr>
          <w:p>
            <w:pPr>
              <w:pStyle w:val="TableContents"/>
              <w:spacing w:before="0" w:after="0"/>
              <w:ind w:left="0" w:right="0" w:hanging="0"/>
              <w:jc w:val="right"/>
              <w:rPr/>
            </w:pPr>
            <w:r>
              <w:rPr/>
              <w:t> </w:t>
            </w:r>
          </w:p>
        </w:tc>
        <w:tc>
          <w:tcPr>
            <w:tcW w:w="194" w:type="dxa"/>
            <w:tcBorders/>
            <w:shd w:fill="CCEEFF" w:val="clear"/>
            <w:vAlign w:val="bottom"/>
          </w:tcPr>
          <w:p>
            <w:pPr>
              <w:pStyle w:val="TableContents"/>
              <w:spacing w:before="0" w:after="0"/>
              <w:ind w:left="0" w:right="0" w:hanging="0"/>
              <w:rPr/>
            </w:pPr>
            <w:r>
              <w:rPr/>
              <w:t> </w:t>
            </w:r>
          </w:p>
        </w:tc>
        <w:tc>
          <w:tcPr>
            <w:tcW w:w="1060"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2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 Treasury securities</w:t>
            </w:r>
          </w:p>
        </w:tc>
        <w:tc>
          <w:tcPr>
            <w:tcW w:w="184"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16,474</w:t>
            </w:r>
          </w:p>
        </w:tc>
        <w:tc>
          <w:tcPr>
            <w:tcW w:w="184"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(890</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16,474</w:t>
            </w:r>
          </w:p>
        </w:tc>
        <w:tc>
          <w:tcPr>
            <w:tcW w:w="184"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(890</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U.S. agency mortgage-backed securities</w:t>
            </w:r>
          </w:p>
        </w:tc>
        <w:tc>
          <w:tcPr>
            <w:tcW w:w="184" w:type="dxa"/>
            <w:tcBorders/>
            <w:shd w:fill="CCEEFF" w:val="clear"/>
            <w:vAlign w:val="bottom"/>
          </w:tcPr>
          <w:p>
            <w:pPr>
              <w:pStyle w:val="TableContents"/>
              <w:spacing w:before="0" w:after="0"/>
              <w:ind w:left="0" w:right="0" w:hanging="0"/>
              <w:rPr/>
            </w:pPr>
            <w:r>
              <w:rPr/>
              <w:t> </w:t>
            </w:r>
          </w:p>
        </w:tc>
        <w:tc>
          <w:tcPr>
            <w:tcW w:w="10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13,484</w:t>
            </w:r>
          </w:p>
        </w:tc>
        <w:tc>
          <w:tcPr>
            <w:tcW w:w="184" w:type="dxa"/>
            <w:tcBorders/>
            <w:shd w:fill="CCEEFF" w:val="clear"/>
            <w:vAlign w:val="bottom"/>
          </w:tcPr>
          <w:p>
            <w:pPr>
              <w:pStyle w:val="TableContents"/>
              <w:spacing w:before="0" w:after="0"/>
              <w:ind w:left="0" w:right="0" w:hanging="0"/>
              <w:rPr/>
            </w:pPr>
            <w:r>
              <w:rPr/>
              <w:t> </w:t>
            </w:r>
          </w:p>
        </w:tc>
        <w:tc>
          <w:tcPr>
            <w:tcW w:w="10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3,685</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17,169</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(835</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Municipal debt securities</w:t>
            </w:r>
          </w:p>
        </w:tc>
        <w:tc>
          <w:tcPr>
            <w:tcW w:w="184" w:type="dxa"/>
            <w:tcBorders/>
            <w:shd w:fill="auto" w:val="clear"/>
            <w:vAlign w:val="bottom"/>
          </w:tcPr>
          <w:p>
            <w:pPr>
              <w:pStyle w:val="TableContents"/>
              <w:spacing w:before="0" w:after="0"/>
              <w:ind w:left="0" w:right="0" w:hanging="0"/>
              <w:rPr/>
            </w:pPr>
            <w:r>
              <w:rPr/>
              <w:t> </w:t>
            </w:r>
          </w:p>
        </w:tc>
        <w:tc>
          <w:tcPr>
            <w:tcW w:w="10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21,573</w:t>
            </w:r>
          </w:p>
        </w:tc>
        <w:tc>
          <w:tcPr>
            <w:tcW w:w="184" w:type="dxa"/>
            <w:tcBorders/>
            <w:shd w:fill="auto" w:val="clear"/>
            <w:vAlign w:val="bottom"/>
          </w:tcPr>
          <w:p>
            <w:pPr>
              <w:pStyle w:val="TableContents"/>
              <w:spacing w:before="0" w:after="0"/>
              <w:ind w:left="0" w:right="0" w:hanging="0"/>
              <w:rPr/>
            </w:pPr>
            <w:r>
              <w:rPr/>
              <w:t> </w:t>
            </w:r>
          </w:p>
        </w:tc>
        <w:tc>
          <w:tcPr>
            <w:tcW w:w="10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13,074</w:t>
            </w:r>
          </w:p>
        </w:tc>
        <w:tc>
          <w:tcPr>
            <w:tcW w:w="184" w:type="dxa"/>
            <w:tcBorders/>
            <w:shd w:fill="auto" w:val="clear"/>
            <w:vAlign w:val="bottom"/>
          </w:tcPr>
          <w:p>
            <w:pPr>
              <w:pStyle w:val="TableContents"/>
              <w:spacing w:before="0" w:after="0"/>
              <w:ind w:left="0" w:right="0" w:hanging="0"/>
              <w:rPr/>
            </w:pPr>
            <w:r>
              <w:rPr/>
              <w:t> </w:t>
            </w:r>
          </w:p>
        </w:tc>
        <w:tc>
          <w:tcPr>
            <w:tcW w:w="10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34,647</w:t>
            </w:r>
          </w:p>
        </w:tc>
        <w:tc>
          <w:tcPr>
            <w:tcW w:w="184" w:type="dxa"/>
            <w:tcBorders/>
            <w:shd w:fill="auto" w:val="clear"/>
            <w:vAlign w:val="bottom"/>
          </w:tcPr>
          <w:p>
            <w:pPr>
              <w:pStyle w:val="TableContents"/>
              <w:spacing w:before="0" w:after="0"/>
              <w:ind w:left="0" w:right="0" w:hanging="0"/>
              <w:rPr/>
            </w:pPr>
            <w:r>
              <w:rPr/>
              <w:t> </w:t>
            </w:r>
          </w:p>
        </w:tc>
        <w:tc>
          <w:tcPr>
            <w:tcW w:w="10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Corporate debt securities</w:t>
            </w:r>
          </w:p>
        </w:tc>
        <w:tc>
          <w:tcPr>
            <w:tcW w:w="184" w:type="dxa"/>
            <w:tcBorders/>
            <w:shd w:fill="CCEEFF" w:val="clear"/>
            <w:vAlign w:val="bottom"/>
          </w:tcPr>
          <w:p>
            <w:pPr>
              <w:pStyle w:val="TableContents"/>
              <w:spacing w:before="0" w:after="0"/>
              <w:ind w:left="0" w:right="0" w:hanging="0"/>
              <w:rPr/>
            </w:pPr>
            <w:r>
              <w:rPr/>
              <w:t> </w:t>
            </w:r>
          </w:p>
        </w:tc>
        <w:tc>
          <w:tcPr>
            <w:tcW w:w="10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75,364</w:t>
            </w:r>
          </w:p>
        </w:tc>
        <w:tc>
          <w:tcPr>
            <w:tcW w:w="184" w:type="dxa"/>
            <w:tcBorders/>
            <w:shd w:fill="CCEEFF" w:val="clear"/>
            <w:vAlign w:val="bottom"/>
          </w:tcPr>
          <w:p>
            <w:pPr>
              <w:pStyle w:val="TableContents"/>
              <w:spacing w:before="0" w:after="0"/>
              <w:ind w:left="0" w:right="0" w:hanging="0"/>
              <w:rPr/>
            </w:pPr>
            <w:r>
              <w:rPr/>
              <w:t> </w:t>
            </w:r>
          </w:p>
        </w:tc>
        <w:tc>
          <w:tcPr>
            <w:tcW w:w="10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(1,038</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3,148</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78,512</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(1,096</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Mortgage-backed securities</w:t>
            </w:r>
          </w:p>
        </w:tc>
        <w:tc>
          <w:tcPr>
            <w:tcW w:w="184" w:type="dxa"/>
            <w:tcBorders/>
            <w:shd w:fill="auto" w:val="clear"/>
            <w:vAlign w:val="bottom"/>
          </w:tcPr>
          <w:p>
            <w:pPr>
              <w:pStyle w:val="TableContents"/>
              <w:spacing w:before="0" w:after="0"/>
              <w:ind w:left="0" w:right="0" w:hanging="0"/>
              <w:rPr/>
            </w:pPr>
            <w:r>
              <w:rPr/>
              <w:t> </w:t>
            </w:r>
          </w:p>
        </w:tc>
        <w:tc>
          <w:tcPr>
            <w:tcW w:w="10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13,249</w:t>
            </w:r>
          </w:p>
        </w:tc>
        <w:tc>
          <w:tcPr>
            <w:tcW w:w="184" w:type="dxa"/>
            <w:tcBorders/>
            <w:shd w:fill="auto" w:val="clear"/>
            <w:vAlign w:val="bottom"/>
          </w:tcPr>
          <w:p>
            <w:pPr>
              <w:pStyle w:val="TableContents"/>
              <w:spacing w:before="0" w:after="0"/>
              <w:ind w:left="0" w:right="0" w:hanging="0"/>
              <w:rPr/>
            </w:pPr>
            <w:r>
              <w:rPr/>
              <w:t> </w:t>
            </w:r>
          </w:p>
        </w:tc>
        <w:tc>
          <w:tcPr>
            <w:tcW w:w="10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5,333</w:t>
            </w:r>
          </w:p>
        </w:tc>
        <w:tc>
          <w:tcPr>
            <w:tcW w:w="184" w:type="dxa"/>
            <w:tcBorders/>
            <w:shd w:fill="auto" w:val="clear"/>
            <w:vAlign w:val="bottom"/>
          </w:tcPr>
          <w:p>
            <w:pPr>
              <w:pStyle w:val="TableContents"/>
              <w:spacing w:before="0" w:after="0"/>
              <w:ind w:left="0" w:right="0" w:hanging="0"/>
              <w:rPr/>
            </w:pPr>
            <w:r>
              <w:rPr/>
              <w:t> </w:t>
            </w:r>
          </w:p>
        </w:tc>
        <w:tc>
          <w:tcPr>
            <w:tcW w:w="10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18,582</w:t>
            </w:r>
          </w:p>
        </w:tc>
        <w:tc>
          <w:tcPr>
            <w:tcW w:w="184" w:type="dxa"/>
            <w:tcBorders/>
            <w:shd w:fill="auto" w:val="clear"/>
            <w:vAlign w:val="bottom"/>
          </w:tcPr>
          <w:p>
            <w:pPr>
              <w:pStyle w:val="TableContents"/>
              <w:spacing w:before="0" w:after="0"/>
              <w:ind w:left="0" w:right="0" w:hanging="0"/>
              <w:rPr/>
            </w:pPr>
            <w:r>
              <w:rPr/>
              <w:t> </w:t>
            </w:r>
          </w:p>
        </w:tc>
        <w:tc>
          <w:tcPr>
            <w:tcW w:w="10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Asset-backed securities</w:t>
            </w:r>
          </w:p>
        </w:tc>
        <w:tc>
          <w:tcPr>
            <w:tcW w:w="184" w:type="dxa"/>
            <w:tcBorders/>
            <w:shd w:fill="CCEEFF" w:val="clear"/>
            <w:vAlign w:val="bottom"/>
          </w:tcPr>
          <w:p>
            <w:pPr>
              <w:pStyle w:val="TableContents"/>
              <w:spacing w:before="0" w:after="0"/>
              <w:ind w:left="0" w:right="0" w:hanging="0"/>
              <w:rPr/>
            </w:pPr>
            <w:r>
              <w:rPr/>
              <w:t> </w:t>
            </w:r>
          </w:p>
        </w:tc>
        <w:tc>
          <w:tcPr>
            <w:tcW w:w="10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6,024</w:t>
            </w:r>
          </w:p>
        </w:tc>
        <w:tc>
          <w:tcPr>
            <w:tcW w:w="184" w:type="dxa"/>
            <w:tcBorders/>
            <w:shd w:fill="CCEEFF" w:val="clear"/>
            <w:vAlign w:val="bottom"/>
          </w:tcPr>
          <w:p>
            <w:pPr>
              <w:pStyle w:val="TableContents"/>
              <w:spacing w:before="0" w:after="0"/>
              <w:ind w:left="0" w:right="0" w:hanging="0"/>
              <w:rPr/>
            </w:pPr>
            <w:r>
              <w:rPr/>
              <w:t> </w:t>
            </w:r>
          </w:p>
        </w:tc>
        <w:tc>
          <w:tcPr>
            <w:tcW w:w="10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4" w:type="dxa"/>
            <w:tcBorders/>
            <w:shd w:fill="CCEEFF" w:val="clear"/>
            <w:vAlign w:val="bottom"/>
          </w:tcPr>
          <w:p>
            <w:pPr>
              <w:pStyle w:val="TableContents"/>
              <w:spacing w:before="0" w:after="0"/>
              <w:ind w:left="0" w:right="0" w:hanging="0"/>
              <w:rPr/>
            </w:pPr>
            <w:r>
              <w:rPr/>
              <w:t> </w:t>
            </w:r>
          </w:p>
        </w:tc>
        <w:tc>
          <w:tcPr>
            <w:tcW w:w="10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6,024</w:t>
            </w:r>
          </w:p>
        </w:tc>
        <w:tc>
          <w:tcPr>
            <w:tcW w:w="184" w:type="dxa"/>
            <w:tcBorders/>
            <w:shd w:fill="CCEEFF" w:val="clear"/>
            <w:vAlign w:val="bottom"/>
          </w:tcPr>
          <w:p>
            <w:pPr>
              <w:pStyle w:val="TableContents"/>
              <w:spacing w:before="0" w:after="0"/>
              <w:ind w:left="0" w:right="0" w:hanging="0"/>
              <w:rPr/>
            </w:pPr>
            <w:r>
              <w:rPr/>
              <w:t> </w:t>
            </w:r>
          </w:p>
        </w:tc>
        <w:tc>
          <w:tcPr>
            <w:tcW w:w="10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84"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146,168</w:t>
            </w:r>
          </w:p>
        </w:tc>
        <w:tc>
          <w:tcPr>
            <w:tcW w:w="184"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(3,030</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25,240</w:t>
            </w:r>
          </w:p>
        </w:tc>
        <w:tc>
          <w:tcPr>
            <w:tcW w:w="184" w:type="dxa"/>
            <w:tcBorders/>
            <w:shd w:fill="auto" w:val="clear"/>
            <w:vAlign w:val="bottom"/>
          </w:tcPr>
          <w:p>
            <w:pPr>
              <w:pStyle w:val="TableContents"/>
              <w:spacing w:before="0" w:after="0"/>
              <w:ind w:left="0" w:right="0" w:hanging="0"/>
              <w:rPr/>
            </w:pPr>
            <w:r>
              <w:rPr/>
              <w:t> </w:t>
            </w:r>
          </w:p>
        </w:tc>
        <w:tc>
          <w:tcPr>
            <w:tcW w:w="15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(917</w:t>
            </w:r>
          </w:p>
        </w:tc>
        <w:tc>
          <w:tcPr>
            <w:tcW w:w="1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171,408</w:t>
            </w:r>
          </w:p>
        </w:tc>
        <w:tc>
          <w:tcPr>
            <w:tcW w:w="184"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(3,947</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gross unrealized losses on these investment securities are principally associated with the changes in the interest rate environment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of investments in the nine months ended September 30, 2014 or year ended December 31,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investments deposited with insurance regulatory authorities to meet statutory requirements was $8,529 at September 30, 2014 and $8,573 at December 31,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investment income consists of:</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2688"/>
        <w:gridCol w:w="159"/>
        <w:gridCol w:w="199"/>
        <w:gridCol w:w="1188"/>
        <w:gridCol w:w="219"/>
        <w:gridCol w:w="199"/>
        <w:gridCol w:w="1190"/>
        <w:gridCol w:w="173"/>
        <w:gridCol w:w="194"/>
        <w:gridCol w:w="1169"/>
        <w:gridCol w:w="215"/>
        <w:gridCol w:w="193"/>
        <w:gridCol w:w="1170"/>
        <w:gridCol w:w="534"/>
      </w:tblGrid>
      <w:tr>
        <w:trPr/>
        <w:tc>
          <w:tcPr>
            <w:tcW w:w="2688"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jc w:val="center"/>
              <w:rPr/>
            </w:pPr>
            <w:r>
              <w:rPr/>
              <w:t> </w:t>
            </w:r>
          </w:p>
        </w:tc>
        <w:tc>
          <w:tcPr>
            <w:tcW w:w="299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w:t>
            </w:r>
          </w:p>
        </w:tc>
        <w:tc>
          <w:tcPr>
            <w:tcW w:w="173" w:type="dxa"/>
            <w:tcBorders/>
            <w:shd w:fill="auto" w:val="clear"/>
            <w:vAlign w:val="bottom"/>
          </w:tcPr>
          <w:p>
            <w:pPr>
              <w:pStyle w:val="TableContents"/>
              <w:spacing w:before="0" w:after="0"/>
              <w:ind w:left="0" w:right="0" w:hanging="0"/>
              <w:jc w:val="center"/>
              <w:rPr/>
            </w:pPr>
            <w:r>
              <w:rPr/>
              <w:t> </w:t>
            </w:r>
          </w:p>
        </w:tc>
        <w:tc>
          <w:tcPr>
            <w:tcW w:w="294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534" w:type="dxa"/>
            <w:tcBorders/>
            <w:shd w:fill="auto" w:val="clear"/>
            <w:vAlign w:val="bottom"/>
          </w:tcPr>
          <w:p>
            <w:pPr>
              <w:pStyle w:val="TableContents"/>
              <w:spacing w:before="0" w:after="0"/>
              <w:ind w:left="0" w:right="0" w:hanging="0"/>
              <w:jc w:val="center"/>
              <w:rPr/>
            </w:pPr>
            <w:r>
              <w:rPr/>
              <w:t> </w:t>
            </w:r>
          </w:p>
        </w:tc>
      </w:tr>
      <w:tr>
        <w:trPr/>
        <w:tc>
          <w:tcPr>
            <w:tcW w:w="2688"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jc w:val="center"/>
              <w:rPr/>
            </w:pPr>
            <w:r>
              <w:rPr/>
              <w:t> </w:t>
            </w:r>
          </w:p>
        </w:tc>
        <w:tc>
          <w:tcPr>
            <w:tcW w:w="13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19" w:type="dxa"/>
            <w:tcBorders/>
            <w:shd w:fill="auto" w:val="clear"/>
            <w:vAlign w:val="bottom"/>
          </w:tcPr>
          <w:p>
            <w:pPr>
              <w:pStyle w:val="TableContents"/>
              <w:spacing w:before="0" w:after="0"/>
              <w:ind w:left="0" w:right="0" w:hanging="0"/>
              <w:jc w:val="center"/>
              <w:rPr/>
            </w:pPr>
            <w:r>
              <w:rPr/>
              <w:t> </w:t>
            </w:r>
          </w:p>
        </w:tc>
        <w:tc>
          <w:tcPr>
            <w:tcW w:w="138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73" w:type="dxa"/>
            <w:tcBorders/>
            <w:shd w:fill="auto" w:val="clear"/>
            <w:vAlign w:val="bottom"/>
          </w:tcPr>
          <w:p>
            <w:pPr>
              <w:pStyle w:val="TableContents"/>
              <w:spacing w:before="0" w:after="0"/>
              <w:ind w:left="0" w:right="0" w:hanging="0"/>
              <w:jc w:val="center"/>
              <w:rPr/>
            </w:pPr>
            <w:r>
              <w:rPr/>
              <w:t> </w:t>
            </w:r>
          </w:p>
        </w:tc>
        <w:tc>
          <w:tcPr>
            <w:tcW w:w="13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6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534" w:type="dxa"/>
            <w:tcBorders/>
            <w:shd w:fill="auto" w:val="clear"/>
            <w:vAlign w:val="bottom"/>
          </w:tcPr>
          <w:p>
            <w:pPr>
              <w:pStyle w:val="TableContents"/>
              <w:spacing w:before="0" w:after="0"/>
              <w:ind w:left="0" w:right="0" w:hanging="0"/>
              <w:jc w:val="center"/>
              <w:rPr/>
            </w:pPr>
            <w:r>
              <w:rPr/>
              <w:t> </w:t>
            </w:r>
          </w:p>
        </w:tc>
      </w:tr>
      <w:tr>
        <w:trPr/>
        <w:tc>
          <w:tcPr>
            <w:tcW w:w="268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Fixed maturities</w:t>
            </w:r>
          </w:p>
        </w:tc>
        <w:tc>
          <w:tcPr>
            <w:tcW w:w="159" w:type="dxa"/>
            <w:tcBorders/>
            <w:shd w:fill="CCEEFF" w:val="clear"/>
            <w:vAlign w:val="bottom"/>
          </w:tcPr>
          <w:p>
            <w:pPr>
              <w:pStyle w:val="TableContents"/>
              <w:spacing w:before="0" w:after="0"/>
              <w:ind w:left="0" w:right="0" w:hanging="0"/>
              <w:rPr/>
            </w:pPr>
            <w:r>
              <w:rPr/>
              <w:t> </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3,737</w:t>
            </w:r>
          </w:p>
        </w:tc>
        <w:tc>
          <w:tcPr>
            <w:tcW w:w="219" w:type="dxa"/>
            <w:tcBorders/>
            <w:shd w:fill="CCEEFF" w:val="clear"/>
            <w:vAlign w:val="bottom"/>
          </w:tcPr>
          <w:p>
            <w:pPr>
              <w:pStyle w:val="TableContents"/>
              <w:spacing w:before="0" w:after="0"/>
              <w:ind w:left="0" w:right="0" w:hanging="0"/>
              <w:rPr/>
            </w:pPr>
            <w:r>
              <w:rPr/>
              <w:t> </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1,273</w:t>
            </w:r>
          </w:p>
        </w:tc>
        <w:tc>
          <w:tcPr>
            <w:tcW w:w="173" w:type="dxa"/>
            <w:tcBorders/>
            <w:shd w:fill="CCEEFF" w:val="clear"/>
            <w:vAlign w:val="bottom"/>
          </w:tcPr>
          <w:p>
            <w:pPr>
              <w:pStyle w:val="TableContents"/>
              <w:spacing w:before="0" w:after="0"/>
              <w:ind w:left="0" w:right="0" w:hanging="0"/>
              <w:rPr/>
            </w:pPr>
            <w:r>
              <w:rPr/>
              <w:t> </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9,115</w:t>
            </w:r>
          </w:p>
        </w:tc>
        <w:tc>
          <w:tcPr>
            <w:tcW w:w="215"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3,297</w:t>
            </w:r>
          </w:p>
        </w:tc>
        <w:tc>
          <w:tcPr>
            <w:tcW w:w="534" w:type="dxa"/>
            <w:tcBorders/>
            <w:shd w:fill="CCEEFF" w:val="clear"/>
            <w:vAlign w:val="bottom"/>
          </w:tcPr>
          <w:p>
            <w:pPr>
              <w:pStyle w:val="TableContents"/>
              <w:spacing w:before="0" w:after="0"/>
              <w:ind w:left="0" w:right="0" w:hanging="0"/>
              <w:rPr/>
            </w:pPr>
            <w:r>
              <w:rPr/>
              <w:t> </w:t>
            </w:r>
          </w:p>
        </w:tc>
      </w:tr>
      <w:tr>
        <w:trPr/>
        <w:tc>
          <w:tcPr>
            <w:tcW w:w="268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Short-term investments</w:t>
            </w:r>
          </w:p>
        </w:tc>
        <w:tc>
          <w:tcPr>
            <w:tcW w:w="159" w:type="dxa"/>
            <w:tcBorders/>
            <w:shd w:fill="auto" w:val="clear"/>
            <w:vAlign w:val="bottom"/>
          </w:tcPr>
          <w:p>
            <w:pPr>
              <w:pStyle w:val="TableContents"/>
              <w:spacing w:before="0" w:after="0"/>
              <w:ind w:left="0" w:right="0" w:hanging="0"/>
              <w:rPr/>
            </w:pPr>
            <w:r>
              <w:rPr/>
              <w:t> </w:t>
            </w:r>
          </w:p>
        </w:tc>
        <w:tc>
          <w:tcPr>
            <w:tcW w:w="13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9" w:type="dxa"/>
            <w:tcBorders/>
            <w:shd w:fill="auto" w:val="clear"/>
            <w:vAlign w:val="bottom"/>
          </w:tcPr>
          <w:p>
            <w:pPr>
              <w:pStyle w:val="TableContents"/>
              <w:spacing w:before="0" w:after="0"/>
              <w:ind w:left="0" w:right="0" w:hanging="0"/>
              <w:rPr/>
            </w:pPr>
            <w:r>
              <w:rPr/>
              <w:t> </w:t>
            </w:r>
          </w:p>
        </w:tc>
        <w:tc>
          <w:tcPr>
            <w:tcW w:w="13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3" w:type="dxa"/>
            <w:tcBorders/>
            <w:shd w:fill="auto" w:val="clear"/>
            <w:vAlign w:val="bottom"/>
          </w:tcPr>
          <w:p>
            <w:pPr>
              <w:pStyle w:val="TableContents"/>
              <w:spacing w:before="0" w:after="0"/>
              <w:ind w:left="0" w:right="0" w:hanging="0"/>
              <w:rPr/>
            </w:pPr>
            <w:r>
              <w:rPr/>
              <w:t> </w:t>
            </w:r>
          </w:p>
        </w:tc>
        <w:tc>
          <w:tcPr>
            <w:tcW w:w="13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5" w:type="dxa"/>
            <w:tcBorders/>
            <w:shd w:fill="auto" w:val="clear"/>
            <w:vAlign w:val="bottom"/>
          </w:tcPr>
          <w:p>
            <w:pPr>
              <w:pStyle w:val="TableContents"/>
              <w:spacing w:before="0" w:after="0"/>
              <w:ind w:left="0" w:right="0" w:hanging="0"/>
              <w:rPr/>
            </w:pPr>
            <w:r>
              <w:rPr/>
              <w:t> </w:t>
            </w:r>
          </w:p>
        </w:tc>
        <w:tc>
          <w:tcPr>
            <w:tcW w:w="13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534" w:type="dxa"/>
            <w:tcBorders/>
            <w:shd w:fill="auto" w:val="clear"/>
            <w:vAlign w:val="bottom"/>
          </w:tcPr>
          <w:p>
            <w:pPr>
              <w:pStyle w:val="TableContents"/>
              <w:spacing w:before="0" w:after="0"/>
              <w:ind w:left="0" w:right="0" w:hanging="0"/>
              <w:rPr/>
            </w:pPr>
            <w:r>
              <w:rPr/>
              <w:t> </w:t>
            </w:r>
          </w:p>
        </w:tc>
      </w:tr>
      <w:tr>
        <w:trPr/>
        <w:tc>
          <w:tcPr>
            <w:tcW w:w="268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Gross investment income</w:t>
            </w:r>
          </w:p>
        </w:tc>
        <w:tc>
          <w:tcPr>
            <w:tcW w:w="159" w:type="dxa"/>
            <w:tcBorders/>
            <w:shd w:fill="CCEEFF" w:val="clear"/>
            <w:vAlign w:val="bottom"/>
          </w:tcPr>
          <w:p>
            <w:pPr>
              <w:pStyle w:val="TableContents"/>
              <w:spacing w:before="0" w:after="0"/>
              <w:ind w:left="0" w:right="0" w:hanging="0"/>
              <w:rPr/>
            </w:pPr>
            <w:r>
              <w:rPr/>
              <w:t> </w:t>
            </w:r>
          </w:p>
        </w:tc>
        <w:tc>
          <w:tcPr>
            <w:tcW w:w="13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3,751</w:t>
            </w:r>
          </w:p>
        </w:tc>
        <w:tc>
          <w:tcPr>
            <w:tcW w:w="219" w:type="dxa"/>
            <w:tcBorders/>
            <w:shd w:fill="CCEEFF" w:val="clear"/>
            <w:vAlign w:val="bottom"/>
          </w:tcPr>
          <w:p>
            <w:pPr>
              <w:pStyle w:val="TableContents"/>
              <w:spacing w:before="0" w:after="0"/>
              <w:ind w:left="0" w:right="0" w:hanging="0"/>
              <w:rPr/>
            </w:pPr>
            <w:r>
              <w:rPr/>
              <w:t> </w:t>
            </w:r>
          </w:p>
        </w:tc>
        <w:tc>
          <w:tcPr>
            <w:tcW w:w="13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1,283</w:t>
            </w:r>
          </w:p>
        </w:tc>
        <w:tc>
          <w:tcPr>
            <w:tcW w:w="173" w:type="dxa"/>
            <w:tcBorders/>
            <w:shd w:fill="CCEEFF" w:val="clear"/>
            <w:vAlign w:val="bottom"/>
          </w:tcPr>
          <w:p>
            <w:pPr>
              <w:pStyle w:val="TableContents"/>
              <w:spacing w:before="0" w:after="0"/>
              <w:ind w:left="0" w:right="0" w:hanging="0"/>
              <w:rPr/>
            </w:pPr>
            <w:r>
              <w:rPr/>
              <w:t> </w:t>
            </w:r>
          </w:p>
        </w:tc>
        <w:tc>
          <w:tcPr>
            <w:tcW w:w="13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9,160</w:t>
            </w:r>
          </w:p>
        </w:tc>
        <w:tc>
          <w:tcPr>
            <w:tcW w:w="215" w:type="dxa"/>
            <w:tcBorders/>
            <w:shd w:fill="CCEEFF" w:val="clear"/>
            <w:vAlign w:val="bottom"/>
          </w:tcPr>
          <w:p>
            <w:pPr>
              <w:pStyle w:val="TableContents"/>
              <w:spacing w:before="0" w:after="0"/>
              <w:ind w:left="0" w:right="0" w:hanging="0"/>
              <w:rPr/>
            </w:pPr>
            <w:r>
              <w:rPr/>
              <w:t> </w:t>
            </w:r>
          </w:p>
        </w:tc>
        <w:tc>
          <w:tcPr>
            <w:tcW w:w="13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3,311</w:t>
            </w:r>
          </w:p>
        </w:tc>
        <w:tc>
          <w:tcPr>
            <w:tcW w:w="534" w:type="dxa"/>
            <w:tcBorders/>
            <w:shd w:fill="CCEEFF" w:val="clear"/>
            <w:vAlign w:val="bottom"/>
          </w:tcPr>
          <w:p>
            <w:pPr>
              <w:pStyle w:val="TableContents"/>
              <w:spacing w:before="0" w:after="0"/>
              <w:ind w:left="0" w:right="0" w:hanging="0"/>
              <w:rPr/>
            </w:pPr>
            <w:r>
              <w:rPr/>
              <w:t> </w:t>
            </w:r>
          </w:p>
        </w:tc>
      </w:tr>
      <w:tr>
        <w:trPr/>
        <w:tc>
          <w:tcPr>
            <w:tcW w:w="268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Investment expenses</w:t>
            </w:r>
          </w:p>
        </w:tc>
        <w:tc>
          <w:tcPr>
            <w:tcW w:w="159" w:type="dxa"/>
            <w:tcBorders/>
            <w:shd w:fill="auto" w:val="clear"/>
            <w:vAlign w:val="bottom"/>
          </w:tcPr>
          <w:p>
            <w:pPr>
              <w:pStyle w:val="TableContents"/>
              <w:spacing w:before="0" w:after="0"/>
              <w:ind w:left="0" w:right="0" w:hanging="0"/>
              <w:rPr/>
            </w:pPr>
            <w:r>
              <w:rPr/>
              <w:t> </w:t>
            </w:r>
          </w:p>
        </w:tc>
        <w:tc>
          <w:tcPr>
            <w:tcW w:w="13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w:t>
            </w:r>
          </w:p>
        </w:tc>
        <w:tc>
          <w:tcPr>
            <w:tcW w:w="5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8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investment income</w:t>
            </w:r>
          </w:p>
        </w:tc>
        <w:tc>
          <w:tcPr>
            <w:tcW w:w="159" w:type="dxa"/>
            <w:tcBorders/>
            <w:shd w:fill="CCEEFF" w:val="clear"/>
            <w:vAlign w:val="bottom"/>
          </w:tcPr>
          <w:p>
            <w:pPr>
              <w:pStyle w:val="TableContents"/>
              <w:spacing w:before="0" w:after="0"/>
              <w:ind w:left="0" w:right="0" w:hanging="0"/>
              <w:rPr/>
            </w:pPr>
            <w:r>
              <w:rPr/>
              <w:t> </w:t>
            </w:r>
          </w:p>
        </w:tc>
        <w:tc>
          <w:tcPr>
            <w:tcW w:w="19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3,405</w:t>
            </w:r>
          </w:p>
        </w:tc>
        <w:tc>
          <w:tcPr>
            <w:tcW w:w="219" w:type="dxa"/>
            <w:tcBorders/>
            <w:shd w:fill="CCEEFF" w:val="clear"/>
            <w:vAlign w:val="bottom"/>
          </w:tcPr>
          <w:p>
            <w:pPr>
              <w:pStyle w:val="TableContents"/>
              <w:spacing w:before="0" w:after="0"/>
              <w:ind w:left="0" w:right="0" w:hanging="0"/>
              <w:rPr/>
            </w:pPr>
            <w:r>
              <w:rPr/>
              <w:t> </w:t>
            </w:r>
          </w:p>
        </w:tc>
        <w:tc>
          <w:tcPr>
            <w:tcW w:w="19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1,138</w:t>
            </w:r>
          </w:p>
        </w:tc>
        <w:tc>
          <w:tcPr>
            <w:tcW w:w="173" w:type="dxa"/>
            <w:tcBorders/>
            <w:shd w:fill="CCEEFF" w:val="clear"/>
            <w:vAlign w:val="bottom"/>
          </w:tcPr>
          <w:p>
            <w:pPr>
              <w:pStyle w:val="TableContents"/>
              <w:spacing w:before="0" w:after="0"/>
              <w:ind w:left="0" w:right="0" w:hanging="0"/>
              <w:rPr/>
            </w:pPr>
            <w:r>
              <w:rPr/>
              <w:t> </w:t>
            </w:r>
          </w:p>
        </w:tc>
        <w:tc>
          <w:tcPr>
            <w:tcW w:w="19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8,383</w:t>
            </w:r>
          </w:p>
        </w:tc>
        <w:tc>
          <w:tcPr>
            <w:tcW w:w="215" w:type="dxa"/>
            <w:tcBorders/>
            <w:shd w:fill="CCEEFF" w:val="clear"/>
            <w:vAlign w:val="bottom"/>
          </w:tcPr>
          <w:p>
            <w:pPr>
              <w:pStyle w:val="TableContents"/>
              <w:spacing w:before="0" w:after="0"/>
              <w:ind w:left="0" w:right="0" w:hanging="0"/>
              <w:rPr/>
            </w:pPr>
            <w:r>
              <w:rPr/>
              <w:t> </w:t>
            </w:r>
          </w:p>
        </w:tc>
        <w:tc>
          <w:tcPr>
            <w:tcW w:w="19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2,882</w:t>
            </w:r>
          </w:p>
        </w:tc>
        <w:tc>
          <w:tcPr>
            <w:tcW w:w="53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9" w:name="PB_7_130103_5796"/>
      <w:bookmarkEnd w:id="1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3. Accounts Receivable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Accounts receivable consist of the following:</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4734"/>
        <w:gridCol w:w="240"/>
        <w:gridCol w:w="150"/>
        <w:gridCol w:w="1284"/>
        <w:gridCol w:w="240"/>
        <w:gridCol w:w="145"/>
        <w:gridCol w:w="1263"/>
        <w:gridCol w:w="108"/>
      </w:tblGrid>
      <w:tr>
        <w:trPr/>
        <w:tc>
          <w:tcPr>
            <w:tcW w:w="4734"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jc w:val="center"/>
              <w:rPr/>
            </w:pPr>
            <w:r>
              <w:rPr/>
              <w:t> </w:t>
            </w:r>
          </w:p>
        </w:tc>
        <w:tc>
          <w:tcPr>
            <w:tcW w:w="14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br/>
              <w:t>2014</w:t>
            </w:r>
          </w:p>
        </w:tc>
        <w:tc>
          <w:tcPr>
            <w:tcW w:w="240" w:type="dxa"/>
            <w:tcBorders/>
            <w:shd w:fill="auto" w:val="clear"/>
            <w:vAlign w:val="bottom"/>
          </w:tcPr>
          <w:p>
            <w:pPr>
              <w:pStyle w:val="TableContents"/>
              <w:spacing w:before="0" w:after="0"/>
              <w:ind w:left="0" w:right="0" w:hanging="0"/>
              <w:jc w:val="center"/>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br/>
              <w:t>2013</w:t>
            </w:r>
          </w:p>
        </w:tc>
        <w:tc>
          <w:tcPr>
            <w:tcW w:w="108" w:type="dxa"/>
            <w:tcBorders/>
            <w:shd w:fill="auto" w:val="clear"/>
            <w:vAlign w:val="bottom"/>
          </w:tcPr>
          <w:p>
            <w:pPr>
              <w:pStyle w:val="TableContents"/>
              <w:spacing w:before="0" w:after="0"/>
              <w:ind w:left="0" w:right="0" w:hanging="0"/>
              <w:jc w:val="center"/>
              <w:rPr/>
            </w:pPr>
            <w:r>
              <w:rPr/>
              <w:t> </w:t>
            </w:r>
          </w:p>
        </w:tc>
      </w:tr>
      <w:tr>
        <w:trPr/>
        <w:tc>
          <w:tcPr>
            <w:tcW w:w="47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Premiums receivable</w:t>
            </w:r>
          </w:p>
        </w:tc>
        <w:tc>
          <w:tcPr>
            <w:tcW w:w="240"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12,829</w:t>
            </w:r>
          </w:p>
        </w:tc>
        <w:tc>
          <w:tcPr>
            <w:tcW w:w="240"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9,488</w:t>
            </w:r>
          </w:p>
        </w:tc>
        <w:tc>
          <w:tcPr>
            <w:tcW w:w="108" w:type="dxa"/>
            <w:tcBorders/>
            <w:shd w:fill="CCEEFF" w:val="clear"/>
            <w:vAlign w:val="bottom"/>
          </w:tcPr>
          <w:p>
            <w:pPr>
              <w:pStyle w:val="TableContents"/>
              <w:spacing w:before="0" w:after="0"/>
              <w:ind w:left="0" w:right="0" w:hanging="0"/>
              <w:rPr/>
            </w:pPr>
            <w:r>
              <w:rPr/>
              <w:t> </w:t>
            </w:r>
          </w:p>
        </w:tc>
      </w:tr>
      <w:tr>
        <w:trPr/>
        <w:tc>
          <w:tcPr>
            <w:tcW w:w="47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receivables</w:t>
            </w:r>
          </w:p>
        </w:tc>
        <w:tc>
          <w:tcPr>
            <w:tcW w:w="240" w:type="dxa"/>
            <w:tcBorders/>
            <w:shd w:fill="auto" w:val="clear"/>
            <w:vAlign w:val="bottom"/>
          </w:tcPr>
          <w:p>
            <w:pPr>
              <w:pStyle w:val="TableContents"/>
              <w:spacing w:before="0" w:after="0"/>
              <w:ind w:left="0" w:right="0" w:hanging="0"/>
              <w:rPr/>
            </w:pPr>
            <w:r>
              <w:rPr/>
              <w:t> </w:t>
            </w:r>
          </w:p>
        </w:tc>
        <w:tc>
          <w:tcPr>
            <w:tcW w:w="14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40" w:type="dxa"/>
            <w:tcBorders/>
            <w:shd w:fill="auto" w:val="clear"/>
            <w:vAlign w:val="bottom"/>
          </w:tcPr>
          <w:p>
            <w:pPr>
              <w:pStyle w:val="TableContents"/>
              <w:spacing w:before="0" w:after="0"/>
              <w:ind w:left="0" w:right="0" w:hanging="0"/>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w:t>
            </w:r>
          </w:p>
        </w:tc>
        <w:tc>
          <w:tcPr>
            <w:tcW w:w="108" w:type="dxa"/>
            <w:tcBorders/>
            <w:shd w:fill="auto" w:val="clear"/>
            <w:vAlign w:val="bottom"/>
          </w:tcPr>
          <w:p>
            <w:pPr>
              <w:pStyle w:val="TableContents"/>
              <w:spacing w:before="0" w:after="0"/>
              <w:ind w:left="0" w:right="0" w:hanging="0"/>
              <w:rPr/>
            </w:pPr>
            <w:r>
              <w:rPr/>
              <w:t> </w:t>
            </w:r>
          </w:p>
        </w:tc>
      </w:tr>
      <w:tr>
        <w:trPr/>
        <w:tc>
          <w:tcPr>
            <w:tcW w:w="47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accounts receivable</w:t>
            </w:r>
          </w:p>
        </w:tc>
        <w:tc>
          <w:tcPr>
            <w:tcW w:w="240" w:type="dxa"/>
            <w:tcBorders/>
            <w:shd w:fill="CCEEFF" w:val="clear"/>
            <w:vAlign w:val="bottom"/>
          </w:tcPr>
          <w:p>
            <w:pPr>
              <w:pStyle w:val="TableContents"/>
              <w:spacing w:before="0" w:after="0"/>
              <w:ind w:left="0" w:right="0" w:hanging="0"/>
              <w:rPr/>
            </w:pPr>
            <w:r>
              <w:rPr/>
              <w:t> </w:t>
            </w:r>
          </w:p>
        </w:tc>
        <w:tc>
          <w:tcPr>
            <w:tcW w:w="14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13,168</w:t>
            </w:r>
          </w:p>
        </w:tc>
        <w:tc>
          <w:tcPr>
            <w:tcW w:w="240" w:type="dxa"/>
            <w:tcBorders/>
            <w:shd w:fill="CCEEFF" w:val="clear"/>
            <w:vAlign w:val="bottom"/>
          </w:tcPr>
          <w:p>
            <w:pPr>
              <w:pStyle w:val="TableContents"/>
              <w:spacing w:before="0" w:after="0"/>
              <w:ind w:left="0" w:right="0" w:hanging="0"/>
              <w:rPr/>
            </w:pPr>
            <w:r>
              <w:rPr/>
              <w:t> </w:t>
            </w:r>
          </w:p>
        </w:tc>
        <w:tc>
          <w:tcPr>
            <w:tcW w:w="14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10,006</w:t>
            </w:r>
          </w:p>
        </w:tc>
        <w:tc>
          <w:tcPr>
            <w:tcW w:w="108" w:type="dxa"/>
            <w:tcBorders/>
            <w:shd w:fill="CCEEFF" w:val="clear"/>
            <w:vAlign w:val="bottom"/>
          </w:tcPr>
          <w:p>
            <w:pPr>
              <w:pStyle w:val="TableContents"/>
              <w:spacing w:before="0" w:after="0"/>
              <w:ind w:left="0" w:right="0" w:hanging="0"/>
              <w:rPr/>
            </w:pPr>
            <w:r>
              <w:rPr/>
              <w:t> </w:t>
            </w:r>
          </w:p>
        </w:tc>
      </w:tr>
      <w:tr>
        <w:trPr/>
        <w:tc>
          <w:tcPr>
            <w:tcW w:w="47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Allowance for doubtful accounts</w:t>
            </w:r>
          </w:p>
        </w:tc>
        <w:tc>
          <w:tcPr>
            <w:tcW w:w="240" w:type="dxa"/>
            <w:tcBorders/>
            <w:shd w:fill="auto" w:val="clear"/>
            <w:vAlign w:val="bottom"/>
          </w:tcPr>
          <w:p>
            <w:pPr>
              <w:pStyle w:val="TableContents"/>
              <w:spacing w:before="0" w:after="0"/>
              <w:ind w:left="0" w:right="0" w:hanging="0"/>
              <w:rPr/>
            </w:pPr>
            <w:r>
              <w:rPr/>
              <w:t> </w:t>
            </w:r>
          </w:p>
        </w:tc>
        <w:tc>
          <w:tcPr>
            <w:tcW w:w="14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8" w:type="dxa"/>
            <w:tcBorders/>
            <w:shd w:fill="auto" w:val="clear"/>
            <w:vAlign w:val="bottom"/>
          </w:tcPr>
          <w:p>
            <w:pPr>
              <w:pStyle w:val="TableContents"/>
              <w:spacing w:before="0" w:after="0"/>
              <w:ind w:left="0" w:right="0" w:hanging="0"/>
              <w:rPr/>
            </w:pPr>
            <w:r>
              <w:rPr/>
              <w:t> </w:t>
            </w:r>
          </w:p>
        </w:tc>
      </w:tr>
      <w:tr>
        <w:trPr/>
        <w:tc>
          <w:tcPr>
            <w:tcW w:w="47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Accounts receivable, net</w:t>
            </w:r>
          </w:p>
        </w:tc>
        <w:tc>
          <w:tcPr>
            <w:tcW w:w="240"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13,168</w:t>
            </w:r>
          </w:p>
        </w:tc>
        <w:tc>
          <w:tcPr>
            <w:tcW w:w="240"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10,006</w:t>
            </w:r>
          </w:p>
        </w:tc>
        <w:tc>
          <w:tcPr>
            <w:tcW w:w="10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Premiums receivable consist of premiums due on our mortgage insurance policies. If mortgage insurance premiums are unpaid for more than 90 days, the receivable is written off against earned premium and the related insurance policy is cancelled. For all periods presented, Essent did not record a provision or an allowance for doubtful accounts.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4. Reserve for Losses and Loss Adjustment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provides a reconciliation of the beginning and ending reserve balances for losses and loss adjustment expenses (LAE) for the nine months ended September 30:</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5697"/>
        <w:gridCol w:w="185"/>
        <w:gridCol w:w="112"/>
        <w:gridCol w:w="1133"/>
        <w:gridCol w:w="191"/>
        <w:gridCol w:w="112"/>
        <w:gridCol w:w="1133"/>
        <w:gridCol w:w="111"/>
      </w:tblGrid>
      <w:tr>
        <w:trPr/>
        <w:tc>
          <w:tcPr>
            <w:tcW w:w="5697" w:type="dxa"/>
            <w:tcBorders/>
            <w:shd w:fill="auto" w:val="clear"/>
            <w:vAlign w:val="bottom"/>
          </w:tcPr>
          <w:p>
            <w:pPr>
              <w:pStyle w:val="TableContents"/>
              <w:spacing w:before="0" w:after="0"/>
              <w:ind w:left="0" w:right="0" w:hanging="0"/>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91" w:type="dxa"/>
            <w:tcBorders/>
            <w:shd w:fill="auto" w:val="clear"/>
            <w:vAlign w:val="bottom"/>
          </w:tcPr>
          <w:p>
            <w:pPr>
              <w:pStyle w:val="TableContents"/>
              <w:spacing w:before="0" w:after="0"/>
              <w:ind w:left="0" w:right="0" w:hanging="0"/>
              <w:jc w:val="center"/>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1" w:type="dxa"/>
            <w:tcBorders/>
            <w:shd w:fill="auto" w:val="clear"/>
            <w:vAlign w:val="bottom"/>
          </w:tcPr>
          <w:p>
            <w:pPr>
              <w:pStyle w:val="TableContents"/>
              <w:spacing w:before="0" w:after="0"/>
              <w:ind w:left="0" w:right="0" w:hanging="0"/>
              <w:jc w:val="center"/>
              <w:rPr/>
            </w:pPr>
            <w:r>
              <w:rPr/>
              <w:t> </w:t>
            </w:r>
          </w:p>
        </w:tc>
      </w:tr>
      <w:tr>
        <w:trPr/>
        <w:tc>
          <w:tcPr>
            <w:tcW w:w="56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Reserve for losses and LAE at beginning of period</w:t>
            </w:r>
          </w:p>
        </w:tc>
        <w:tc>
          <w:tcPr>
            <w:tcW w:w="185"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3,070</w:t>
            </w:r>
          </w:p>
        </w:tc>
        <w:tc>
          <w:tcPr>
            <w:tcW w:w="191"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1,499</w:t>
            </w:r>
          </w:p>
        </w:tc>
        <w:tc>
          <w:tcPr>
            <w:tcW w:w="111" w:type="dxa"/>
            <w:tcBorders/>
            <w:shd w:fill="CCEEFF" w:val="clear"/>
            <w:vAlign w:val="bottom"/>
          </w:tcPr>
          <w:p>
            <w:pPr>
              <w:pStyle w:val="TableContents"/>
              <w:spacing w:before="0" w:after="0"/>
              <w:ind w:left="0" w:right="0" w:hanging="0"/>
              <w:rPr/>
            </w:pPr>
            <w:r>
              <w:rPr/>
              <w:t> </w:t>
            </w:r>
          </w:p>
        </w:tc>
      </w:tr>
      <w:tr>
        <w:trPr/>
        <w:tc>
          <w:tcPr>
            <w:tcW w:w="56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Reinsurance recoverables</w:t>
            </w:r>
          </w:p>
        </w:tc>
        <w:tc>
          <w:tcPr>
            <w:tcW w:w="185" w:type="dxa"/>
            <w:tcBorders/>
            <w:shd w:fill="auto"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auto"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1" w:type="dxa"/>
            <w:tcBorders/>
            <w:shd w:fill="auto" w:val="clear"/>
            <w:vAlign w:val="bottom"/>
          </w:tcPr>
          <w:p>
            <w:pPr>
              <w:pStyle w:val="TableContents"/>
              <w:spacing w:before="0" w:after="0"/>
              <w:ind w:left="0" w:right="0" w:hanging="0"/>
              <w:rPr/>
            </w:pPr>
            <w:r>
              <w:rPr/>
              <w:t> </w:t>
            </w:r>
          </w:p>
        </w:tc>
      </w:tr>
      <w:tr>
        <w:trPr/>
        <w:tc>
          <w:tcPr>
            <w:tcW w:w="56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reserve for losses and LAE at beginning of period</w:t>
            </w:r>
          </w:p>
        </w:tc>
        <w:tc>
          <w:tcPr>
            <w:tcW w:w="185" w:type="dxa"/>
            <w:tcBorders/>
            <w:shd w:fill="CCEEFF"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3,070</w:t>
            </w:r>
          </w:p>
        </w:tc>
        <w:tc>
          <w:tcPr>
            <w:tcW w:w="191" w:type="dxa"/>
            <w:tcBorders/>
            <w:shd w:fill="CCEEFF"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1,499</w:t>
            </w:r>
          </w:p>
        </w:tc>
        <w:tc>
          <w:tcPr>
            <w:tcW w:w="111" w:type="dxa"/>
            <w:tcBorders/>
            <w:shd w:fill="CCEEFF" w:val="clear"/>
            <w:vAlign w:val="bottom"/>
          </w:tcPr>
          <w:p>
            <w:pPr>
              <w:pStyle w:val="TableContents"/>
              <w:spacing w:before="0" w:after="0"/>
              <w:ind w:left="0" w:right="0" w:hanging="0"/>
              <w:rPr/>
            </w:pPr>
            <w:r>
              <w:rPr/>
              <w:t> </w:t>
            </w:r>
          </w:p>
        </w:tc>
      </w:tr>
      <w:tr>
        <w:trPr/>
        <w:tc>
          <w:tcPr>
            <w:tcW w:w="56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 provision for losses and LAE, net of reinsurance, occurring in:</w:t>
            </w:r>
          </w:p>
        </w:tc>
        <w:tc>
          <w:tcPr>
            <w:tcW w:w="185"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56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period</w:t>
            </w:r>
          </w:p>
        </w:tc>
        <w:tc>
          <w:tcPr>
            <w:tcW w:w="185"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3,954</w:t>
            </w:r>
          </w:p>
        </w:tc>
        <w:tc>
          <w:tcPr>
            <w:tcW w:w="191"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2,083</w:t>
            </w:r>
          </w:p>
        </w:tc>
        <w:tc>
          <w:tcPr>
            <w:tcW w:w="111" w:type="dxa"/>
            <w:tcBorders/>
            <w:shd w:fill="CCEEFF" w:val="clear"/>
            <w:vAlign w:val="bottom"/>
          </w:tcPr>
          <w:p>
            <w:pPr>
              <w:pStyle w:val="TableContents"/>
              <w:spacing w:before="0" w:after="0"/>
              <w:ind w:left="0" w:right="0" w:hanging="0"/>
              <w:rPr/>
            </w:pPr>
            <w:r>
              <w:rPr/>
              <w:t> </w:t>
            </w:r>
          </w:p>
        </w:tc>
      </w:tr>
      <w:tr>
        <w:trPr/>
        <w:tc>
          <w:tcPr>
            <w:tcW w:w="56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Prior years</w:t>
            </w:r>
          </w:p>
        </w:tc>
        <w:tc>
          <w:tcPr>
            <w:tcW w:w="185" w:type="dxa"/>
            <w:tcBorders/>
            <w:shd w:fill="auto"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(695</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incurred losses during the current period</w:t>
            </w:r>
          </w:p>
        </w:tc>
        <w:tc>
          <w:tcPr>
            <w:tcW w:w="185" w:type="dxa"/>
            <w:tcBorders/>
            <w:shd w:fill="CCEEFF"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3,259</w:t>
            </w:r>
          </w:p>
        </w:tc>
        <w:tc>
          <w:tcPr>
            <w:tcW w:w="191" w:type="dxa"/>
            <w:tcBorders/>
            <w:shd w:fill="CCEEFF"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1,629</w:t>
            </w:r>
          </w:p>
        </w:tc>
        <w:tc>
          <w:tcPr>
            <w:tcW w:w="111" w:type="dxa"/>
            <w:tcBorders/>
            <w:shd w:fill="CCEEFF" w:val="clear"/>
            <w:vAlign w:val="bottom"/>
          </w:tcPr>
          <w:p>
            <w:pPr>
              <w:pStyle w:val="TableContents"/>
              <w:spacing w:before="0" w:after="0"/>
              <w:ind w:left="0" w:right="0" w:hanging="0"/>
              <w:rPr/>
            </w:pPr>
            <w:r>
              <w:rPr/>
              <w:t> </w:t>
            </w:r>
          </w:p>
        </w:tc>
      </w:tr>
      <w:tr>
        <w:trPr/>
        <w:tc>
          <w:tcPr>
            <w:tcW w:w="56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Deduct payments for losses and LAE, net of reinsurance, occurring in:</w:t>
            </w:r>
          </w:p>
        </w:tc>
        <w:tc>
          <w:tcPr>
            <w:tcW w:w="185"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56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period</w:t>
            </w:r>
          </w:p>
        </w:tc>
        <w:tc>
          <w:tcPr>
            <w:tcW w:w="185"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1"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11" w:type="dxa"/>
            <w:tcBorders/>
            <w:shd w:fill="CCEEFF" w:val="clear"/>
            <w:vAlign w:val="bottom"/>
          </w:tcPr>
          <w:p>
            <w:pPr>
              <w:pStyle w:val="TableContents"/>
              <w:spacing w:before="0" w:after="0"/>
              <w:ind w:left="0" w:right="0" w:hanging="0"/>
              <w:rPr/>
            </w:pPr>
            <w:r>
              <w:rPr/>
              <w:t> </w:t>
            </w:r>
          </w:p>
        </w:tc>
      </w:tr>
      <w:tr>
        <w:trPr/>
        <w:tc>
          <w:tcPr>
            <w:tcW w:w="56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Prior years</w:t>
            </w:r>
          </w:p>
        </w:tc>
        <w:tc>
          <w:tcPr>
            <w:tcW w:w="185" w:type="dxa"/>
            <w:tcBorders/>
            <w:shd w:fill="auto"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646</w:t>
            </w:r>
          </w:p>
        </w:tc>
        <w:tc>
          <w:tcPr>
            <w:tcW w:w="191" w:type="dxa"/>
            <w:tcBorders/>
            <w:shd w:fill="auto"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111" w:type="dxa"/>
            <w:tcBorders/>
            <w:shd w:fill="auto" w:val="clear"/>
            <w:vAlign w:val="bottom"/>
          </w:tcPr>
          <w:p>
            <w:pPr>
              <w:pStyle w:val="TableContents"/>
              <w:spacing w:before="0" w:after="0"/>
              <w:ind w:left="0" w:right="0" w:hanging="0"/>
              <w:rPr/>
            </w:pPr>
            <w:r>
              <w:rPr/>
              <w:t> </w:t>
            </w:r>
          </w:p>
        </w:tc>
      </w:tr>
      <w:tr>
        <w:trPr/>
        <w:tc>
          <w:tcPr>
            <w:tcW w:w="56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loss and LAE payments during the current period</w:t>
            </w:r>
          </w:p>
        </w:tc>
        <w:tc>
          <w:tcPr>
            <w:tcW w:w="185" w:type="dxa"/>
            <w:tcBorders/>
            <w:shd w:fill="CCEEFF"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647</w:t>
            </w:r>
          </w:p>
        </w:tc>
        <w:tc>
          <w:tcPr>
            <w:tcW w:w="191" w:type="dxa"/>
            <w:tcBorders/>
            <w:shd w:fill="CCEEFF"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w:t>
            </w:r>
          </w:p>
        </w:tc>
        <w:tc>
          <w:tcPr>
            <w:tcW w:w="111" w:type="dxa"/>
            <w:tcBorders/>
            <w:shd w:fill="CCEEFF" w:val="clear"/>
            <w:vAlign w:val="bottom"/>
          </w:tcPr>
          <w:p>
            <w:pPr>
              <w:pStyle w:val="TableContents"/>
              <w:spacing w:before="0" w:after="0"/>
              <w:ind w:left="0" w:right="0" w:hanging="0"/>
              <w:rPr/>
            </w:pPr>
            <w:r>
              <w:rPr/>
              <w:t> </w:t>
            </w:r>
          </w:p>
        </w:tc>
      </w:tr>
      <w:tr>
        <w:trPr/>
        <w:tc>
          <w:tcPr>
            <w:tcW w:w="56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reserve for losses and LAE at end of period</w:t>
            </w:r>
          </w:p>
        </w:tc>
        <w:tc>
          <w:tcPr>
            <w:tcW w:w="185"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5,682</w:t>
            </w:r>
          </w:p>
        </w:tc>
        <w:tc>
          <w:tcPr>
            <w:tcW w:w="191"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2,727</w:t>
            </w:r>
          </w:p>
        </w:tc>
        <w:tc>
          <w:tcPr>
            <w:tcW w:w="111" w:type="dxa"/>
            <w:tcBorders/>
            <w:shd w:fill="auto" w:val="clear"/>
            <w:vAlign w:val="bottom"/>
          </w:tcPr>
          <w:p>
            <w:pPr>
              <w:pStyle w:val="TableContents"/>
              <w:spacing w:before="0" w:after="0"/>
              <w:ind w:left="0" w:right="0" w:hanging="0"/>
              <w:rPr/>
            </w:pPr>
            <w:r>
              <w:rPr/>
              <w:t> </w:t>
            </w:r>
          </w:p>
        </w:tc>
      </w:tr>
      <w:tr>
        <w:trPr/>
        <w:tc>
          <w:tcPr>
            <w:tcW w:w="56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Plus: Reinsurance recoverables</w:t>
            </w:r>
          </w:p>
        </w:tc>
        <w:tc>
          <w:tcPr>
            <w:tcW w:w="185" w:type="dxa"/>
            <w:tcBorders/>
            <w:shd w:fill="CCEEFF"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CCEEFF"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1" w:type="dxa"/>
            <w:tcBorders/>
            <w:shd w:fill="CCEEFF" w:val="clear"/>
            <w:vAlign w:val="bottom"/>
          </w:tcPr>
          <w:p>
            <w:pPr>
              <w:pStyle w:val="TableContents"/>
              <w:spacing w:before="0" w:after="0"/>
              <w:ind w:left="0" w:right="0" w:hanging="0"/>
              <w:rPr/>
            </w:pPr>
            <w:r>
              <w:rPr/>
              <w:t> </w:t>
            </w:r>
          </w:p>
        </w:tc>
      </w:tr>
      <w:tr>
        <w:trPr/>
        <w:tc>
          <w:tcPr>
            <w:tcW w:w="56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Reserve for losses and LAE at end of period</w:t>
            </w:r>
          </w:p>
        </w:tc>
        <w:tc>
          <w:tcPr>
            <w:tcW w:w="185"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5,682</w:t>
            </w:r>
          </w:p>
        </w:tc>
        <w:tc>
          <w:tcPr>
            <w:tcW w:w="191"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2,727</w:t>
            </w:r>
          </w:p>
        </w:tc>
        <w:tc>
          <w:tcPr>
            <w:tcW w:w="111" w:type="dxa"/>
            <w:tcBorders/>
            <w:shd w:fill="auto" w:val="clear"/>
            <w:vAlign w:val="bottom"/>
          </w:tcPr>
          <w:p>
            <w:pPr>
              <w:pStyle w:val="TableContents"/>
              <w:spacing w:before="0" w:after="0"/>
              <w:ind w:left="0" w:right="0" w:hanging="0"/>
              <w:rPr/>
            </w:pPr>
            <w:r>
              <w:rPr/>
              <w:t> </w:t>
            </w:r>
          </w:p>
        </w:tc>
      </w:tr>
      <w:tr>
        <w:trPr/>
        <w:tc>
          <w:tcPr>
            <w:tcW w:w="5697" w:type="dxa"/>
            <w:tcBorders/>
            <w:shd w:fill="CCEEFF" w:val="clear"/>
            <w:vAlign w:val="bottom"/>
          </w:tcPr>
          <w:p>
            <w:pPr>
              <w:pStyle w:val="TableContents"/>
              <w:spacing w:before="0" w:after="0"/>
              <w:ind w:left="0" w:right="0" w:hanging="0"/>
              <w:rPr/>
            </w:pPr>
            <w:r>
              <w:rPr/>
              <w:t> </w:t>
            </w:r>
          </w:p>
        </w:tc>
        <w:tc>
          <w:tcPr>
            <w:tcW w:w="185"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56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Loans in default at end of period</w:t>
            </w:r>
          </w:p>
        </w:tc>
        <w:tc>
          <w:tcPr>
            <w:tcW w:w="185"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191"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11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nine months ended September 30, 2014, $646 was paid for incurred claims and claim adjustment expenses attributable to insured events of prior years. There has been a $695 favorable prior-year development during the nine months ended September 30, 2014. Reserves remaining as of September 30, 2014 for prior years are $1,729 as a result of re-estimation of unpaid losses and loss adjustment expenses. For the nine months ended September 30, 2013, $306 was paid for incurred claims and claim adjustment expenses attributable to insured events of prior years. There has been a $454 favorable prior-year development during the nine months ended September 30, 2013. Reserves remaining as of September 30, 2013 for prior years were $739 as a result of re-estimation of unpaid losses and loss adjustment expenses. The decreases in both periods are generally the result of ongoing analysis of recent loss development trends. Original estimates are increased or decreased as additional information becomes known regarding individual claims.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5. Commitments and 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Obligations under Guarantees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Under the terms of CUW Solutions LLCs contract underwriting agreements with lenders and subject to contractual limitations on liability, we agreed to indemnify the lender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$10 and less than $1 related to remedies for the nine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20" w:name="PB_8_130326_2897"/>
      <w:bookmarkEnd w:id="2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months ended September 30, 2014 and 2013, respectively. As of September 30, 2014, management believes any potential claims for indemnification related to contract underwriting services through September 30, 2014 are not material to our financial position or results of operations.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 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September 30, 2014,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indemnifications.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Commitments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lease office space for use in our operations under leases accounted for as operating leases.  In May 2014, we amended our existing lease agreement for our office space in North Carolina and extended the lease term to 2025.  The future minimum lease payments of all of our non-cancelable operating leases are as follows at September 30, 2014:</w:t>
      </w:r>
    </w:p>
    <w:p>
      <w:pPr>
        <w:pStyle w:val="TextBody"/>
        <w:spacing w:before="0" w:after="0"/>
        <w:ind w:left="0" w:right="0" w:hanging="0"/>
        <w:rPr/>
      </w:pPr>
      <w:r>
        <w:rPr/>
        <w:t> </w:t>
      </w:r>
    </w:p>
    <w:tbl>
      <w:tblPr>
        <w:tblW w:w="4000" w:type="pct"/>
        <w:jc w:val="left"/>
        <w:tblInd w:w="0" w:type="dxa"/>
        <w:tblCellMar>
          <w:top w:w="0" w:type="dxa"/>
          <w:left w:w="0" w:type="dxa"/>
          <w:bottom w:w="28" w:type="dxa"/>
          <w:right w:w="0" w:type="dxa"/>
        </w:tblCellMar>
      </w:tblPr>
      <w:tblGrid>
        <w:gridCol w:w="6557"/>
        <w:gridCol w:w="247"/>
        <w:gridCol w:w="110"/>
        <w:gridCol w:w="1152"/>
        <w:gridCol w:w="98"/>
      </w:tblGrid>
      <w:tr>
        <w:trPr/>
        <w:tc>
          <w:tcPr>
            <w:tcW w:w="6557"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Year Ended December 31,</w:t>
            </w:r>
          </w:p>
        </w:tc>
        <w:tc>
          <w:tcPr>
            <w:tcW w:w="247" w:type="dxa"/>
            <w:tcBorders/>
            <w:shd w:fill="auto" w:val="clear"/>
            <w:tcMar>
              <w:bottom w:w="0" w:type="dxa"/>
            </w:tcMar>
            <w:vAlign w:val="bottom"/>
          </w:tcPr>
          <w:p>
            <w:pPr>
              <w:pStyle w:val="TableContents"/>
              <w:spacing w:before="0" w:after="0"/>
              <w:ind w:left="0" w:right="0" w:hanging="0"/>
              <w:jc w:val="center"/>
              <w:rPr/>
            </w:pPr>
            <w:r>
              <w:rPr/>
              <w:t> </w:t>
            </w:r>
          </w:p>
        </w:tc>
        <w:tc>
          <w:tcPr>
            <w:tcW w:w="1262" w:type="dxa"/>
            <w:gridSpan w:val="2"/>
            <w:tcBorders/>
            <w:shd w:fill="auto" w:val="clear"/>
            <w:tcMar>
              <w:bottom w:w="0" w:type="dxa"/>
            </w:tcMar>
            <w:vAlign w:val="bottom"/>
          </w:tcPr>
          <w:p>
            <w:pPr>
              <w:pStyle w:val="TableContents"/>
              <w:spacing w:before="0" w:after="0"/>
              <w:ind w:left="0" w:right="0" w:hanging="0"/>
              <w:jc w:val="center"/>
              <w:rPr/>
            </w:pPr>
            <w:r>
              <w:rPr/>
              <w:t> </w:t>
            </w:r>
          </w:p>
        </w:tc>
        <w:tc>
          <w:tcPr>
            <w:tcW w:w="98" w:type="dxa"/>
            <w:tcBorders/>
            <w:shd w:fill="auto" w:val="clear"/>
            <w:tcMar>
              <w:bottom w:w="0" w:type="dxa"/>
            </w:tcMar>
            <w:vAlign w:val="bottom"/>
          </w:tcPr>
          <w:p>
            <w:pPr>
              <w:pStyle w:val="TableContents"/>
              <w:spacing w:before="0" w:after="0"/>
              <w:ind w:left="0" w:right="0" w:hanging="0"/>
              <w:jc w:val="center"/>
              <w:rPr/>
            </w:pPr>
            <w:r>
              <w:rPr/>
              <w:t> </w:t>
            </w:r>
          </w:p>
        </w:tc>
      </w:tr>
      <w:tr>
        <w:trPr/>
        <w:tc>
          <w:tcPr>
            <w:tcW w:w="655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2014</w:t>
            </w:r>
          </w:p>
        </w:tc>
        <w:tc>
          <w:tcPr>
            <w:tcW w:w="247" w:type="dxa"/>
            <w:tcBorders/>
            <w:shd w:fill="CCEEFF" w:val="clear"/>
            <w:tcMar>
              <w:bottom w:w="0" w:type="dxa"/>
            </w:tcMar>
            <w:vAlign w:val="bottom"/>
          </w:tcPr>
          <w:p>
            <w:pPr>
              <w:pStyle w:val="TableContents"/>
              <w:spacing w:before="0" w:after="0"/>
              <w:ind w:left="0" w:right="0" w:hanging="0"/>
              <w:rPr/>
            </w:pPr>
            <w:r>
              <w:rPr/>
              <w:t> </w:t>
            </w:r>
          </w:p>
        </w:tc>
        <w:tc>
          <w:tcPr>
            <w:tcW w:w="11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w:t>
            </w:r>
          </w:p>
        </w:tc>
        <w:tc>
          <w:tcPr>
            <w:tcW w:w="98" w:type="dxa"/>
            <w:tcBorders/>
            <w:shd w:fill="CCEEFF" w:val="clear"/>
            <w:tcMar>
              <w:bottom w:w="0" w:type="dxa"/>
            </w:tcMar>
            <w:vAlign w:val="bottom"/>
          </w:tcPr>
          <w:p>
            <w:pPr>
              <w:pStyle w:val="TableContents"/>
              <w:spacing w:before="0" w:after="0"/>
              <w:ind w:left="0" w:right="0" w:hanging="0"/>
              <w:rPr/>
            </w:pPr>
            <w:r>
              <w:rPr/>
              <w:t> </w:t>
            </w:r>
          </w:p>
        </w:tc>
      </w:tr>
      <w:tr>
        <w:trPr/>
        <w:tc>
          <w:tcPr>
            <w:tcW w:w="655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2015</w:t>
            </w:r>
          </w:p>
        </w:tc>
        <w:tc>
          <w:tcPr>
            <w:tcW w:w="247" w:type="dxa"/>
            <w:tcBorders/>
            <w:shd w:fill="auto" w:val="clear"/>
            <w:tcMar>
              <w:bottom w:w="0" w:type="dxa"/>
            </w:tcMar>
            <w:vAlign w:val="bottom"/>
          </w:tcPr>
          <w:p>
            <w:pPr>
              <w:pStyle w:val="TableContents"/>
              <w:spacing w:before="0" w:after="0"/>
              <w:ind w:left="0" w:right="0" w:hanging="0"/>
              <w:rPr/>
            </w:pPr>
            <w:r>
              <w:rPr/>
              <w:t> </w:t>
            </w:r>
          </w:p>
        </w:tc>
        <w:tc>
          <w:tcPr>
            <w:tcW w:w="1262"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1,476</w:t>
            </w:r>
          </w:p>
        </w:tc>
        <w:tc>
          <w:tcPr>
            <w:tcW w:w="98" w:type="dxa"/>
            <w:tcBorders/>
            <w:shd w:fill="auto" w:val="clear"/>
            <w:tcMar>
              <w:bottom w:w="0" w:type="dxa"/>
            </w:tcMar>
            <w:vAlign w:val="bottom"/>
          </w:tcPr>
          <w:p>
            <w:pPr>
              <w:pStyle w:val="TableContents"/>
              <w:spacing w:before="0" w:after="0"/>
              <w:ind w:left="0" w:right="0" w:hanging="0"/>
              <w:rPr/>
            </w:pPr>
            <w:r>
              <w:rPr/>
              <w:t> </w:t>
            </w:r>
          </w:p>
        </w:tc>
      </w:tr>
      <w:tr>
        <w:trPr/>
        <w:tc>
          <w:tcPr>
            <w:tcW w:w="655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2016</w:t>
            </w:r>
          </w:p>
        </w:tc>
        <w:tc>
          <w:tcPr>
            <w:tcW w:w="247" w:type="dxa"/>
            <w:tcBorders/>
            <w:shd w:fill="CCEEFF" w:val="clear"/>
            <w:tcMar>
              <w:bottom w:w="0" w:type="dxa"/>
            </w:tcMar>
            <w:vAlign w:val="bottom"/>
          </w:tcPr>
          <w:p>
            <w:pPr>
              <w:pStyle w:val="TableContents"/>
              <w:spacing w:before="0" w:after="0"/>
              <w:ind w:left="0" w:right="0" w:hanging="0"/>
              <w:rPr/>
            </w:pPr>
            <w:r>
              <w:rPr/>
              <w:t> </w:t>
            </w:r>
          </w:p>
        </w:tc>
        <w:tc>
          <w:tcPr>
            <w:tcW w:w="126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2,114</w:t>
            </w:r>
          </w:p>
        </w:tc>
        <w:tc>
          <w:tcPr>
            <w:tcW w:w="98" w:type="dxa"/>
            <w:tcBorders/>
            <w:shd w:fill="CCEEFF" w:val="clear"/>
            <w:tcMar>
              <w:bottom w:w="0" w:type="dxa"/>
            </w:tcMar>
            <w:vAlign w:val="bottom"/>
          </w:tcPr>
          <w:p>
            <w:pPr>
              <w:pStyle w:val="TableContents"/>
              <w:spacing w:before="0" w:after="0"/>
              <w:ind w:left="0" w:right="0" w:hanging="0"/>
              <w:rPr/>
            </w:pPr>
            <w:r>
              <w:rPr/>
              <w:t> </w:t>
            </w:r>
          </w:p>
        </w:tc>
      </w:tr>
      <w:tr>
        <w:trPr/>
        <w:tc>
          <w:tcPr>
            <w:tcW w:w="655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2017</w:t>
            </w:r>
          </w:p>
        </w:tc>
        <w:tc>
          <w:tcPr>
            <w:tcW w:w="247" w:type="dxa"/>
            <w:tcBorders/>
            <w:shd w:fill="auto" w:val="clear"/>
            <w:tcMar>
              <w:bottom w:w="0" w:type="dxa"/>
            </w:tcMar>
            <w:vAlign w:val="bottom"/>
          </w:tcPr>
          <w:p>
            <w:pPr>
              <w:pStyle w:val="TableContents"/>
              <w:spacing w:before="0" w:after="0"/>
              <w:ind w:left="0" w:right="0" w:hanging="0"/>
              <w:rPr/>
            </w:pPr>
            <w:r>
              <w:rPr/>
              <w:t> </w:t>
            </w:r>
          </w:p>
        </w:tc>
        <w:tc>
          <w:tcPr>
            <w:tcW w:w="1262"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2,023</w:t>
            </w:r>
          </w:p>
        </w:tc>
        <w:tc>
          <w:tcPr>
            <w:tcW w:w="98" w:type="dxa"/>
            <w:tcBorders/>
            <w:shd w:fill="auto" w:val="clear"/>
            <w:tcMar>
              <w:bottom w:w="0" w:type="dxa"/>
            </w:tcMar>
            <w:vAlign w:val="bottom"/>
          </w:tcPr>
          <w:p>
            <w:pPr>
              <w:pStyle w:val="TableContents"/>
              <w:spacing w:before="0" w:after="0"/>
              <w:ind w:left="0" w:right="0" w:hanging="0"/>
              <w:rPr/>
            </w:pPr>
            <w:r>
              <w:rPr/>
              <w:t> </w:t>
            </w:r>
          </w:p>
        </w:tc>
      </w:tr>
      <w:tr>
        <w:trPr/>
        <w:tc>
          <w:tcPr>
            <w:tcW w:w="655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2018 and thereafter</w:t>
            </w:r>
          </w:p>
        </w:tc>
        <w:tc>
          <w:tcPr>
            <w:tcW w:w="247" w:type="dxa"/>
            <w:tcBorders/>
            <w:shd w:fill="CCEEFF" w:val="clear"/>
            <w:tcMar>
              <w:bottom w:w="0" w:type="dxa"/>
            </w:tcMar>
            <w:vAlign w:val="bottom"/>
          </w:tcPr>
          <w:p>
            <w:pPr>
              <w:pStyle w:val="TableContents"/>
              <w:spacing w:before="0" w:after="0"/>
              <w:ind w:left="0" w:right="0" w:hanging="0"/>
              <w:rPr/>
            </w:pPr>
            <w:r>
              <w:rPr/>
              <w:t> </w:t>
            </w:r>
          </w:p>
        </w:tc>
        <w:tc>
          <w:tcPr>
            <w:tcW w:w="1262"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14,282</w:t>
            </w:r>
          </w:p>
        </w:tc>
        <w:tc>
          <w:tcPr>
            <w:tcW w:w="98" w:type="dxa"/>
            <w:tcBorders/>
            <w:shd w:fill="CCEEFF" w:val="clear"/>
            <w:tcMar>
              <w:bottom w:w="0" w:type="dxa"/>
            </w:tcMar>
            <w:vAlign w:val="bottom"/>
          </w:tcPr>
          <w:p>
            <w:pPr>
              <w:pStyle w:val="TableContents"/>
              <w:spacing w:before="0" w:after="0"/>
              <w:ind w:left="0" w:right="0" w:hanging="0"/>
              <w:rPr/>
            </w:pPr>
            <w:r>
              <w:rPr/>
              <w:t> </w:t>
            </w:r>
          </w:p>
        </w:tc>
      </w:tr>
      <w:tr>
        <w:trPr/>
        <w:tc>
          <w:tcPr>
            <w:tcW w:w="655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Total minimum payments required</w:t>
            </w:r>
          </w:p>
        </w:tc>
        <w:tc>
          <w:tcPr>
            <w:tcW w:w="247" w:type="dxa"/>
            <w:tcBorders/>
            <w:shd w:fill="auto" w:val="clear"/>
            <w:tcMar>
              <w:bottom w:w="0" w:type="dxa"/>
            </w:tcMar>
            <w:vAlign w:val="bottom"/>
          </w:tcPr>
          <w:p>
            <w:pPr>
              <w:pStyle w:val="TableContents"/>
              <w:spacing w:before="0" w:after="0"/>
              <w:ind w:left="0" w:right="0" w:hanging="0"/>
              <w:rPr/>
            </w:pPr>
            <w:r>
              <w:rPr/>
              <w:t> </w:t>
            </w:r>
          </w:p>
        </w:tc>
        <w:tc>
          <w:tcPr>
            <w:tcW w:w="110"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20,324</w:t>
            </w:r>
          </w:p>
        </w:tc>
        <w:tc>
          <w:tcPr>
            <w:tcW w:w="98"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6. Stock-Based Compensation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February 6, 2009, Essent Group adopted the 2009 Restricted Share Plan.  In connection with the initial public offering that was completed in November 2013, Essent Groups Board of Directors amended and restated the 2009 Restricted Share Plan, effective immediately prior to the initial public offering. In addition,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As of September 30, 2014, there were 13,535 Common Shares available for future grant under the 2013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September 2013 and February 2014, certain members of senior management were granted nonvested Common Shares under the 2013 Plan that were subject to time-based and performance-based vesting.  The time-based share awards vest in three equal installments on January 1, 2015, 2016 and 2017.  The performance share awards vest based upon our compounded annual book value per share growth percentage during a three-year performance period commencing January 1, 2014.  The September 2013 grants vest on the one-year anniversary of the completion of the performance period, and the 2014 grants vest on March 1, 2017.  The portion of the nonvested Common Shares that will be earned based upon the achievement of compounded annual book value per share growth is as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21" w:name="PB_9_130500_3020"/>
      <w:bookmarkEnd w:id="2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4844"/>
        <w:gridCol w:w="189"/>
        <w:gridCol w:w="2906"/>
        <w:gridCol w:w="236"/>
        <w:gridCol w:w="1870"/>
        <w:gridCol w:w="160"/>
      </w:tblGrid>
      <w:tr>
        <w:trPr/>
        <w:tc>
          <w:tcPr>
            <w:tcW w:w="4844"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Performance level</w:t>
            </w:r>
          </w:p>
        </w:tc>
        <w:tc>
          <w:tcPr>
            <w:tcW w:w="189" w:type="dxa"/>
            <w:tcBorders/>
            <w:shd w:fill="auto" w:val="clear"/>
            <w:tcMar>
              <w:bottom w:w="0" w:type="dxa"/>
            </w:tcMar>
            <w:vAlign w:val="bottom"/>
          </w:tcPr>
          <w:p>
            <w:pPr>
              <w:pStyle w:val="TableContents"/>
              <w:spacing w:before="0" w:after="0"/>
              <w:ind w:left="0" w:right="0" w:hanging="0"/>
              <w:jc w:val="center"/>
              <w:rPr/>
            </w:pPr>
            <w:r>
              <w:rPr/>
              <w:t> </w:t>
            </w:r>
          </w:p>
        </w:tc>
        <w:tc>
          <w:tcPr>
            <w:tcW w:w="290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Compounded Annual Book Value</w:t>
              <w:br/>
              <w:t>Per Share Growth</w:t>
            </w:r>
          </w:p>
        </w:tc>
        <w:tc>
          <w:tcPr>
            <w:tcW w:w="236" w:type="dxa"/>
            <w:tcBorders/>
            <w:shd w:fill="auto" w:val="clear"/>
            <w:tcMar>
              <w:bottom w:w="0" w:type="dxa"/>
            </w:tcMar>
            <w:vAlign w:val="bottom"/>
          </w:tcPr>
          <w:p>
            <w:pPr>
              <w:pStyle w:val="TableContents"/>
              <w:spacing w:before="0" w:after="0"/>
              <w:ind w:left="0" w:right="0" w:hanging="0"/>
              <w:jc w:val="center"/>
              <w:rPr/>
            </w:pPr>
            <w:r>
              <w:rPr/>
              <w:t> </w:t>
            </w:r>
          </w:p>
        </w:tc>
        <w:tc>
          <w:tcPr>
            <w:tcW w:w="187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Nonvested Common</w:t>
              <w:br/>
              <w:t>Shares Earned</w:t>
            </w:r>
          </w:p>
        </w:tc>
        <w:tc>
          <w:tcPr>
            <w:tcW w:w="160" w:type="dxa"/>
            <w:tcBorders/>
            <w:shd w:fill="auto" w:val="clear"/>
            <w:tcMar>
              <w:bottom w:w="0" w:type="dxa"/>
            </w:tcMar>
            <w:vAlign w:val="bottom"/>
          </w:tcPr>
          <w:p>
            <w:pPr>
              <w:pStyle w:val="TableContents"/>
              <w:spacing w:before="0" w:after="0"/>
              <w:ind w:left="0" w:right="0" w:hanging="0"/>
              <w:jc w:val="center"/>
              <w:rPr/>
            </w:pPr>
            <w:r>
              <w:rPr/>
              <w:t> </w:t>
            </w:r>
          </w:p>
        </w:tc>
      </w:tr>
      <w:tr>
        <w:trPr/>
        <w:tc>
          <w:tcPr>
            <w:tcW w:w="4844" w:type="dxa"/>
            <w:tcBorders/>
            <w:shd w:fill="CCEEFF" w:val="clear"/>
            <w:tcMar>
              <w:bottom w:w="0" w:type="dxa"/>
            </w:tcMar>
            <w:vAlign w:val="bottom"/>
          </w:tcPr>
          <w:p>
            <w:pPr>
              <w:pStyle w:val="TableContents"/>
              <w:spacing w:before="0" w:after="0"/>
              <w:ind w:left="0" w:right="0" w:hanging="0"/>
              <w:rPr/>
            </w:pPr>
            <w:r>
              <w:rPr/>
              <w:t> </w:t>
            </w:r>
          </w:p>
        </w:tc>
        <w:tc>
          <w:tcPr>
            <w:tcW w:w="189" w:type="dxa"/>
            <w:tcBorders/>
            <w:shd w:fill="CCEEFF" w:val="clear"/>
            <w:tcMar>
              <w:bottom w:w="0" w:type="dxa"/>
            </w:tcMar>
            <w:vAlign w:val="bottom"/>
          </w:tcPr>
          <w:p>
            <w:pPr>
              <w:pStyle w:val="TableContents"/>
              <w:spacing w:before="0" w:after="0"/>
              <w:ind w:left="0" w:right="0" w:hanging="0"/>
              <w:rPr/>
            </w:pPr>
            <w:r>
              <w:rPr/>
              <w:t> </w:t>
            </w:r>
          </w:p>
        </w:tc>
        <w:tc>
          <w:tcPr>
            <w:tcW w:w="290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&lt; 11</w:t>
            </w:r>
          </w:p>
        </w:tc>
        <w:tc>
          <w:tcPr>
            <w:tcW w:w="23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7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w:t>
            </w:r>
          </w:p>
        </w:tc>
        <w:tc>
          <w:tcPr>
            <w:tcW w:w="16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44" w:type="dxa"/>
            <w:tcBorders/>
            <w:shd w:fill="auto" w:val="clear"/>
            <w:tcMar>
              <w:bottom w:w="0" w:type="dxa"/>
            </w:tcMar>
          </w:tcPr>
          <w:p>
            <w:pPr>
              <w:pStyle w:val="TableContents"/>
              <w:spacing w:before="0" w:after="0"/>
              <w:ind w:left="0" w:right="0" w:hanging="0"/>
              <w:rPr/>
            </w:pPr>
            <w:r>
              <w:rPr>
                <w:rFonts w:ascii="Times New Roman" w:hAnsi="Times New Roman"/>
                <w:b/>
                <w:sz w:val="17"/>
              </w:rPr>
              <w:t>Threshold</w:t>
            </w:r>
            <w:r>
              <w:rPr/>
              <w:t xml:space="preserve"> </w:t>
            </w:r>
          </w:p>
        </w:tc>
        <w:tc>
          <w:tcPr>
            <w:tcW w:w="189" w:type="dxa"/>
            <w:tcBorders/>
            <w:shd w:fill="auto" w:val="clear"/>
            <w:tcMar>
              <w:bottom w:w="0" w:type="dxa"/>
            </w:tcMar>
            <w:vAlign w:val="bottom"/>
          </w:tcPr>
          <w:p>
            <w:pPr>
              <w:pStyle w:val="TableContents"/>
              <w:spacing w:before="0" w:after="0"/>
              <w:ind w:left="0" w:right="0" w:hanging="0"/>
              <w:rPr/>
            </w:pPr>
            <w:r>
              <w:rPr/>
              <w:t> </w:t>
            </w:r>
          </w:p>
        </w:tc>
        <w:tc>
          <w:tcPr>
            <w:tcW w:w="290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6"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7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60"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44" w:type="dxa"/>
            <w:tcBorders/>
            <w:shd w:fill="CCEEFF" w:val="clear"/>
            <w:tcMar>
              <w:bottom w:w="0" w:type="dxa"/>
            </w:tcMar>
            <w:vAlign w:val="bottom"/>
          </w:tcPr>
          <w:p>
            <w:pPr>
              <w:pStyle w:val="TableContents"/>
              <w:spacing w:before="0" w:after="0"/>
              <w:ind w:left="0" w:right="0" w:hanging="0"/>
              <w:rPr/>
            </w:pPr>
            <w:r>
              <w:rPr/>
              <w:t> </w:t>
            </w:r>
          </w:p>
        </w:tc>
        <w:tc>
          <w:tcPr>
            <w:tcW w:w="189" w:type="dxa"/>
            <w:tcBorders/>
            <w:shd w:fill="CCEEFF" w:val="clear"/>
            <w:tcMar>
              <w:bottom w:w="0" w:type="dxa"/>
            </w:tcMar>
            <w:vAlign w:val="bottom"/>
          </w:tcPr>
          <w:p>
            <w:pPr>
              <w:pStyle w:val="TableContents"/>
              <w:spacing w:before="0" w:after="0"/>
              <w:ind w:left="0" w:right="0" w:hanging="0"/>
              <w:rPr/>
            </w:pPr>
            <w:r>
              <w:rPr/>
              <w:t> </w:t>
            </w:r>
          </w:p>
        </w:tc>
        <w:tc>
          <w:tcPr>
            <w:tcW w:w="290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7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6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44" w:type="dxa"/>
            <w:tcBorders/>
            <w:shd w:fill="auto" w:val="clear"/>
            <w:tcMar>
              <w:bottom w:w="0" w:type="dxa"/>
            </w:tcMar>
            <w:vAlign w:val="bottom"/>
          </w:tcPr>
          <w:p>
            <w:pPr>
              <w:pStyle w:val="TableContents"/>
              <w:spacing w:before="0" w:after="0"/>
              <w:ind w:left="0" w:right="0" w:hanging="0"/>
              <w:rPr/>
            </w:pPr>
            <w:r>
              <w:rPr/>
              <w:t> </w:t>
            </w:r>
          </w:p>
        </w:tc>
        <w:tc>
          <w:tcPr>
            <w:tcW w:w="189" w:type="dxa"/>
            <w:tcBorders/>
            <w:shd w:fill="auto" w:val="clear"/>
            <w:tcMar>
              <w:bottom w:w="0" w:type="dxa"/>
            </w:tcMar>
            <w:vAlign w:val="bottom"/>
          </w:tcPr>
          <w:p>
            <w:pPr>
              <w:pStyle w:val="TableContents"/>
              <w:spacing w:before="0" w:after="0"/>
              <w:ind w:left="0" w:right="0" w:hanging="0"/>
              <w:rPr/>
            </w:pPr>
            <w:r>
              <w:rPr/>
              <w:t> </w:t>
            </w:r>
          </w:p>
        </w:tc>
        <w:tc>
          <w:tcPr>
            <w:tcW w:w="290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36"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7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60"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44" w:type="dxa"/>
            <w:tcBorders/>
            <w:shd w:fill="CCEEFF" w:val="clear"/>
            <w:tcMar>
              <w:bottom w:w="0" w:type="dxa"/>
            </w:tcMar>
            <w:vAlign w:val="bottom"/>
          </w:tcPr>
          <w:p>
            <w:pPr>
              <w:pStyle w:val="TableContents"/>
              <w:spacing w:before="0" w:after="0"/>
              <w:ind w:left="0" w:right="0" w:hanging="0"/>
              <w:rPr/>
            </w:pPr>
            <w:r>
              <w:rPr/>
              <w:t> </w:t>
            </w:r>
          </w:p>
        </w:tc>
        <w:tc>
          <w:tcPr>
            <w:tcW w:w="189" w:type="dxa"/>
            <w:tcBorders/>
            <w:shd w:fill="CCEEFF" w:val="clear"/>
            <w:tcMar>
              <w:bottom w:w="0" w:type="dxa"/>
            </w:tcMar>
            <w:vAlign w:val="bottom"/>
          </w:tcPr>
          <w:p>
            <w:pPr>
              <w:pStyle w:val="TableContents"/>
              <w:spacing w:before="0" w:after="0"/>
              <w:ind w:left="0" w:right="0" w:hanging="0"/>
              <w:rPr/>
            </w:pPr>
            <w:r>
              <w:rPr/>
              <w:t> </w:t>
            </w:r>
          </w:p>
        </w:tc>
        <w:tc>
          <w:tcPr>
            <w:tcW w:w="290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7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6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44" w:type="dxa"/>
            <w:tcBorders/>
            <w:shd w:fill="auto" w:val="clear"/>
            <w:tcMar>
              <w:bottom w:w="0" w:type="dxa"/>
            </w:tcMar>
          </w:tcPr>
          <w:p>
            <w:pPr>
              <w:pStyle w:val="TableContents"/>
              <w:spacing w:before="0" w:after="0"/>
              <w:ind w:left="0" w:right="0" w:hanging="0"/>
              <w:rPr/>
            </w:pPr>
            <w:r>
              <w:rPr>
                <w:rFonts w:ascii="Times New Roman" w:hAnsi="Times New Roman"/>
                <w:b/>
                <w:sz w:val="17"/>
              </w:rPr>
              <w:t>Maximum</w:t>
            </w:r>
            <w:r>
              <w:rPr/>
              <w:t xml:space="preserve"> </w:t>
            </w:r>
          </w:p>
        </w:tc>
        <w:tc>
          <w:tcPr>
            <w:tcW w:w="189" w:type="dxa"/>
            <w:tcBorders/>
            <w:shd w:fill="auto" w:val="clear"/>
            <w:tcMar>
              <w:bottom w:w="0" w:type="dxa"/>
            </w:tcMar>
            <w:vAlign w:val="bottom"/>
          </w:tcPr>
          <w:p>
            <w:pPr>
              <w:pStyle w:val="TableContents"/>
              <w:spacing w:before="0" w:after="0"/>
              <w:ind w:left="0" w:right="0" w:hanging="0"/>
              <w:rPr/>
            </w:pPr>
            <w:r>
              <w:rPr/>
              <w:t> </w:t>
            </w:r>
          </w:p>
        </w:tc>
        <w:tc>
          <w:tcPr>
            <w:tcW w:w="2906" w:type="dxa"/>
            <w:tcBorders/>
            <w:shd w:fill="auto" w:val="clear"/>
            <w:tcMar>
              <w:bottom w:w="0" w:type="dxa"/>
            </w:tcMar>
            <w:vAlign w:val="bottom"/>
          </w:tcPr>
          <w:p>
            <w:pPr>
              <w:pStyle w:val="TableContents"/>
              <w:spacing w:before="0" w:after="0"/>
              <w:ind w:left="0" w:right="0" w:hanging="0"/>
              <w:jc w:val="right"/>
              <w:rPr/>
            </w:pPr>
            <w:r>
              <w:rPr>
                <w:rFonts w:ascii="Times New Roman" w:hAnsi="Times New Roman"/>
                <w:sz w:val="17"/>
                <w:u w:val="single"/>
              </w:rPr>
              <w:t>&gt;</w:t>
            </w:r>
            <w:r>
              <w:rPr/>
              <w:t> </w:t>
            </w:r>
            <w:r>
              <w:rPr>
                <w:sz w:val="17"/>
              </w:rPr>
              <w:t>15</w:t>
            </w:r>
          </w:p>
        </w:tc>
        <w:tc>
          <w:tcPr>
            <w:tcW w:w="236"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7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60"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event that the compounded annual book value per share growth falls between the performance levels shown above, the nonvested Common Shares earned will be determined on a straight line basis between the respective levels shown.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our incentive program covering bonus awards for performance year 2013, in February 2014, the Compensation Committee of the Board of Directors approved the issuance of time-based share awards and share units to employees that will vest in three equal installments on January 1, 2015, 2016 and 2017.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May 2014, the Compensation Committee of the Board of Directors approved the issuance of time-based share units to non-employee directors.  The portion of the grant that relates to director compensation for the period from our initial public offering through April 2014 vests on November 1, 2014 and the portion of the grant that relates to director compensation from May 2014 through April 2015 vests one year from the date of grant.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nonvested Common Share and nonvested Common Share unit activity for the nine months ended September 30, 2014:</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64"/>
        <w:gridCol w:w="189"/>
        <w:gridCol w:w="1137"/>
        <w:gridCol w:w="193"/>
        <w:gridCol w:w="136"/>
        <w:gridCol w:w="869"/>
        <w:gridCol w:w="189"/>
        <w:gridCol w:w="1099"/>
        <w:gridCol w:w="198"/>
        <w:gridCol w:w="145"/>
        <w:gridCol w:w="851"/>
        <w:gridCol w:w="188"/>
        <w:gridCol w:w="1033"/>
        <w:gridCol w:w="198"/>
        <w:gridCol w:w="135"/>
        <w:gridCol w:w="862"/>
        <w:gridCol w:w="119"/>
      </w:tblGrid>
      <w:tr>
        <w:trPr/>
        <w:tc>
          <w:tcPr>
            <w:tcW w:w="2664"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233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Time and Performance-</w:t>
              <w:br/>
              <w:t>Based Share Awards</w:t>
            </w:r>
          </w:p>
        </w:tc>
        <w:tc>
          <w:tcPr>
            <w:tcW w:w="189" w:type="dxa"/>
            <w:tcBorders/>
            <w:shd w:fill="auto" w:val="clear"/>
            <w:vAlign w:val="bottom"/>
          </w:tcPr>
          <w:p>
            <w:pPr>
              <w:pStyle w:val="TableContents"/>
              <w:spacing w:before="0" w:after="0"/>
              <w:ind w:left="0" w:right="0" w:hanging="0"/>
              <w:jc w:val="center"/>
              <w:rPr/>
            </w:pPr>
            <w:r>
              <w:rPr/>
              <w:t> </w:t>
            </w:r>
          </w:p>
        </w:tc>
        <w:tc>
          <w:tcPr>
            <w:tcW w:w="229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Time-Based Share</w:t>
              <w:br/>
              <w:t>Awards</w:t>
            </w:r>
          </w:p>
        </w:tc>
        <w:tc>
          <w:tcPr>
            <w:tcW w:w="188" w:type="dxa"/>
            <w:tcBorders/>
            <w:shd w:fill="auto" w:val="clear"/>
            <w:vAlign w:val="bottom"/>
          </w:tcPr>
          <w:p>
            <w:pPr>
              <w:pStyle w:val="TableContents"/>
              <w:spacing w:before="0" w:after="0"/>
              <w:ind w:left="0" w:right="0" w:hanging="0"/>
              <w:jc w:val="center"/>
              <w:rPr/>
            </w:pPr>
            <w:r>
              <w:rPr/>
              <w:t> </w:t>
            </w:r>
          </w:p>
        </w:tc>
        <w:tc>
          <w:tcPr>
            <w:tcW w:w="2228"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Share Units</w:t>
            </w:r>
          </w:p>
        </w:tc>
        <w:tc>
          <w:tcPr>
            <w:tcW w:w="119" w:type="dxa"/>
            <w:tcBorders/>
            <w:shd w:fill="auto" w:val="clear"/>
            <w:vAlign w:val="bottom"/>
          </w:tcPr>
          <w:p>
            <w:pPr>
              <w:pStyle w:val="TableContents"/>
              <w:spacing w:before="0" w:after="0"/>
              <w:ind w:left="0" w:right="0" w:hanging="0"/>
              <w:jc w:val="center"/>
              <w:rPr/>
            </w:pPr>
            <w:r>
              <w:rPr/>
              <w:t> </w:t>
            </w:r>
          </w:p>
        </w:tc>
      </w:tr>
      <w:tr>
        <w:trPr/>
        <w:tc>
          <w:tcPr>
            <w:tcW w:w="2664"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137" w:type="dxa"/>
            <w:tcBorders/>
            <w:shd w:fill="auto" w:val="clear"/>
            <w:vAlign w:val="bottom"/>
          </w:tcPr>
          <w:p>
            <w:pPr>
              <w:pStyle w:val="TableContents"/>
              <w:spacing w:before="0" w:after="0"/>
              <w:ind w:left="0" w:right="0" w:hanging="0"/>
              <w:jc w:val="center"/>
              <w:rPr/>
            </w:pPr>
            <w:r>
              <w:rPr/>
              <w:t> </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0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w:t>
            </w:r>
          </w:p>
        </w:tc>
        <w:tc>
          <w:tcPr>
            <w:tcW w:w="189" w:type="dxa"/>
            <w:tcBorders/>
            <w:shd w:fill="auto" w:val="clear"/>
            <w:vAlign w:val="bottom"/>
          </w:tcPr>
          <w:p>
            <w:pPr>
              <w:pStyle w:val="TableContents"/>
              <w:spacing w:before="0" w:after="0"/>
              <w:ind w:left="0" w:right="0" w:hanging="0"/>
              <w:jc w:val="center"/>
              <w:rPr/>
            </w:pPr>
            <w:r>
              <w:rPr/>
              <w:t> </w:t>
            </w:r>
          </w:p>
        </w:tc>
        <w:tc>
          <w:tcPr>
            <w:tcW w:w="1099" w:type="dxa"/>
            <w:tcBorders/>
            <w:shd w:fill="auto" w:val="clear"/>
            <w:vAlign w:val="bottom"/>
          </w:tcPr>
          <w:p>
            <w:pPr>
              <w:pStyle w:val="TableContents"/>
              <w:spacing w:before="0" w:after="0"/>
              <w:ind w:left="0" w:right="0" w:hanging="0"/>
              <w:jc w:val="center"/>
              <w:rPr/>
            </w:pPr>
            <w:r>
              <w:rPr/>
              <w:t> </w:t>
            </w:r>
          </w:p>
        </w:tc>
        <w:tc>
          <w:tcPr>
            <w:tcW w:w="19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w:t>
            </w:r>
          </w:p>
        </w:tc>
        <w:tc>
          <w:tcPr>
            <w:tcW w:w="188" w:type="dxa"/>
            <w:tcBorders/>
            <w:shd w:fill="auto" w:val="clear"/>
            <w:vAlign w:val="bottom"/>
          </w:tcPr>
          <w:p>
            <w:pPr>
              <w:pStyle w:val="TableContents"/>
              <w:spacing w:before="0" w:after="0"/>
              <w:ind w:left="0" w:right="0" w:hanging="0"/>
              <w:jc w:val="center"/>
              <w:rPr/>
            </w:pPr>
            <w:r>
              <w:rPr/>
              <w:t> </w:t>
            </w:r>
          </w:p>
        </w:tc>
        <w:tc>
          <w:tcPr>
            <w:tcW w:w="1033" w:type="dxa"/>
            <w:tcBorders/>
            <w:shd w:fill="auto" w:val="clear"/>
            <w:vAlign w:val="bottom"/>
          </w:tcPr>
          <w:p>
            <w:pPr>
              <w:pStyle w:val="TableContents"/>
              <w:spacing w:before="0" w:after="0"/>
              <w:ind w:left="0" w:right="0" w:hanging="0"/>
              <w:jc w:val="center"/>
              <w:rPr/>
            </w:pPr>
            <w:r>
              <w:rPr/>
              <w:t> </w:t>
            </w:r>
          </w:p>
        </w:tc>
        <w:tc>
          <w:tcPr>
            <w:tcW w:w="19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w:t>
            </w:r>
          </w:p>
        </w:tc>
        <w:tc>
          <w:tcPr>
            <w:tcW w:w="119" w:type="dxa"/>
            <w:tcBorders/>
            <w:shd w:fill="auto" w:val="clear"/>
            <w:vAlign w:val="bottom"/>
          </w:tcPr>
          <w:p>
            <w:pPr>
              <w:pStyle w:val="TableContents"/>
              <w:spacing w:before="0" w:after="0"/>
              <w:ind w:left="0" w:right="0" w:hanging="0"/>
              <w:jc w:val="center"/>
              <w:rPr/>
            </w:pPr>
            <w:r>
              <w:rPr/>
              <w:t> </w:t>
            </w:r>
          </w:p>
        </w:tc>
      </w:tr>
      <w:tr>
        <w:trPr/>
        <w:tc>
          <w:tcPr>
            <w:tcW w:w="2664"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1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w:t>
              <w:br/>
              <w:t>Shares</w:t>
            </w:r>
          </w:p>
        </w:tc>
        <w:tc>
          <w:tcPr>
            <w:tcW w:w="193" w:type="dxa"/>
            <w:tcBorders/>
            <w:shd w:fill="auto" w:val="clear"/>
            <w:vAlign w:val="bottom"/>
          </w:tcPr>
          <w:p>
            <w:pPr>
              <w:pStyle w:val="TableContents"/>
              <w:spacing w:before="0" w:after="0"/>
              <w:ind w:left="0" w:right="0" w:hanging="0"/>
              <w:jc w:val="center"/>
              <w:rPr/>
            </w:pPr>
            <w:r>
              <w:rPr/>
              <w:t> </w:t>
            </w:r>
          </w:p>
        </w:tc>
        <w:tc>
          <w:tcPr>
            <w:tcW w:w="10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w:t>
              <w:br/>
              <w:t>Grant</w:t>
              <w:br/>
              <w:t>Date Fair</w:t>
              <w:br/>
              <w:t>Value</w:t>
            </w:r>
          </w:p>
        </w:tc>
        <w:tc>
          <w:tcPr>
            <w:tcW w:w="189" w:type="dxa"/>
            <w:tcBorders/>
            <w:shd w:fill="auto" w:val="clear"/>
            <w:vAlign w:val="bottom"/>
          </w:tcPr>
          <w:p>
            <w:pPr>
              <w:pStyle w:val="TableContents"/>
              <w:spacing w:before="0" w:after="0"/>
              <w:ind w:left="0" w:right="0" w:hanging="0"/>
              <w:jc w:val="center"/>
              <w:rPr/>
            </w:pPr>
            <w:r>
              <w:rPr/>
              <w:t> </w:t>
            </w:r>
          </w:p>
        </w:tc>
        <w:tc>
          <w:tcPr>
            <w:tcW w:w="109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w:t>
              <w:br/>
              <w:t>Shares</w:t>
            </w:r>
          </w:p>
        </w:tc>
        <w:tc>
          <w:tcPr>
            <w:tcW w:w="198" w:type="dxa"/>
            <w:tcBorders/>
            <w:shd w:fill="auto" w:val="clear"/>
            <w:vAlign w:val="bottom"/>
          </w:tcPr>
          <w:p>
            <w:pPr>
              <w:pStyle w:val="TableContents"/>
              <w:spacing w:before="0" w:after="0"/>
              <w:ind w:left="0" w:right="0" w:hanging="0"/>
              <w:jc w:val="center"/>
              <w:rPr/>
            </w:pPr>
            <w:r>
              <w:rPr/>
              <w:t> </w:t>
            </w:r>
          </w:p>
        </w:tc>
        <w:tc>
          <w:tcPr>
            <w:tcW w:w="9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w:t>
              <w:br/>
              <w:t>Grant</w:t>
              <w:br/>
              <w:t>Date Fair</w:t>
              <w:br/>
              <w:t>Value</w:t>
            </w:r>
          </w:p>
        </w:tc>
        <w:tc>
          <w:tcPr>
            <w:tcW w:w="188" w:type="dxa"/>
            <w:tcBorders/>
            <w:shd w:fill="auto" w:val="clear"/>
            <w:vAlign w:val="bottom"/>
          </w:tcPr>
          <w:p>
            <w:pPr>
              <w:pStyle w:val="TableContents"/>
              <w:spacing w:before="0" w:after="0"/>
              <w:ind w:left="0" w:right="0" w:hanging="0"/>
              <w:jc w:val="center"/>
              <w:rPr/>
            </w:pPr>
            <w:r>
              <w:rPr/>
              <w:t> </w:t>
            </w:r>
          </w:p>
        </w:tc>
        <w:tc>
          <w:tcPr>
            <w:tcW w:w="103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w:t>
              <w:br/>
              <w:t>of</w:t>
              <w:br/>
              <w:t>Share</w:t>
              <w:br/>
              <w:t>Units</w:t>
            </w:r>
          </w:p>
        </w:tc>
        <w:tc>
          <w:tcPr>
            <w:tcW w:w="198" w:type="dxa"/>
            <w:tcBorders/>
            <w:shd w:fill="auto" w:val="clear"/>
            <w:vAlign w:val="bottom"/>
          </w:tcPr>
          <w:p>
            <w:pPr>
              <w:pStyle w:val="TableContents"/>
              <w:spacing w:before="0" w:after="0"/>
              <w:ind w:left="0" w:right="0" w:hanging="0"/>
              <w:jc w:val="center"/>
              <w:rPr/>
            </w:pPr>
            <w:r>
              <w:rPr/>
              <w:t> </w:t>
            </w:r>
          </w:p>
        </w:tc>
        <w:tc>
          <w:tcPr>
            <w:tcW w:w="9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w:t>
              <w:br/>
              <w:t>Grant</w:t>
              <w:br/>
              <w:t>Date Fair</w:t>
              <w:br/>
              <w:t>Value</w:t>
            </w:r>
          </w:p>
        </w:tc>
        <w:tc>
          <w:tcPr>
            <w:tcW w:w="119" w:type="dxa"/>
            <w:tcBorders/>
            <w:shd w:fill="auto" w:val="clear"/>
            <w:vAlign w:val="bottom"/>
          </w:tcPr>
          <w:p>
            <w:pPr>
              <w:pStyle w:val="TableContents"/>
              <w:spacing w:before="0" w:after="0"/>
              <w:ind w:left="0" w:right="0" w:hanging="0"/>
              <w:jc w:val="center"/>
              <w:rPr/>
            </w:pPr>
            <w:r>
              <w:rPr/>
              <w:t> </w:t>
            </w:r>
          </w:p>
        </w:tc>
      </w:tr>
      <w:tr>
        <w:trPr/>
        <w:tc>
          <w:tcPr>
            <w:tcW w:w="26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Outstanding at beginning of year </w:t>
            </w:r>
          </w:p>
        </w:tc>
        <w:tc>
          <w:tcPr>
            <w:tcW w:w="189" w:type="dxa"/>
            <w:tcBorders/>
            <w:shd w:fill="CCEEFF" w:val="clear"/>
            <w:vAlign w:val="bottom"/>
          </w:tcPr>
          <w:p>
            <w:pPr>
              <w:pStyle w:val="TableContents"/>
              <w:spacing w:before="0" w:after="0"/>
              <w:ind w:left="0" w:right="0" w:hanging="0"/>
              <w:rPr/>
            </w:pPr>
            <w:r>
              <w:rPr/>
              <w:t> </w:t>
            </w:r>
          </w:p>
        </w:tc>
        <w:tc>
          <w:tcPr>
            <w:tcW w:w="11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1,238</w:t>
            </w:r>
          </w:p>
        </w:tc>
        <w:tc>
          <w:tcPr>
            <w:tcW w:w="193"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14.50</w:t>
            </w:r>
          </w:p>
        </w:tc>
        <w:tc>
          <w:tcPr>
            <w:tcW w:w="189" w:type="dxa"/>
            <w:tcBorders/>
            <w:shd w:fill="CCEEFF" w:val="clear"/>
            <w:vAlign w:val="bottom"/>
          </w:tcPr>
          <w:p>
            <w:pPr>
              <w:pStyle w:val="TableContents"/>
              <w:spacing w:before="0" w:after="0"/>
              <w:ind w:left="0" w:right="0" w:hanging="0"/>
              <w:rPr/>
            </w:pPr>
            <w:r>
              <w:rPr/>
              <w:t> </w:t>
            </w:r>
          </w:p>
        </w:tc>
        <w:tc>
          <w:tcPr>
            <w:tcW w:w="10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2,839</w:t>
            </w:r>
          </w:p>
        </w:tc>
        <w:tc>
          <w:tcPr>
            <w:tcW w:w="198"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4.82</w:t>
            </w:r>
          </w:p>
        </w:tc>
        <w:tc>
          <w:tcPr>
            <w:tcW w:w="188" w:type="dxa"/>
            <w:tcBorders/>
            <w:shd w:fill="CCEEFF" w:val="clear"/>
            <w:vAlign w:val="bottom"/>
          </w:tcPr>
          <w:p>
            <w:pPr>
              <w:pStyle w:val="TableContents"/>
              <w:spacing w:before="0" w:after="0"/>
              <w:ind w:left="0" w:right="0" w:hanging="0"/>
              <w:rPr/>
            </w:pPr>
            <w:r>
              <w:rPr/>
              <w:t> </w:t>
            </w:r>
          </w:p>
        </w:tc>
        <w:tc>
          <w:tcPr>
            <w:tcW w:w="10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198"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17.03</w:t>
            </w:r>
          </w:p>
        </w:tc>
        <w:tc>
          <w:tcPr>
            <w:tcW w:w="119" w:type="dxa"/>
            <w:tcBorders/>
            <w:shd w:fill="CCEEFF" w:val="clear"/>
            <w:vAlign w:val="bottom"/>
          </w:tcPr>
          <w:p>
            <w:pPr>
              <w:pStyle w:val="TableContents"/>
              <w:spacing w:before="0" w:after="0"/>
              <w:ind w:left="0" w:right="0" w:hanging="0"/>
              <w:rPr/>
            </w:pPr>
            <w:r>
              <w:rPr/>
              <w:t> </w:t>
            </w:r>
          </w:p>
        </w:tc>
      </w:tr>
      <w:tr>
        <w:trPr/>
        <w:tc>
          <w:tcPr>
            <w:tcW w:w="26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Granted </w:t>
            </w:r>
          </w:p>
        </w:tc>
        <w:tc>
          <w:tcPr>
            <w:tcW w:w="189" w:type="dxa"/>
            <w:tcBorders/>
            <w:shd w:fill="auto" w:val="clear"/>
            <w:vAlign w:val="bottom"/>
          </w:tcPr>
          <w:p>
            <w:pPr>
              <w:pStyle w:val="TableContents"/>
              <w:spacing w:before="0" w:after="0"/>
              <w:ind w:left="0" w:right="0" w:hanging="0"/>
              <w:rPr/>
            </w:pPr>
            <w:r>
              <w:rPr/>
              <w:t> </w:t>
            </w:r>
          </w:p>
        </w:tc>
        <w:tc>
          <w:tcPr>
            <w:tcW w:w="11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93"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22.68</w:t>
            </w:r>
          </w:p>
        </w:tc>
        <w:tc>
          <w:tcPr>
            <w:tcW w:w="189" w:type="dxa"/>
            <w:tcBorders/>
            <w:shd w:fill="auto" w:val="clear"/>
            <w:vAlign w:val="bottom"/>
          </w:tcPr>
          <w:p>
            <w:pPr>
              <w:pStyle w:val="TableContents"/>
              <w:spacing w:before="0" w:after="0"/>
              <w:ind w:left="0" w:right="0" w:hanging="0"/>
              <w:rPr/>
            </w:pPr>
            <w:r>
              <w:rPr/>
              <w:t> </w:t>
            </w:r>
          </w:p>
        </w:tc>
        <w:tc>
          <w:tcPr>
            <w:tcW w:w="10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98"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23.47</w:t>
            </w:r>
          </w:p>
        </w:tc>
        <w:tc>
          <w:tcPr>
            <w:tcW w:w="188" w:type="dxa"/>
            <w:tcBorders/>
            <w:shd w:fill="auto" w:val="clear"/>
            <w:vAlign w:val="bottom"/>
          </w:tcPr>
          <w:p>
            <w:pPr>
              <w:pStyle w:val="TableContents"/>
              <w:spacing w:before="0" w:after="0"/>
              <w:ind w:left="0" w:right="0" w:hanging="0"/>
              <w:rPr/>
            </w:pPr>
            <w:r>
              <w:rPr/>
              <w:t> </w:t>
            </w:r>
          </w:p>
        </w:tc>
        <w:tc>
          <w:tcPr>
            <w:tcW w:w="10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98" w:type="dxa"/>
            <w:tcBorders/>
            <w:shd w:fill="auto" w:val="clear"/>
            <w:vAlign w:val="bottom"/>
          </w:tcPr>
          <w:p>
            <w:pPr>
              <w:pStyle w:val="TableContents"/>
              <w:spacing w:before="0" w:after="0"/>
              <w:ind w:left="0" w:right="0" w:hanging="0"/>
              <w:rPr/>
            </w:pPr>
            <w:r>
              <w:rPr/>
              <w:t> </w:t>
            </w:r>
          </w:p>
        </w:tc>
        <w:tc>
          <w:tcPr>
            <w:tcW w:w="9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21.61</w:t>
            </w:r>
          </w:p>
        </w:tc>
        <w:tc>
          <w:tcPr>
            <w:tcW w:w="119" w:type="dxa"/>
            <w:tcBorders/>
            <w:shd w:fill="auto" w:val="clear"/>
            <w:vAlign w:val="bottom"/>
          </w:tcPr>
          <w:p>
            <w:pPr>
              <w:pStyle w:val="TableContents"/>
              <w:spacing w:before="0" w:after="0"/>
              <w:ind w:left="0" w:right="0" w:hanging="0"/>
              <w:rPr/>
            </w:pPr>
            <w:r>
              <w:rPr/>
              <w:t> </w:t>
            </w:r>
          </w:p>
        </w:tc>
      </w:tr>
      <w:tr>
        <w:trPr/>
        <w:tc>
          <w:tcPr>
            <w:tcW w:w="26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Vested </w:t>
            </w:r>
          </w:p>
        </w:tc>
        <w:tc>
          <w:tcPr>
            <w:tcW w:w="189" w:type="dxa"/>
            <w:tcBorders/>
            <w:shd w:fill="CCEEFF" w:val="clear"/>
            <w:vAlign w:val="bottom"/>
          </w:tcPr>
          <w:p>
            <w:pPr>
              <w:pStyle w:val="TableContents"/>
              <w:spacing w:before="0" w:after="0"/>
              <w:ind w:left="0" w:right="0" w:hanging="0"/>
              <w:rPr/>
            </w:pPr>
            <w:r>
              <w:rPr/>
              <w:t> </w:t>
            </w:r>
          </w:p>
        </w:tc>
        <w:tc>
          <w:tcPr>
            <w:tcW w:w="11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89" w:type="dxa"/>
            <w:tcBorders/>
            <w:shd w:fill="CCEEFF" w:val="clear"/>
            <w:vAlign w:val="bottom"/>
          </w:tcPr>
          <w:p>
            <w:pPr>
              <w:pStyle w:val="TableContents"/>
              <w:spacing w:before="0" w:after="0"/>
              <w:ind w:left="0" w:right="0" w:hanging="0"/>
              <w:rPr/>
            </w:pPr>
            <w:r>
              <w:rPr/>
              <w:t> </w:t>
            </w:r>
          </w:p>
        </w:tc>
        <w:tc>
          <w:tcPr>
            <w:tcW w:w="10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(1,325</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88" w:type="dxa"/>
            <w:tcBorders/>
            <w:shd w:fill="CCEEFF" w:val="clear"/>
            <w:vAlign w:val="bottom"/>
          </w:tcPr>
          <w:p>
            <w:pPr>
              <w:pStyle w:val="TableContents"/>
              <w:spacing w:before="0" w:after="0"/>
              <w:ind w:left="0" w:right="0" w:hanging="0"/>
              <w:rPr/>
            </w:pPr>
            <w:r>
              <w:rPr/>
              <w:t> </w:t>
            </w:r>
          </w:p>
        </w:tc>
        <w:tc>
          <w:tcPr>
            <w:tcW w:w="10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8" w:type="dxa"/>
            <w:tcBorders/>
            <w:shd w:fill="CCEEFF" w:val="clear"/>
            <w:vAlign w:val="bottom"/>
          </w:tcPr>
          <w:p>
            <w:pPr>
              <w:pStyle w:val="TableContents"/>
              <w:spacing w:before="0" w:after="0"/>
              <w:ind w:left="0" w:right="0" w:hanging="0"/>
              <w:rPr/>
            </w:pPr>
            <w:r>
              <w:rPr/>
              <w:t> </w:t>
            </w:r>
          </w:p>
        </w:tc>
        <w:tc>
          <w:tcPr>
            <w:tcW w:w="9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19" w:type="dxa"/>
            <w:tcBorders/>
            <w:shd w:fill="CCEEFF" w:val="clear"/>
            <w:vAlign w:val="bottom"/>
          </w:tcPr>
          <w:p>
            <w:pPr>
              <w:pStyle w:val="TableContents"/>
              <w:spacing w:before="0" w:after="0"/>
              <w:ind w:left="0" w:right="0" w:hanging="0"/>
              <w:rPr/>
            </w:pPr>
            <w:r>
              <w:rPr/>
              <w:t> </w:t>
            </w:r>
          </w:p>
        </w:tc>
      </w:tr>
      <w:tr>
        <w:trPr/>
        <w:tc>
          <w:tcPr>
            <w:tcW w:w="26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Forfeited </w:t>
            </w:r>
          </w:p>
        </w:tc>
        <w:tc>
          <w:tcPr>
            <w:tcW w:w="189" w:type="dxa"/>
            <w:tcBorders/>
            <w:shd w:fill="auto" w:val="clear"/>
            <w:vAlign w:val="bottom"/>
          </w:tcPr>
          <w:p>
            <w:pPr>
              <w:pStyle w:val="TableContents"/>
              <w:spacing w:before="0" w:after="0"/>
              <w:ind w:left="0" w:right="0" w:hanging="0"/>
              <w:rPr/>
            </w:pPr>
            <w:r>
              <w:rPr/>
              <w:t> </w:t>
            </w:r>
          </w:p>
        </w:tc>
        <w:tc>
          <w:tcPr>
            <w:tcW w:w="11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0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89" w:type="dxa"/>
            <w:tcBorders/>
            <w:shd w:fill="auto" w:val="clear"/>
            <w:vAlign w:val="bottom"/>
          </w:tcPr>
          <w:p>
            <w:pPr>
              <w:pStyle w:val="TableContents"/>
              <w:spacing w:before="0" w:after="0"/>
              <w:ind w:left="0" w:right="0" w:hanging="0"/>
              <w:rPr/>
            </w:pPr>
            <w:r>
              <w:rPr/>
              <w:t> </w:t>
            </w:r>
          </w:p>
        </w:tc>
        <w:tc>
          <w:tcPr>
            <w:tcW w:w="109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88" w:type="dxa"/>
            <w:tcBorders/>
            <w:shd w:fill="auto" w:val="clear"/>
            <w:vAlign w:val="bottom"/>
          </w:tcPr>
          <w:p>
            <w:pPr>
              <w:pStyle w:val="TableContents"/>
              <w:spacing w:before="0" w:after="0"/>
              <w:ind w:left="0" w:right="0" w:hanging="0"/>
              <w:rPr/>
            </w:pPr>
            <w:r>
              <w:rPr/>
              <w:t> </w:t>
            </w:r>
          </w:p>
        </w:tc>
        <w:tc>
          <w:tcPr>
            <w:tcW w:w="103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17.85</w:t>
            </w:r>
          </w:p>
        </w:tc>
        <w:tc>
          <w:tcPr>
            <w:tcW w:w="119" w:type="dxa"/>
            <w:tcBorders/>
            <w:shd w:fill="auto" w:val="clear"/>
            <w:vAlign w:val="bottom"/>
          </w:tcPr>
          <w:p>
            <w:pPr>
              <w:pStyle w:val="TableContents"/>
              <w:spacing w:before="0" w:after="0"/>
              <w:ind w:left="0" w:right="0" w:hanging="0"/>
              <w:rPr/>
            </w:pPr>
            <w:r>
              <w:rPr/>
              <w:t> </w:t>
            </w:r>
          </w:p>
        </w:tc>
      </w:tr>
      <w:tr>
        <w:trPr/>
        <w:tc>
          <w:tcPr>
            <w:tcW w:w="26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Outstanding at September 30, 2014 </w:t>
            </w:r>
          </w:p>
        </w:tc>
        <w:tc>
          <w:tcPr>
            <w:tcW w:w="189" w:type="dxa"/>
            <w:tcBorders/>
            <w:shd w:fill="CCEEFF" w:val="clear"/>
            <w:vAlign w:val="bottom"/>
          </w:tcPr>
          <w:p>
            <w:pPr>
              <w:pStyle w:val="TableContents"/>
              <w:spacing w:before="0" w:after="0"/>
              <w:ind w:left="0" w:right="0" w:hanging="0"/>
              <w:rPr/>
            </w:pPr>
            <w:r>
              <w:rPr/>
              <w:t> </w:t>
            </w:r>
          </w:p>
        </w:tc>
        <w:tc>
          <w:tcPr>
            <w:tcW w:w="11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1,290</w:t>
            </w:r>
          </w:p>
        </w:tc>
        <w:tc>
          <w:tcPr>
            <w:tcW w:w="193" w:type="dxa"/>
            <w:tcBorders/>
            <w:shd w:fill="CCEEFF" w:val="clear"/>
            <w:vAlign w:val="bottom"/>
          </w:tcPr>
          <w:p>
            <w:pPr>
              <w:pStyle w:val="TableContents"/>
              <w:spacing w:before="0" w:after="0"/>
              <w:ind w:left="0" w:right="0" w:hanging="0"/>
              <w:rPr/>
            </w:pPr>
            <w:r>
              <w:rPr/>
              <w:t> </w:t>
            </w:r>
          </w:p>
        </w:tc>
        <w:tc>
          <w:tcPr>
            <w:tcW w:w="10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14.83</w:t>
            </w:r>
          </w:p>
        </w:tc>
        <w:tc>
          <w:tcPr>
            <w:tcW w:w="189" w:type="dxa"/>
            <w:tcBorders/>
            <w:shd w:fill="CCEEFF" w:val="clear"/>
            <w:vAlign w:val="bottom"/>
          </w:tcPr>
          <w:p>
            <w:pPr>
              <w:pStyle w:val="TableContents"/>
              <w:spacing w:before="0" w:after="0"/>
              <w:ind w:left="0" w:right="0" w:hanging="0"/>
              <w:rPr/>
            </w:pPr>
            <w:r>
              <w:rPr/>
              <w:t> </w:t>
            </w:r>
          </w:p>
        </w:tc>
        <w:tc>
          <w:tcPr>
            <w:tcW w:w="10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1,581</w:t>
            </w:r>
          </w:p>
        </w:tc>
        <w:tc>
          <w:tcPr>
            <w:tcW w:w="198"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8.43</w:t>
            </w:r>
          </w:p>
        </w:tc>
        <w:tc>
          <w:tcPr>
            <w:tcW w:w="188" w:type="dxa"/>
            <w:tcBorders/>
            <w:shd w:fill="CCEEFF" w:val="clear"/>
            <w:vAlign w:val="bottom"/>
          </w:tcPr>
          <w:p>
            <w:pPr>
              <w:pStyle w:val="TableContents"/>
              <w:spacing w:before="0" w:after="0"/>
              <w:ind w:left="0" w:right="0" w:hanging="0"/>
              <w:rPr/>
            </w:pPr>
            <w:r>
              <w:rPr/>
              <w:t> </w:t>
            </w:r>
          </w:p>
        </w:tc>
        <w:tc>
          <w:tcPr>
            <w:tcW w:w="10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665</w:t>
            </w:r>
          </w:p>
        </w:tc>
        <w:tc>
          <w:tcPr>
            <w:tcW w:w="198" w:type="dxa"/>
            <w:tcBorders/>
            <w:shd w:fill="CCEEFF" w:val="clear"/>
            <w:vAlign w:val="bottom"/>
          </w:tcPr>
          <w:p>
            <w:pPr>
              <w:pStyle w:val="TableContents"/>
              <w:spacing w:before="0" w:after="0"/>
              <w:ind w:left="0" w:right="0" w:hanging="0"/>
              <w:rPr/>
            </w:pPr>
            <w:r>
              <w:rPr/>
              <w:t> </w:t>
            </w:r>
          </w:p>
        </w:tc>
        <w:tc>
          <w:tcPr>
            <w:tcW w:w="9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18.12</w:t>
            </w:r>
          </w:p>
        </w:tc>
        <w:tc>
          <w:tcPr>
            <w:tcW w:w="119" w:type="dxa"/>
            <w:tcBorders/>
            <w:shd w:fill="CCEEFF" w:val="clear"/>
            <w:vAlign w:val="bottom"/>
          </w:tcPr>
          <w:p>
            <w:pPr>
              <w:pStyle w:val="TableContents"/>
              <w:spacing w:before="0" w:after="0"/>
              <w:ind w:left="0" w:right="0" w:hanging="0"/>
              <w:rPr/>
            </w:pPr>
            <w:r>
              <w:rPr/>
              <w:t> </w:t>
            </w:r>
          </w:p>
        </w:tc>
      </w:tr>
      <w:tr>
        <w:trPr/>
        <w:tc>
          <w:tcPr>
            <w:tcW w:w="266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total fair value of nonvested shares that vested was $29,473 and $2,145 for the nine months ended September 30, 2014 and 2013, respectively.  As of September 30, 2014, there was $31,372 of total unrecognized compensation expense related to nonvested shares outstanding at September 30, 2014 and we expect to recognize the expense over a weighted average period of 2.9 years.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nonvested share activity listed above, in February 2014, the Compensation Committee of the Board of Directors approved the issuance to employees of 17 Common Shares which vested upon issuance.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Employees have the option to tender shares to Essent Group to pay the minimum employee statutory withholding taxes associated with shares upon vesting. Common Shares tendered by employees to pay employee withholding taxes totaled 102 in the nine months ended September 30, 2014. The tendered shares were recorded at cost, included in treasury stock and have been cancelled as of September 30, 2014.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Compensation expense, net of forfeitures, and related tax effects recognized in connection with nonvested shares were as follows:</w:t>
      </w:r>
    </w:p>
    <w:p>
      <w:pPr>
        <w:pStyle w:val="TextBody"/>
        <w:spacing w:before="0" w:after="0"/>
        <w:ind w:left="0" w:right="0" w:hanging="0"/>
        <w:rPr/>
      </w:pPr>
      <w:r>
        <w:rPr/>
        <w:t> </w:t>
      </w:r>
    </w:p>
    <w:tbl>
      <w:tblPr>
        <w:tblW w:w="4500" w:type="pct"/>
        <w:jc w:val="left"/>
        <w:tblInd w:w="0" w:type="dxa"/>
        <w:tblCellMar>
          <w:top w:w="0" w:type="dxa"/>
          <w:left w:w="0" w:type="dxa"/>
          <w:bottom w:w="0" w:type="dxa"/>
          <w:right w:w="0" w:type="dxa"/>
        </w:tblCellMar>
      </w:tblPr>
      <w:tblGrid>
        <w:gridCol w:w="2700"/>
        <w:gridCol w:w="159"/>
        <w:gridCol w:w="231"/>
        <w:gridCol w:w="1300"/>
        <w:gridCol w:w="208"/>
        <w:gridCol w:w="231"/>
        <w:gridCol w:w="1087"/>
        <w:gridCol w:w="159"/>
        <w:gridCol w:w="204"/>
        <w:gridCol w:w="1198"/>
        <w:gridCol w:w="194"/>
        <w:gridCol w:w="204"/>
        <w:gridCol w:w="1199"/>
        <w:gridCol w:w="110"/>
      </w:tblGrid>
      <w:tr>
        <w:trPr/>
        <w:tc>
          <w:tcPr>
            <w:tcW w:w="2700"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jc w:val="center"/>
              <w:rPr/>
            </w:pPr>
            <w:r>
              <w:rPr/>
              <w:t> </w:t>
            </w:r>
          </w:p>
        </w:tc>
        <w:tc>
          <w:tcPr>
            <w:tcW w:w="305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w:t>
            </w:r>
          </w:p>
        </w:tc>
        <w:tc>
          <w:tcPr>
            <w:tcW w:w="159" w:type="dxa"/>
            <w:tcBorders/>
            <w:shd w:fill="auto" w:val="clear"/>
            <w:vAlign w:val="bottom"/>
          </w:tcPr>
          <w:p>
            <w:pPr>
              <w:pStyle w:val="TableContents"/>
              <w:spacing w:before="0" w:after="0"/>
              <w:ind w:left="0" w:right="0" w:hanging="0"/>
              <w:jc w:val="center"/>
              <w:rPr/>
            </w:pPr>
            <w:r>
              <w:rPr/>
              <w:t> </w:t>
            </w:r>
          </w:p>
        </w:tc>
        <w:tc>
          <w:tcPr>
            <w:tcW w:w="299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10" w:type="dxa"/>
            <w:tcBorders/>
            <w:shd w:fill="auto" w:val="clear"/>
            <w:vAlign w:val="bottom"/>
          </w:tcPr>
          <w:p>
            <w:pPr>
              <w:pStyle w:val="TableContents"/>
              <w:spacing w:before="0" w:after="0"/>
              <w:ind w:left="0" w:right="0" w:hanging="0"/>
              <w:jc w:val="center"/>
              <w:rPr/>
            </w:pPr>
            <w:r>
              <w:rPr/>
              <w:t> </w:t>
            </w:r>
          </w:p>
        </w:tc>
      </w:tr>
      <w:tr>
        <w:trPr/>
        <w:tc>
          <w:tcPr>
            <w:tcW w:w="2700"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jc w:val="center"/>
              <w:rPr/>
            </w:pPr>
            <w:r>
              <w:rPr/>
              <w:t> </w:t>
            </w:r>
          </w:p>
        </w:tc>
        <w:tc>
          <w:tcPr>
            <w:tcW w:w="15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1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59" w:type="dxa"/>
            <w:tcBorders/>
            <w:shd w:fill="auto" w:val="clear"/>
            <w:vAlign w:val="bottom"/>
          </w:tcPr>
          <w:p>
            <w:pPr>
              <w:pStyle w:val="TableContents"/>
              <w:spacing w:before="0" w:after="0"/>
              <w:ind w:left="0" w:right="0" w:hanging="0"/>
              <w:jc w:val="center"/>
              <w:rPr/>
            </w:pPr>
            <w:r>
              <w:rPr/>
              <w:t> </w:t>
            </w:r>
          </w:p>
        </w:tc>
        <w:tc>
          <w:tcPr>
            <w:tcW w:w="14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9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0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0" w:type="dxa"/>
            <w:tcBorders/>
            <w:shd w:fill="auto" w:val="clear"/>
            <w:vAlign w:val="bottom"/>
          </w:tcPr>
          <w:p>
            <w:pPr>
              <w:pStyle w:val="TableContents"/>
              <w:spacing w:before="0" w:after="0"/>
              <w:ind w:left="0" w:right="0" w:hanging="0"/>
              <w:jc w:val="center"/>
              <w:rPr/>
            </w:pPr>
            <w:r>
              <w:rPr/>
              <w:t> </w:t>
            </w:r>
          </w:p>
        </w:tc>
      </w:tr>
      <w:tr>
        <w:trPr/>
        <w:tc>
          <w:tcPr>
            <w:tcW w:w="27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Compensation expense </w:t>
            </w:r>
          </w:p>
        </w:tc>
        <w:tc>
          <w:tcPr>
            <w:tcW w:w="159" w:type="dxa"/>
            <w:tcBorders/>
            <w:shd w:fill="CCEEFF" w:val="clear"/>
            <w:vAlign w:val="bottom"/>
          </w:tcPr>
          <w:p>
            <w:pPr>
              <w:pStyle w:val="TableContents"/>
              <w:spacing w:before="0" w:after="0"/>
              <w:ind w:left="0" w:right="0" w:hanging="0"/>
              <w:rPr/>
            </w:pPr>
            <w:r>
              <w:rPr/>
              <w:t> </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3,260</w:t>
            </w:r>
          </w:p>
        </w:tc>
        <w:tc>
          <w:tcPr>
            <w:tcW w:w="208" w:type="dxa"/>
            <w:tcBorders/>
            <w:shd w:fill="CCEEFF" w:val="clear"/>
            <w:vAlign w:val="bottom"/>
          </w:tcPr>
          <w:p>
            <w:pPr>
              <w:pStyle w:val="TableContents"/>
              <w:spacing w:before="0" w:after="0"/>
              <w:ind w:left="0" w:right="0" w:hanging="0"/>
              <w:rPr/>
            </w:pPr>
            <w:r>
              <w:rPr/>
              <w:t> </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159"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9,408</w:t>
            </w:r>
          </w:p>
        </w:tc>
        <w:tc>
          <w:tcPr>
            <w:tcW w:w="194"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1,635</w:t>
            </w:r>
          </w:p>
        </w:tc>
        <w:tc>
          <w:tcPr>
            <w:tcW w:w="110" w:type="dxa"/>
            <w:tcBorders/>
            <w:shd w:fill="CCEEFF" w:val="clear"/>
            <w:vAlign w:val="bottom"/>
          </w:tcPr>
          <w:p>
            <w:pPr>
              <w:pStyle w:val="TableContents"/>
              <w:spacing w:before="0" w:after="0"/>
              <w:ind w:left="0" w:right="0" w:hanging="0"/>
              <w:rPr/>
            </w:pPr>
            <w:r>
              <w:rPr/>
              <w:t> </w:t>
            </w:r>
          </w:p>
        </w:tc>
      </w:tr>
      <w:tr>
        <w:trPr/>
        <w:tc>
          <w:tcPr>
            <w:tcW w:w="27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 benefit </w:t>
            </w:r>
          </w:p>
        </w:tc>
        <w:tc>
          <w:tcPr>
            <w:tcW w:w="159" w:type="dxa"/>
            <w:tcBorders/>
            <w:shd w:fill="auto" w:val="clear"/>
            <w:vAlign w:val="bottom"/>
          </w:tcPr>
          <w:p>
            <w:pPr>
              <w:pStyle w:val="TableContents"/>
              <w:spacing w:before="0" w:after="0"/>
              <w:ind w:left="0" w:right="0" w:hanging="0"/>
              <w:rPr/>
            </w:pPr>
            <w:r>
              <w:rPr/>
              <w:t> </w:t>
            </w:r>
          </w:p>
        </w:tc>
        <w:tc>
          <w:tcPr>
            <w:tcW w:w="15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1,141</w:t>
            </w:r>
          </w:p>
        </w:tc>
        <w:tc>
          <w:tcPr>
            <w:tcW w:w="208" w:type="dxa"/>
            <w:tcBorders/>
            <w:shd w:fill="auto" w:val="clear"/>
            <w:vAlign w:val="bottom"/>
          </w:tcPr>
          <w:p>
            <w:pPr>
              <w:pStyle w:val="TableContents"/>
              <w:spacing w:before="0" w:after="0"/>
              <w:ind w:left="0" w:right="0" w:hanging="0"/>
              <w:rPr/>
            </w:pPr>
            <w:r>
              <w:rPr/>
              <w:t> </w:t>
            </w:r>
          </w:p>
        </w:tc>
        <w:tc>
          <w:tcPr>
            <w:tcW w:w="13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59" w:type="dxa"/>
            <w:tcBorders/>
            <w:shd w:fill="auto" w:val="clear"/>
            <w:vAlign w:val="bottom"/>
          </w:tcPr>
          <w:p>
            <w:pPr>
              <w:pStyle w:val="TableContents"/>
              <w:spacing w:before="0" w:after="0"/>
              <w:ind w:left="0" w:right="0" w:hanging="0"/>
              <w:rPr/>
            </w:pPr>
            <w:r>
              <w:rPr/>
              <w:t> </w:t>
            </w:r>
          </w:p>
        </w:tc>
        <w:tc>
          <w:tcPr>
            <w:tcW w:w="14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3,293</w:t>
            </w:r>
          </w:p>
        </w:tc>
        <w:tc>
          <w:tcPr>
            <w:tcW w:w="194" w:type="dxa"/>
            <w:tcBorders/>
            <w:shd w:fill="auto" w:val="clear"/>
            <w:vAlign w:val="bottom"/>
          </w:tcPr>
          <w:p>
            <w:pPr>
              <w:pStyle w:val="TableContents"/>
              <w:spacing w:before="0" w:after="0"/>
              <w:ind w:left="0" w:right="0" w:hanging="0"/>
              <w:rPr/>
            </w:pPr>
            <w:r>
              <w:rPr/>
              <w:t> </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110" w:type="dxa"/>
            <w:tcBorders/>
            <w:shd w:fill="auto" w:val="clear"/>
            <w:vAlign w:val="bottom"/>
          </w:tcPr>
          <w:p>
            <w:pPr>
              <w:pStyle w:val="TableContents"/>
              <w:spacing w:before="0" w:after="0"/>
              <w:ind w:left="0" w:right="0" w:hanging="0"/>
              <w:rPr/>
            </w:pPr>
            <w:r>
              <w:rPr/>
              <w:t> </w:t>
            </w:r>
          </w:p>
        </w:tc>
      </w:tr>
      <w:tr>
        <w:trPr/>
        <w:tc>
          <w:tcPr>
            <w:tcW w:w="270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2" w:name="PB_10_123955_7056"/>
      <w:bookmarkEnd w:id="2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7. Dividends Restrictions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 month period in an amount equal to the greater of (i) 10 percent of the preceding year end statutory policyholders surplus or (ii) the preceding years statutory net income. The Pennsylvania statute also specifies that dividends and other distributions can be paid out of positive unassigned surplus without prior approval. Essent Guaranty currently has negative unassigned surplus and, therefore, would require prior approval by the Pennsylvania Insurance Commissioner to make any dividend payment or other distributions.  At September 30, 2014, Essent Guaranty of PA, Inc. had unassigned surplus of $2,689. In March 2014, Essent PA paid a $200 dividend to Essent Holdings and in December 2013, Essent PA paid a $5 dividend to Essent Holdings.  Essent Guaranty has paid no dividends since its inception.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$100,000.  As of September 30, 2014, Essent Re had total equity of $102,109.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2014, our insurance subsidiaries were in compliance with these rules, regulations and agreements.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8. Income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2014, the statutory income tax rates of the countries where the Company does business are 35.0% in the United States and 0.0% in Bermuda.  The statutory income tax rate of each country is applied against the taxable income from each country to calculate the income tax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Income tax expense (benefit) consists of the following components:</w:t>
      </w:r>
    </w:p>
    <w:p>
      <w:pPr>
        <w:pStyle w:val="TextBody"/>
        <w:spacing w:before="0" w:after="0"/>
        <w:ind w:left="0" w:right="0" w:hanging="0"/>
        <w:rPr/>
      </w:pPr>
      <w:r>
        <w:rPr/>
        <w:t> </w:t>
      </w:r>
    </w:p>
    <w:tbl>
      <w:tblPr>
        <w:tblW w:w="4500" w:type="pct"/>
        <w:jc w:val="left"/>
        <w:tblInd w:w="0" w:type="dxa"/>
        <w:tblCellMar>
          <w:top w:w="0" w:type="dxa"/>
          <w:left w:w="0" w:type="dxa"/>
          <w:bottom w:w="0" w:type="dxa"/>
          <w:right w:w="0" w:type="dxa"/>
        </w:tblCellMar>
      </w:tblPr>
      <w:tblGrid>
        <w:gridCol w:w="2649"/>
        <w:gridCol w:w="170"/>
        <w:gridCol w:w="187"/>
        <w:gridCol w:w="1293"/>
        <w:gridCol w:w="197"/>
        <w:gridCol w:w="187"/>
        <w:gridCol w:w="1195"/>
        <w:gridCol w:w="170"/>
        <w:gridCol w:w="176"/>
        <w:gridCol w:w="1247"/>
        <w:gridCol w:w="191"/>
        <w:gridCol w:w="176"/>
        <w:gridCol w:w="1219"/>
        <w:gridCol w:w="127"/>
      </w:tblGrid>
      <w:tr>
        <w:trPr/>
        <w:tc>
          <w:tcPr>
            <w:tcW w:w="2649"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305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w:t>
            </w:r>
          </w:p>
        </w:tc>
        <w:tc>
          <w:tcPr>
            <w:tcW w:w="170" w:type="dxa"/>
            <w:tcBorders/>
            <w:shd w:fill="auto" w:val="clear"/>
            <w:vAlign w:val="bottom"/>
          </w:tcPr>
          <w:p>
            <w:pPr>
              <w:pStyle w:val="TableContents"/>
              <w:spacing w:before="0" w:after="0"/>
              <w:ind w:left="0" w:right="0" w:hanging="0"/>
              <w:jc w:val="center"/>
              <w:rPr/>
            </w:pPr>
            <w:r>
              <w:rPr/>
              <w:t> </w:t>
            </w:r>
          </w:p>
        </w:tc>
        <w:tc>
          <w:tcPr>
            <w:tcW w:w="300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27" w:type="dxa"/>
            <w:tcBorders/>
            <w:shd w:fill="auto" w:val="clear"/>
            <w:vAlign w:val="bottom"/>
          </w:tcPr>
          <w:p>
            <w:pPr>
              <w:pStyle w:val="TableContents"/>
              <w:spacing w:before="0" w:after="0"/>
              <w:ind w:left="0" w:right="0" w:hanging="0"/>
              <w:jc w:val="center"/>
              <w:rPr/>
            </w:pPr>
            <w:r>
              <w:rPr/>
              <w:t> </w:t>
            </w:r>
          </w:p>
        </w:tc>
      </w:tr>
      <w:tr>
        <w:trPr/>
        <w:tc>
          <w:tcPr>
            <w:tcW w:w="2649"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8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70" w:type="dxa"/>
            <w:tcBorders/>
            <w:shd w:fill="auto" w:val="clear"/>
            <w:vAlign w:val="bottom"/>
          </w:tcPr>
          <w:p>
            <w:pPr>
              <w:pStyle w:val="TableContents"/>
              <w:spacing w:before="0" w:after="0"/>
              <w:ind w:left="0" w:right="0" w:hanging="0"/>
              <w:jc w:val="center"/>
              <w:rPr/>
            </w:pPr>
            <w:r>
              <w:rPr/>
              <w:t> </w:t>
            </w:r>
          </w:p>
        </w:tc>
        <w:tc>
          <w:tcPr>
            <w:tcW w:w="14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9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9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7" w:type="dxa"/>
            <w:tcBorders/>
            <w:shd w:fill="auto" w:val="clear"/>
            <w:vAlign w:val="bottom"/>
          </w:tcPr>
          <w:p>
            <w:pPr>
              <w:pStyle w:val="TableContents"/>
              <w:spacing w:before="0" w:after="0"/>
              <w:ind w:left="0" w:right="0" w:hanging="0"/>
              <w:jc w:val="center"/>
              <w:rPr/>
            </w:pPr>
            <w:r>
              <w:rPr/>
              <w:t> </w:t>
            </w:r>
          </w:p>
        </w:tc>
      </w:tr>
      <w:tr>
        <w:trPr/>
        <w:tc>
          <w:tcPr>
            <w:tcW w:w="26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Current </w:t>
            </w:r>
          </w:p>
        </w:tc>
        <w:tc>
          <w:tcPr>
            <w:tcW w:w="170"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w:t>
            </w:r>
          </w:p>
        </w:tc>
        <w:tc>
          <w:tcPr>
            <w:tcW w:w="197"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170"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1,847</w:t>
            </w:r>
          </w:p>
        </w:tc>
        <w:tc>
          <w:tcPr>
            <w:tcW w:w="191"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127" w:type="dxa"/>
            <w:tcBorders/>
            <w:shd w:fill="CCEEFF" w:val="clear"/>
            <w:vAlign w:val="bottom"/>
          </w:tcPr>
          <w:p>
            <w:pPr>
              <w:pStyle w:val="TableContents"/>
              <w:spacing w:before="0" w:after="0"/>
              <w:ind w:left="0" w:right="0" w:hanging="0"/>
              <w:rPr/>
            </w:pPr>
            <w:r>
              <w:rPr/>
              <w:t> </w:t>
            </w:r>
          </w:p>
        </w:tc>
      </w:tr>
      <w:tr>
        <w:trPr/>
        <w:tc>
          <w:tcPr>
            <w:tcW w:w="2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Deferred </w:t>
            </w:r>
          </w:p>
        </w:tc>
        <w:tc>
          <w:tcPr>
            <w:tcW w:w="170" w:type="dxa"/>
            <w:tcBorders/>
            <w:shd w:fill="auto" w:val="clear"/>
            <w:vAlign w:val="bottom"/>
          </w:tcPr>
          <w:p>
            <w:pPr>
              <w:pStyle w:val="TableContents"/>
              <w:spacing w:before="0" w:after="0"/>
              <w:ind w:left="0" w:right="0" w:hanging="0"/>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13,100</w:t>
            </w:r>
          </w:p>
        </w:tc>
        <w:tc>
          <w:tcPr>
            <w:tcW w:w="197" w:type="dxa"/>
            <w:tcBorders/>
            <w:shd w:fill="auto"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1,934</w:t>
            </w:r>
          </w:p>
        </w:tc>
        <w:tc>
          <w:tcPr>
            <w:tcW w:w="170" w:type="dxa"/>
            <w:tcBorders/>
            <w:shd w:fill="auto" w:val="clear"/>
            <w:vAlign w:val="bottom"/>
          </w:tcPr>
          <w:p>
            <w:pPr>
              <w:pStyle w:val="TableContents"/>
              <w:spacing w:before="0" w:after="0"/>
              <w:ind w:left="0" w:right="0" w:hanging="0"/>
              <w:rPr/>
            </w:pPr>
            <w:r>
              <w:rPr/>
              <w:t> </w:t>
            </w:r>
          </w:p>
        </w:tc>
        <w:tc>
          <w:tcPr>
            <w:tcW w:w="14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30,412</w:t>
            </w:r>
          </w:p>
        </w:tc>
        <w:tc>
          <w:tcPr>
            <w:tcW w:w="191" w:type="dxa"/>
            <w:tcBorders/>
            <w:shd w:fill="auto" w:val="clear"/>
            <w:vAlign w:val="bottom"/>
          </w:tcPr>
          <w:p>
            <w:pPr>
              <w:pStyle w:val="TableContents"/>
              <w:spacing w:before="0" w:after="0"/>
              <w:ind w:left="0" w:right="0" w:hanging="0"/>
              <w:rPr/>
            </w:pPr>
            <w:r>
              <w:rPr/>
              <w:t> </w:t>
            </w:r>
          </w:p>
        </w:tc>
        <w:tc>
          <w:tcPr>
            <w:tcW w:w="13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(8,077</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income tax expense (benefit) </w:t>
            </w:r>
          </w:p>
        </w:tc>
        <w:tc>
          <w:tcPr>
            <w:tcW w:w="170" w:type="dxa"/>
            <w:tcBorders/>
            <w:shd w:fill="CCEEFF" w:val="clear"/>
            <w:vAlign w:val="bottom"/>
          </w:tcPr>
          <w:p>
            <w:pPr>
              <w:pStyle w:val="TableContents"/>
              <w:spacing w:before="0" w:after="0"/>
              <w:ind w:left="0" w:right="0" w:hanging="0"/>
              <w:rPr/>
            </w:pPr>
            <w:r>
              <w:rPr/>
              <w:t> </w:t>
            </w:r>
          </w:p>
        </w:tc>
        <w:tc>
          <w:tcPr>
            <w:tcW w:w="18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13,691</w:t>
            </w:r>
          </w:p>
        </w:tc>
        <w:tc>
          <w:tcPr>
            <w:tcW w:w="197" w:type="dxa"/>
            <w:tcBorders/>
            <w:shd w:fill="CCEEFF" w:val="clear"/>
            <w:vAlign w:val="bottom"/>
          </w:tcPr>
          <w:p>
            <w:pPr>
              <w:pStyle w:val="TableContents"/>
              <w:spacing w:before="0" w:after="0"/>
              <w:ind w:left="0" w:right="0" w:hanging="0"/>
              <w:rPr/>
            </w:pPr>
            <w:r>
              <w:rPr/>
              <w:t> </w:t>
            </w:r>
          </w:p>
        </w:tc>
        <w:tc>
          <w:tcPr>
            <w:tcW w:w="18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2,280</w:t>
            </w:r>
          </w:p>
        </w:tc>
        <w:tc>
          <w:tcPr>
            <w:tcW w:w="170" w:type="dxa"/>
            <w:tcBorders/>
            <w:shd w:fill="CCEEFF" w:val="clear"/>
            <w:vAlign w:val="bottom"/>
          </w:tcPr>
          <w:p>
            <w:pPr>
              <w:pStyle w:val="TableContents"/>
              <w:spacing w:before="0" w:after="0"/>
              <w:ind w:left="0" w:right="0" w:hanging="0"/>
              <w:rPr/>
            </w:pPr>
            <w:r>
              <w:rPr/>
              <w:t> </w:t>
            </w:r>
          </w:p>
        </w:tc>
        <w:tc>
          <w:tcPr>
            <w:tcW w:w="17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32,259</w:t>
            </w:r>
          </w:p>
        </w:tc>
        <w:tc>
          <w:tcPr>
            <w:tcW w:w="191" w:type="dxa"/>
            <w:tcBorders/>
            <w:shd w:fill="CCEEFF" w:val="clear"/>
            <w:vAlign w:val="bottom"/>
          </w:tcPr>
          <w:p>
            <w:pPr>
              <w:pStyle w:val="TableContents"/>
              <w:spacing w:before="0" w:after="0"/>
              <w:ind w:left="0" w:right="0" w:hanging="0"/>
              <w:rPr/>
            </w:pPr>
            <w:r>
              <w:rPr/>
              <w:t> </w:t>
            </w:r>
          </w:p>
        </w:tc>
        <w:tc>
          <w:tcPr>
            <w:tcW w:w="17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(7,731</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Income tax expense (benefit) is different from that which would be obtained by applying the applicable statutory income tax rates to income before taxes by jurisdiction (i.e. U.S. 35.0%; Bermuda 0.0%). The reconciliation of the difference between income tax expense (benefit) and the expected tax provision at the weighted average tax rate is as follows:</w:t>
      </w:r>
    </w:p>
    <w:p>
      <w:pPr>
        <w:pStyle w:val="TextBody"/>
        <w:spacing w:before="0" w:after="0"/>
        <w:ind w:left="0" w:right="0" w:hanging="0"/>
        <w:rPr/>
      </w:pPr>
      <w:r>
        <w:rPr/>
        <w:t> </w:t>
      </w:r>
    </w:p>
    <w:tbl>
      <w:tblPr>
        <w:tblW w:w="4300" w:type="pct"/>
        <w:jc w:val="left"/>
        <w:tblInd w:w="0" w:type="dxa"/>
        <w:tblCellMar>
          <w:top w:w="0" w:type="dxa"/>
          <w:left w:w="0" w:type="dxa"/>
          <w:bottom w:w="0" w:type="dxa"/>
          <w:right w:w="0" w:type="dxa"/>
        </w:tblCellMar>
      </w:tblPr>
      <w:tblGrid>
        <w:gridCol w:w="3061"/>
        <w:gridCol w:w="169"/>
        <w:gridCol w:w="129"/>
        <w:gridCol w:w="1038"/>
        <w:gridCol w:w="181"/>
        <w:gridCol w:w="1224"/>
        <w:gridCol w:w="291"/>
        <w:gridCol w:w="129"/>
        <w:gridCol w:w="987"/>
        <w:gridCol w:w="181"/>
        <w:gridCol w:w="1224"/>
        <w:gridCol w:w="162"/>
      </w:tblGrid>
      <w:tr>
        <w:trPr/>
        <w:tc>
          <w:tcPr>
            <w:tcW w:w="306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5384"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w:t>
            </w:r>
          </w:p>
        </w:tc>
        <w:tc>
          <w:tcPr>
            <w:tcW w:w="162" w:type="dxa"/>
            <w:tcBorders/>
            <w:shd w:fill="auto" w:val="clear"/>
            <w:vAlign w:val="bottom"/>
          </w:tcPr>
          <w:p>
            <w:pPr>
              <w:pStyle w:val="TableContents"/>
              <w:spacing w:before="0" w:after="0"/>
              <w:ind w:left="0" w:right="0" w:hanging="0"/>
              <w:jc w:val="center"/>
              <w:rPr/>
            </w:pPr>
            <w:r>
              <w:rPr/>
              <w:t> </w:t>
            </w:r>
          </w:p>
        </w:tc>
      </w:tr>
      <w:tr>
        <w:trPr/>
        <w:tc>
          <w:tcPr>
            <w:tcW w:w="306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1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of pretax</w:t>
              <w:br/>
              <w:t>income</w:t>
            </w:r>
          </w:p>
        </w:tc>
        <w:tc>
          <w:tcPr>
            <w:tcW w:w="29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1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of pretax</w:t>
              <w:br/>
              <w:t>income</w:t>
            </w:r>
          </w:p>
        </w:tc>
        <w:tc>
          <w:tcPr>
            <w:tcW w:w="162" w:type="dxa"/>
            <w:tcBorders/>
            <w:shd w:fill="auto" w:val="clear"/>
            <w:vAlign w:val="bottom"/>
          </w:tcPr>
          <w:p>
            <w:pPr>
              <w:pStyle w:val="TableContents"/>
              <w:spacing w:before="0" w:after="0"/>
              <w:ind w:left="0" w:right="0" w:hanging="0"/>
              <w:jc w:val="center"/>
              <w:rPr/>
            </w:pPr>
            <w:r>
              <w:rPr/>
              <w:t> </w:t>
            </w:r>
          </w:p>
        </w:tc>
      </w:tr>
      <w:tr>
        <w:trPr/>
        <w:tc>
          <w:tcPr>
            <w:tcW w:w="306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Tax provision at weighted average statutory rates </w:t>
            </w:r>
          </w:p>
        </w:tc>
        <w:tc>
          <w:tcPr>
            <w:tcW w:w="169"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13,699</w:t>
            </w:r>
          </w:p>
        </w:tc>
        <w:tc>
          <w:tcPr>
            <w:tcW w:w="181" w:type="dxa"/>
            <w:tcBorders/>
            <w:shd w:fill="CCEEFF" w:val="clear"/>
            <w:vAlign w:val="bottom"/>
          </w:tcPr>
          <w:p>
            <w:pPr>
              <w:pStyle w:val="TableContents"/>
              <w:spacing w:before="0" w:after="0"/>
              <w:ind w:left="0" w:right="0" w:hanging="0"/>
              <w:rPr/>
            </w:pPr>
            <w:r>
              <w:rPr/>
              <w:t> </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2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6,685</w:t>
            </w:r>
          </w:p>
        </w:tc>
        <w:tc>
          <w:tcPr>
            <w:tcW w:w="181" w:type="dxa"/>
            <w:tcBorders/>
            <w:shd w:fill="CCEEFF" w:val="clear"/>
            <w:vAlign w:val="bottom"/>
          </w:tcPr>
          <w:p>
            <w:pPr>
              <w:pStyle w:val="TableContents"/>
              <w:spacing w:before="0" w:after="0"/>
              <w:ind w:left="0" w:right="0" w:hanging="0"/>
              <w:rPr/>
            </w:pPr>
            <w:r>
              <w:rPr/>
              <w:t> </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37.3</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Non-deductible expenses </w:t>
            </w:r>
          </w:p>
        </w:tc>
        <w:tc>
          <w:tcPr>
            <w:tcW w:w="169" w:type="dxa"/>
            <w:tcBorders/>
            <w:shd w:fill="auto" w:val="clear"/>
            <w:vAlign w:val="bottom"/>
          </w:tcPr>
          <w:p>
            <w:pPr>
              <w:pStyle w:val="TableContents"/>
              <w:spacing w:before="0" w:after="0"/>
              <w:ind w:left="0" w:right="0" w:hanging="0"/>
              <w:rPr/>
            </w:pPr>
            <w:r>
              <w:rPr/>
              <w:t> </w:t>
            </w:r>
          </w:p>
        </w:tc>
        <w:tc>
          <w:tcPr>
            <w:tcW w:w="11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81" w:type="dxa"/>
            <w:tcBorders/>
            <w:shd w:fill="auto" w:val="clear"/>
            <w:vAlign w:val="bottom"/>
          </w:tcPr>
          <w:p>
            <w:pPr>
              <w:pStyle w:val="TableContents"/>
              <w:spacing w:before="0" w:after="0"/>
              <w:ind w:left="0" w:right="0" w:hanging="0"/>
              <w:rPr/>
            </w:pPr>
            <w:r>
              <w:rPr/>
              <w:t> </w:t>
            </w:r>
          </w:p>
        </w:tc>
        <w:tc>
          <w:tcPr>
            <w:tcW w:w="12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291" w:type="dxa"/>
            <w:tcBorders/>
            <w:shd w:fill="auto" w:val="clear"/>
            <w:vAlign w:val="bottom"/>
          </w:tcPr>
          <w:p>
            <w:pPr>
              <w:pStyle w:val="TableContents"/>
              <w:spacing w:before="0" w:after="0"/>
              <w:ind w:left="0" w:right="0" w:hanging="0"/>
              <w:rPr/>
            </w:pPr>
            <w:r>
              <w:rPr/>
              <w:t> </w:t>
            </w:r>
          </w:p>
        </w:tc>
        <w:tc>
          <w:tcPr>
            <w:tcW w:w="11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81" w:type="dxa"/>
            <w:tcBorders/>
            <w:shd w:fill="auto" w:val="clear"/>
            <w:vAlign w:val="bottom"/>
          </w:tcPr>
          <w:p>
            <w:pPr>
              <w:pStyle w:val="TableContents"/>
              <w:spacing w:before="0" w:after="0"/>
              <w:ind w:left="0" w:right="0" w:hanging="0"/>
              <w:rPr/>
            </w:pPr>
            <w:r>
              <w:rPr/>
              <w:t> </w:t>
            </w:r>
          </w:p>
        </w:tc>
        <w:tc>
          <w:tcPr>
            <w:tcW w:w="12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162" w:type="dxa"/>
            <w:tcBorders/>
            <w:shd w:fill="auto" w:val="clear"/>
            <w:vAlign w:val="bottom"/>
          </w:tcPr>
          <w:p>
            <w:pPr>
              <w:pStyle w:val="TableContents"/>
              <w:spacing w:before="0" w:after="0"/>
              <w:ind w:left="0" w:right="0" w:hanging="0"/>
              <w:rPr/>
            </w:pPr>
            <w:r>
              <w:rPr/>
              <w:t> </w:t>
            </w:r>
          </w:p>
        </w:tc>
      </w:tr>
      <w:tr>
        <w:trPr/>
        <w:tc>
          <w:tcPr>
            <w:tcW w:w="306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Tax exempt interest </w:t>
            </w:r>
          </w:p>
        </w:tc>
        <w:tc>
          <w:tcPr>
            <w:tcW w:w="169" w:type="dxa"/>
            <w:tcBorders/>
            <w:shd w:fill="CCEEFF" w:val="clear"/>
            <w:vAlign w:val="bottom"/>
          </w:tcPr>
          <w:p>
            <w:pPr>
              <w:pStyle w:val="TableContents"/>
              <w:spacing w:before="0" w:after="0"/>
              <w:ind w:left="0" w:right="0" w:hanging="0"/>
              <w:rPr/>
            </w:pPr>
            <w:r>
              <w:rPr/>
              <w:t> </w:t>
            </w:r>
          </w:p>
        </w:tc>
        <w:tc>
          <w:tcPr>
            <w:tcW w:w="11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w:t>
            </w:r>
          </w:p>
        </w:tc>
        <w:tc>
          <w:tcPr>
            <w:tcW w:w="2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181" w:type="dxa"/>
            <w:tcBorders/>
            <w:shd w:fill="CCEEFF" w:val="clear"/>
            <w:vAlign w:val="bottom"/>
          </w:tcPr>
          <w:p>
            <w:pPr>
              <w:pStyle w:val="TableContents"/>
              <w:spacing w:before="0" w:after="0"/>
              <w:ind w:left="0" w:right="0" w:hanging="0"/>
              <w:rPr/>
            </w:pPr>
            <w:r>
              <w:rPr/>
              <w:t> </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162" w:type="dxa"/>
            <w:tcBorders/>
            <w:shd w:fill="CCEEFF" w:val="clear"/>
            <w:vAlign w:val="bottom"/>
          </w:tcPr>
          <w:p>
            <w:pPr>
              <w:pStyle w:val="TableContents"/>
              <w:spacing w:before="0" w:after="0"/>
              <w:ind w:left="0" w:right="0" w:hanging="0"/>
              <w:rPr/>
            </w:pPr>
            <w:r>
              <w:rPr/>
              <w:t> </w:t>
            </w:r>
          </w:p>
        </w:tc>
      </w:tr>
      <w:tr>
        <w:trPr/>
        <w:tc>
          <w:tcPr>
            <w:tcW w:w="3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Change in valuation allowance </w:t>
            </w:r>
          </w:p>
        </w:tc>
        <w:tc>
          <w:tcPr>
            <w:tcW w:w="169" w:type="dxa"/>
            <w:tcBorders/>
            <w:shd w:fill="auto" w:val="clear"/>
            <w:vAlign w:val="bottom"/>
          </w:tcPr>
          <w:p>
            <w:pPr>
              <w:pStyle w:val="TableContents"/>
              <w:spacing w:before="0" w:after="0"/>
              <w:ind w:left="0" w:right="0" w:hanging="0"/>
              <w:rPr/>
            </w:pPr>
            <w:r>
              <w:rPr/>
              <w:t> </w:t>
            </w:r>
          </w:p>
        </w:tc>
        <w:tc>
          <w:tcPr>
            <w:tcW w:w="11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2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91" w:type="dxa"/>
            <w:tcBorders/>
            <w:shd w:fill="auto" w:val="clear"/>
            <w:vAlign w:val="bottom"/>
          </w:tcPr>
          <w:p>
            <w:pPr>
              <w:pStyle w:val="TableContents"/>
              <w:spacing w:before="0" w:after="0"/>
              <w:ind w:left="0" w:right="0" w:hanging="0"/>
              <w:rPr/>
            </w:pPr>
            <w:r>
              <w:rPr/>
              <w:t> </w:t>
            </w:r>
          </w:p>
        </w:tc>
        <w:tc>
          <w:tcPr>
            <w:tcW w:w="11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(4,565</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6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Difference in estimated full-year rate and year-to-date actual rate </w:t>
            </w:r>
          </w:p>
        </w:tc>
        <w:tc>
          <w:tcPr>
            <w:tcW w:w="169" w:type="dxa"/>
            <w:tcBorders/>
            <w:shd w:fill="CCEEFF" w:val="clear"/>
            <w:vAlign w:val="bottom"/>
          </w:tcPr>
          <w:p>
            <w:pPr>
              <w:pStyle w:val="TableContents"/>
              <w:spacing w:before="0" w:after="0"/>
              <w:ind w:left="0" w:right="0" w:hanging="0"/>
              <w:rPr/>
            </w:pPr>
            <w:r>
              <w:rPr/>
              <w:t> </w:t>
            </w:r>
          </w:p>
        </w:tc>
        <w:tc>
          <w:tcPr>
            <w:tcW w:w="11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181" w:type="dxa"/>
            <w:tcBorders/>
            <w:shd w:fill="CCEEFF" w:val="clear"/>
            <w:vAlign w:val="bottom"/>
          </w:tcPr>
          <w:p>
            <w:pPr>
              <w:pStyle w:val="TableContents"/>
              <w:spacing w:before="0" w:after="0"/>
              <w:ind w:left="0" w:right="0" w:hanging="0"/>
              <w:rPr/>
            </w:pPr>
            <w:r>
              <w:rPr/>
              <w:t> </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291" w:type="dxa"/>
            <w:tcBorders/>
            <w:shd w:fill="CCEEFF" w:val="clear"/>
            <w:vAlign w:val="bottom"/>
          </w:tcPr>
          <w:p>
            <w:pPr>
              <w:pStyle w:val="TableContents"/>
              <w:spacing w:before="0" w:after="0"/>
              <w:ind w:left="0" w:right="0" w:hanging="0"/>
              <w:rPr/>
            </w:pPr>
            <w:r>
              <w:rPr/>
              <w:t> </w:t>
            </w:r>
          </w:p>
        </w:tc>
        <w:tc>
          <w:tcPr>
            <w:tcW w:w="11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2" w:type="dxa"/>
            <w:tcBorders/>
            <w:shd w:fill="CCEEFF" w:val="clear"/>
            <w:vAlign w:val="bottom"/>
          </w:tcPr>
          <w:p>
            <w:pPr>
              <w:pStyle w:val="TableContents"/>
              <w:spacing w:before="0" w:after="0"/>
              <w:ind w:left="0" w:right="0" w:hanging="0"/>
              <w:rPr/>
            </w:pPr>
            <w:r>
              <w:rPr/>
              <w:t> </w:t>
            </w:r>
          </w:p>
        </w:tc>
      </w:tr>
      <w:tr>
        <w:trPr/>
        <w:tc>
          <w:tcPr>
            <w:tcW w:w="306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169" w:type="dxa"/>
            <w:tcBorders/>
            <w:shd w:fill="auto" w:val="clear"/>
            <w:vAlign w:val="bottom"/>
          </w:tcPr>
          <w:p>
            <w:pPr>
              <w:pStyle w:val="TableContents"/>
              <w:spacing w:before="0" w:after="0"/>
              <w:ind w:left="0" w:right="0" w:hanging="0"/>
              <w:rPr/>
            </w:pPr>
            <w:r>
              <w:rPr/>
              <w:t> </w:t>
            </w:r>
          </w:p>
        </w:tc>
        <w:tc>
          <w:tcPr>
            <w:tcW w:w="11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auto" w:val="clear"/>
            <w:vAlign w:val="bottom"/>
          </w:tcPr>
          <w:p>
            <w:pPr>
              <w:pStyle w:val="TableContents"/>
              <w:spacing w:before="0" w:after="0"/>
              <w:ind w:left="0" w:right="0" w:hanging="0"/>
              <w:rPr/>
            </w:pPr>
            <w:r>
              <w:rPr/>
              <w:t> </w:t>
            </w:r>
          </w:p>
        </w:tc>
        <w:tc>
          <w:tcPr>
            <w:tcW w:w="122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91" w:type="dxa"/>
            <w:tcBorders/>
            <w:shd w:fill="auto" w:val="clear"/>
            <w:vAlign w:val="bottom"/>
          </w:tcPr>
          <w:p>
            <w:pPr>
              <w:pStyle w:val="TableContents"/>
              <w:spacing w:before="0" w:after="0"/>
              <w:ind w:left="0" w:right="0" w:hanging="0"/>
              <w:rPr/>
            </w:pPr>
            <w:r>
              <w:rPr/>
              <w:t> </w:t>
            </w:r>
          </w:p>
        </w:tc>
        <w:tc>
          <w:tcPr>
            <w:tcW w:w="11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1" w:type="dxa"/>
            <w:tcBorders/>
            <w:shd w:fill="auto" w:val="clear"/>
            <w:vAlign w:val="bottom"/>
          </w:tcPr>
          <w:p>
            <w:pPr>
              <w:pStyle w:val="TableContents"/>
              <w:spacing w:before="0" w:after="0"/>
              <w:ind w:left="0" w:right="0" w:hanging="0"/>
              <w:rPr/>
            </w:pPr>
            <w:r>
              <w:rPr/>
              <w:t> </w:t>
            </w:r>
          </w:p>
        </w:tc>
        <w:tc>
          <w:tcPr>
            <w:tcW w:w="122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2" w:type="dxa"/>
            <w:tcBorders/>
            <w:shd w:fill="auto" w:val="clear"/>
            <w:vAlign w:val="bottom"/>
          </w:tcPr>
          <w:p>
            <w:pPr>
              <w:pStyle w:val="TableContents"/>
              <w:spacing w:before="0" w:after="0"/>
              <w:ind w:left="0" w:right="0" w:hanging="0"/>
              <w:rPr/>
            </w:pPr>
            <w:r>
              <w:rPr/>
              <w:t> </w:t>
            </w:r>
          </w:p>
        </w:tc>
      </w:tr>
      <w:tr>
        <w:trPr/>
        <w:tc>
          <w:tcPr>
            <w:tcW w:w="306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income tax expense (benefit) </w:t>
            </w:r>
          </w:p>
        </w:tc>
        <w:tc>
          <w:tcPr>
            <w:tcW w:w="169"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13,691</w:t>
            </w:r>
          </w:p>
        </w:tc>
        <w:tc>
          <w:tcPr>
            <w:tcW w:w="181" w:type="dxa"/>
            <w:tcBorders/>
            <w:shd w:fill="CCEEFF" w:val="clear"/>
            <w:vAlign w:val="bottom"/>
          </w:tcPr>
          <w:p>
            <w:pPr>
              <w:pStyle w:val="TableContents"/>
              <w:spacing w:before="0" w:after="0"/>
              <w:ind w:left="0" w:right="0" w:hanging="0"/>
              <w:rPr/>
            </w:pPr>
            <w:r>
              <w:rPr/>
              <w:t> </w:t>
            </w:r>
          </w:p>
        </w:tc>
        <w:tc>
          <w:tcPr>
            <w:tcW w:w="122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2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2,280</w:t>
            </w:r>
          </w:p>
        </w:tc>
        <w:tc>
          <w:tcPr>
            <w:tcW w:w="181" w:type="dxa"/>
            <w:tcBorders/>
            <w:shd w:fill="CCEEFF" w:val="clear"/>
            <w:vAlign w:val="bottom"/>
          </w:tcPr>
          <w:p>
            <w:pPr>
              <w:pStyle w:val="TableContents"/>
              <w:spacing w:before="0" w:after="0"/>
              <w:ind w:left="0" w:right="0" w:hanging="0"/>
              <w:rPr/>
            </w:pPr>
            <w:r>
              <w:rPr/>
              <w:t> </w:t>
            </w:r>
          </w:p>
        </w:tc>
        <w:tc>
          <w:tcPr>
            <w:tcW w:w="122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3" w:name="PB_11_124116_5335"/>
      <w:bookmarkEnd w:id="2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jc w:val="center"/>
        <w:rPr/>
      </w:pPr>
      <w:r>
        <w:rPr/>
        <w:t> </w:t>
      </w:r>
    </w:p>
    <w:tbl>
      <w:tblPr>
        <w:tblW w:w="4300" w:type="pct"/>
        <w:jc w:val="left"/>
        <w:tblInd w:w="0" w:type="dxa"/>
        <w:tblCellMar>
          <w:top w:w="0" w:type="dxa"/>
          <w:left w:w="0" w:type="dxa"/>
          <w:bottom w:w="0" w:type="dxa"/>
          <w:right w:w="0" w:type="dxa"/>
        </w:tblCellMar>
      </w:tblPr>
      <w:tblGrid>
        <w:gridCol w:w="3101"/>
        <w:gridCol w:w="168"/>
        <w:gridCol w:w="130"/>
        <w:gridCol w:w="1032"/>
        <w:gridCol w:w="179"/>
        <w:gridCol w:w="1220"/>
        <w:gridCol w:w="222"/>
        <w:gridCol w:w="130"/>
        <w:gridCol w:w="1032"/>
        <w:gridCol w:w="179"/>
        <w:gridCol w:w="1219"/>
        <w:gridCol w:w="164"/>
      </w:tblGrid>
      <w:tr>
        <w:trPr/>
        <w:tc>
          <w:tcPr>
            <w:tcW w:w="3101"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5343"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64" w:type="dxa"/>
            <w:tcBorders/>
            <w:shd w:fill="auto" w:val="clear"/>
            <w:vAlign w:val="bottom"/>
          </w:tcPr>
          <w:p>
            <w:pPr>
              <w:pStyle w:val="TableContents"/>
              <w:spacing w:before="0" w:after="0"/>
              <w:ind w:left="0" w:right="0" w:hanging="0"/>
              <w:jc w:val="center"/>
              <w:rPr/>
            </w:pPr>
            <w:r>
              <w:rPr/>
              <w:t> </w:t>
            </w:r>
          </w:p>
        </w:tc>
      </w:tr>
      <w:tr>
        <w:trPr/>
        <w:tc>
          <w:tcPr>
            <w:tcW w:w="3101"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1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of pretax</w:t>
              <w:br/>
              <w:t>income</w:t>
            </w:r>
          </w:p>
        </w:tc>
        <w:tc>
          <w:tcPr>
            <w:tcW w:w="2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6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1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of pretax</w:t>
              <w:br/>
              <w:t>income</w:t>
            </w:r>
          </w:p>
        </w:tc>
        <w:tc>
          <w:tcPr>
            <w:tcW w:w="164" w:type="dxa"/>
            <w:tcBorders/>
            <w:shd w:fill="auto" w:val="clear"/>
            <w:vAlign w:val="bottom"/>
          </w:tcPr>
          <w:p>
            <w:pPr>
              <w:pStyle w:val="TableContents"/>
              <w:spacing w:before="0" w:after="0"/>
              <w:ind w:left="0" w:right="0" w:hanging="0"/>
              <w:jc w:val="center"/>
              <w:rPr/>
            </w:pPr>
            <w:r>
              <w:rPr/>
              <w:t> </w:t>
            </w:r>
          </w:p>
        </w:tc>
      </w:tr>
      <w:tr>
        <w:trPr/>
        <w:tc>
          <w:tcPr>
            <w:tcW w:w="310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Tax provision at weighted average statutory rates </w:t>
            </w:r>
          </w:p>
        </w:tc>
        <w:tc>
          <w:tcPr>
            <w:tcW w:w="168"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33,239</w:t>
            </w:r>
          </w:p>
        </w:tc>
        <w:tc>
          <w:tcPr>
            <w:tcW w:w="179" w:type="dxa"/>
            <w:tcBorders/>
            <w:shd w:fill="CCEEFF" w:val="clear"/>
            <w:vAlign w:val="bottom"/>
          </w:tcPr>
          <w:p>
            <w:pPr>
              <w:pStyle w:val="TableContents"/>
              <w:spacing w:before="0" w:after="0"/>
              <w:ind w:left="0" w:right="0" w:hanging="0"/>
              <w:rPr/>
            </w:pPr>
            <w:r>
              <w:rPr/>
              <w:t> </w:t>
            </w:r>
          </w:p>
        </w:tc>
        <w:tc>
          <w:tcPr>
            <w:tcW w:w="12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14,285</w:t>
            </w:r>
          </w:p>
        </w:tc>
        <w:tc>
          <w:tcPr>
            <w:tcW w:w="179" w:type="dxa"/>
            <w:tcBorders/>
            <w:shd w:fill="CCEEFF" w:val="clear"/>
            <w:vAlign w:val="bottom"/>
          </w:tcPr>
          <w:p>
            <w:pPr>
              <w:pStyle w:val="TableContents"/>
              <w:spacing w:before="0" w:after="0"/>
              <w:ind w:left="0" w:right="0" w:hanging="0"/>
              <w:rPr/>
            </w:pPr>
            <w:r>
              <w:rPr/>
              <w:t> </w:t>
            </w:r>
          </w:p>
        </w:tc>
        <w:tc>
          <w:tcPr>
            <w:tcW w:w="12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0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Non-deductible expenses </w:t>
            </w:r>
          </w:p>
        </w:tc>
        <w:tc>
          <w:tcPr>
            <w:tcW w:w="168" w:type="dxa"/>
            <w:tcBorders/>
            <w:shd w:fill="auto" w:val="clear"/>
            <w:vAlign w:val="bottom"/>
          </w:tcPr>
          <w:p>
            <w:pPr>
              <w:pStyle w:val="TableContents"/>
              <w:spacing w:before="0" w:after="0"/>
              <w:ind w:left="0" w:right="0" w:hanging="0"/>
              <w:rPr/>
            </w:pPr>
            <w:r>
              <w:rPr/>
              <w:t> </w:t>
            </w:r>
          </w:p>
        </w:tc>
        <w:tc>
          <w:tcPr>
            <w:tcW w:w="11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w:t>
            </w:r>
          </w:p>
        </w:tc>
        <w:tc>
          <w:tcPr>
            <w:tcW w:w="179" w:type="dxa"/>
            <w:tcBorders/>
            <w:shd w:fill="auto" w:val="clear"/>
            <w:vAlign w:val="bottom"/>
          </w:tcPr>
          <w:p>
            <w:pPr>
              <w:pStyle w:val="TableContents"/>
              <w:spacing w:before="0" w:after="0"/>
              <w:ind w:left="0" w:right="0" w:hanging="0"/>
              <w:rPr/>
            </w:pPr>
            <w:r>
              <w:rPr/>
              <w:t> </w:t>
            </w:r>
          </w:p>
        </w:tc>
        <w:tc>
          <w:tcPr>
            <w:tcW w:w="12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222" w:type="dxa"/>
            <w:tcBorders/>
            <w:shd w:fill="auto" w:val="clear"/>
            <w:vAlign w:val="bottom"/>
          </w:tcPr>
          <w:p>
            <w:pPr>
              <w:pStyle w:val="TableContents"/>
              <w:spacing w:before="0" w:after="0"/>
              <w:ind w:left="0" w:right="0" w:hanging="0"/>
              <w:rPr/>
            </w:pPr>
            <w:r>
              <w:rPr/>
              <w:t> </w:t>
            </w:r>
          </w:p>
        </w:tc>
        <w:tc>
          <w:tcPr>
            <w:tcW w:w="11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79" w:type="dxa"/>
            <w:tcBorders/>
            <w:shd w:fill="auto" w:val="clear"/>
            <w:vAlign w:val="bottom"/>
          </w:tcPr>
          <w:p>
            <w:pPr>
              <w:pStyle w:val="TableContents"/>
              <w:spacing w:before="0" w:after="0"/>
              <w:ind w:left="0" w:right="0" w:hanging="0"/>
              <w:rPr/>
            </w:pPr>
            <w:r>
              <w:rPr/>
              <w:t> </w:t>
            </w:r>
          </w:p>
        </w:tc>
        <w:tc>
          <w:tcPr>
            <w:tcW w:w="12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164" w:type="dxa"/>
            <w:tcBorders/>
            <w:shd w:fill="auto" w:val="clear"/>
            <w:vAlign w:val="bottom"/>
          </w:tcPr>
          <w:p>
            <w:pPr>
              <w:pStyle w:val="TableContents"/>
              <w:spacing w:before="0" w:after="0"/>
              <w:ind w:left="0" w:right="0" w:hanging="0"/>
              <w:rPr/>
            </w:pPr>
            <w:r>
              <w:rPr/>
              <w:t> </w:t>
            </w:r>
          </w:p>
        </w:tc>
      </w:tr>
      <w:tr>
        <w:trPr/>
        <w:tc>
          <w:tcPr>
            <w:tcW w:w="310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Tax exempt interest </w:t>
            </w:r>
          </w:p>
        </w:tc>
        <w:tc>
          <w:tcPr>
            <w:tcW w:w="168" w:type="dxa"/>
            <w:tcBorders/>
            <w:shd w:fill="CCEEFF" w:val="clear"/>
            <w:vAlign w:val="bottom"/>
          </w:tcPr>
          <w:p>
            <w:pPr>
              <w:pStyle w:val="TableContents"/>
              <w:spacing w:before="0" w:after="0"/>
              <w:ind w:left="0" w:right="0" w:hanging="0"/>
              <w:rPr/>
            </w:pPr>
            <w:r>
              <w:rPr/>
              <w:t> </w:t>
            </w:r>
          </w:p>
        </w:tc>
        <w:tc>
          <w:tcPr>
            <w:tcW w:w="11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(654</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0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Change in valuation allowance </w:t>
            </w:r>
          </w:p>
        </w:tc>
        <w:tc>
          <w:tcPr>
            <w:tcW w:w="168" w:type="dxa"/>
            <w:tcBorders/>
            <w:shd w:fill="auto" w:val="clear"/>
            <w:vAlign w:val="bottom"/>
          </w:tcPr>
          <w:p>
            <w:pPr>
              <w:pStyle w:val="TableContents"/>
              <w:spacing w:before="0" w:after="0"/>
              <w:ind w:left="0" w:right="0" w:hanging="0"/>
              <w:rPr/>
            </w:pPr>
            <w:r>
              <w:rPr/>
              <w:t> </w:t>
            </w:r>
          </w:p>
        </w:tc>
        <w:tc>
          <w:tcPr>
            <w:tcW w:w="11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auto" w:val="clear"/>
            <w:vAlign w:val="bottom"/>
          </w:tcPr>
          <w:p>
            <w:pPr>
              <w:pStyle w:val="TableContents"/>
              <w:spacing w:before="0" w:after="0"/>
              <w:ind w:left="0" w:right="0" w:hanging="0"/>
              <w:rPr/>
            </w:pPr>
            <w:r>
              <w:rPr/>
              <w:t> </w:t>
            </w:r>
          </w:p>
        </w:tc>
        <w:tc>
          <w:tcPr>
            <w:tcW w:w="12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11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(22,054</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(57.0</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0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Difference in estimated full-year rate and year-to-date actual rate </w:t>
            </w:r>
          </w:p>
        </w:tc>
        <w:tc>
          <w:tcPr>
            <w:tcW w:w="168" w:type="dxa"/>
            <w:tcBorders/>
            <w:shd w:fill="CCEEFF" w:val="clear"/>
            <w:vAlign w:val="bottom"/>
          </w:tcPr>
          <w:p>
            <w:pPr>
              <w:pStyle w:val="TableContents"/>
              <w:spacing w:before="0" w:after="0"/>
              <w:ind w:left="0" w:right="0" w:hanging="0"/>
              <w:rPr/>
            </w:pPr>
            <w:r>
              <w:rPr/>
              <w:t> </w:t>
            </w:r>
          </w:p>
        </w:tc>
        <w:tc>
          <w:tcPr>
            <w:tcW w:w="11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(602</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12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4" w:type="dxa"/>
            <w:tcBorders/>
            <w:shd w:fill="CCEEFF" w:val="clear"/>
            <w:vAlign w:val="bottom"/>
          </w:tcPr>
          <w:p>
            <w:pPr>
              <w:pStyle w:val="TableContents"/>
              <w:spacing w:before="0" w:after="0"/>
              <w:ind w:left="0" w:right="0" w:hanging="0"/>
              <w:rPr/>
            </w:pPr>
            <w:r>
              <w:rPr/>
              <w:t> </w:t>
            </w:r>
          </w:p>
        </w:tc>
      </w:tr>
      <w:tr>
        <w:trPr/>
        <w:tc>
          <w:tcPr>
            <w:tcW w:w="310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168" w:type="dxa"/>
            <w:tcBorders/>
            <w:shd w:fill="auto" w:val="clear"/>
            <w:vAlign w:val="bottom"/>
          </w:tcPr>
          <w:p>
            <w:pPr>
              <w:pStyle w:val="TableContents"/>
              <w:spacing w:before="0" w:after="0"/>
              <w:ind w:left="0" w:right="0" w:hanging="0"/>
              <w:rPr/>
            </w:pPr>
            <w:r>
              <w:rPr/>
              <w:t> </w:t>
            </w:r>
          </w:p>
        </w:tc>
        <w:tc>
          <w:tcPr>
            <w:tcW w:w="11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auto" w:val="clear"/>
            <w:vAlign w:val="bottom"/>
          </w:tcPr>
          <w:p>
            <w:pPr>
              <w:pStyle w:val="TableContents"/>
              <w:spacing w:before="0" w:after="0"/>
              <w:ind w:left="0" w:right="0" w:hanging="0"/>
              <w:rPr/>
            </w:pPr>
            <w:r>
              <w:rPr/>
              <w:t> </w:t>
            </w:r>
          </w:p>
        </w:tc>
        <w:tc>
          <w:tcPr>
            <w:tcW w:w="122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2" w:type="dxa"/>
            <w:tcBorders/>
            <w:shd w:fill="auto" w:val="clear"/>
            <w:vAlign w:val="bottom"/>
          </w:tcPr>
          <w:p>
            <w:pPr>
              <w:pStyle w:val="TableContents"/>
              <w:spacing w:before="0" w:after="0"/>
              <w:ind w:left="0" w:right="0" w:hanging="0"/>
              <w:rPr/>
            </w:pPr>
            <w:r>
              <w:rPr/>
              <w:t> </w:t>
            </w:r>
          </w:p>
        </w:tc>
        <w:tc>
          <w:tcPr>
            <w:tcW w:w="11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0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income tax expense (benefit) </w:t>
            </w:r>
          </w:p>
        </w:tc>
        <w:tc>
          <w:tcPr>
            <w:tcW w:w="168"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32,259</w:t>
            </w:r>
          </w:p>
        </w:tc>
        <w:tc>
          <w:tcPr>
            <w:tcW w:w="179" w:type="dxa"/>
            <w:tcBorders/>
            <w:shd w:fill="CCEEFF" w:val="clear"/>
            <w:vAlign w:val="bottom"/>
          </w:tcPr>
          <w:p>
            <w:pPr>
              <w:pStyle w:val="TableContents"/>
              <w:spacing w:before="0" w:after="0"/>
              <w:ind w:left="0" w:right="0" w:hanging="0"/>
              <w:rPr/>
            </w:pPr>
            <w:r>
              <w:rPr/>
              <w:t> </w:t>
            </w:r>
          </w:p>
        </w:tc>
        <w:tc>
          <w:tcPr>
            <w:tcW w:w="12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(7,731</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provide deferred taxes to reflect the estimated future tax effects of the differences between the financial statement and tax bases of assets and liabilities using currently enacted tax laws. The net deferred tax (liability) asset is comprised of the following:</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4749"/>
        <w:gridCol w:w="243"/>
        <w:gridCol w:w="137"/>
        <w:gridCol w:w="1276"/>
        <w:gridCol w:w="253"/>
        <w:gridCol w:w="140"/>
        <w:gridCol w:w="1252"/>
        <w:gridCol w:w="114"/>
      </w:tblGrid>
      <w:tr>
        <w:trPr/>
        <w:tc>
          <w:tcPr>
            <w:tcW w:w="4749" w:type="dxa"/>
            <w:tcBorders/>
            <w:shd w:fill="auto" w:val="clear"/>
            <w:vAlign w:val="bottom"/>
          </w:tcPr>
          <w:p>
            <w:pPr>
              <w:pStyle w:val="TableContents"/>
              <w:spacing w:before="0" w:after="0"/>
              <w:ind w:left="0" w:right="0" w:hanging="0"/>
              <w:rPr/>
            </w:pPr>
            <w:r>
              <w:rPr/>
              <w:t> </w:t>
            </w:r>
          </w:p>
        </w:tc>
        <w:tc>
          <w:tcPr>
            <w:tcW w:w="243" w:type="dxa"/>
            <w:tcBorders/>
            <w:shd w:fill="auto" w:val="clear"/>
            <w:vAlign w:val="bottom"/>
          </w:tcPr>
          <w:p>
            <w:pPr>
              <w:pStyle w:val="TableContents"/>
              <w:spacing w:before="0" w:after="0"/>
              <w:ind w:left="0" w:right="0" w:hanging="0"/>
              <w:jc w:val="center"/>
              <w:rPr/>
            </w:pPr>
            <w:r>
              <w:rPr/>
              <w:t> </w:t>
            </w:r>
          </w:p>
        </w:tc>
        <w:tc>
          <w:tcPr>
            <w:tcW w:w="14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br/>
              <w:t>2014</w:t>
            </w:r>
          </w:p>
        </w:tc>
        <w:tc>
          <w:tcPr>
            <w:tcW w:w="253" w:type="dxa"/>
            <w:tcBorders/>
            <w:shd w:fill="auto" w:val="clear"/>
            <w:vAlign w:val="bottom"/>
          </w:tcPr>
          <w:p>
            <w:pPr>
              <w:pStyle w:val="TableContents"/>
              <w:spacing w:before="0" w:after="0"/>
              <w:ind w:left="0" w:right="0" w:hanging="0"/>
              <w:jc w:val="center"/>
              <w:rPr/>
            </w:pPr>
            <w:r>
              <w:rPr/>
              <w:t> </w:t>
            </w:r>
          </w:p>
        </w:tc>
        <w:tc>
          <w:tcPr>
            <w:tcW w:w="13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br/>
              <w:t>2013</w:t>
            </w:r>
          </w:p>
        </w:tc>
        <w:tc>
          <w:tcPr>
            <w:tcW w:w="114" w:type="dxa"/>
            <w:tcBorders/>
            <w:shd w:fill="auto" w:val="clear"/>
            <w:vAlign w:val="bottom"/>
          </w:tcPr>
          <w:p>
            <w:pPr>
              <w:pStyle w:val="TableContents"/>
              <w:spacing w:before="0" w:after="0"/>
              <w:ind w:left="0" w:right="0" w:hanging="0"/>
              <w:jc w:val="center"/>
              <w:rPr/>
            </w:pPr>
            <w:r>
              <w:rPr/>
              <w:t> </w:t>
            </w:r>
          </w:p>
        </w:tc>
      </w:tr>
      <w:tr>
        <w:trPr/>
        <w:tc>
          <w:tcPr>
            <w:tcW w:w="47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Deferred tax assets </w:t>
            </w:r>
          </w:p>
        </w:tc>
        <w:tc>
          <w:tcPr>
            <w:tcW w:w="243"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30,034</w:t>
            </w:r>
          </w:p>
        </w:tc>
        <w:tc>
          <w:tcPr>
            <w:tcW w:w="253"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27,043</w:t>
            </w:r>
          </w:p>
        </w:tc>
        <w:tc>
          <w:tcPr>
            <w:tcW w:w="114" w:type="dxa"/>
            <w:tcBorders/>
            <w:shd w:fill="CCEEFF" w:val="clear"/>
            <w:vAlign w:val="bottom"/>
          </w:tcPr>
          <w:p>
            <w:pPr>
              <w:pStyle w:val="TableContents"/>
              <w:spacing w:before="0" w:after="0"/>
              <w:ind w:left="0" w:right="0" w:hanging="0"/>
              <w:rPr/>
            </w:pPr>
            <w:r>
              <w:rPr/>
              <w:t> </w:t>
            </w:r>
          </w:p>
        </w:tc>
      </w:tr>
      <w:tr>
        <w:trPr/>
        <w:tc>
          <w:tcPr>
            <w:tcW w:w="4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Deferred tax liabilities </w:t>
            </w:r>
          </w:p>
        </w:tc>
        <w:tc>
          <w:tcPr>
            <w:tcW w:w="243" w:type="dxa"/>
            <w:tcBorders/>
            <w:shd w:fill="auto" w:val="clear"/>
            <w:vAlign w:val="bottom"/>
          </w:tcPr>
          <w:p>
            <w:pPr>
              <w:pStyle w:val="TableContents"/>
              <w:spacing w:before="0" w:after="0"/>
              <w:ind w:left="0" w:right="0" w:hanging="0"/>
              <w:rPr/>
            </w:pPr>
            <w:r>
              <w:rPr/>
              <w:t> </w:t>
            </w:r>
          </w:p>
        </w:tc>
        <w:tc>
          <w:tcPr>
            <w:tcW w:w="14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(52,070</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(16,697</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deferred tax (liability) asset </w:t>
            </w:r>
          </w:p>
        </w:tc>
        <w:tc>
          <w:tcPr>
            <w:tcW w:w="243"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(22,036</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10,346</w:t>
            </w:r>
          </w:p>
        </w:tc>
        <w:tc>
          <w:tcPr>
            <w:tcW w:w="11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components of the net deferred tax (liability) asset were as follows:</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4809"/>
        <w:gridCol w:w="237"/>
        <w:gridCol w:w="136"/>
        <w:gridCol w:w="1254"/>
        <w:gridCol w:w="247"/>
        <w:gridCol w:w="133"/>
        <w:gridCol w:w="1235"/>
        <w:gridCol w:w="113"/>
      </w:tblGrid>
      <w:tr>
        <w:trPr/>
        <w:tc>
          <w:tcPr>
            <w:tcW w:w="4809" w:type="dxa"/>
            <w:tcBorders/>
            <w:shd w:fill="auto" w:val="clear"/>
            <w:vAlign w:val="bottom"/>
          </w:tcPr>
          <w:p>
            <w:pPr>
              <w:pStyle w:val="TableContents"/>
              <w:spacing w:before="0" w:after="0"/>
              <w:ind w:left="0" w:right="0" w:hanging="0"/>
              <w:rPr/>
            </w:pPr>
            <w:r>
              <w:rPr/>
              <w:t> </w:t>
            </w:r>
          </w:p>
        </w:tc>
        <w:tc>
          <w:tcPr>
            <w:tcW w:w="237" w:type="dxa"/>
            <w:tcBorders/>
            <w:shd w:fill="auto" w:val="clear"/>
            <w:vAlign w:val="bottom"/>
          </w:tcPr>
          <w:p>
            <w:pPr>
              <w:pStyle w:val="TableContents"/>
              <w:spacing w:before="0" w:after="0"/>
              <w:ind w:left="0" w:right="0" w:hanging="0"/>
              <w:jc w:val="center"/>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br/>
              <w:t>2014</w:t>
            </w:r>
          </w:p>
        </w:tc>
        <w:tc>
          <w:tcPr>
            <w:tcW w:w="247" w:type="dxa"/>
            <w:tcBorders/>
            <w:shd w:fill="auto" w:val="clear"/>
            <w:vAlign w:val="bottom"/>
          </w:tcPr>
          <w:p>
            <w:pPr>
              <w:pStyle w:val="TableContents"/>
              <w:spacing w:before="0" w:after="0"/>
              <w:ind w:left="0" w:right="0" w:hanging="0"/>
              <w:jc w:val="center"/>
              <w:rPr/>
            </w:pPr>
            <w:r>
              <w:rPr/>
              <w:t> </w:t>
            </w:r>
          </w:p>
        </w:tc>
        <w:tc>
          <w:tcPr>
            <w:tcW w:w="13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br/>
              <w:t>2013</w:t>
            </w:r>
          </w:p>
        </w:tc>
        <w:tc>
          <w:tcPr>
            <w:tcW w:w="113" w:type="dxa"/>
            <w:tcBorders/>
            <w:shd w:fill="auto" w:val="clear"/>
            <w:vAlign w:val="bottom"/>
          </w:tcPr>
          <w:p>
            <w:pPr>
              <w:pStyle w:val="TableContents"/>
              <w:spacing w:before="0" w:after="0"/>
              <w:ind w:left="0" w:right="0" w:hanging="0"/>
              <w:jc w:val="center"/>
              <w:rPr/>
            </w:pPr>
            <w:r>
              <w:rPr/>
              <w:t> </w:t>
            </w:r>
          </w:p>
        </w:tc>
      </w:tr>
      <w:tr>
        <w:trPr/>
        <w:tc>
          <w:tcPr>
            <w:tcW w:w="4809" w:type="dxa"/>
            <w:tcBorders/>
            <w:shd w:fill="auto" w:val="clear"/>
            <w:vAlign w:val="bottom"/>
          </w:tcPr>
          <w:p>
            <w:pPr>
              <w:pStyle w:val="TableContents"/>
              <w:spacing w:before="0" w:after="0"/>
              <w:ind w:left="0" w:right="0" w:hanging="0"/>
              <w:rPr/>
            </w:pPr>
            <w:r>
              <w:rPr/>
              <w:t> </w:t>
            </w:r>
          </w:p>
        </w:tc>
        <w:tc>
          <w:tcPr>
            <w:tcW w:w="23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pPr>
            <w:r>
              <w:rPr/>
              <w:t> </w:t>
            </w:r>
          </w:p>
        </w:tc>
        <w:tc>
          <w:tcPr>
            <w:tcW w:w="247" w:type="dxa"/>
            <w:tcBorders/>
            <w:shd w:fill="auto" w:val="clear"/>
            <w:vAlign w:val="bottom"/>
          </w:tcPr>
          <w:p>
            <w:pPr>
              <w:pStyle w:val="TableContents"/>
              <w:spacing w:before="0" w:after="0"/>
              <w:ind w:left="0" w:right="0" w:hanging="0"/>
              <w:rPr/>
            </w:pPr>
            <w:r>
              <w:rPr/>
              <w:t> </w:t>
            </w:r>
          </w:p>
        </w:tc>
        <w:tc>
          <w:tcPr>
            <w:tcW w:w="1368"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r>
      <w:tr>
        <w:trPr/>
        <w:tc>
          <w:tcPr>
            <w:tcW w:w="48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Contingency reserves </w:t>
            </w:r>
          </w:p>
        </w:tc>
        <w:tc>
          <w:tcPr>
            <w:tcW w:w="237"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(47,329</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(14,420</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Unearned premium reserve </w:t>
            </w:r>
          </w:p>
        </w:tc>
        <w:tc>
          <w:tcPr>
            <w:tcW w:w="23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15,174</w:t>
            </w:r>
          </w:p>
        </w:tc>
        <w:tc>
          <w:tcPr>
            <w:tcW w:w="247" w:type="dxa"/>
            <w:tcBorders/>
            <w:shd w:fill="auto" w:val="clear"/>
            <w:vAlign w:val="bottom"/>
          </w:tcPr>
          <w:p>
            <w:pPr>
              <w:pStyle w:val="TableContents"/>
              <w:spacing w:before="0" w:after="0"/>
              <w:ind w:left="0" w:right="0" w:hanging="0"/>
              <w:rPr/>
            </w:pPr>
            <w:r>
              <w:rPr/>
              <w:t> </w:t>
            </w:r>
          </w:p>
        </w:tc>
        <w:tc>
          <w:tcPr>
            <w:tcW w:w="13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11,637</w:t>
            </w:r>
          </w:p>
        </w:tc>
        <w:tc>
          <w:tcPr>
            <w:tcW w:w="113" w:type="dxa"/>
            <w:tcBorders/>
            <w:shd w:fill="auto" w:val="clear"/>
            <w:vAlign w:val="bottom"/>
          </w:tcPr>
          <w:p>
            <w:pPr>
              <w:pStyle w:val="TableContents"/>
              <w:spacing w:before="0" w:after="0"/>
              <w:ind w:left="0" w:right="0" w:hanging="0"/>
              <w:rPr/>
            </w:pPr>
            <w:r>
              <w:rPr/>
              <w:t> </w:t>
            </w:r>
          </w:p>
        </w:tc>
      </w:tr>
      <w:tr>
        <w:trPr/>
        <w:tc>
          <w:tcPr>
            <w:tcW w:w="48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Fixed assets </w:t>
            </w:r>
          </w:p>
        </w:tc>
        <w:tc>
          <w:tcPr>
            <w:tcW w:w="23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6,463</w:t>
            </w:r>
          </w:p>
        </w:tc>
        <w:tc>
          <w:tcPr>
            <w:tcW w:w="247" w:type="dxa"/>
            <w:tcBorders/>
            <w:shd w:fill="CCEEFF" w:val="clear"/>
            <w:vAlign w:val="bottom"/>
          </w:tcPr>
          <w:p>
            <w:pPr>
              <w:pStyle w:val="TableContents"/>
              <w:spacing w:before="0" w:after="0"/>
              <w:ind w:left="0" w:right="0" w:hanging="0"/>
              <w:rPr/>
            </w:pPr>
            <w:r>
              <w:rPr/>
              <w:t> </w:t>
            </w:r>
          </w:p>
        </w:tc>
        <w:tc>
          <w:tcPr>
            <w:tcW w:w="13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7,646</w:t>
            </w:r>
          </w:p>
        </w:tc>
        <w:tc>
          <w:tcPr>
            <w:tcW w:w="113" w:type="dxa"/>
            <w:tcBorders/>
            <w:shd w:fill="CCEEFF" w:val="clear"/>
            <w:vAlign w:val="bottom"/>
          </w:tcPr>
          <w:p>
            <w:pPr>
              <w:pStyle w:val="TableContents"/>
              <w:spacing w:before="0" w:after="0"/>
              <w:ind w:left="0" w:right="0" w:hanging="0"/>
              <w:rPr/>
            </w:pPr>
            <w:r>
              <w:rPr/>
              <w:t> </w:t>
            </w:r>
          </w:p>
        </w:tc>
      </w:tr>
      <w:tr>
        <w:trPr/>
        <w:tc>
          <w:tcPr>
            <w:tcW w:w="48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Start-up expenditures, net </w:t>
            </w:r>
          </w:p>
        </w:tc>
        <w:tc>
          <w:tcPr>
            <w:tcW w:w="23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4,724</w:t>
            </w:r>
          </w:p>
        </w:tc>
        <w:tc>
          <w:tcPr>
            <w:tcW w:w="247" w:type="dxa"/>
            <w:tcBorders/>
            <w:shd w:fill="auto" w:val="clear"/>
            <w:vAlign w:val="bottom"/>
          </w:tcPr>
          <w:p>
            <w:pPr>
              <w:pStyle w:val="TableContents"/>
              <w:spacing w:before="0" w:after="0"/>
              <w:ind w:left="0" w:right="0" w:hanging="0"/>
              <w:rPr/>
            </w:pPr>
            <w:r>
              <w:rPr/>
              <w:t> </w:t>
            </w:r>
          </w:p>
        </w:tc>
        <w:tc>
          <w:tcPr>
            <w:tcW w:w="13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5,064</w:t>
            </w:r>
          </w:p>
        </w:tc>
        <w:tc>
          <w:tcPr>
            <w:tcW w:w="113" w:type="dxa"/>
            <w:tcBorders/>
            <w:shd w:fill="auto" w:val="clear"/>
            <w:vAlign w:val="bottom"/>
          </w:tcPr>
          <w:p>
            <w:pPr>
              <w:pStyle w:val="TableContents"/>
              <w:spacing w:before="0" w:after="0"/>
              <w:ind w:left="0" w:right="0" w:hanging="0"/>
              <w:rPr/>
            </w:pPr>
            <w:r>
              <w:rPr/>
              <w:t> </w:t>
            </w:r>
          </w:p>
        </w:tc>
      </w:tr>
      <w:tr>
        <w:trPr/>
        <w:tc>
          <w:tcPr>
            <w:tcW w:w="48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Deferred policy acquisition costs </w:t>
            </w:r>
          </w:p>
        </w:tc>
        <w:tc>
          <w:tcPr>
            <w:tcW w:w="23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(3,074</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(2,160</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Nonvested shares </w:t>
            </w:r>
          </w:p>
        </w:tc>
        <w:tc>
          <w:tcPr>
            <w:tcW w:w="23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3,095</w:t>
            </w:r>
          </w:p>
        </w:tc>
        <w:tc>
          <w:tcPr>
            <w:tcW w:w="247" w:type="dxa"/>
            <w:tcBorders/>
            <w:shd w:fill="auto" w:val="clear"/>
            <w:vAlign w:val="bottom"/>
          </w:tcPr>
          <w:p>
            <w:pPr>
              <w:pStyle w:val="TableContents"/>
              <w:spacing w:before="0" w:after="0"/>
              <w:ind w:left="0" w:right="0" w:hanging="0"/>
              <w:rPr/>
            </w:pPr>
            <w:r>
              <w:rPr/>
              <w:t> </w:t>
            </w:r>
          </w:p>
        </w:tc>
        <w:tc>
          <w:tcPr>
            <w:tcW w:w="13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965</w:t>
            </w:r>
          </w:p>
        </w:tc>
        <w:tc>
          <w:tcPr>
            <w:tcW w:w="113" w:type="dxa"/>
            <w:tcBorders/>
            <w:shd w:fill="auto" w:val="clear"/>
            <w:vAlign w:val="bottom"/>
          </w:tcPr>
          <w:p>
            <w:pPr>
              <w:pStyle w:val="TableContents"/>
              <w:spacing w:before="0" w:after="0"/>
              <w:ind w:left="0" w:right="0" w:hanging="0"/>
              <w:rPr/>
            </w:pPr>
            <w:r>
              <w:rPr/>
              <w:t> </w:t>
            </w:r>
          </w:p>
        </w:tc>
      </w:tr>
      <w:tr>
        <w:trPr/>
        <w:tc>
          <w:tcPr>
            <w:tcW w:w="48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Unrealized (gain) loss on investments </w:t>
            </w:r>
          </w:p>
        </w:tc>
        <w:tc>
          <w:tcPr>
            <w:tcW w:w="23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(1,191</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779</w:t>
            </w:r>
          </w:p>
        </w:tc>
        <w:tc>
          <w:tcPr>
            <w:tcW w:w="113" w:type="dxa"/>
            <w:tcBorders/>
            <w:shd w:fill="CCEEFF" w:val="clear"/>
            <w:vAlign w:val="bottom"/>
          </w:tcPr>
          <w:p>
            <w:pPr>
              <w:pStyle w:val="TableContents"/>
              <w:spacing w:before="0" w:after="0"/>
              <w:ind w:left="0" w:right="0" w:hanging="0"/>
              <w:rPr/>
            </w:pPr>
            <w:r>
              <w:rPr/>
              <w:t> </w:t>
            </w:r>
          </w:p>
        </w:tc>
      </w:tr>
      <w:tr>
        <w:trPr/>
        <w:tc>
          <w:tcPr>
            <w:tcW w:w="48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Alternative minimum tax credit carryforward </w:t>
            </w:r>
          </w:p>
        </w:tc>
        <w:tc>
          <w:tcPr>
            <w:tcW w:w="23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490</w:t>
            </w:r>
          </w:p>
        </w:tc>
        <w:tc>
          <w:tcPr>
            <w:tcW w:w="247" w:type="dxa"/>
            <w:tcBorders/>
            <w:shd w:fill="auto" w:val="clear"/>
            <w:vAlign w:val="bottom"/>
          </w:tcPr>
          <w:p>
            <w:pPr>
              <w:pStyle w:val="TableContents"/>
              <w:spacing w:before="0" w:after="0"/>
              <w:ind w:left="0" w:right="0" w:hanging="0"/>
              <w:rPr/>
            </w:pPr>
            <w:r>
              <w:rPr/>
              <w:t> </w:t>
            </w:r>
          </w:p>
        </w:tc>
        <w:tc>
          <w:tcPr>
            <w:tcW w:w="13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877</w:t>
            </w:r>
          </w:p>
        </w:tc>
        <w:tc>
          <w:tcPr>
            <w:tcW w:w="113" w:type="dxa"/>
            <w:tcBorders/>
            <w:shd w:fill="auto" w:val="clear"/>
            <w:vAlign w:val="bottom"/>
          </w:tcPr>
          <w:p>
            <w:pPr>
              <w:pStyle w:val="TableContents"/>
              <w:spacing w:before="0" w:after="0"/>
              <w:ind w:left="0" w:right="0" w:hanging="0"/>
              <w:rPr/>
            </w:pPr>
            <w:r>
              <w:rPr/>
              <w:t> </w:t>
            </w:r>
          </w:p>
        </w:tc>
      </w:tr>
      <w:tr>
        <w:trPr/>
        <w:tc>
          <w:tcPr>
            <w:tcW w:w="48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Accrued expenses </w:t>
            </w:r>
          </w:p>
        </w:tc>
        <w:tc>
          <w:tcPr>
            <w:tcW w:w="23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Loss reserves </w:t>
            </w:r>
          </w:p>
        </w:tc>
        <w:tc>
          <w:tcPr>
            <w:tcW w:w="23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47" w:type="dxa"/>
            <w:tcBorders/>
            <w:shd w:fill="auto" w:val="clear"/>
            <w:vAlign w:val="bottom"/>
          </w:tcPr>
          <w:p>
            <w:pPr>
              <w:pStyle w:val="TableContents"/>
              <w:spacing w:before="0" w:after="0"/>
              <w:ind w:left="0" w:right="0" w:hanging="0"/>
              <w:rPr/>
            </w:pPr>
            <w:r>
              <w:rPr/>
              <w:t> </w:t>
            </w:r>
          </w:p>
        </w:tc>
        <w:tc>
          <w:tcPr>
            <w:tcW w:w="13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13" w:type="dxa"/>
            <w:tcBorders/>
            <w:shd w:fill="auto" w:val="clear"/>
            <w:vAlign w:val="bottom"/>
          </w:tcPr>
          <w:p>
            <w:pPr>
              <w:pStyle w:val="TableContents"/>
              <w:spacing w:before="0" w:after="0"/>
              <w:ind w:left="0" w:right="0" w:hanging="0"/>
              <w:rPr/>
            </w:pPr>
            <w:r>
              <w:rPr/>
              <w:t> </w:t>
            </w:r>
          </w:p>
        </w:tc>
      </w:tr>
      <w:tr>
        <w:trPr/>
        <w:tc>
          <w:tcPr>
            <w:tcW w:w="48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Prepaid expenses </w:t>
            </w:r>
          </w:p>
        </w:tc>
        <w:tc>
          <w:tcPr>
            <w:tcW w:w="23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Organizational expenditures </w:t>
            </w:r>
          </w:p>
        </w:tc>
        <w:tc>
          <w:tcPr>
            <w:tcW w:w="237" w:type="dxa"/>
            <w:tcBorders/>
            <w:shd w:fill="auto"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47" w:type="dxa"/>
            <w:tcBorders/>
            <w:shd w:fill="auto" w:val="clear"/>
            <w:vAlign w:val="bottom"/>
          </w:tcPr>
          <w:p>
            <w:pPr>
              <w:pStyle w:val="TableContents"/>
              <w:spacing w:before="0" w:after="0"/>
              <w:ind w:left="0" w:right="0" w:hanging="0"/>
              <w:rPr/>
            </w:pPr>
            <w:r>
              <w:rPr/>
              <w:t> </w:t>
            </w:r>
          </w:p>
        </w:tc>
        <w:tc>
          <w:tcPr>
            <w:tcW w:w="13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13" w:type="dxa"/>
            <w:tcBorders/>
            <w:shd w:fill="auto" w:val="clear"/>
            <w:vAlign w:val="bottom"/>
          </w:tcPr>
          <w:p>
            <w:pPr>
              <w:pStyle w:val="TableContents"/>
              <w:spacing w:before="0" w:after="0"/>
              <w:ind w:left="0" w:right="0" w:hanging="0"/>
              <w:rPr/>
            </w:pPr>
            <w:r>
              <w:rPr/>
              <w:t> </w:t>
            </w:r>
          </w:p>
        </w:tc>
      </w:tr>
      <w:tr>
        <w:trPr/>
        <w:tc>
          <w:tcPr>
            <w:tcW w:w="48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deferred tax (liability) asset </w:t>
            </w:r>
          </w:p>
        </w:tc>
        <w:tc>
          <w:tcPr>
            <w:tcW w:w="237"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(22,036</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10,346</w:t>
            </w:r>
          </w:p>
        </w:tc>
        <w:tc>
          <w:tcPr>
            <w:tcW w:w="11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non-interest-bearing United States Mortgage Guaranty Tax and Loss Bonds (T&amp;L Bonds) issued by the Treasury Department in an amount equal to the tax benefit derived from deducting any portion of our statutory contingency reserves.  During the nine months ended September 30, 2014 and the year ended December 31, 2013, we purchased T&amp;L Bonds for $34,673 and $8,000, respectively, which are reflected on our condensed consolidated balance sheets as prepaid federal income tax.  As of September 30, 2014, the total amount of T&amp;L Bonds purchased since inception was $42,673.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Alternative minimum tax carryforwards do not expire.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evaluating our ability to realize the benefit of our deferred tax assets, we consider the relevant impact of all available positive and negative evidence including our past operating results and our forecasts of future taxable income. At September 30, 2014 and December 31, 2013, after weighing all the evidence, management concluded that it was more likely than not that our deferred tax assets would be realized.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24" w:name="PB_12_124136_5796"/>
      <w:bookmarkEnd w:id="2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Under current Bermuda law, the parent company, Essent Group Ltd., and its Bermuda subsidiary are not required to pay any taxes on income and capital gains.  In the event that there is a change such that these taxes are imposed, these companies would be exempted from any such tax until March 2035 pursuant to the Bermuda Exempt Undertakings Tax Protection Act of 1966 and the Exempt Undertakings Tax Protection Amendment Act of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Essent Holdings and its subsidiaries are subject to income taxes imposed by U.S. authorities and file a U.S. Consolidated Income Tax Return.  Each subsidiary has executed a tax sharing agreement with its parent company, which provides that taxes are settled in cash between parent and subsidiary on a quarterly basis based on separate company pro-forma calculations.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2014 and 2013, we had no unrecognized tax benefits. As of September 30, 2014, our U.S. federal income tax returns for the tax years 2009 through 2013 remain subject to examination.  The Company has not recorded any reserves for uncertain tax positions as of September 30, 2014 or December 31, 2013.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9. Earnings per Share (EPS)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reconciles the net income and the weighted average common shares outstanding used in the computations of basic and diluted earnings per common share:</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4265"/>
        <w:gridCol w:w="202"/>
        <w:gridCol w:w="111"/>
        <w:gridCol w:w="1042"/>
        <w:gridCol w:w="202"/>
        <w:gridCol w:w="111"/>
        <w:gridCol w:w="1042"/>
        <w:gridCol w:w="202"/>
        <w:gridCol w:w="111"/>
        <w:gridCol w:w="1042"/>
        <w:gridCol w:w="202"/>
        <w:gridCol w:w="111"/>
        <w:gridCol w:w="1041"/>
        <w:gridCol w:w="112"/>
      </w:tblGrid>
      <w:tr>
        <w:trPr/>
        <w:tc>
          <w:tcPr>
            <w:tcW w:w="4265"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250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September 30,</w:t>
            </w:r>
          </w:p>
        </w:tc>
        <w:tc>
          <w:tcPr>
            <w:tcW w:w="202" w:type="dxa"/>
            <w:tcBorders/>
            <w:shd w:fill="auto" w:val="clear"/>
            <w:vAlign w:val="bottom"/>
          </w:tcPr>
          <w:p>
            <w:pPr>
              <w:pStyle w:val="TableContents"/>
              <w:spacing w:before="0" w:after="0"/>
              <w:ind w:left="0" w:right="0" w:hanging="0"/>
              <w:jc w:val="center"/>
              <w:rPr/>
            </w:pPr>
            <w:r>
              <w:rPr/>
              <w:t> </w:t>
            </w:r>
          </w:p>
        </w:tc>
        <w:tc>
          <w:tcPr>
            <w:tcW w:w="250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br/>
              <w:t>September 30,</w:t>
            </w:r>
          </w:p>
        </w:tc>
        <w:tc>
          <w:tcPr>
            <w:tcW w:w="112" w:type="dxa"/>
            <w:tcBorders/>
            <w:shd w:fill="auto" w:val="clear"/>
            <w:vAlign w:val="bottom"/>
          </w:tcPr>
          <w:p>
            <w:pPr>
              <w:pStyle w:val="TableContents"/>
              <w:spacing w:before="0" w:after="0"/>
              <w:ind w:left="0" w:right="0" w:hanging="0"/>
              <w:jc w:val="center"/>
              <w:rPr/>
            </w:pPr>
            <w:r>
              <w:rPr/>
              <w:t> </w:t>
            </w:r>
          </w:p>
        </w:tc>
      </w:tr>
      <w:tr>
        <w:trPr/>
        <w:tc>
          <w:tcPr>
            <w:tcW w:w="4265" w:type="dxa"/>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jc w:val="center"/>
              <w:rPr/>
            </w:pPr>
            <w:r>
              <w:rPr/>
              <w:t> </w:t>
            </w:r>
          </w:p>
        </w:tc>
        <w:tc>
          <w:tcPr>
            <w:tcW w:w="11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5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2" w:type="dxa"/>
            <w:tcBorders/>
            <w:shd w:fill="auto" w:val="clear"/>
            <w:vAlign w:val="bottom"/>
          </w:tcPr>
          <w:p>
            <w:pPr>
              <w:pStyle w:val="TableContents"/>
              <w:spacing w:before="0" w:after="0"/>
              <w:ind w:left="0" w:right="0" w:hanging="0"/>
              <w:jc w:val="center"/>
              <w:rPr/>
            </w:pPr>
            <w:r>
              <w:rPr/>
              <w:t> </w:t>
            </w:r>
          </w:p>
        </w:tc>
        <w:tc>
          <w:tcPr>
            <w:tcW w:w="11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5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2" w:type="dxa"/>
            <w:tcBorders/>
            <w:shd w:fill="auto" w:val="clear"/>
            <w:vAlign w:val="bottom"/>
          </w:tcPr>
          <w:p>
            <w:pPr>
              <w:pStyle w:val="TableContents"/>
              <w:spacing w:before="0" w:after="0"/>
              <w:ind w:left="0" w:right="0" w:hanging="0"/>
              <w:jc w:val="center"/>
              <w:rPr/>
            </w:pPr>
            <w:r>
              <w:rPr/>
              <w:t> </w:t>
            </w:r>
          </w:p>
        </w:tc>
      </w:tr>
      <w:tr>
        <w:trPr/>
        <w:tc>
          <w:tcPr>
            <w:tcW w:w="4265" w:type="dxa"/>
            <w:tcBorders/>
            <w:shd w:fill="CCEEFF" w:val="clear"/>
          </w:tcPr>
          <w:p>
            <w:pPr>
              <w:pStyle w:val="TableContents"/>
              <w:spacing w:before="0" w:after="0"/>
              <w:ind w:left="0" w:right="0" w:hanging="0"/>
              <w:rPr/>
            </w:pPr>
            <w:r>
              <w:rPr>
                <w:rFonts w:ascii="Times New Roman" w:hAnsi="Times New Roman"/>
                <w:b/>
                <w:sz w:val="17"/>
              </w:rPr>
              <w:t>Net income</w:t>
            </w:r>
            <w:r>
              <w:rPr/>
              <w:t xml:space="preserve"> </w:t>
            </w:r>
          </w:p>
        </w:tc>
        <w:tc>
          <w:tcPr>
            <w:tcW w:w="20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25,070</w:t>
            </w:r>
          </w:p>
        </w:tc>
        <w:tc>
          <w:tcPr>
            <w:tcW w:w="20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15,619</w:t>
            </w:r>
          </w:p>
        </w:tc>
        <w:tc>
          <w:tcPr>
            <w:tcW w:w="20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59,631</w:t>
            </w:r>
          </w:p>
        </w:tc>
        <w:tc>
          <w:tcPr>
            <w:tcW w:w="20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46,396</w:t>
            </w:r>
          </w:p>
        </w:tc>
        <w:tc>
          <w:tcPr>
            <w:tcW w:w="112" w:type="dxa"/>
            <w:tcBorders/>
            <w:shd w:fill="CCEEFF" w:val="clear"/>
            <w:vAlign w:val="bottom"/>
          </w:tcPr>
          <w:p>
            <w:pPr>
              <w:pStyle w:val="TableContents"/>
              <w:spacing w:before="0" w:after="0"/>
              <w:ind w:left="0" w:right="0" w:hanging="0"/>
              <w:rPr/>
            </w:pPr>
            <w:r>
              <w:rPr/>
              <w:t> </w:t>
            </w:r>
          </w:p>
        </w:tc>
      </w:tr>
      <w:tr>
        <w:trPr/>
        <w:tc>
          <w:tcPr>
            <w:tcW w:w="4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Less: Class A common shares dividends declared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2" w:type="dxa"/>
            <w:tcBorders/>
            <w:shd w:fill="auto" w:val="clear"/>
            <w:vAlign w:val="bottom"/>
          </w:tcPr>
          <w:p>
            <w:pPr>
              <w:pStyle w:val="TableContents"/>
              <w:spacing w:before="0" w:after="0"/>
              <w:ind w:left="0" w:right="0" w:hanging="0"/>
              <w:rPr/>
            </w:pPr>
            <w:r>
              <w:rPr/>
              <w:t> </w:t>
            </w:r>
          </w:p>
        </w:tc>
        <w:tc>
          <w:tcPr>
            <w:tcW w:w="11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r>
      <w:tr>
        <w:trPr/>
        <w:tc>
          <w:tcPr>
            <w:tcW w:w="4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Less: Class B-2 common shares dividends declared </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2" w:type="dxa"/>
            <w:tcBorders/>
            <w:shd w:fill="CCEEFF" w:val="clear"/>
            <w:vAlign w:val="bottom"/>
          </w:tcPr>
          <w:p>
            <w:pPr>
              <w:pStyle w:val="TableContents"/>
              <w:spacing w:before="0" w:after="0"/>
              <w:ind w:left="0" w:right="0" w:hanging="0"/>
              <w:rPr/>
            </w:pPr>
            <w:r>
              <w:rPr/>
              <w:t> </w:t>
            </w:r>
          </w:p>
        </w:tc>
        <w:tc>
          <w:tcPr>
            <w:tcW w:w="11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r>
      <w:tr>
        <w:trPr/>
        <w:tc>
          <w:tcPr>
            <w:tcW w:w="4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Undistributed net income </w:t>
            </w:r>
          </w:p>
        </w:tc>
        <w:tc>
          <w:tcPr>
            <w:tcW w:w="202"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25,070</w:t>
            </w:r>
          </w:p>
        </w:tc>
        <w:tc>
          <w:tcPr>
            <w:tcW w:w="202"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15,619</w:t>
            </w:r>
          </w:p>
        </w:tc>
        <w:tc>
          <w:tcPr>
            <w:tcW w:w="202"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59,631</w:t>
            </w:r>
          </w:p>
        </w:tc>
        <w:tc>
          <w:tcPr>
            <w:tcW w:w="202"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46,396</w:t>
            </w:r>
          </w:p>
        </w:tc>
        <w:tc>
          <w:tcPr>
            <w:tcW w:w="112" w:type="dxa"/>
            <w:tcBorders/>
            <w:shd w:fill="auto" w:val="clear"/>
            <w:vAlign w:val="bottom"/>
          </w:tcPr>
          <w:p>
            <w:pPr>
              <w:pStyle w:val="TableContents"/>
              <w:spacing w:before="0" w:after="0"/>
              <w:ind w:left="0" w:right="0" w:hanging="0"/>
              <w:rPr/>
            </w:pPr>
            <w:r>
              <w:rPr/>
              <w:t> </w:t>
            </w:r>
          </w:p>
        </w:tc>
      </w:tr>
      <w:tr>
        <w:trPr/>
        <w:tc>
          <w:tcPr>
            <w:tcW w:w="4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allocable to Common Shares </w:t>
            </w:r>
          </w:p>
        </w:tc>
        <w:tc>
          <w:tcPr>
            <w:tcW w:w="20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25,070</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59,631</w:t>
            </w:r>
          </w:p>
        </w:tc>
        <w:tc>
          <w:tcPr>
            <w:tcW w:w="202" w:type="dxa"/>
            <w:tcBorders/>
            <w:shd w:fill="CCEEFF" w:val="clear"/>
            <w:vAlign w:val="bottom"/>
          </w:tcPr>
          <w:p>
            <w:pPr>
              <w:pStyle w:val="TableContents"/>
              <w:spacing w:before="0" w:after="0"/>
              <w:ind w:left="0" w:right="0" w:hanging="0"/>
              <w:rPr/>
            </w:pPr>
            <w:r>
              <w:rPr/>
              <w:t> </w:t>
            </w:r>
          </w:p>
        </w:tc>
        <w:tc>
          <w:tcPr>
            <w:tcW w:w="11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4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allocable to Class A common shares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15,490</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45,727</w:t>
            </w:r>
          </w:p>
        </w:tc>
        <w:tc>
          <w:tcPr>
            <w:tcW w:w="112" w:type="dxa"/>
            <w:tcBorders/>
            <w:shd w:fill="auto" w:val="clear"/>
            <w:vAlign w:val="bottom"/>
          </w:tcPr>
          <w:p>
            <w:pPr>
              <w:pStyle w:val="TableContents"/>
              <w:spacing w:before="0" w:after="0"/>
              <w:ind w:left="0" w:right="0" w:hanging="0"/>
              <w:rPr/>
            </w:pPr>
            <w:r>
              <w:rPr/>
              <w:t> </w:t>
            </w:r>
          </w:p>
        </w:tc>
      </w:tr>
      <w:tr>
        <w:trPr/>
        <w:tc>
          <w:tcPr>
            <w:tcW w:w="4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allocable to Class B-2 common shares </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669</w:t>
            </w:r>
          </w:p>
        </w:tc>
        <w:tc>
          <w:tcPr>
            <w:tcW w:w="112" w:type="dxa"/>
            <w:tcBorders/>
            <w:shd w:fill="CCEEFF" w:val="clear"/>
            <w:vAlign w:val="bottom"/>
          </w:tcPr>
          <w:p>
            <w:pPr>
              <w:pStyle w:val="TableContents"/>
              <w:spacing w:before="0" w:after="0"/>
              <w:ind w:left="0" w:right="0" w:hanging="0"/>
              <w:rPr/>
            </w:pPr>
            <w:r>
              <w:rPr/>
              <w:t> </w:t>
            </w:r>
          </w:p>
        </w:tc>
      </w:tr>
      <w:tr>
        <w:trPr/>
        <w:tc>
          <w:tcPr>
            <w:tcW w:w="426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Basic earnings per share:</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2"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4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Common Shares </w:t>
            </w:r>
          </w:p>
        </w:tc>
        <w:tc>
          <w:tcPr>
            <w:tcW w:w="20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0.30</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0.72</w:t>
            </w:r>
          </w:p>
        </w:tc>
        <w:tc>
          <w:tcPr>
            <w:tcW w:w="202" w:type="dxa"/>
            <w:tcBorders/>
            <w:shd w:fill="CCEEFF" w:val="clear"/>
            <w:vAlign w:val="bottom"/>
          </w:tcPr>
          <w:p>
            <w:pPr>
              <w:pStyle w:val="TableContents"/>
              <w:spacing w:before="0" w:after="0"/>
              <w:ind w:left="0" w:right="0" w:hanging="0"/>
              <w:rPr/>
            </w:pPr>
            <w:r>
              <w:rPr/>
              <w:t> </w:t>
            </w:r>
          </w:p>
        </w:tc>
        <w:tc>
          <w:tcPr>
            <w:tcW w:w="11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4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Class A common shares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12" w:type="dxa"/>
            <w:tcBorders/>
            <w:shd w:fill="auto" w:val="clear"/>
            <w:vAlign w:val="bottom"/>
          </w:tcPr>
          <w:p>
            <w:pPr>
              <w:pStyle w:val="TableContents"/>
              <w:spacing w:before="0" w:after="0"/>
              <w:ind w:left="0" w:right="0" w:hanging="0"/>
              <w:rPr/>
            </w:pPr>
            <w:r>
              <w:rPr/>
              <w:t> </w:t>
            </w:r>
          </w:p>
        </w:tc>
      </w:tr>
      <w:tr>
        <w:trPr/>
        <w:tc>
          <w:tcPr>
            <w:tcW w:w="4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Class B-2 common shares </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0.50</w:t>
            </w:r>
          </w:p>
        </w:tc>
        <w:tc>
          <w:tcPr>
            <w:tcW w:w="112" w:type="dxa"/>
            <w:tcBorders/>
            <w:shd w:fill="CCEEFF" w:val="clear"/>
            <w:vAlign w:val="bottom"/>
          </w:tcPr>
          <w:p>
            <w:pPr>
              <w:pStyle w:val="TableContents"/>
              <w:spacing w:before="0" w:after="0"/>
              <w:ind w:left="0" w:right="0" w:hanging="0"/>
              <w:rPr/>
            </w:pPr>
            <w:r>
              <w:rPr/>
              <w:t> </w:t>
            </w:r>
          </w:p>
        </w:tc>
      </w:tr>
      <w:tr>
        <w:trPr/>
        <w:tc>
          <w:tcPr>
            <w:tcW w:w="426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Diluted earnings per share:</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2"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4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Common Shares </w:t>
            </w:r>
          </w:p>
        </w:tc>
        <w:tc>
          <w:tcPr>
            <w:tcW w:w="20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0.29</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202" w:type="dxa"/>
            <w:tcBorders/>
            <w:shd w:fill="CCEEFF" w:val="clear"/>
            <w:vAlign w:val="bottom"/>
          </w:tcPr>
          <w:p>
            <w:pPr>
              <w:pStyle w:val="TableContents"/>
              <w:spacing w:before="0" w:after="0"/>
              <w:ind w:left="0" w:right="0" w:hanging="0"/>
              <w:rPr/>
            </w:pPr>
            <w:r>
              <w:rPr/>
              <w:t> </w:t>
            </w:r>
          </w:p>
        </w:tc>
        <w:tc>
          <w:tcPr>
            <w:tcW w:w="11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4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Class A common shares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0.35</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12" w:type="dxa"/>
            <w:tcBorders/>
            <w:shd w:fill="auto" w:val="clear"/>
            <w:vAlign w:val="bottom"/>
          </w:tcPr>
          <w:p>
            <w:pPr>
              <w:pStyle w:val="TableContents"/>
              <w:spacing w:before="0" w:after="0"/>
              <w:ind w:left="0" w:right="0" w:hanging="0"/>
              <w:rPr/>
            </w:pPr>
            <w:r>
              <w:rPr/>
              <w:t> </w:t>
            </w:r>
          </w:p>
        </w:tc>
      </w:tr>
      <w:tr>
        <w:trPr/>
        <w:tc>
          <w:tcPr>
            <w:tcW w:w="4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Class B-2 common shares </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0.02</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0.11</w:t>
            </w:r>
          </w:p>
        </w:tc>
        <w:tc>
          <w:tcPr>
            <w:tcW w:w="112" w:type="dxa"/>
            <w:tcBorders/>
            <w:shd w:fill="CCEEFF" w:val="clear"/>
            <w:vAlign w:val="bottom"/>
          </w:tcPr>
          <w:p>
            <w:pPr>
              <w:pStyle w:val="TableContents"/>
              <w:spacing w:before="0" w:after="0"/>
              <w:ind w:left="0" w:right="0" w:hanging="0"/>
              <w:rPr/>
            </w:pPr>
            <w:r>
              <w:rPr/>
              <w:t> </w:t>
            </w:r>
          </w:p>
        </w:tc>
      </w:tr>
      <w:tr>
        <w:trPr/>
        <w:tc>
          <w:tcPr>
            <w:tcW w:w="426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common shares outstanding:</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2"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4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Common Shares </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83,640</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83,263</w:t>
            </w:r>
          </w:p>
        </w:tc>
        <w:tc>
          <w:tcPr>
            <w:tcW w:w="202" w:type="dxa"/>
            <w:tcBorders/>
            <w:shd w:fill="CCEEFF" w:val="clear"/>
            <w:vAlign w:val="bottom"/>
          </w:tcPr>
          <w:p>
            <w:pPr>
              <w:pStyle w:val="TableContents"/>
              <w:spacing w:before="0" w:after="0"/>
              <w:ind w:left="0" w:right="0" w:hanging="0"/>
              <w:rPr/>
            </w:pPr>
            <w:r>
              <w:rPr/>
              <w:t> </w:t>
            </w:r>
          </w:p>
        </w:tc>
        <w:tc>
          <w:tcPr>
            <w:tcW w:w="11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4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Class A common shares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43,616</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auto" w:val="clear"/>
            <w:vAlign w:val="bottom"/>
          </w:tcPr>
          <w:p>
            <w:pPr>
              <w:pStyle w:val="TableContents"/>
              <w:spacing w:before="0" w:after="0"/>
              <w:ind w:left="0" w:right="0" w:hanging="0"/>
              <w:rPr/>
            </w:pPr>
            <w:r>
              <w:rPr/>
              <w:t> </w:t>
            </w:r>
          </w:p>
        </w:tc>
        <w:tc>
          <w:tcPr>
            <w:tcW w:w="11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37,449</w:t>
            </w:r>
          </w:p>
        </w:tc>
        <w:tc>
          <w:tcPr>
            <w:tcW w:w="112" w:type="dxa"/>
            <w:tcBorders/>
            <w:shd w:fill="auto" w:val="clear"/>
            <w:vAlign w:val="bottom"/>
          </w:tcPr>
          <w:p>
            <w:pPr>
              <w:pStyle w:val="TableContents"/>
              <w:spacing w:before="0" w:after="0"/>
              <w:ind w:left="0" w:right="0" w:hanging="0"/>
              <w:rPr/>
            </w:pPr>
            <w:r>
              <w:rPr/>
              <w:t> </w:t>
            </w:r>
          </w:p>
        </w:tc>
      </w:tr>
      <w:tr>
        <w:trPr/>
        <w:tc>
          <w:tcPr>
            <w:tcW w:w="4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Class B-2 common shares </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1,822</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1,340</w:t>
            </w:r>
          </w:p>
        </w:tc>
        <w:tc>
          <w:tcPr>
            <w:tcW w:w="112" w:type="dxa"/>
            <w:tcBorders/>
            <w:shd w:fill="CCEEFF" w:val="clear"/>
            <w:vAlign w:val="bottom"/>
          </w:tcPr>
          <w:p>
            <w:pPr>
              <w:pStyle w:val="TableContents"/>
              <w:spacing w:before="0" w:after="0"/>
              <w:ind w:left="0" w:right="0" w:hanging="0"/>
              <w:rPr/>
            </w:pPr>
            <w:r>
              <w:rPr/>
              <w:t> </w:t>
            </w:r>
          </w:p>
        </w:tc>
      </w:tr>
      <w:tr>
        <w:trPr/>
        <w:tc>
          <w:tcPr>
            <w:tcW w:w="426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Dilutive effect of nonvested shares:</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2"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4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Common Shares </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1,388</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1,548</w:t>
            </w:r>
          </w:p>
        </w:tc>
        <w:tc>
          <w:tcPr>
            <w:tcW w:w="202" w:type="dxa"/>
            <w:tcBorders/>
            <w:shd w:fill="CCEEFF" w:val="clear"/>
            <w:vAlign w:val="bottom"/>
          </w:tcPr>
          <w:p>
            <w:pPr>
              <w:pStyle w:val="TableContents"/>
              <w:spacing w:before="0" w:after="0"/>
              <w:ind w:left="0" w:right="0" w:hanging="0"/>
              <w:rPr/>
            </w:pPr>
            <w:r>
              <w:rPr/>
              <w:t> </w:t>
            </w:r>
          </w:p>
        </w:tc>
        <w:tc>
          <w:tcPr>
            <w:tcW w:w="11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4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Class A common shares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auto" w:val="clear"/>
            <w:vAlign w:val="bottom"/>
          </w:tcPr>
          <w:p>
            <w:pPr>
              <w:pStyle w:val="TableContents"/>
              <w:spacing w:before="0" w:after="0"/>
              <w:ind w:left="0" w:right="0" w:hanging="0"/>
              <w:rPr/>
            </w:pPr>
            <w:r>
              <w:rPr/>
              <w:t> </w:t>
            </w:r>
          </w:p>
        </w:tc>
        <w:tc>
          <w:tcPr>
            <w:tcW w:w="11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12" w:type="dxa"/>
            <w:tcBorders/>
            <w:shd w:fill="auto" w:val="clear"/>
            <w:vAlign w:val="bottom"/>
          </w:tcPr>
          <w:p>
            <w:pPr>
              <w:pStyle w:val="TableContents"/>
              <w:spacing w:before="0" w:after="0"/>
              <w:ind w:left="0" w:right="0" w:hanging="0"/>
              <w:rPr/>
            </w:pPr>
            <w:r>
              <w:rPr/>
              <w:t> </w:t>
            </w:r>
          </w:p>
        </w:tc>
      </w:tr>
      <w:tr>
        <w:trPr/>
        <w:tc>
          <w:tcPr>
            <w:tcW w:w="4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Class B-2 common shares </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4,232</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4,693</w:t>
            </w:r>
          </w:p>
        </w:tc>
        <w:tc>
          <w:tcPr>
            <w:tcW w:w="112" w:type="dxa"/>
            <w:tcBorders/>
            <w:shd w:fill="CCEEFF" w:val="clear"/>
            <w:vAlign w:val="bottom"/>
          </w:tcPr>
          <w:p>
            <w:pPr>
              <w:pStyle w:val="TableContents"/>
              <w:spacing w:before="0" w:after="0"/>
              <w:ind w:left="0" w:right="0" w:hanging="0"/>
              <w:rPr/>
            </w:pPr>
            <w:r>
              <w:rPr/>
              <w:t> </w:t>
            </w:r>
          </w:p>
        </w:tc>
      </w:tr>
      <w:tr>
        <w:trPr/>
        <w:tc>
          <w:tcPr>
            <w:tcW w:w="426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common shares outstanding:</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152"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4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Common Shares </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85,028</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84,811</w:t>
            </w:r>
          </w:p>
        </w:tc>
        <w:tc>
          <w:tcPr>
            <w:tcW w:w="202" w:type="dxa"/>
            <w:tcBorders/>
            <w:shd w:fill="CCEEFF" w:val="clear"/>
            <w:vAlign w:val="bottom"/>
          </w:tcPr>
          <w:p>
            <w:pPr>
              <w:pStyle w:val="TableContents"/>
              <w:spacing w:before="0" w:after="0"/>
              <w:ind w:left="0" w:right="0" w:hanging="0"/>
              <w:rPr/>
            </w:pPr>
            <w:r>
              <w:rPr/>
              <w:t> </w:t>
            </w:r>
          </w:p>
        </w:tc>
        <w:tc>
          <w:tcPr>
            <w:tcW w:w="11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12" w:type="dxa"/>
            <w:tcBorders/>
            <w:shd w:fill="CCEEFF" w:val="clear"/>
            <w:vAlign w:val="bottom"/>
          </w:tcPr>
          <w:p>
            <w:pPr>
              <w:pStyle w:val="TableContents"/>
              <w:spacing w:before="0" w:after="0"/>
              <w:ind w:left="0" w:right="0" w:hanging="0"/>
              <w:rPr/>
            </w:pPr>
            <w:r>
              <w:rPr/>
              <w:t> </w:t>
            </w:r>
          </w:p>
        </w:tc>
      </w:tr>
      <w:tr>
        <w:trPr/>
        <w:tc>
          <w:tcPr>
            <w:tcW w:w="4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Class A common shares </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43,788</w:t>
            </w:r>
          </w:p>
        </w:tc>
        <w:tc>
          <w:tcPr>
            <w:tcW w:w="202" w:type="dxa"/>
            <w:tcBorders/>
            <w:shd w:fill="auto" w:val="clear"/>
            <w:vAlign w:val="bottom"/>
          </w:tcPr>
          <w:p>
            <w:pPr>
              <w:pStyle w:val="TableContents"/>
              <w:spacing w:before="0" w:after="0"/>
              <w:ind w:left="0" w:right="0" w:hanging="0"/>
              <w:rPr/>
            </w:pPr>
            <w:r>
              <w:rPr/>
              <w:t> </w:t>
            </w:r>
          </w:p>
        </w:tc>
        <w:tc>
          <w:tcPr>
            <w:tcW w:w="11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auto" w:val="clear"/>
            <w:vAlign w:val="bottom"/>
          </w:tcPr>
          <w:p>
            <w:pPr>
              <w:pStyle w:val="TableContents"/>
              <w:spacing w:before="0" w:after="0"/>
              <w:ind w:left="0" w:right="0" w:hanging="0"/>
              <w:rPr/>
            </w:pPr>
            <w:r>
              <w:rPr/>
              <w:t> </w:t>
            </w:r>
          </w:p>
        </w:tc>
        <w:tc>
          <w:tcPr>
            <w:tcW w:w="11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37,573</w:t>
            </w:r>
          </w:p>
        </w:tc>
        <w:tc>
          <w:tcPr>
            <w:tcW w:w="112" w:type="dxa"/>
            <w:tcBorders/>
            <w:shd w:fill="auto" w:val="clear"/>
            <w:vAlign w:val="bottom"/>
          </w:tcPr>
          <w:p>
            <w:pPr>
              <w:pStyle w:val="TableContents"/>
              <w:spacing w:before="0" w:after="0"/>
              <w:ind w:left="0" w:right="0" w:hanging="0"/>
              <w:rPr/>
            </w:pPr>
            <w:r>
              <w:rPr/>
              <w:t> </w:t>
            </w:r>
          </w:p>
        </w:tc>
      </w:tr>
      <w:tr>
        <w:trPr/>
        <w:tc>
          <w:tcPr>
            <w:tcW w:w="4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Class B-2 common shares </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6,054</w:t>
            </w:r>
          </w:p>
        </w:tc>
        <w:tc>
          <w:tcPr>
            <w:tcW w:w="202" w:type="dxa"/>
            <w:tcBorders/>
            <w:shd w:fill="CCEEFF" w:val="clear"/>
            <w:vAlign w:val="bottom"/>
          </w:tcPr>
          <w:p>
            <w:pPr>
              <w:pStyle w:val="TableContents"/>
              <w:spacing w:before="0" w:after="0"/>
              <w:ind w:left="0" w:right="0" w:hanging="0"/>
              <w:rPr/>
            </w:pPr>
            <w:r>
              <w:rPr/>
              <w:t> </w:t>
            </w:r>
          </w:p>
        </w:tc>
        <w:tc>
          <w:tcPr>
            <w:tcW w:w="11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2" w:type="dxa"/>
            <w:tcBorders/>
            <w:shd w:fill="CCEEFF" w:val="clear"/>
            <w:vAlign w:val="bottom"/>
          </w:tcPr>
          <w:p>
            <w:pPr>
              <w:pStyle w:val="TableContents"/>
              <w:spacing w:before="0" w:after="0"/>
              <w:ind w:left="0" w:right="0" w:hanging="0"/>
              <w:rPr/>
            </w:pPr>
            <w:r>
              <w:rPr/>
              <w:t> </w:t>
            </w:r>
          </w:p>
        </w:tc>
        <w:tc>
          <w:tcPr>
            <w:tcW w:w="11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6,033</w:t>
            </w:r>
          </w:p>
        </w:tc>
        <w:tc>
          <w:tcPr>
            <w:tcW w:w="1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There were 181 and 0 antidilutive shares for the three months ended September 30, 2014 and 2013, respectively and 133 and 0 antidilutive shares for the nine months ended September 30, 2014 and 2013, respectively.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25" w:name="PB_13_124400_2897"/>
      <w:bookmarkEnd w:id="2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nonvested performance-based share awards are considered contingently issuable for purposes of the EPS calculation.  Based on the compounded annual book value per share growth as of September 30, 2014, 48.5% of the performance-based share awards would be issuable under the terms of the arrangements if September 30, 2014 was the end of the contingency period.  The dilutive effect of nonvested performance-based share awards included in diluted shares outstanding was 198 and 66 for the three and nine months ended September 30, 2014, respectively. There were 1,297 and 1,280 weighted average nonvested performance-based share awards outstanding for the three and nine months ended September 30, 2014,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Class A common shares were entitled to receive cumulative compounding dividends prior and in preference to any declaration or payment of any dividend on the Class B-2 common shares. In periods of income, the undistributed net income was allocated to the Class A common shares to satisfy this requirement.  During the fourth quarter of 2013, the Company corrected the allocation of undistributed earnings to the Class A and Class B-2 shares from amounts previously presented. As a result, undistributed earnings for the three and nine months ended September 30, 2013 allocated to the Class B-2 shares was increased by $129 and $669, respectively, and the undistributed earnings allocated to the Class A shares was reduced by the same amounts. The Company has evaluated this correction and concluded that the impact on the previously reported amounts is not material to the consolidated financial statements for these periods.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10. Accumulated Other Comprehensive Income (Loss)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presents the rollforward of accumulated other comprehensive income (loss) for the three and nine months ended September 30, 2014 and 2013:</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4819"/>
        <w:gridCol w:w="193"/>
        <w:gridCol w:w="144"/>
        <w:gridCol w:w="1156"/>
        <w:gridCol w:w="211"/>
        <w:gridCol w:w="144"/>
        <w:gridCol w:w="1189"/>
        <w:gridCol w:w="211"/>
        <w:gridCol w:w="144"/>
        <w:gridCol w:w="1157"/>
        <w:gridCol w:w="122"/>
      </w:tblGrid>
      <w:tr>
        <w:trPr/>
        <w:tc>
          <w:tcPr>
            <w:tcW w:w="4819"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4356"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2014</w:t>
            </w:r>
          </w:p>
        </w:tc>
        <w:tc>
          <w:tcPr>
            <w:tcW w:w="122" w:type="dxa"/>
            <w:tcBorders/>
            <w:shd w:fill="auto" w:val="clear"/>
            <w:vAlign w:val="bottom"/>
          </w:tcPr>
          <w:p>
            <w:pPr>
              <w:pStyle w:val="TableContents"/>
              <w:spacing w:before="0" w:after="0"/>
              <w:ind w:left="0" w:right="0" w:hanging="0"/>
              <w:jc w:val="center"/>
              <w:rPr/>
            </w:pPr>
            <w:r>
              <w:rPr/>
              <w:t> </w:t>
            </w:r>
          </w:p>
        </w:tc>
      </w:tr>
      <w:tr>
        <w:trPr/>
        <w:tc>
          <w:tcPr>
            <w:tcW w:w="4819"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3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Before Tax</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Tax Effect</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0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 of Tax</w:t>
            </w:r>
          </w:p>
        </w:tc>
        <w:tc>
          <w:tcPr>
            <w:tcW w:w="122" w:type="dxa"/>
            <w:tcBorders/>
            <w:shd w:fill="auto" w:val="clear"/>
            <w:vAlign w:val="bottom"/>
          </w:tcPr>
          <w:p>
            <w:pPr>
              <w:pStyle w:val="TableContents"/>
              <w:spacing w:before="0" w:after="0"/>
              <w:ind w:left="0" w:right="0" w:hanging="0"/>
              <w:jc w:val="center"/>
              <w:rPr/>
            </w:pPr>
            <w:r>
              <w:rPr/>
              <w:t> </w:t>
            </w:r>
          </w:p>
        </w:tc>
      </w:tr>
      <w:tr>
        <w:trPr/>
        <w:tc>
          <w:tcPr>
            <w:tcW w:w="4819"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3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48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Balance at beginning of period </w:t>
            </w:r>
          </w:p>
        </w:tc>
        <w:tc>
          <w:tcPr>
            <w:tcW w:w="193" w:type="dxa"/>
            <w:tcBorders/>
            <w:shd w:fill="CCEEFF" w:val="clear"/>
            <w:vAlign w:val="bottom"/>
          </w:tcPr>
          <w:p>
            <w:pPr>
              <w:pStyle w:val="TableContents"/>
              <w:spacing w:before="0" w:after="0"/>
              <w:ind w:left="0" w:right="0" w:hanging="0"/>
              <w:rPr/>
            </w:pPr>
            <w:r>
              <w:rPr/>
              <w:t> </w:t>
            </w:r>
          </w:p>
        </w:tc>
        <w:tc>
          <w:tcPr>
            <w:tcW w:w="144"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5,632</w:t>
            </w:r>
          </w:p>
        </w:tc>
        <w:tc>
          <w:tcPr>
            <w:tcW w:w="211" w:type="dxa"/>
            <w:tcBorders/>
            <w:shd w:fill="CCEEFF" w:val="clear"/>
            <w:vAlign w:val="bottom"/>
          </w:tcPr>
          <w:p>
            <w:pPr>
              <w:pStyle w:val="TableContents"/>
              <w:spacing w:before="0" w:after="0"/>
              <w:ind w:left="0" w:right="0" w:hanging="0"/>
              <w:rPr/>
            </w:pPr>
            <w:r>
              <w:rPr/>
              <w:t> </w:t>
            </w:r>
          </w:p>
        </w:tc>
        <w:tc>
          <w:tcPr>
            <w:tcW w:w="144"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(1,685</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3,947</w:t>
            </w:r>
          </w:p>
        </w:tc>
        <w:tc>
          <w:tcPr>
            <w:tcW w:w="122" w:type="dxa"/>
            <w:tcBorders/>
            <w:shd w:fill="CCEEFF" w:val="clear"/>
            <w:vAlign w:val="bottom"/>
          </w:tcPr>
          <w:p>
            <w:pPr>
              <w:pStyle w:val="TableContents"/>
              <w:spacing w:before="0" w:after="0"/>
              <w:ind w:left="0" w:right="0" w:hanging="0"/>
              <w:rPr/>
            </w:pPr>
            <w:r>
              <w:rPr/>
              <w:t> </w:t>
            </w:r>
          </w:p>
        </w:tc>
      </w:tr>
      <w:tr>
        <w:trPr/>
        <w:tc>
          <w:tcPr>
            <w:tcW w:w="48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comprehensive loss:</w:t>
            </w:r>
          </w:p>
        </w:tc>
        <w:tc>
          <w:tcPr>
            <w:tcW w:w="193"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3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48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Unrealized holding losses arising during the period </w:t>
            </w:r>
          </w:p>
        </w:tc>
        <w:tc>
          <w:tcPr>
            <w:tcW w:w="193"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(1,748</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449</w:t>
            </w:r>
          </w:p>
        </w:tc>
        <w:tc>
          <w:tcPr>
            <w:tcW w:w="211"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(1,299</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Less: Reclassification adjustment for gains included in net income (1) </w:t>
            </w:r>
          </w:p>
        </w:tc>
        <w:tc>
          <w:tcPr>
            <w:tcW w:w="193" w:type="dxa"/>
            <w:tcBorders/>
            <w:shd w:fill="auto" w:val="clear"/>
            <w:vAlign w:val="bottom"/>
          </w:tcPr>
          <w:p>
            <w:pPr>
              <w:pStyle w:val="TableContents"/>
              <w:spacing w:before="0" w:after="0"/>
              <w:ind w:left="0" w:right="0" w:hanging="0"/>
              <w:rPr/>
            </w:pPr>
            <w:r>
              <w:rPr/>
              <w:t> </w:t>
            </w:r>
          </w:p>
        </w:tc>
        <w:tc>
          <w:tcPr>
            <w:tcW w:w="13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1" w:type="dxa"/>
            <w:tcBorders/>
            <w:shd w:fill="auto"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unrealized losses on investments </w:t>
            </w:r>
          </w:p>
        </w:tc>
        <w:tc>
          <w:tcPr>
            <w:tcW w:w="193" w:type="dxa"/>
            <w:tcBorders/>
            <w:shd w:fill="CCEEFF" w:val="clear"/>
            <w:vAlign w:val="bottom"/>
          </w:tcPr>
          <w:p>
            <w:pPr>
              <w:pStyle w:val="TableContents"/>
              <w:spacing w:before="0" w:after="0"/>
              <w:ind w:left="0" w:right="0" w:hanging="0"/>
              <w:rPr/>
            </w:pPr>
            <w:r>
              <w:rPr/>
              <w:t> </w:t>
            </w:r>
          </w:p>
        </w:tc>
        <w:tc>
          <w:tcPr>
            <w:tcW w:w="13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(1,899</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494</w:t>
            </w:r>
          </w:p>
        </w:tc>
        <w:tc>
          <w:tcPr>
            <w:tcW w:w="211" w:type="dxa"/>
            <w:tcBorders/>
            <w:shd w:fill="CCEEFF"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(1,405</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comprehensive loss </w:t>
            </w:r>
          </w:p>
        </w:tc>
        <w:tc>
          <w:tcPr>
            <w:tcW w:w="193" w:type="dxa"/>
            <w:tcBorders/>
            <w:shd w:fill="auto" w:val="clear"/>
            <w:vAlign w:val="bottom"/>
          </w:tcPr>
          <w:p>
            <w:pPr>
              <w:pStyle w:val="TableContents"/>
              <w:spacing w:before="0" w:after="0"/>
              <w:ind w:left="0" w:right="0" w:hanging="0"/>
              <w:rPr/>
            </w:pPr>
            <w:r>
              <w:rPr/>
              <w:t> </w:t>
            </w:r>
          </w:p>
        </w:tc>
        <w:tc>
          <w:tcPr>
            <w:tcW w:w="13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(1,899</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494</w:t>
            </w:r>
          </w:p>
        </w:tc>
        <w:tc>
          <w:tcPr>
            <w:tcW w:w="211" w:type="dxa"/>
            <w:tcBorders/>
            <w:shd w:fill="auto"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(1,405</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Balance at end of period </w:t>
            </w:r>
          </w:p>
        </w:tc>
        <w:tc>
          <w:tcPr>
            <w:tcW w:w="193"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3,733</w:t>
            </w:r>
          </w:p>
        </w:tc>
        <w:tc>
          <w:tcPr>
            <w:tcW w:w="211"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(1,191</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2,542</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4912"/>
        <w:gridCol w:w="195"/>
        <w:gridCol w:w="130"/>
        <w:gridCol w:w="1154"/>
        <w:gridCol w:w="206"/>
        <w:gridCol w:w="130"/>
        <w:gridCol w:w="1154"/>
        <w:gridCol w:w="206"/>
        <w:gridCol w:w="129"/>
        <w:gridCol w:w="1155"/>
        <w:gridCol w:w="119"/>
      </w:tblGrid>
      <w:tr>
        <w:trPr/>
        <w:tc>
          <w:tcPr>
            <w:tcW w:w="4912"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426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2014</w:t>
            </w:r>
          </w:p>
        </w:tc>
        <w:tc>
          <w:tcPr>
            <w:tcW w:w="119" w:type="dxa"/>
            <w:tcBorders/>
            <w:shd w:fill="auto" w:val="clear"/>
            <w:vAlign w:val="bottom"/>
          </w:tcPr>
          <w:p>
            <w:pPr>
              <w:pStyle w:val="TableContents"/>
              <w:spacing w:before="0" w:after="0"/>
              <w:ind w:left="0" w:right="0" w:hanging="0"/>
              <w:jc w:val="center"/>
              <w:rPr/>
            </w:pPr>
            <w:r>
              <w:rPr/>
              <w:t> </w:t>
            </w:r>
          </w:p>
        </w:tc>
      </w:tr>
      <w:tr>
        <w:trPr/>
        <w:tc>
          <w:tcPr>
            <w:tcW w:w="4912"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Before Tax</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8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Tax Effect</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8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 of Tax</w:t>
            </w:r>
          </w:p>
        </w:tc>
        <w:tc>
          <w:tcPr>
            <w:tcW w:w="119" w:type="dxa"/>
            <w:tcBorders/>
            <w:shd w:fill="auto" w:val="clear"/>
            <w:vAlign w:val="bottom"/>
          </w:tcPr>
          <w:p>
            <w:pPr>
              <w:pStyle w:val="TableContents"/>
              <w:spacing w:before="0" w:after="0"/>
              <w:ind w:left="0" w:right="0" w:hanging="0"/>
              <w:jc w:val="center"/>
              <w:rPr/>
            </w:pPr>
            <w:r>
              <w:rPr/>
              <w:t> </w:t>
            </w:r>
          </w:p>
        </w:tc>
      </w:tr>
      <w:tr>
        <w:trPr/>
        <w:tc>
          <w:tcPr>
            <w:tcW w:w="49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Balance at beginning of period </w:t>
            </w:r>
          </w:p>
        </w:tc>
        <w:tc>
          <w:tcPr>
            <w:tcW w:w="195" w:type="dxa"/>
            <w:tcBorders/>
            <w:shd w:fill="CCEEFF" w:val="clear"/>
            <w:vAlign w:val="bottom"/>
          </w:tcPr>
          <w:p>
            <w:pPr>
              <w:pStyle w:val="TableContents"/>
              <w:spacing w:before="0" w:after="0"/>
              <w:ind w:left="0" w:right="0" w:hanging="0"/>
              <w:rPr/>
            </w:pPr>
            <w:r>
              <w:rPr/>
              <w:t> </w:t>
            </w:r>
          </w:p>
        </w:tc>
        <w:tc>
          <w:tcPr>
            <w:tcW w:w="13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(2,227</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780</w:t>
            </w:r>
          </w:p>
        </w:tc>
        <w:tc>
          <w:tcPr>
            <w:tcW w:w="206" w:type="dxa"/>
            <w:tcBorders/>
            <w:shd w:fill="CCEEFF" w:val="clear"/>
            <w:vAlign w:val="bottom"/>
          </w:tcPr>
          <w:p>
            <w:pPr>
              <w:pStyle w:val="TableContents"/>
              <w:spacing w:before="0" w:after="0"/>
              <w:ind w:left="0" w:right="0" w:hanging="0"/>
              <w:rPr/>
            </w:pPr>
            <w:r>
              <w:rPr/>
              <w:t> </w:t>
            </w:r>
          </w:p>
        </w:tc>
        <w:tc>
          <w:tcPr>
            <w:tcW w:w="129"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5"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(1,447</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comprehensive income:</w:t>
            </w:r>
          </w:p>
        </w:tc>
        <w:tc>
          <w:tcPr>
            <w:tcW w:w="195"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49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Unrealized holding gains arising during the period </w:t>
            </w:r>
          </w:p>
        </w:tc>
        <w:tc>
          <w:tcPr>
            <w:tcW w:w="195"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6,579</w:t>
            </w:r>
          </w:p>
        </w:tc>
        <w:tc>
          <w:tcPr>
            <w:tcW w:w="206"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(2,178</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4,401</w:t>
            </w:r>
          </w:p>
        </w:tc>
        <w:tc>
          <w:tcPr>
            <w:tcW w:w="119" w:type="dxa"/>
            <w:tcBorders/>
            <w:shd w:fill="CCEEFF" w:val="clear"/>
            <w:vAlign w:val="bottom"/>
          </w:tcPr>
          <w:p>
            <w:pPr>
              <w:pStyle w:val="TableContents"/>
              <w:spacing w:before="0" w:after="0"/>
              <w:ind w:left="0" w:right="0" w:hanging="0"/>
              <w:rPr/>
            </w:pPr>
            <w:r>
              <w:rPr/>
              <w:t> </w:t>
            </w:r>
          </w:p>
        </w:tc>
      </w:tr>
      <w:tr>
        <w:trPr/>
        <w:tc>
          <w:tcPr>
            <w:tcW w:w="49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Less: Reclassification adjustment for gains included in net income (1) </w:t>
            </w:r>
          </w:p>
        </w:tc>
        <w:tc>
          <w:tcPr>
            <w:tcW w:w="195"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06"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(412</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unrealized gains on investments </w:t>
            </w:r>
          </w:p>
        </w:tc>
        <w:tc>
          <w:tcPr>
            <w:tcW w:w="195"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5,960</w:t>
            </w:r>
          </w:p>
        </w:tc>
        <w:tc>
          <w:tcPr>
            <w:tcW w:w="206"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(1,971</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3,989</w:t>
            </w:r>
          </w:p>
        </w:tc>
        <w:tc>
          <w:tcPr>
            <w:tcW w:w="119" w:type="dxa"/>
            <w:tcBorders/>
            <w:shd w:fill="CCEEFF" w:val="clear"/>
            <w:vAlign w:val="bottom"/>
          </w:tcPr>
          <w:p>
            <w:pPr>
              <w:pStyle w:val="TableContents"/>
              <w:spacing w:before="0" w:after="0"/>
              <w:ind w:left="0" w:right="0" w:hanging="0"/>
              <w:rPr/>
            </w:pPr>
            <w:r>
              <w:rPr/>
              <w:t> </w:t>
            </w:r>
          </w:p>
        </w:tc>
      </w:tr>
      <w:tr>
        <w:trPr/>
        <w:tc>
          <w:tcPr>
            <w:tcW w:w="49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comprehensive income </w:t>
            </w:r>
          </w:p>
        </w:tc>
        <w:tc>
          <w:tcPr>
            <w:tcW w:w="195"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5,960</w:t>
            </w:r>
          </w:p>
        </w:tc>
        <w:tc>
          <w:tcPr>
            <w:tcW w:w="206"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(1,971</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3,989</w:t>
            </w:r>
          </w:p>
        </w:tc>
        <w:tc>
          <w:tcPr>
            <w:tcW w:w="119" w:type="dxa"/>
            <w:tcBorders/>
            <w:shd w:fill="auto" w:val="clear"/>
            <w:vAlign w:val="bottom"/>
          </w:tcPr>
          <w:p>
            <w:pPr>
              <w:pStyle w:val="TableContents"/>
              <w:spacing w:before="0" w:after="0"/>
              <w:ind w:left="0" w:right="0" w:hanging="0"/>
              <w:rPr/>
            </w:pPr>
            <w:r>
              <w:rPr/>
              <w:t> </w:t>
            </w:r>
          </w:p>
        </w:tc>
      </w:tr>
      <w:tr>
        <w:trPr/>
        <w:tc>
          <w:tcPr>
            <w:tcW w:w="49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Balance at end of period </w:t>
            </w:r>
          </w:p>
        </w:tc>
        <w:tc>
          <w:tcPr>
            <w:tcW w:w="195"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3,733</w:t>
            </w:r>
          </w:p>
        </w:tc>
        <w:tc>
          <w:tcPr>
            <w:tcW w:w="206"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(1,191</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2,542</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4669"/>
        <w:gridCol w:w="189"/>
        <w:gridCol w:w="161"/>
        <w:gridCol w:w="1228"/>
        <w:gridCol w:w="217"/>
        <w:gridCol w:w="174"/>
        <w:gridCol w:w="1117"/>
        <w:gridCol w:w="217"/>
        <w:gridCol w:w="161"/>
        <w:gridCol w:w="1229"/>
        <w:gridCol w:w="128"/>
      </w:tblGrid>
      <w:tr>
        <w:trPr/>
        <w:tc>
          <w:tcPr>
            <w:tcW w:w="4669"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450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2013</w:t>
            </w:r>
          </w:p>
        </w:tc>
        <w:tc>
          <w:tcPr>
            <w:tcW w:w="128" w:type="dxa"/>
            <w:tcBorders/>
            <w:shd w:fill="auto" w:val="clear"/>
            <w:vAlign w:val="bottom"/>
          </w:tcPr>
          <w:p>
            <w:pPr>
              <w:pStyle w:val="TableContents"/>
              <w:spacing w:before="0" w:after="0"/>
              <w:ind w:left="0" w:right="0" w:hanging="0"/>
              <w:jc w:val="center"/>
              <w:rPr/>
            </w:pPr>
            <w:r>
              <w:rPr/>
              <w:t> </w:t>
            </w:r>
          </w:p>
        </w:tc>
      </w:tr>
      <w:tr>
        <w:trPr/>
        <w:tc>
          <w:tcPr>
            <w:tcW w:w="4669"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3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Before Tax</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9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Tax Effect</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9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 of Tax</w:t>
            </w:r>
          </w:p>
        </w:tc>
        <w:tc>
          <w:tcPr>
            <w:tcW w:w="128" w:type="dxa"/>
            <w:tcBorders/>
            <w:shd w:fill="auto" w:val="clear"/>
            <w:vAlign w:val="bottom"/>
          </w:tcPr>
          <w:p>
            <w:pPr>
              <w:pStyle w:val="TableContents"/>
              <w:spacing w:before="0" w:after="0"/>
              <w:ind w:left="0" w:right="0" w:hanging="0"/>
              <w:jc w:val="center"/>
              <w:rPr/>
            </w:pPr>
            <w:r>
              <w:rPr/>
              <w:t> </w:t>
            </w:r>
          </w:p>
        </w:tc>
      </w:tr>
      <w:tr>
        <w:trPr/>
        <w:tc>
          <w:tcPr>
            <w:tcW w:w="4669"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389"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9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46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Balance at beginning of period </w:t>
            </w:r>
          </w:p>
        </w:tc>
        <w:tc>
          <w:tcPr>
            <w:tcW w:w="189" w:type="dxa"/>
            <w:tcBorders/>
            <w:shd w:fill="CCEEFF" w:val="clear"/>
            <w:vAlign w:val="bottom"/>
          </w:tcPr>
          <w:p>
            <w:pPr>
              <w:pStyle w:val="TableContents"/>
              <w:spacing w:before="0" w:after="0"/>
              <w:ind w:left="0" w:right="0" w:hanging="0"/>
              <w:rPr/>
            </w:pPr>
            <w:r>
              <w:rPr/>
              <w:t> </w:t>
            </w:r>
          </w:p>
        </w:tc>
        <w:tc>
          <w:tcPr>
            <w:tcW w:w="161"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4"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882</w:t>
            </w:r>
          </w:p>
        </w:tc>
        <w:tc>
          <w:tcPr>
            <w:tcW w:w="217" w:type="dxa"/>
            <w:tcBorders/>
            <w:shd w:fill="CCEEFF" w:val="clear"/>
            <w:vAlign w:val="bottom"/>
          </w:tcPr>
          <w:p>
            <w:pPr>
              <w:pStyle w:val="TableContents"/>
              <w:spacing w:before="0" w:after="0"/>
              <w:ind w:left="0" w:right="0" w:hanging="0"/>
              <w:rPr/>
            </w:pPr>
            <w:r>
              <w:rPr/>
              <w:t> </w:t>
            </w:r>
          </w:p>
        </w:tc>
        <w:tc>
          <w:tcPr>
            <w:tcW w:w="161"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(1,639</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comprehensive income:</w:t>
            </w:r>
          </w:p>
        </w:tc>
        <w:tc>
          <w:tcPr>
            <w:tcW w:w="189" w:type="dxa"/>
            <w:tcBorders/>
            <w:shd w:fill="auto" w:val="clear"/>
            <w:vAlign w:val="bottom"/>
          </w:tcPr>
          <w:p>
            <w:pPr>
              <w:pStyle w:val="TableContents"/>
              <w:spacing w:before="0" w:after="0"/>
              <w:ind w:left="0" w:right="0" w:hanging="0"/>
              <w:rPr/>
            </w:pPr>
            <w:r>
              <w:rPr/>
              <w:t> </w:t>
            </w:r>
          </w:p>
        </w:tc>
        <w:tc>
          <w:tcPr>
            <w:tcW w:w="1389"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91"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46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Unrealized holding gains arising during the period </w:t>
            </w:r>
          </w:p>
        </w:tc>
        <w:tc>
          <w:tcPr>
            <w:tcW w:w="189" w:type="dxa"/>
            <w:tcBorders/>
            <w:shd w:fill="CCEEFF" w:val="clear"/>
            <w:vAlign w:val="bottom"/>
          </w:tcPr>
          <w:p>
            <w:pPr>
              <w:pStyle w:val="TableContents"/>
              <w:spacing w:before="0" w:after="0"/>
              <w:ind w:left="0" w:right="0" w:hanging="0"/>
              <w:rPr/>
            </w:pPr>
            <w:r>
              <w:rPr/>
              <w:t> </w:t>
            </w:r>
          </w:p>
        </w:tc>
        <w:tc>
          <w:tcPr>
            <w:tcW w:w="13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971</w:t>
            </w:r>
          </w:p>
        </w:tc>
        <w:tc>
          <w:tcPr>
            <w:tcW w:w="217" w:type="dxa"/>
            <w:tcBorders/>
            <w:shd w:fill="CCEEFF" w:val="clear"/>
            <w:vAlign w:val="bottom"/>
          </w:tcPr>
          <w:p>
            <w:pPr>
              <w:pStyle w:val="TableContents"/>
              <w:spacing w:before="0" w:after="0"/>
              <w:ind w:left="0" w:right="0" w:hanging="0"/>
              <w:rPr/>
            </w:pPr>
            <w:r>
              <w:rPr/>
              <w:t> </w:t>
            </w:r>
          </w:p>
        </w:tc>
        <w:tc>
          <w:tcPr>
            <w:tcW w:w="12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128" w:type="dxa"/>
            <w:tcBorders/>
            <w:shd w:fill="CCEEFF" w:val="clear"/>
            <w:vAlign w:val="bottom"/>
          </w:tcPr>
          <w:p>
            <w:pPr>
              <w:pStyle w:val="TableContents"/>
              <w:spacing w:before="0" w:after="0"/>
              <w:ind w:left="0" w:right="0" w:hanging="0"/>
              <w:rPr/>
            </w:pPr>
            <w:r>
              <w:rPr/>
              <w:t> </w:t>
            </w:r>
          </w:p>
        </w:tc>
      </w:tr>
      <w:tr>
        <w:trPr/>
        <w:tc>
          <w:tcPr>
            <w:tcW w:w="46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Less: Reclassification adjustment for gains included in net income (1) </w:t>
            </w:r>
          </w:p>
        </w:tc>
        <w:tc>
          <w:tcPr>
            <w:tcW w:w="189" w:type="dxa"/>
            <w:tcBorders/>
            <w:shd w:fill="auto" w:val="clear"/>
            <w:vAlign w:val="bottom"/>
          </w:tcPr>
          <w:p>
            <w:pPr>
              <w:pStyle w:val="TableContents"/>
              <w:spacing w:before="0" w:after="0"/>
              <w:ind w:left="0" w:right="0" w:hanging="0"/>
              <w:rPr/>
            </w:pPr>
            <w:r>
              <w:rPr/>
              <w:t> </w:t>
            </w:r>
          </w:p>
        </w:tc>
        <w:tc>
          <w:tcPr>
            <w:tcW w:w="13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unrealized gains on investments </w:t>
            </w:r>
          </w:p>
        </w:tc>
        <w:tc>
          <w:tcPr>
            <w:tcW w:w="189" w:type="dxa"/>
            <w:tcBorders/>
            <w:shd w:fill="CCEEFF" w:val="clear"/>
            <w:vAlign w:val="bottom"/>
          </w:tcPr>
          <w:p>
            <w:pPr>
              <w:pStyle w:val="TableContents"/>
              <w:spacing w:before="0" w:after="0"/>
              <w:ind w:left="0" w:right="0" w:hanging="0"/>
              <w:rPr/>
            </w:pPr>
            <w:r>
              <w:rPr/>
              <w:t> </w:t>
            </w:r>
          </w:p>
        </w:tc>
        <w:tc>
          <w:tcPr>
            <w:tcW w:w="13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969</w:t>
            </w:r>
          </w:p>
        </w:tc>
        <w:tc>
          <w:tcPr>
            <w:tcW w:w="217" w:type="dxa"/>
            <w:tcBorders/>
            <w:shd w:fill="CCEEFF" w:val="clear"/>
            <w:vAlign w:val="bottom"/>
          </w:tcPr>
          <w:p>
            <w:pPr>
              <w:pStyle w:val="TableContents"/>
              <w:spacing w:before="0" w:after="0"/>
              <w:ind w:left="0" w:right="0" w:hanging="0"/>
              <w:rPr/>
            </w:pPr>
            <w:r>
              <w:rPr/>
              <w:t> </w:t>
            </w:r>
          </w:p>
        </w:tc>
        <w:tc>
          <w:tcPr>
            <w:tcW w:w="12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630</w:t>
            </w:r>
          </w:p>
        </w:tc>
        <w:tc>
          <w:tcPr>
            <w:tcW w:w="128" w:type="dxa"/>
            <w:tcBorders/>
            <w:shd w:fill="CCEEFF" w:val="clear"/>
            <w:vAlign w:val="bottom"/>
          </w:tcPr>
          <w:p>
            <w:pPr>
              <w:pStyle w:val="TableContents"/>
              <w:spacing w:before="0" w:after="0"/>
              <w:ind w:left="0" w:right="0" w:hanging="0"/>
              <w:rPr/>
            </w:pPr>
            <w:r>
              <w:rPr/>
              <w:t> </w:t>
            </w:r>
          </w:p>
        </w:tc>
      </w:tr>
      <w:tr>
        <w:trPr/>
        <w:tc>
          <w:tcPr>
            <w:tcW w:w="466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comprehensive income </w:t>
            </w:r>
          </w:p>
        </w:tc>
        <w:tc>
          <w:tcPr>
            <w:tcW w:w="189" w:type="dxa"/>
            <w:tcBorders/>
            <w:shd w:fill="auto" w:val="clear"/>
            <w:vAlign w:val="bottom"/>
          </w:tcPr>
          <w:p>
            <w:pPr>
              <w:pStyle w:val="TableContents"/>
              <w:spacing w:before="0" w:after="0"/>
              <w:ind w:left="0" w:right="0" w:hanging="0"/>
              <w:rPr/>
            </w:pPr>
            <w:r>
              <w:rPr/>
              <w:t> </w:t>
            </w:r>
          </w:p>
        </w:tc>
        <w:tc>
          <w:tcPr>
            <w:tcW w:w="13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969</w:t>
            </w:r>
          </w:p>
        </w:tc>
        <w:tc>
          <w:tcPr>
            <w:tcW w:w="217" w:type="dxa"/>
            <w:tcBorders/>
            <w:shd w:fill="auto" w:val="clear"/>
            <w:vAlign w:val="bottom"/>
          </w:tcPr>
          <w:p>
            <w:pPr>
              <w:pStyle w:val="TableContents"/>
              <w:spacing w:before="0" w:after="0"/>
              <w:ind w:left="0" w:right="0" w:hanging="0"/>
              <w:rPr/>
            </w:pPr>
            <w:r>
              <w:rPr/>
              <w:t> </w:t>
            </w:r>
          </w:p>
        </w:tc>
        <w:tc>
          <w:tcPr>
            <w:tcW w:w="12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630</w:t>
            </w:r>
          </w:p>
        </w:tc>
        <w:tc>
          <w:tcPr>
            <w:tcW w:w="128" w:type="dxa"/>
            <w:tcBorders/>
            <w:shd w:fill="auto" w:val="clear"/>
            <w:vAlign w:val="bottom"/>
          </w:tcPr>
          <w:p>
            <w:pPr>
              <w:pStyle w:val="TableContents"/>
              <w:spacing w:before="0" w:after="0"/>
              <w:ind w:left="0" w:right="0" w:hanging="0"/>
              <w:rPr/>
            </w:pPr>
            <w:r>
              <w:rPr/>
              <w:t> </w:t>
            </w:r>
          </w:p>
        </w:tc>
      </w:tr>
      <w:tr>
        <w:trPr/>
        <w:tc>
          <w:tcPr>
            <w:tcW w:w="466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Balance at end of period </w:t>
            </w:r>
          </w:p>
        </w:tc>
        <w:tc>
          <w:tcPr>
            <w:tcW w:w="189"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543</w:t>
            </w:r>
          </w:p>
        </w:tc>
        <w:tc>
          <w:tcPr>
            <w:tcW w:w="217"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(1,009</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26" w:name="PB_14_124417_3020"/>
      <w:bookmarkEnd w:id="2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5142"/>
        <w:gridCol w:w="199"/>
        <w:gridCol w:w="130"/>
        <w:gridCol w:w="1175"/>
        <w:gridCol w:w="210"/>
        <w:gridCol w:w="130"/>
        <w:gridCol w:w="1175"/>
        <w:gridCol w:w="210"/>
        <w:gridCol w:w="130"/>
        <w:gridCol w:w="1176"/>
        <w:gridCol w:w="119"/>
      </w:tblGrid>
      <w:tr>
        <w:trPr/>
        <w:tc>
          <w:tcPr>
            <w:tcW w:w="5142"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4336"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2013</w:t>
            </w:r>
          </w:p>
        </w:tc>
        <w:tc>
          <w:tcPr>
            <w:tcW w:w="119" w:type="dxa"/>
            <w:tcBorders/>
            <w:shd w:fill="auto" w:val="clear"/>
            <w:vAlign w:val="bottom"/>
          </w:tcPr>
          <w:p>
            <w:pPr>
              <w:pStyle w:val="TableContents"/>
              <w:spacing w:before="0" w:after="0"/>
              <w:ind w:left="0" w:right="0" w:hanging="0"/>
              <w:jc w:val="center"/>
              <w:rPr/>
            </w:pPr>
            <w:r>
              <w:rPr/>
              <w:t> </w:t>
            </w:r>
          </w:p>
        </w:tc>
      </w:tr>
      <w:tr>
        <w:trPr/>
        <w:tc>
          <w:tcPr>
            <w:tcW w:w="5142"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Before Tax</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0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Tax Effect</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 of Tax</w:t>
            </w:r>
          </w:p>
        </w:tc>
        <w:tc>
          <w:tcPr>
            <w:tcW w:w="119" w:type="dxa"/>
            <w:tcBorders/>
            <w:shd w:fill="auto" w:val="clear"/>
            <w:vAlign w:val="bottom"/>
          </w:tcPr>
          <w:p>
            <w:pPr>
              <w:pStyle w:val="TableContents"/>
              <w:spacing w:before="0" w:after="0"/>
              <w:ind w:left="0" w:right="0" w:hanging="0"/>
              <w:jc w:val="center"/>
              <w:rPr/>
            </w:pPr>
            <w:r>
              <w:rPr/>
              <w:t> </w:t>
            </w:r>
          </w:p>
        </w:tc>
      </w:tr>
      <w:tr>
        <w:trPr/>
        <w:tc>
          <w:tcPr>
            <w:tcW w:w="5142"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306"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5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Balance at beginning of period </w:t>
            </w:r>
          </w:p>
        </w:tc>
        <w:tc>
          <w:tcPr>
            <w:tcW w:w="199" w:type="dxa"/>
            <w:tcBorders/>
            <w:shd w:fill="CCEEFF" w:val="clear"/>
            <w:vAlign w:val="bottom"/>
          </w:tcPr>
          <w:p>
            <w:pPr>
              <w:pStyle w:val="TableContents"/>
              <w:spacing w:before="0" w:after="0"/>
              <w:ind w:left="0" w:right="0" w:hanging="0"/>
              <w:rPr/>
            </w:pPr>
            <w:r>
              <w:rPr/>
              <w:t> </w:t>
            </w:r>
          </w:p>
        </w:tc>
        <w:tc>
          <w:tcPr>
            <w:tcW w:w="13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3,714</w:t>
            </w:r>
          </w:p>
        </w:tc>
        <w:tc>
          <w:tcPr>
            <w:tcW w:w="210" w:type="dxa"/>
            <w:tcBorders/>
            <w:shd w:fill="CCEEFF" w:val="clear"/>
            <w:vAlign w:val="bottom"/>
          </w:tcPr>
          <w:p>
            <w:pPr>
              <w:pStyle w:val="TableContents"/>
              <w:spacing w:before="0" w:after="0"/>
              <w:ind w:left="0" w:right="0" w:hanging="0"/>
              <w:rPr/>
            </w:pPr>
            <w:r>
              <w:rPr/>
              <w:t> </w:t>
            </w:r>
          </w:p>
        </w:tc>
        <w:tc>
          <w:tcPr>
            <w:tcW w:w="13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(1,300</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2,414</w:t>
            </w:r>
          </w:p>
        </w:tc>
        <w:tc>
          <w:tcPr>
            <w:tcW w:w="119" w:type="dxa"/>
            <w:tcBorders/>
            <w:shd w:fill="CCEEFF" w:val="clear"/>
            <w:vAlign w:val="bottom"/>
          </w:tcPr>
          <w:p>
            <w:pPr>
              <w:pStyle w:val="TableContents"/>
              <w:spacing w:before="0" w:after="0"/>
              <w:ind w:left="0" w:right="0" w:hanging="0"/>
              <w:rPr/>
            </w:pPr>
            <w:r>
              <w:rPr/>
              <w:t> </w:t>
            </w:r>
          </w:p>
        </w:tc>
      </w:tr>
      <w:tr>
        <w:trPr/>
        <w:tc>
          <w:tcPr>
            <w:tcW w:w="5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comprehensive loss:</w:t>
            </w:r>
          </w:p>
        </w:tc>
        <w:tc>
          <w:tcPr>
            <w:tcW w:w="199"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306"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5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Unrealized holding losses arising during the period </w:t>
            </w:r>
          </w:p>
        </w:tc>
        <w:tc>
          <w:tcPr>
            <w:tcW w:w="199"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(5,171</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1,810</w:t>
            </w:r>
          </w:p>
        </w:tc>
        <w:tc>
          <w:tcPr>
            <w:tcW w:w="210" w:type="dxa"/>
            <w:tcBorders/>
            <w:shd w:fill="CCEEFF" w:val="clear"/>
            <w:vAlign w:val="bottom"/>
          </w:tcPr>
          <w:p>
            <w:pPr>
              <w:pStyle w:val="TableContents"/>
              <w:spacing w:before="0" w:after="0"/>
              <w:ind w:left="0" w:right="0" w:hanging="0"/>
              <w:rPr/>
            </w:pPr>
            <w:r>
              <w:rPr/>
              <w:t> </w:t>
            </w:r>
          </w:p>
        </w:tc>
        <w:tc>
          <w:tcPr>
            <w:tcW w:w="13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(3,361</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Less: Reclassification adjustment for gains included in net income (1) </w:t>
            </w:r>
          </w:p>
        </w:tc>
        <w:tc>
          <w:tcPr>
            <w:tcW w:w="199" w:type="dxa"/>
            <w:tcBorders/>
            <w:shd w:fill="auto"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0" w:type="dxa"/>
            <w:tcBorders/>
            <w:shd w:fill="auto" w:val="clear"/>
            <w:vAlign w:val="bottom"/>
          </w:tcPr>
          <w:p>
            <w:pPr>
              <w:pStyle w:val="TableContents"/>
              <w:spacing w:before="0" w:after="0"/>
              <w:ind w:left="0" w:right="0" w:hanging="0"/>
              <w:rPr/>
            </w:pPr>
            <w:r>
              <w:rPr/>
              <w:t> </w:t>
            </w:r>
          </w:p>
        </w:tc>
        <w:tc>
          <w:tcPr>
            <w:tcW w:w="13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unrealized losses on investments </w:t>
            </w:r>
          </w:p>
        </w:tc>
        <w:tc>
          <w:tcPr>
            <w:tcW w:w="199" w:type="dxa"/>
            <w:tcBorders/>
            <w:shd w:fill="CCEEFF"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(5,266</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1,843</w:t>
            </w:r>
          </w:p>
        </w:tc>
        <w:tc>
          <w:tcPr>
            <w:tcW w:w="210" w:type="dxa"/>
            <w:tcBorders/>
            <w:shd w:fill="CCEEFF" w:val="clear"/>
            <w:vAlign w:val="bottom"/>
          </w:tcPr>
          <w:p>
            <w:pPr>
              <w:pStyle w:val="TableContents"/>
              <w:spacing w:before="0" w:after="0"/>
              <w:ind w:left="0" w:right="0" w:hanging="0"/>
              <w:rPr/>
            </w:pPr>
            <w:r>
              <w:rPr/>
              <w:t> </w:t>
            </w:r>
          </w:p>
        </w:tc>
        <w:tc>
          <w:tcPr>
            <w:tcW w:w="13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(3,423</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comprehensive loss </w:t>
            </w:r>
          </w:p>
        </w:tc>
        <w:tc>
          <w:tcPr>
            <w:tcW w:w="199" w:type="dxa"/>
            <w:tcBorders/>
            <w:shd w:fill="auto"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(5,266</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1,843</w:t>
            </w:r>
          </w:p>
        </w:tc>
        <w:tc>
          <w:tcPr>
            <w:tcW w:w="210" w:type="dxa"/>
            <w:tcBorders/>
            <w:shd w:fill="auto" w:val="clear"/>
            <w:vAlign w:val="bottom"/>
          </w:tcPr>
          <w:p>
            <w:pPr>
              <w:pStyle w:val="TableContents"/>
              <w:spacing w:before="0" w:after="0"/>
              <w:ind w:left="0" w:right="0" w:hanging="0"/>
              <w:rPr/>
            </w:pPr>
            <w:r>
              <w:rPr/>
              <w:t> </w:t>
            </w:r>
          </w:p>
        </w:tc>
        <w:tc>
          <w:tcPr>
            <w:tcW w:w="13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(3,423</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4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Balance at end of period </w:t>
            </w:r>
          </w:p>
        </w:tc>
        <w:tc>
          <w:tcPr>
            <w:tcW w:w="199"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(1,552</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543</w:t>
            </w:r>
          </w:p>
        </w:tc>
        <w:tc>
          <w:tcPr>
            <w:tcW w:w="210"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(1,009</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(1) Included in net realized investment gains on our condensed consolidated statements of comprehensive income.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11. Fair Value of Financial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estimated fair values and related carrying amounts of our financial instruments were as follows:</w:t>
      </w:r>
    </w:p>
    <w:p>
      <w:pPr>
        <w:pStyle w:val="TextBody"/>
        <w:spacing w:before="0" w:after="0"/>
        <w:ind w:left="0" w:right="0" w:hanging="0"/>
        <w:rPr/>
      </w:pPr>
      <w:r>
        <w:rPr/>
        <w:t> </w:t>
      </w:r>
    </w:p>
    <w:tbl>
      <w:tblPr>
        <w:tblW w:w="4300" w:type="pct"/>
        <w:jc w:val="left"/>
        <w:tblInd w:w="0" w:type="dxa"/>
        <w:tblCellMar>
          <w:top w:w="0" w:type="dxa"/>
          <w:left w:w="0" w:type="dxa"/>
          <w:bottom w:w="28" w:type="dxa"/>
          <w:right w:w="0" w:type="dxa"/>
        </w:tblCellMar>
      </w:tblPr>
      <w:tblGrid>
        <w:gridCol w:w="5759"/>
        <w:gridCol w:w="182"/>
        <w:gridCol w:w="114"/>
        <w:gridCol w:w="1170"/>
        <w:gridCol w:w="182"/>
        <w:gridCol w:w="115"/>
        <w:gridCol w:w="1150"/>
        <w:gridCol w:w="104"/>
      </w:tblGrid>
      <w:tr>
        <w:trPr/>
        <w:tc>
          <w:tcPr>
            <w:tcW w:w="5759"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September 30, 2014</w:t>
            </w:r>
          </w:p>
        </w:tc>
        <w:tc>
          <w:tcPr>
            <w:tcW w:w="182" w:type="dxa"/>
            <w:tcBorders/>
            <w:shd w:fill="auto" w:val="clear"/>
            <w:tcMar>
              <w:bottom w:w="0" w:type="dxa"/>
            </w:tcMar>
            <w:vAlign w:val="bottom"/>
          </w:tcPr>
          <w:p>
            <w:pPr>
              <w:pStyle w:val="TableContents"/>
              <w:spacing w:before="0" w:after="0"/>
              <w:ind w:left="0" w:right="0" w:hanging="0"/>
              <w:jc w:val="center"/>
              <w:rPr/>
            </w:pPr>
            <w:r>
              <w:rPr/>
              <w:t> </w:t>
            </w:r>
          </w:p>
        </w:tc>
        <w:tc>
          <w:tcPr>
            <w:tcW w:w="1284"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Carrying</w:t>
              <w:br/>
              <w:t>Amount</w:t>
            </w:r>
          </w:p>
        </w:tc>
        <w:tc>
          <w:tcPr>
            <w:tcW w:w="182" w:type="dxa"/>
            <w:tcBorders/>
            <w:shd w:fill="auto" w:val="clear"/>
            <w:tcMar>
              <w:bottom w:w="0" w:type="dxa"/>
            </w:tcMar>
            <w:vAlign w:val="bottom"/>
          </w:tcPr>
          <w:p>
            <w:pPr>
              <w:pStyle w:val="TableContents"/>
              <w:spacing w:before="0" w:after="0"/>
              <w:ind w:left="0" w:right="0" w:hanging="0"/>
              <w:jc w:val="center"/>
              <w:rPr/>
            </w:pPr>
            <w:r>
              <w:rPr/>
              <w:t> </w:t>
            </w:r>
          </w:p>
        </w:tc>
        <w:tc>
          <w:tcPr>
            <w:tcW w:w="1265"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04" w:type="dxa"/>
            <w:tcBorders/>
            <w:shd w:fill="auto" w:val="clear"/>
            <w:tcMar>
              <w:bottom w:w="0" w:type="dxa"/>
            </w:tcMar>
            <w:vAlign w:val="bottom"/>
          </w:tcPr>
          <w:p>
            <w:pPr>
              <w:pStyle w:val="TableContents"/>
              <w:spacing w:before="0" w:after="0"/>
              <w:ind w:left="0" w:right="0" w:hanging="0"/>
              <w:jc w:val="center"/>
              <w:rPr/>
            </w:pPr>
            <w:r>
              <w:rPr/>
              <w:t> </w:t>
            </w:r>
          </w:p>
        </w:tc>
      </w:tr>
      <w:tr>
        <w:trPr/>
        <w:tc>
          <w:tcPr>
            <w:tcW w:w="57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Financial Assets:</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84" w:type="dxa"/>
            <w:gridSpan w:val="2"/>
            <w:tcBorders/>
            <w:shd w:fill="CCEEFF" w:val="clear"/>
            <w:tcMar>
              <w:bottom w:w="0" w:type="dxa"/>
            </w:tcMar>
            <w:vAlign w:val="bottom"/>
          </w:tcPr>
          <w:p>
            <w:pPr>
              <w:pStyle w:val="TableContents"/>
              <w:spacing w:before="0" w:after="0"/>
              <w:ind w:left="0" w:right="0" w:hanging="0"/>
              <w:jc w:val="right"/>
              <w:rPr/>
            </w:pPr>
            <w:r>
              <w:rPr/>
              <w:t> </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pPr>
            <w:r>
              <w:rPr/>
              <w:t> </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57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U.S. Treasury securities </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1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68,603</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1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68,603</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57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U.S. agency securities </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84"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6,140</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6,140</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57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U.S. agency mortgage-backed securities </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284"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69,143</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69,143</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57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Municipal debt securities </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84"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190,656</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190,656</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57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Corporate debt securities </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284"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271,988</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271,988</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57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Mortgage-backed securities </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84"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62,276</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62,276</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57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Asset-backed securities </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284"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122,082</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122,082</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57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Money market funds </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106,263</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106,263</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57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Total investments </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14"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897,151</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bottom w:val="double" w:sz="6"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897,151</w:t>
            </w:r>
          </w:p>
        </w:tc>
        <w:tc>
          <w:tcPr>
            <w:tcW w:w="104" w:type="dxa"/>
            <w:tcBorders/>
            <w:shd w:fill="auto" w:val="clear"/>
            <w:tcMar>
              <w:bottom w:w="0" w:type="dxa"/>
            </w:tcMar>
            <w:vAlign w:val="bottom"/>
          </w:tcPr>
          <w:p>
            <w:pPr>
              <w:pStyle w:val="TableContents"/>
              <w:spacing w:before="0" w:after="0"/>
              <w:ind w:left="0" w:right="0" w:hanging="0"/>
              <w:rPr/>
            </w:pPr>
            <w:r>
              <w:rPr/>
              <w:t> </w:t>
            </w:r>
          </w:p>
        </w:tc>
      </w:tr>
      <w:tr>
        <w:trPr/>
        <w:tc>
          <w:tcPr>
            <w:tcW w:w="57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Financial Liabilities:</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84" w:type="dxa"/>
            <w:gridSpan w:val="2"/>
            <w:tcBorders/>
            <w:shd w:fill="CCEEFF" w:val="clear"/>
            <w:tcMar>
              <w:bottom w:w="0" w:type="dxa"/>
            </w:tcMar>
            <w:vAlign w:val="bottom"/>
          </w:tcPr>
          <w:p>
            <w:pPr>
              <w:pStyle w:val="TableContents"/>
              <w:spacing w:before="0" w:after="0"/>
              <w:ind w:left="0" w:right="0" w:hanging="0"/>
              <w:jc w:val="right"/>
              <w:rPr/>
            </w:pPr>
            <w:r>
              <w:rPr/>
              <w:t> </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pPr>
            <w:r>
              <w:rPr/>
              <w:t> </w:t>
            </w:r>
          </w:p>
        </w:tc>
        <w:tc>
          <w:tcPr>
            <w:tcW w:w="104" w:type="dxa"/>
            <w:tcBorders/>
            <w:shd w:fill="CCEEFF" w:val="clear"/>
            <w:tcMar>
              <w:bottom w:w="0" w:type="dxa"/>
            </w:tcMar>
            <w:vAlign w:val="bottom"/>
          </w:tcPr>
          <w:p>
            <w:pPr>
              <w:pStyle w:val="TableContents"/>
              <w:spacing w:before="0" w:after="0"/>
              <w:ind w:left="0" w:right="0" w:hanging="0"/>
              <w:rPr/>
            </w:pPr>
            <w:r>
              <w:rPr/>
              <w:t> </w:t>
            </w:r>
          </w:p>
        </w:tc>
      </w:tr>
      <w:tr>
        <w:trPr/>
        <w:tc>
          <w:tcPr>
            <w:tcW w:w="57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Amounts due under Asset Purchase Agreement </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1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2,493</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1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w:t>
            </w:r>
          </w:p>
        </w:tc>
        <w:tc>
          <w:tcPr>
            <w:tcW w:w="104"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tbl>
      <w:tblPr>
        <w:tblW w:w="4300" w:type="pct"/>
        <w:jc w:val="left"/>
        <w:tblInd w:w="0" w:type="dxa"/>
        <w:tblCellMar>
          <w:top w:w="0" w:type="dxa"/>
          <w:left w:w="0" w:type="dxa"/>
          <w:bottom w:w="28" w:type="dxa"/>
          <w:right w:w="0" w:type="dxa"/>
        </w:tblCellMar>
      </w:tblPr>
      <w:tblGrid>
        <w:gridCol w:w="5782"/>
        <w:gridCol w:w="182"/>
        <w:gridCol w:w="110"/>
        <w:gridCol w:w="1154"/>
        <w:gridCol w:w="182"/>
        <w:gridCol w:w="110"/>
        <w:gridCol w:w="1154"/>
        <w:gridCol w:w="102"/>
      </w:tblGrid>
      <w:tr>
        <w:trPr/>
        <w:tc>
          <w:tcPr>
            <w:tcW w:w="578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December 31, 2013</w:t>
            </w:r>
          </w:p>
        </w:tc>
        <w:tc>
          <w:tcPr>
            <w:tcW w:w="182" w:type="dxa"/>
            <w:tcBorders/>
            <w:shd w:fill="auto" w:val="clear"/>
            <w:tcMar>
              <w:bottom w:w="0" w:type="dxa"/>
            </w:tcMar>
            <w:vAlign w:val="bottom"/>
          </w:tcPr>
          <w:p>
            <w:pPr>
              <w:pStyle w:val="TableContents"/>
              <w:spacing w:before="0" w:after="0"/>
              <w:ind w:left="0" w:right="0" w:hanging="0"/>
              <w:jc w:val="center"/>
              <w:rPr/>
            </w:pPr>
            <w:r>
              <w:rPr/>
              <w:t> </w:t>
            </w:r>
          </w:p>
        </w:tc>
        <w:tc>
          <w:tcPr>
            <w:tcW w:w="1264"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Carrying</w:t>
              <w:br/>
              <w:t>Amount</w:t>
            </w:r>
          </w:p>
        </w:tc>
        <w:tc>
          <w:tcPr>
            <w:tcW w:w="182" w:type="dxa"/>
            <w:tcBorders/>
            <w:shd w:fill="auto" w:val="clear"/>
            <w:tcMar>
              <w:bottom w:w="0" w:type="dxa"/>
            </w:tcMar>
            <w:vAlign w:val="bottom"/>
          </w:tcPr>
          <w:p>
            <w:pPr>
              <w:pStyle w:val="TableContents"/>
              <w:spacing w:before="0" w:after="0"/>
              <w:ind w:left="0" w:right="0" w:hanging="0"/>
              <w:jc w:val="center"/>
              <w:rPr/>
            </w:pPr>
            <w:r>
              <w:rPr/>
              <w:t> </w:t>
            </w:r>
          </w:p>
        </w:tc>
        <w:tc>
          <w:tcPr>
            <w:tcW w:w="1264"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02" w:type="dxa"/>
            <w:tcBorders/>
            <w:shd w:fill="auto" w:val="clear"/>
            <w:tcMar>
              <w:bottom w:w="0" w:type="dxa"/>
            </w:tcMar>
            <w:vAlign w:val="bottom"/>
          </w:tcPr>
          <w:p>
            <w:pPr>
              <w:pStyle w:val="TableContents"/>
              <w:spacing w:before="0" w:after="0"/>
              <w:ind w:left="0" w:right="0" w:hanging="0"/>
              <w:jc w:val="center"/>
              <w:rPr/>
            </w:pPr>
            <w:r>
              <w:rPr/>
              <w:t> </w:t>
            </w:r>
          </w:p>
        </w:tc>
      </w:tr>
      <w:tr>
        <w:trPr/>
        <w:tc>
          <w:tcPr>
            <w:tcW w:w="578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Financial Assets:</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4" w:type="dxa"/>
            <w:gridSpan w:val="2"/>
            <w:tcBorders/>
            <w:shd w:fill="CCEEFF" w:val="clear"/>
            <w:tcMar>
              <w:bottom w:w="0" w:type="dxa"/>
            </w:tcMar>
            <w:vAlign w:val="bottom"/>
          </w:tcPr>
          <w:p>
            <w:pPr>
              <w:pStyle w:val="TableContents"/>
              <w:spacing w:before="0" w:after="0"/>
              <w:ind w:left="0" w:right="0" w:hanging="0"/>
              <w:jc w:val="right"/>
              <w:rPr/>
            </w:pPr>
            <w:r>
              <w:rPr/>
              <w:t> </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4" w:type="dxa"/>
            <w:gridSpan w:val="2"/>
            <w:tcBorders/>
            <w:shd w:fill="CCEEFF" w:val="clear"/>
            <w:tcMar>
              <w:bottom w:w="0" w:type="dxa"/>
            </w:tcMar>
            <w:vAlign w:val="bottom"/>
          </w:tcPr>
          <w:p>
            <w:pPr>
              <w:pStyle w:val="TableContents"/>
              <w:spacing w:before="0" w:after="0"/>
              <w:ind w:left="0" w:right="0" w:hanging="0"/>
              <w:jc w:val="right"/>
              <w:rPr/>
            </w:pPr>
            <w:r>
              <w:rPr/>
              <w:t> </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578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U.S. Treasury securities </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10"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59,187</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10"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59,187</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578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U.S. agency securities </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4"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14,839</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4"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14,839</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578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U.S. agency mortgage-backed securities </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264"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22,241</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264"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22,241</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578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Municipal debt securities </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4"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57,650</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4"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57,650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578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Corporate debt securities </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264"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125,593</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264"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125,593</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578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Mortgage-backed securities </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4"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18,581</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4"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18,581</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578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Asset-backed securities </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264"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20,385</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264"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20,385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578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Money market funds </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4"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14,079</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4"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14,079</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578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Total investments </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10"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332,555</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10"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332,555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578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Financial Liabilities:</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4" w:type="dxa"/>
            <w:gridSpan w:val="2"/>
            <w:tcBorders/>
            <w:shd w:fill="CCEEFF" w:val="clear"/>
            <w:tcMar>
              <w:bottom w:w="0" w:type="dxa"/>
            </w:tcMar>
            <w:vAlign w:val="bottom"/>
          </w:tcPr>
          <w:p>
            <w:pPr>
              <w:pStyle w:val="TableContents"/>
              <w:spacing w:before="0" w:after="0"/>
              <w:ind w:left="0" w:right="0" w:hanging="0"/>
              <w:jc w:val="right"/>
              <w:rPr/>
            </w:pPr>
            <w:r>
              <w:rPr/>
              <w:t> </w:t>
            </w:r>
          </w:p>
        </w:tc>
        <w:tc>
          <w:tcPr>
            <w:tcW w:w="182" w:type="dxa"/>
            <w:tcBorders/>
            <w:shd w:fill="CCEEFF" w:val="clear"/>
            <w:tcMar>
              <w:bottom w:w="0" w:type="dxa"/>
            </w:tcMar>
            <w:vAlign w:val="bottom"/>
          </w:tcPr>
          <w:p>
            <w:pPr>
              <w:pStyle w:val="TableContents"/>
              <w:spacing w:before="0" w:after="0"/>
              <w:ind w:left="0" w:right="0" w:hanging="0"/>
              <w:rPr/>
            </w:pPr>
            <w:r>
              <w:rPr/>
              <w:t> </w:t>
            </w:r>
          </w:p>
        </w:tc>
        <w:tc>
          <w:tcPr>
            <w:tcW w:w="1264" w:type="dxa"/>
            <w:gridSpan w:val="2"/>
            <w:tcBorders/>
            <w:shd w:fill="CCEEFF" w:val="clear"/>
            <w:tcMar>
              <w:bottom w:w="0" w:type="dxa"/>
            </w:tcMar>
            <w:vAlign w:val="bottom"/>
          </w:tcPr>
          <w:p>
            <w:pPr>
              <w:pStyle w:val="TableContents"/>
              <w:spacing w:before="0" w:after="0"/>
              <w:ind w:left="0" w:right="0" w:hanging="0"/>
              <w:jc w:val="right"/>
              <w:rPr/>
            </w:pPr>
            <w:r>
              <w:rPr/>
              <w:t> </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578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Amounts due under Asset Purchase Agreement </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10"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4,949</w:t>
            </w:r>
          </w:p>
        </w:tc>
        <w:tc>
          <w:tcPr>
            <w:tcW w:w="182" w:type="dxa"/>
            <w:tcBorders/>
            <w:shd w:fill="auto" w:val="clear"/>
            <w:tcMar>
              <w:bottom w:w="0" w:type="dxa"/>
            </w:tcMar>
            <w:vAlign w:val="bottom"/>
          </w:tcPr>
          <w:p>
            <w:pPr>
              <w:pStyle w:val="TableContents"/>
              <w:spacing w:before="0" w:after="0"/>
              <w:ind w:left="0" w:right="0" w:hanging="0"/>
              <w:rPr/>
            </w:pPr>
            <w:r>
              <w:rPr/>
              <w:t> </w:t>
            </w:r>
          </w:p>
        </w:tc>
        <w:tc>
          <w:tcPr>
            <w:tcW w:w="110"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4,997</w:t>
            </w:r>
          </w:p>
        </w:tc>
        <w:tc>
          <w:tcPr>
            <w:tcW w:w="102"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27" w:name="PB_15_125144_7748"/>
      <w:bookmarkEnd w:id="2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fair-value hierarchy are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Level 1  Quoted prices for identical instruments in active markets accessible at the measurement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Level 3  Valuations derived from one or more significant inputs that are unobservable.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Determination of Fair Value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 No material financial instruments were classified as Level 3 at September 30, 2014 or December 31,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used the following methods and assumptions in estimating fair values of financial instruments: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U.S. agency securities, U.S. agency mortgage-backed securities, certain mortgage-backed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Municipal debt securities, corporate debt securities, certain mortgage-backed securities and asset-backed securities are classified as Level 2 investments.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We review the reasonableness of prices received from our primary pricing service by comparison to prices obtained from additional pricing sources. We have not made any adjustments to the prices obtained from our primary pricing service.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Amounts due under Asset Purchase Agreement  The fair value of amounts due under Asset Purchase Agreement is estimated using discounted cash flow analyses based on current risk-free interest rates of securities with similar maturities. The fair value estimates of amounts due under Asset Purchase Agreement are classified as Level 2 since quoted market prices are not available, but observable inputs are used in the valuation.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Assets and Liabilities Measured at Fair Value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assets measured at fair value at September 30, 2014 are categorized in the table below based upon the lowest level of significant input to the valuations. All fair value measurements at the reporting date were on a recurring basis. We had no material liabilities measured at fair value at September 30, 2014.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28" w:name="PB_16_125237_141"/>
      <w:bookmarkEnd w:id="2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751"/>
        <w:gridCol w:w="182"/>
        <w:gridCol w:w="191"/>
        <w:gridCol w:w="1355"/>
        <w:gridCol w:w="182"/>
        <w:gridCol w:w="156"/>
        <w:gridCol w:w="1161"/>
        <w:gridCol w:w="182"/>
        <w:gridCol w:w="352"/>
        <w:gridCol w:w="1071"/>
        <w:gridCol w:w="182"/>
        <w:gridCol w:w="156"/>
        <w:gridCol w:w="1161"/>
        <w:gridCol w:w="123"/>
      </w:tblGrid>
      <w:tr>
        <w:trPr/>
        <w:tc>
          <w:tcPr>
            <w:tcW w:w="3751"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5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Quoted Prices in</w:t>
              <w:br/>
              <w:t>Active Markets</w:t>
              <w:br/>
              <w:t>for</w:t>
              <w:br/>
              <w:t>Identical</w:t>
              <w:br/>
              <w:t>Instruments</w:t>
              <w:br/>
              <w:t>(Level 1)</w:t>
            </w:r>
          </w:p>
        </w:tc>
        <w:tc>
          <w:tcPr>
            <w:tcW w:w="182" w:type="dxa"/>
            <w:tcBorders/>
            <w:shd w:fill="auto" w:val="clear"/>
            <w:vAlign w:val="bottom"/>
          </w:tcPr>
          <w:p>
            <w:pPr>
              <w:pStyle w:val="TableContents"/>
              <w:spacing w:before="0" w:after="0"/>
              <w:ind w:left="0" w:right="0" w:hanging="0"/>
              <w:jc w:val="center"/>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Significant</w:t>
              <w:br/>
              <w:t>Other</w:t>
              <w:br/>
              <w:t>Observable</w:t>
              <w:br/>
              <w:t>Inputs</w:t>
              <w:br/>
              <w:t>(Level 2)</w:t>
            </w:r>
          </w:p>
        </w:tc>
        <w:tc>
          <w:tcPr>
            <w:tcW w:w="182" w:type="dxa"/>
            <w:tcBorders/>
            <w:shd w:fill="auto" w:val="clear"/>
            <w:vAlign w:val="bottom"/>
          </w:tcPr>
          <w:p>
            <w:pPr>
              <w:pStyle w:val="TableContents"/>
              <w:spacing w:before="0" w:after="0"/>
              <w:ind w:left="0" w:right="0" w:hanging="0"/>
              <w:jc w:val="center"/>
              <w:rPr/>
            </w:pPr>
            <w:r>
              <w:rPr/>
              <w:t> </w:t>
            </w:r>
          </w:p>
        </w:tc>
        <w:tc>
          <w:tcPr>
            <w:tcW w:w="14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Significant</w:t>
              <w:br/>
              <w:t>Unobservable</w:t>
              <w:br/>
              <w:t>Inputs</w:t>
              <w:br/>
              <w:t>(Level 3)</w:t>
            </w:r>
          </w:p>
        </w:tc>
        <w:tc>
          <w:tcPr>
            <w:tcW w:w="182" w:type="dxa"/>
            <w:tcBorders/>
            <w:shd w:fill="auto" w:val="clear"/>
            <w:vAlign w:val="bottom"/>
          </w:tcPr>
          <w:p>
            <w:pPr>
              <w:pStyle w:val="TableContents"/>
              <w:spacing w:before="0" w:after="0"/>
              <w:ind w:left="0" w:right="0" w:hanging="0"/>
              <w:jc w:val="center"/>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3" w:type="dxa"/>
            <w:tcBorders/>
            <w:shd w:fill="auto" w:val="clear"/>
            <w:vAlign w:val="bottom"/>
          </w:tcPr>
          <w:p>
            <w:pPr>
              <w:pStyle w:val="TableContents"/>
              <w:spacing w:before="0" w:after="0"/>
              <w:ind w:left="0" w:right="0" w:hanging="0"/>
              <w:jc w:val="center"/>
              <w:rPr/>
            </w:pPr>
            <w:r>
              <w:rPr/>
              <w:t> </w:t>
            </w:r>
          </w:p>
        </w:tc>
      </w:tr>
      <w:tr>
        <w:trPr/>
        <w:tc>
          <w:tcPr>
            <w:tcW w:w="375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Recurring fair value measurements</w:t>
            </w:r>
          </w:p>
        </w:tc>
        <w:tc>
          <w:tcPr>
            <w:tcW w:w="182" w:type="dxa"/>
            <w:tcBorders/>
            <w:shd w:fill="CCEEFF" w:val="clear"/>
            <w:vAlign w:val="bottom"/>
          </w:tcPr>
          <w:p>
            <w:pPr>
              <w:pStyle w:val="TableContents"/>
              <w:spacing w:before="0" w:after="0"/>
              <w:ind w:left="0" w:right="0" w:hanging="0"/>
              <w:rPr/>
            </w:pPr>
            <w:r>
              <w:rPr/>
              <w:t> </w:t>
            </w:r>
          </w:p>
        </w:tc>
        <w:tc>
          <w:tcPr>
            <w:tcW w:w="1546"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423"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3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U.S. Treasury securities </w:t>
            </w:r>
          </w:p>
        </w:tc>
        <w:tc>
          <w:tcPr>
            <w:tcW w:w="182"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68,603</w:t>
            </w:r>
          </w:p>
        </w:tc>
        <w:tc>
          <w:tcPr>
            <w:tcW w:w="182"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3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68,603</w:t>
            </w:r>
          </w:p>
        </w:tc>
        <w:tc>
          <w:tcPr>
            <w:tcW w:w="123" w:type="dxa"/>
            <w:tcBorders/>
            <w:shd w:fill="auto" w:val="clear"/>
            <w:vAlign w:val="bottom"/>
          </w:tcPr>
          <w:p>
            <w:pPr>
              <w:pStyle w:val="TableContents"/>
              <w:spacing w:before="0" w:after="0"/>
              <w:ind w:left="0" w:right="0" w:hanging="0"/>
              <w:rPr/>
            </w:pPr>
            <w:r>
              <w:rPr/>
              <w:t> </w:t>
            </w:r>
          </w:p>
        </w:tc>
      </w:tr>
      <w:tr>
        <w:trPr/>
        <w:tc>
          <w:tcPr>
            <w:tcW w:w="37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U.S. agency securities </w:t>
            </w:r>
          </w:p>
        </w:tc>
        <w:tc>
          <w:tcPr>
            <w:tcW w:w="182" w:type="dxa"/>
            <w:tcBorders/>
            <w:shd w:fill="CCEEFF" w:val="clear"/>
            <w:vAlign w:val="bottom"/>
          </w:tcPr>
          <w:p>
            <w:pPr>
              <w:pStyle w:val="TableContents"/>
              <w:spacing w:before="0" w:after="0"/>
              <w:ind w:left="0" w:right="0" w:hanging="0"/>
              <w:rPr/>
            </w:pPr>
            <w:r>
              <w:rPr/>
              <w:t> </w:t>
            </w:r>
          </w:p>
        </w:tc>
        <w:tc>
          <w:tcPr>
            <w:tcW w:w="15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6,140</w:t>
            </w:r>
          </w:p>
        </w:tc>
        <w:tc>
          <w:tcPr>
            <w:tcW w:w="182"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4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6,140</w:t>
            </w:r>
          </w:p>
        </w:tc>
        <w:tc>
          <w:tcPr>
            <w:tcW w:w="123" w:type="dxa"/>
            <w:tcBorders/>
            <w:shd w:fill="CCEEFF" w:val="clear"/>
            <w:vAlign w:val="bottom"/>
          </w:tcPr>
          <w:p>
            <w:pPr>
              <w:pStyle w:val="TableContents"/>
              <w:spacing w:before="0" w:after="0"/>
              <w:ind w:left="0" w:right="0" w:hanging="0"/>
              <w:rPr/>
            </w:pPr>
            <w:r>
              <w:rPr/>
              <w:t> </w:t>
            </w:r>
          </w:p>
        </w:tc>
      </w:tr>
      <w:tr>
        <w:trPr/>
        <w:tc>
          <w:tcPr>
            <w:tcW w:w="3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U.S. agency mortgage-backed securities </w:t>
            </w:r>
          </w:p>
        </w:tc>
        <w:tc>
          <w:tcPr>
            <w:tcW w:w="182" w:type="dxa"/>
            <w:tcBorders/>
            <w:shd w:fill="auto" w:val="clear"/>
            <w:vAlign w:val="bottom"/>
          </w:tcPr>
          <w:p>
            <w:pPr>
              <w:pStyle w:val="TableContents"/>
              <w:spacing w:before="0" w:after="0"/>
              <w:ind w:left="0" w:right="0" w:hanging="0"/>
              <w:rPr/>
            </w:pPr>
            <w:r>
              <w:rPr/>
              <w:t> </w:t>
            </w:r>
          </w:p>
        </w:tc>
        <w:tc>
          <w:tcPr>
            <w:tcW w:w="15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69,143</w:t>
            </w:r>
          </w:p>
        </w:tc>
        <w:tc>
          <w:tcPr>
            <w:tcW w:w="182"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4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69,143</w:t>
            </w:r>
          </w:p>
        </w:tc>
        <w:tc>
          <w:tcPr>
            <w:tcW w:w="123" w:type="dxa"/>
            <w:tcBorders/>
            <w:shd w:fill="auto" w:val="clear"/>
            <w:vAlign w:val="bottom"/>
          </w:tcPr>
          <w:p>
            <w:pPr>
              <w:pStyle w:val="TableContents"/>
              <w:spacing w:before="0" w:after="0"/>
              <w:ind w:left="0" w:right="0" w:hanging="0"/>
              <w:rPr/>
            </w:pPr>
            <w:r>
              <w:rPr/>
              <w:t> </w:t>
            </w:r>
          </w:p>
        </w:tc>
      </w:tr>
      <w:tr>
        <w:trPr/>
        <w:tc>
          <w:tcPr>
            <w:tcW w:w="37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Municipal debt securities </w:t>
            </w:r>
          </w:p>
        </w:tc>
        <w:tc>
          <w:tcPr>
            <w:tcW w:w="182" w:type="dxa"/>
            <w:tcBorders/>
            <w:shd w:fill="CCEEFF" w:val="clear"/>
            <w:vAlign w:val="bottom"/>
          </w:tcPr>
          <w:p>
            <w:pPr>
              <w:pStyle w:val="TableContents"/>
              <w:spacing w:before="0" w:after="0"/>
              <w:ind w:left="0" w:right="0" w:hanging="0"/>
              <w:rPr/>
            </w:pPr>
            <w:r>
              <w:rPr/>
              <w:t> </w:t>
            </w:r>
          </w:p>
        </w:tc>
        <w:tc>
          <w:tcPr>
            <w:tcW w:w="15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190,656</w:t>
            </w:r>
          </w:p>
        </w:tc>
        <w:tc>
          <w:tcPr>
            <w:tcW w:w="182" w:type="dxa"/>
            <w:tcBorders/>
            <w:shd w:fill="CCEEFF" w:val="clear"/>
            <w:vAlign w:val="bottom"/>
          </w:tcPr>
          <w:p>
            <w:pPr>
              <w:pStyle w:val="TableContents"/>
              <w:spacing w:before="0" w:after="0"/>
              <w:ind w:left="0" w:right="0" w:hanging="0"/>
              <w:rPr/>
            </w:pPr>
            <w:r>
              <w:rPr/>
              <w:t> </w:t>
            </w:r>
          </w:p>
        </w:tc>
        <w:tc>
          <w:tcPr>
            <w:tcW w:w="14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190,656</w:t>
            </w:r>
          </w:p>
        </w:tc>
        <w:tc>
          <w:tcPr>
            <w:tcW w:w="123" w:type="dxa"/>
            <w:tcBorders/>
            <w:shd w:fill="CCEEFF" w:val="clear"/>
            <w:vAlign w:val="bottom"/>
          </w:tcPr>
          <w:p>
            <w:pPr>
              <w:pStyle w:val="TableContents"/>
              <w:spacing w:before="0" w:after="0"/>
              <w:ind w:left="0" w:right="0" w:hanging="0"/>
              <w:rPr/>
            </w:pPr>
            <w:r>
              <w:rPr/>
              <w:t> </w:t>
            </w:r>
          </w:p>
        </w:tc>
      </w:tr>
      <w:tr>
        <w:trPr/>
        <w:tc>
          <w:tcPr>
            <w:tcW w:w="3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Corporate debt securities </w:t>
            </w:r>
          </w:p>
        </w:tc>
        <w:tc>
          <w:tcPr>
            <w:tcW w:w="182" w:type="dxa"/>
            <w:tcBorders/>
            <w:shd w:fill="auto" w:val="clear"/>
            <w:vAlign w:val="bottom"/>
          </w:tcPr>
          <w:p>
            <w:pPr>
              <w:pStyle w:val="TableContents"/>
              <w:spacing w:before="0" w:after="0"/>
              <w:ind w:left="0" w:right="0" w:hanging="0"/>
              <w:rPr/>
            </w:pPr>
            <w:r>
              <w:rPr/>
              <w:t> </w:t>
            </w:r>
          </w:p>
        </w:tc>
        <w:tc>
          <w:tcPr>
            <w:tcW w:w="15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271,988</w:t>
            </w:r>
          </w:p>
        </w:tc>
        <w:tc>
          <w:tcPr>
            <w:tcW w:w="182" w:type="dxa"/>
            <w:tcBorders/>
            <w:shd w:fill="auto" w:val="clear"/>
            <w:vAlign w:val="bottom"/>
          </w:tcPr>
          <w:p>
            <w:pPr>
              <w:pStyle w:val="TableContents"/>
              <w:spacing w:before="0" w:after="0"/>
              <w:ind w:left="0" w:right="0" w:hanging="0"/>
              <w:rPr/>
            </w:pPr>
            <w:r>
              <w:rPr/>
              <w:t> </w:t>
            </w:r>
          </w:p>
        </w:tc>
        <w:tc>
          <w:tcPr>
            <w:tcW w:w="14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271,988</w:t>
            </w:r>
          </w:p>
        </w:tc>
        <w:tc>
          <w:tcPr>
            <w:tcW w:w="123" w:type="dxa"/>
            <w:tcBorders/>
            <w:shd w:fill="auto" w:val="clear"/>
            <w:vAlign w:val="bottom"/>
          </w:tcPr>
          <w:p>
            <w:pPr>
              <w:pStyle w:val="TableContents"/>
              <w:spacing w:before="0" w:after="0"/>
              <w:ind w:left="0" w:right="0" w:hanging="0"/>
              <w:rPr/>
            </w:pPr>
            <w:r>
              <w:rPr/>
              <w:t> </w:t>
            </w:r>
          </w:p>
        </w:tc>
      </w:tr>
      <w:tr>
        <w:trPr/>
        <w:tc>
          <w:tcPr>
            <w:tcW w:w="37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Mortgage-backed securities </w:t>
            </w:r>
          </w:p>
        </w:tc>
        <w:tc>
          <w:tcPr>
            <w:tcW w:w="182" w:type="dxa"/>
            <w:tcBorders/>
            <w:shd w:fill="CCEEFF" w:val="clear"/>
            <w:vAlign w:val="bottom"/>
          </w:tcPr>
          <w:p>
            <w:pPr>
              <w:pStyle w:val="TableContents"/>
              <w:spacing w:before="0" w:after="0"/>
              <w:ind w:left="0" w:right="0" w:hanging="0"/>
              <w:rPr/>
            </w:pPr>
            <w:r>
              <w:rPr/>
              <w:t> </w:t>
            </w:r>
          </w:p>
        </w:tc>
        <w:tc>
          <w:tcPr>
            <w:tcW w:w="15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5,005</w:t>
            </w:r>
          </w:p>
        </w:tc>
        <w:tc>
          <w:tcPr>
            <w:tcW w:w="182"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57,271</w:t>
            </w:r>
          </w:p>
        </w:tc>
        <w:tc>
          <w:tcPr>
            <w:tcW w:w="182" w:type="dxa"/>
            <w:tcBorders/>
            <w:shd w:fill="CCEEFF" w:val="clear"/>
            <w:vAlign w:val="bottom"/>
          </w:tcPr>
          <w:p>
            <w:pPr>
              <w:pStyle w:val="TableContents"/>
              <w:spacing w:before="0" w:after="0"/>
              <w:ind w:left="0" w:right="0" w:hanging="0"/>
              <w:rPr/>
            </w:pPr>
            <w:r>
              <w:rPr/>
              <w:t> </w:t>
            </w:r>
          </w:p>
        </w:tc>
        <w:tc>
          <w:tcPr>
            <w:tcW w:w="14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3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62,276</w:t>
            </w:r>
          </w:p>
        </w:tc>
        <w:tc>
          <w:tcPr>
            <w:tcW w:w="123" w:type="dxa"/>
            <w:tcBorders/>
            <w:shd w:fill="CCEEFF" w:val="clear"/>
            <w:vAlign w:val="bottom"/>
          </w:tcPr>
          <w:p>
            <w:pPr>
              <w:pStyle w:val="TableContents"/>
              <w:spacing w:before="0" w:after="0"/>
              <w:ind w:left="0" w:right="0" w:hanging="0"/>
              <w:rPr/>
            </w:pPr>
            <w:r>
              <w:rPr/>
              <w:t> </w:t>
            </w:r>
          </w:p>
        </w:tc>
      </w:tr>
      <w:tr>
        <w:trPr/>
        <w:tc>
          <w:tcPr>
            <w:tcW w:w="3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Asset-backed securities </w:t>
            </w:r>
          </w:p>
        </w:tc>
        <w:tc>
          <w:tcPr>
            <w:tcW w:w="182" w:type="dxa"/>
            <w:tcBorders/>
            <w:shd w:fill="auto" w:val="clear"/>
            <w:vAlign w:val="bottom"/>
          </w:tcPr>
          <w:p>
            <w:pPr>
              <w:pStyle w:val="TableContents"/>
              <w:spacing w:before="0" w:after="0"/>
              <w:ind w:left="0" w:right="0" w:hanging="0"/>
              <w:rPr/>
            </w:pPr>
            <w:r>
              <w:rPr/>
              <w:t> </w:t>
            </w:r>
          </w:p>
        </w:tc>
        <w:tc>
          <w:tcPr>
            <w:tcW w:w="15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122,082</w:t>
            </w:r>
          </w:p>
        </w:tc>
        <w:tc>
          <w:tcPr>
            <w:tcW w:w="182" w:type="dxa"/>
            <w:tcBorders/>
            <w:shd w:fill="auto" w:val="clear"/>
            <w:vAlign w:val="bottom"/>
          </w:tcPr>
          <w:p>
            <w:pPr>
              <w:pStyle w:val="TableContents"/>
              <w:spacing w:before="0" w:after="0"/>
              <w:ind w:left="0" w:right="0" w:hanging="0"/>
              <w:rPr/>
            </w:pPr>
            <w:r>
              <w:rPr/>
              <w:t> </w:t>
            </w:r>
          </w:p>
        </w:tc>
        <w:tc>
          <w:tcPr>
            <w:tcW w:w="14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122,082</w:t>
            </w:r>
          </w:p>
        </w:tc>
        <w:tc>
          <w:tcPr>
            <w:tcW w:w="123" w:type="dxa"/>
            <w:tcBorders/>
            <w:shd w:fill="auto" w:val="clear"/>
            <w:vAlign w:val="bottom"/>
          </w:tcPr>
          <w:p>
            <w:pPr>
              <w:pStyle w:val="TableContents"/>
              <w:spacing w:before="0" w:after="0"/>
              <w:ind w:left="0" w:right="0" w:hanging="0"/>
              <w:rPr/>
            </w:pPr>
            <w:r>
              <w:rPr/>
              <w:t> </w:t>
            </w:r>
          </w:p>
        </w:tc>
      </w:tr>
      <w:tr>
        <w:trPr/>
        <w:tc>
          <w:tcPr>
            <w:tcW w:w="37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Money market funds </w:t>
            </w:r>
          </w:p>
        </w:tc>
        <w:tc>
          <w:tcPr>
            <w:tcW w:w="182" w:type="dxa"/>
            <w:tcBorders/>
            <w:shd w:fill="CCEEFF" w:val="clear"/>
            <w:vAlign w:val="bottom"/>
          </w:tcPr>
          <w:p>
            <w:pPr>
              <w:pStyle w:val="TableContents"/>
              <w:spacing w:before="0" w:after="0"/>
              <w:ind w:left="0" w:right="0" w:hanging="0"/>
              <w:rPr/>
            </w:pPr>
            <w:r>
              <w:rPr/>
              <w:t> </w:t>
            </w:r>
          </w:p>
        </w:tc>
        <w:tc>
          <w:tcPr>
            <w:tcW w:w="15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106,263</w:t>
            </w:r>
          </w:p>
        </w:tc>
        <w:tc>
          <w:tcPr>
            <w:tcW w:w="182" w:type="dxa"/>
            <w:tcBorders/>
            <w:shd w:fill="CCEEFF"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4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3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106,263</w:t>
            </w:r>
          </w:p>
        </w:tc>
        <w:tc>
          <w:tcPr>
            <w:tcW w:w="123" w:type="dxa"/>
            <w:tcBorders/>
            <w:shd w:fill="CCEEFF" w:val="clear"/>
            <w:vAlign w:val="bottom"/>
          </w:tcPr>
          <w:p>
            <w:pPr>
              <w:pStyle w:val="TableContents"/>
              <w:spacing w:before="0" w:after="0"/>
              <w:ind w:left="0" w:right="0" w:hanging="0"/>
              <w:rPr/>
            </w:pPr>
            <w:r>
              <w:rPr/>
              <w:t> </w:t>
            </w:r>
          </w:p>
        </w:tc>
      </w:tr>
      <w:tr>
        <w:trPr/>
        <w:tc>
          <w:tcPr>
            <w:tcW w:w="3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recurring fair value measurements </w:t>
            </w:r>
          </w:p>
        </w:tc>
        <w:tc>
          <w:tcPr>
            <w:tcW w:w="182" w:type="dxa"/>
            <w:tcBorders/>
            <w:shd w:fill="auto" w:val="clear"/>
            <w:vAlign w:val="bottom"/>
          </w:tcPr>
          <w:p>
            <w:pPr>
              <w:pStyle w:val="TableContents"/>
              <w:spacing w:before="0" w:after="0"/>
              <w:ind w:left="0" w:right="0" w:hanging="0"/>
              <w:rPr/>
            </w:pPr>
            <w:r>
              <w:rPr/>
              <w:t> </w:t>
            </w:r>
          </w:p>
        </w:tc>
        <w:tc>
          <w:tcPr>
            <w:tcW w:w="19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255,154</w:t>
            </w:r>
          </w:p>
        </w:tc>
        <w:tc>
          <w:tcPr>
            <w:tcW w:w="182" w:type="dxa"/>
            <w:tcBorders/>
            <w:shd w:fill="auto" w:val="clear"/>
            <w:vAlign w:val="bottom"/>
          </w:tcPr>
          <w:p>
            <w:pPr>
              <w:pStyle w:val="TableContents"/>
              <w:spacing w:before="0" w:after="0"/>
              <w:ind w:left="0" w:right="0" w:hanging="0"/>
              <w:rPr/>
            </w:pPr>
            <w:r>
              <w:rPr/>
              <w:t> </w:t>
            </w:r>
          </w:p>
        </w:tc>
        <w:tc>
          <w:tcPr>
            <w:tcW w:w="15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641,997</w:t>
            </w:r>
          </w:p>
        </w:tc>
        <w:tc>
          <w:tcPr>
            <w:tcW w:w="182" w:type="dxa"/>
            <w:tcBorders/>
            <w:shd w:fill="auto" w:val="clear"/>
            <w:vAlign w:val="bottom"/>
          </w:tcPr>
          <w:p>
            <w:pPr>
              <w:pStyle w:val="TableContents"/>
              <w:spacing w:before="0" w:after="0"/>
              <w:ind w:left="0" w:right="0" w:hanging="0"/>
              <w:rPr/>
            </w:pPr>
            <w:r>
              <w:rPr/>
              <w:t> </w:t>
            </w:r>
          </w:p>
        </w:tc>
        <w:tc>
          <w:tcPr>
            <w:tcW w:w="3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5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897,151</w:t>
            </w:r>
          </w:p>
        </w:tc>
        <w:tc>
          <w:tcPr>
            <w:tcW w:w="12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July 2014, Essent Re issued an insurance policy in connection with Freddie Macs Agency Credit Insurance Structure (ACIS) program.  This policy covers up to $28,500 of the risk on the loans in the reference pools associated with the STACR 2014 DN-1 debt notes issued by Freddie Mac in February of 2014.  This insurance policy is accounted for as a derivative under GAAP with the fair value of this policy reported as an asset or liability and changes in the fair value of this policy reported in earnings.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12. Statutory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nine months ended September 30:</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5036"/>
        <w:gridCol w:w="248"/>
        <w:gridCol w:w="110"/>
        <w:gridCol w:w="1156"/>
        <w:gridCol w:w="248"/>
        <w:gridCol w:w="110"/>
        <w:gridCol w:w="1156"/>
        <w:gridCol w:w="100"/>
      </w:tblGrid>
      <w:tr>
        <w:trPr/>
        <w:tc>
          <w:tcPr>
            <w:tcW w:w="5036" w:type="dxa"/>
            <w:tcBorders/>
            <w:shd w:fill="auto" w:val="clear"/>
            <w:vAlign w:val="bottom"/>
          </w:tcPr>
          <w:p>
            <w:pPr>
              <w:pStyle w:val="TableContents"/>
              <w:spacing w:before="0" w:after="0"/>
              <w:ind w:left="0" w:right="0" w:hanging="0"/>
              <w:rPr/>
            </w:pPr>
            <w:r>
              <w:rPr/>
              <w:t> </w:t>
            </w:r>
          </w:p>
        </w:tc>
        <w:tc>
          <w:tcPr>
            <w:tcW w:w="248" w:type="dxa"/>
            <w:tcBorders/>
            <w:shd w:fill="auto" w:val="clear"/>
            <w:vAlign w:val="bottom"/>
          </w:tcPr>
          <w:p>
            <w:pPr>
              <w:pStyle w:val="TableContents"/>
              <w:spacing w:before="0" w:after="0"/>
              <w:ind w:left="0" w:right="0" w:hanging="0"/>
              <w:jc w:val="center"/>
              <w:rPr/>
            </w:pPr>
            <w:r>
              <w:rPr/>
              <w:t> </w:t>
            </w:r>
          </w:p>
        </w:tc>
        <w:tc>
          <w:tcPr>
            <w:tcW w:w="12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48" w:type="dxa"/>
            <w:tcBorders/>
            <w:shd w:fill="auto" w:val="clear"/>
            <w:vAlign w:val="bottom"/>
          </w:tcPr>
          <w:p>
            <w:pPr>
              <w:pStyle w:val="TableContents"/>
              <w:spacing w:before="0" w:after="0"/>
              <w:ind w:left="0" w:right="0" w:hanging="0"/>
              <w:jc w:val="center"/>
              <w:rPr/>
            </w:pPr>
            <w:r>
              <w:rPr/>
              <w:t> </w:t>
            </w:r>
          </w:p>
        </w:tc>
        <w:tc>
          <w:tcPr>
            <w:tcW w:w="12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0" w:type="dxa"/>
            <w:tcBorders/>
            <w:shd w:fill="auto" w:val="clear"/>
            <w:vAlign w:val="bottom"/>
          </w:tcPr>
          <w:p>
            <w:pPr>
              <w:pStyle w:val="TableContents"/>
              <w:spacing w:before="0" w:after="0"/>
              <w:ind w:left="0" w:right="0" w:hanging="0"/>
              <w:jc w:val="center"/>
              <w:rPr/>
            </w:pPr>
            <w:r>
              <w:rPr/>
              <w:t> </w:t>
            </w:r>
          </w:p>
        </w:tc>
      </w:tr>
      <w:tr>
        <w:trPr/>
        <w:tc>
          <w:tcPr>
            <w:tcW w:w="50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Essent Guaranty </w:t>
            </w:r>
          </w:p>
        </w:tc>
        <w:tc>
          <w:tcPr>
            <w:tcW w:w="248"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pPr>
            <w:r>
              <w:rPr/>
              <w:t> </w:t>
            </w:r>
          </w:p>
        </w:tc>
        <w:tc>
          <w:tcPr>
            <w:tcW w:w="248"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pPr>
            <w:r>
              <w:rPr/>
              <w:t> </w:t>
            </w:r>
          </w:p>
        </w:tc>
        <w:tc>
          <w:tcPr>
            <w:tcW w:w="100" w:type="dxa"/>
            <w:tcBorders/>
            <w:shd w:fill="CCEEFF" w:val="clear"/>
            <w:vAlign w:val="bottom"/>
          </w:tcPr>
          <w:p>
            <w:pPr>
              <w:pStyle w:val="TableContents"/>
              <w:spacing w:before="0" w:after="0"/>
              <w:ind w:left="0" w:right="0" w:hanging="0"/>
              <w:rPr/>
            </w:pPr>
            <w:r>
              <w:rPr/>
              <w:t> </w:t>
            </w:r>
          </w:p>
        </w:tc>
      </w:tr>
      <w:tr>
        <w:trPr/>
        <w:tc>
          <w:tcPr>
            <w:tcW w:w="50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Statutory net income </w:t>
            </w:r>
          </w:p>
        </w:tc>
        <w:tc>
          <w:tcPr>
            <w:tcW w:w="24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81,410</w:t>
            </w:r>
          </w:p>
        </w:tc>
        <w:tc>
          <w:tcPr>
            <w:tcW w:w="24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33,109</w:t>
            </w:r>
          </w:p>
        </w:tc>
        <w:tc>
          <w:tcPr>
            <w:tcW w:w="100" w:type="dxa"/>
            <w:tcBorders/>
            <w:shd w:fill="auto" w:val="clear"/>
            <w:vAlign w:val="bottom"/>
          </w:tcPr>
          <w:p>
            <w:pPr>
              <w:pStyle w:val="TableContents"/>
              <w:spacing w:before="0" w:after="0"/>
              <w:ind w:left="0" w:right="0" w:hanging="0"/>
              <w:rPr/>
            </w:pPr>
            <w:r>
              <w:rPr/>
              <w:t> </w:t>
            </w:r>
          </w:p>
        </w:tc>
      </w:tr>
      <w:tr>
        <w:trPr/>
        <w:tc>
          <w:tcPr>
            <w:tcW w:w="50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Statutory surplus </w:t>
            </w:r>
          </w:p>
        </w:tc>
        <w:tc>
          <w:tcPr>
            <w:tcW w:w="248"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456,650</w:t>
            </w:r>
          </w:p>
        </w:tc>
        <w:tc>
          <w:tcPr>
            <w:tcW w:w="248"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281,388</w:t>
            </w:r>
          </w:p>
        </w:tc>
        <w:tc>
          <w:tcPr>
            <w:tcW w:w="100" w:type="dxa"/>
            <w:tcBorders/>
            <w:shd w:fill="CCEEFF" w:val="clear"/>
            <w:vAlign w:val="bottom"/>
          </w:tcPr>
          <w:p>
            <w:pPr>
              <w:pStyle w:val="TableContents"/>
              <w:spacing w:before="0" w:after="0"/>
              <w:ind w:left="0" w:right="0" w:hanging="0"/>
              <w:rPr/>
            </w:pPr>
            <w:r>
              <w:rPr/>
              <w:t> </w:t>
            </w:r>
          </w:p>
        </w:tc>
      </w:tr>
      <w:tr>
        <w:trPr/>
        <w:tc>
          <w:tcPr>
            <w:tcW w:w="50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Contingency reserve liability </w:t>
            </w:r>
          </w:p>
        </w:tc>
        <w:tc>
          <w:tcPr>
            <w:tcW w:w="248" w:type="dxa"/>
            <w:tcBorders/>
            <w:shd w:fill="auto" w:val="clear"/>
            <w:vAlign w:val="bottom"/>
          </w:tcPr>
          <w:p>
            <w:pPr>
              <w:pStyle w:val="TableContents"/>
              <w:spacing w:before="0" w:after="0"/>
              <w:ind w:left="0" w:right="0" w:hanging="0"/>
              <w:rPr/>
            </w:pPr>
            <w:r>
              <w:rPr/>
              <w:t> </w:t>
            </w:r>
          </w:p>
        </w:tc>
        <w:tc>
          <w:tcPr>
            <w:tcW w:w="12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149,818</w:t>
            </w:r>
          </w:p>
        </w:tc>
        <w:tc>
          <w:tcPr>
            <w:tcW w:w="248" w:type="dxa"/>
            <w:tcBorders/>
            <w:shd w:fill="auto" w:val="clear"/>
            <w:vAlign w:val="bottom"/>
          </w:tcPr>
          <w:p>
            <w:pPr>
              <w:pStyle w:val="TableContents"/>
              <w:spacing w:before="0" w:after="0"/>
              <w:ind w:left="0" w:right="0" w:hanging="0"/>
              <w:rPr/>
            </w:pPr>
            <w:r>
              <w:rPr/>
              <w:t> </w:t>
            </w:r>
          </w:p>
        </w:tc>
        <w:tc>
          <w:tcPr>
            <w:tcW w:w="12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61,514</w:t>
            </w:r>
          </w:p>
        </w:tc>
        <w:tc>
          <w:tcPr>
            <w:tcW w:w="100" w:type="dxa"/>
            <w:tcBorders/>
            <w:shd w:fill="auto" w:val="clear"/>
            <w:vAlign w:val="bottom"/>
          </w:tcPr>
          <w:p>
            <w:pPr>
              <w:pStyle w:val="TableContents"/>
              <w:spacing w:before="0" w:after="0"/>
              <w:ind w:left="0" w:right="0" w:hanging="0"/>
              <w:rPr/>
            </w:pPr>
            <w:r>
              <w:rPr/>
              <w:t> </w:t>
            </w:r>
          </w:p>
        </w:tc>
      </w:tr>
      <w:tr>
        <w:trPr/>
        <w:tc>
          <w:tcPr>
            <w:tcW w:w="5036" w:type="dxa"/>
            <w:tcBorders/>
            <w:shd w:fill="CCEEFF" w:val="clear"/>
            <w:vAlign w:val="bottom"/>
          </w:tcPr>
          <w:p>
            <w:pPr>
              <w:pStyle w:val="TableContents"/>
              <w:spacing w:before="0" w:after="0"/>
              <w:ind w:left="0" w:right="0" w:hanging="0"/>
              <w:rPr/>
            </w:pPr>
            <w:r>
              <w:rPr/>
              <w:t> </w:t>
            </w:r>
          </w:p>
        </w:tc>
        <w:tc>
          <w:tcPr>
            <w:tcW w:w="248"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pPr>
            <w:r>
              <w:rPr/>
              <w:t> </w:t>
            </w:r>
          </w:p>
        </w:tc>
        <w:tc>
          <w:tcPr>
            <w:tcW w:w="248"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pPr>
            <w:r>
              <w:rPr/>
              <w:t> </w:t>
            </w:r>
          </w:p>
        </w:tc>
        <w:tc>
          <w:tcPr>
            <w:tcW w:w="100" w:type="dxa"/>
            <w:tcBorders/>
            <w:shd w:fill="CCEEFF" w:val="clear"/>
            <w:vAlign w:val="bottom"/>
          </w:tcPr>
          <w:p>
            <w:pPr>
              <w:pStyle w:val="TableContents"/>
              <w:spacing w:before="0" w:after="0"/>
              <w:ind w:left="0" w:right="0" w:hanging="0"/>
              <w:rPr/>
            </w:pPr>
            <w:r>
              <w:rPr/>
              <w:t> </w:t>
            </w:r>
          </w:p>
        </w:tc>
      </w:tr>
      <w:tr>
        <w:trPr/>
        <w:tc>
          <w:tcPr>
            <w:tcW w:w="50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Essent PA </w:t>
            </w:r>
          </w:p>
        </w:tc>
        <w:tc>
          <w:tcPr>
            <w:tcW w:w="248" w:type="dxa"/>
            <w:tcBorders/>
            <w:shd w:fill="auto" w:val="clear"/>
            <w:vAlign w:val="bottom"/>
          </w:tcPr>
          <w:p>
            <w:pPr>
              <w:pStyle w:val="TableContents"/>
              <w:spacing w:before="0" w:after="0"/>
              <w:ind w:left="0" w:right="0" w:hanging="0"/>
              <w:rPr/>
            </w:pPr>
            <w:r>
              <w:rPr/>
              <w:t> </w:t>
            </w:r>
          </w:p>
        </w:tc>
        <w:tc>
          <w:tcPr>
            <w:tcW w:w="1266" w:type="dxa"/>
            <w:gridSpan w:val="2"/>
            <w:tcBorders/>
            <w:shd w:fill="auto" w:val="clear"/>
            <w:vAlign w:val="bottom"/>
          </w:tcPr>
          <w:p>
            <w:pPr>
              <w:pStyle w:val="TableContents"/>
              <w:spacing w:before="0" w:after="0"/>
              <w:ind w:left="0" w:right="0" w:hanging="0"/>
              <w:jc w:val="right"/>
              <w:rPr/>
            </w:pPr>
            <w:r>
              <w:rPr/>
              <w:t> </w:t>
            </w:r>
          </w:p>
        </w:tc>
        <w:tc>
          <w:tcPr>
            <w:tcW w:w="248" w:type="dxa"/>
            <w:tcBorders/>
            <w:shd w:fill="auto" w:val="clear"/>
            <w:vAlign w:val="bottom"/>
          </w:tcPr>
          <w:p>
            <w:pPr>
              <w:pStyle w:val="TableContents"/>
              <w:spacing w:before="0" w:after="0"/>
              <w:ind w:left="0" w:right="0" w:hanging="0"/>
              <w:rPr/>
            </w:pPr>
            <w:r>
              <w:rPr/>
              <w:t> </w:t>
            </w:r>
          </w:p>
        </w:tc>
        <w:tc>
          <w:tcPr>
            <w:tcW w:w="1266" w:type="dxa"/>
            <w:gridSpan w:val="2"/>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r>
      <w:tr>
        <w:trPr/>
        <w:tc>
          <w:tcPr>
            <w:tcW w:w="50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Statutory net income </w:t>
            </w:r>
          </w:p>
        </w:tc>
        <w:tc>
          <w:tcPr>
            <w:tcW w:w="24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9,307</w:t>
            </w:r>
          </w:p>
        </w:tc>
        <w:tc>
          <w:tcPr>
            <w:tcW w:w="24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3,927</w:t>
            </w:r>
          </w:p>
        </w:tc>
        <w:tc>
          <w:tcPr>
            <w:tcW w:w="100" w:type="dxa"/>
            <w:tcBorders/>
            <w:shd w:fill="CCEEFF" w:val="clear"/>
            <w:vAlign w:val="bottom"/>
          </w:tcPr>
          <w:p>
            <w:pPr>
              <w:pStyle w:val="TableContents"/>
              <w:spacing w:before="0" w:after="0"/>
              <w:ind w:left="0" w:right="0" w:hanging="0"/>
              <w:rPr/>
            </w:pPr>
            <w:r>
              <w:rPr/>
              <w:t> </w:t>
            </w:r>
          </w:p>
        </w:tc>
      </w:tr>
      <w:tr>
        <w:trPr/>
        <w:tc>
          <w:tcPr>
            <w:tcW w:w="50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Statutory surplus </w:t>
            </w:r>
          </w:p>
        </w:tc>
        <w:tc>
          <w:tcPr>
            <w:tcW w:w="248" w:type="dxa"/>
            <w:tcBorders/>
            <w:shd w:fill="auto" w:val="clear"/>
            <w:vAlign w:val="bottom"/>
          </w:tcPr>
          <w:p>
            <w:pPr>
              <w:pStyle w:val="TableContents"/>
              <w:spacing w:before="0" w:after="0"/>
              <w:ind w:left="0" w:right="0" w:hanging="0"/>
              <w:rPr/>
            </w:pPr>
            <w:r>
              <w:rPr/>
              <w:t> </w:t>
            </w:r>
          </w:p>
        </w:tc>
        <w:tc>
          <w:tcPr>
            <w:tcW w:w="12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41,689</w:t>
            </w:r>
          </w:p>
        </w:tc>
        <w:tc>
          <w:tcPr>
            <w:tcW w:w="248" w:type="dxa"/>
            <w:tcBorders/>
            <w:shd w:fill="auto" w:val="clear"/>
            <w:vAlign w:val="bottom"/>
          </w:tcPr>
          <w:p>
            <w:pPr>
              <w:pStyle w:val="TableContents"/>
              <w:spacing w:before="0" w:after="0"/>
              <w:ind w:left="0" w:right="0" w:hanging="0"/>
              <w:rPr/>
            </w:pPr>
            <w:r>
              <w:rPr/>
              <w:t> </w:t>
            </w:r>
          </w:p>
        </w:tc>
        <w:tc>
          <w:tcPr>
            <w:tcW w:w="12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24,206</w:t>
            </w:r>
          </w:p>
        </w:tc>
        <w:tc>
          <w:tcPr>
            <w:tcW w:w="100" w:type="dxa"/>
            <w:tcBorders/>
            <w:shd w:fill="auto" w:val="clear"/>
            <w:vAlign w:val="bottom"/>
          </w:tcPr>
          <w:p>
            <w:pPr>
              <w:pStyle w:val="TableContents"/>
              <w:spacing w:before="0" w:after="0"/>
              <w:ind w:left="0" w:right="0" w:hanging="0"/>
              <w:rPr/>
            </w:pPr>
            <w:r>
              <w:rPr/>
              <w:t> </w:t>
            </w:r>
          </w:p>
        </w:tc>
      </w:tr>
      <w:tr>
        <w:trPr/>
        <w:tc>
          <w:tcPr>
            <w:tcW w:w="50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Contingency reserve liability </w:t>
            </w:r>
          </w:p>
        </w:tc>
        <w:tc>
          <w:tcPr>
            <w:tcW w:w="248"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14,065</w:t>
            </w:r>
          </w:p>
        </w:tc>
        <w:tc>
          <w:tcPr>
            <w:tcW w:w="248" w:type="dxa"/>
            <w:tcBorders/>
            <w:shd w:fill="CCEEFF" w:val="clear"/>
            <w:vAlign w:val="bottom"/>
          </w:tcPr>
          <w:p>
            <w:pPr>
              <w:pStyle w:val="TableContents"/>
              <w:spacing w:before="0" w:after="0"/>
              <w:ind w:left="0" w:right="0" w:hanging="0"/>
              <w:rPr/>
            </w:pPr>
            <w:r>
              <w:rPr/>
              <w:t> </w:t>
            </w:r>
          </w:p>
        </w:tc>
        <w:tc>
          <w:tcPr>
            <w:tcW w:w="12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5,092</w:t>
            </w:r>
          </w:p>
        </w:tc>
        <w:tc>
          <w:tcPr>
            <w:tcW w:w="10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income determined in accordance with statutory accounting practices differs from GAAP.  In 2014,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8, we are eligible for a tax deduction, subject to certain limitations for amounts required by state law or regulation to be set aside in statutory contingency reserves when we purchase T&amp;L Bonds.  Under statutory accounting practices, this deduction reduces the tax provision recorded by Essent Guaranty and Essent PA and, as a result, increases statutory net income and surplus as compared to net income and equity determined in accordance with GAAP.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2014 and 2013, the statutory capital of our insurance subsidiaries, which is defined as the total of statutory surplus and contingency reserves, was in excess of the statutory capital necessary to satisfy the insurance subsidiaries regulatory requirements.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29" w:name="PB_17_125459_7608"/>
      <w:bookmarkEnd w:id="2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 and Subsidiaries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 (Unaudited)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 thousands except per share amounts, unless otherwise noted)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On July 10, 2014, the Federal Housing Finance Agency (FHFA) released for public input draft Private Mortgage Insurer Eligibility Requirements (PMIERs). If implemented, the PMIERs represent revised standards by which private mortgage insurers would be eligible to provide mortgage insurance on loans owned or guaranteed by Fannie Mae and Freddie Mac.  The public input period with respect to the PMIERs closed on September 8, 2014. See additional discussion in Item 2. Managements Discussion and Analysis of Financial Condition and Results of Operations  Legislative and Regulatory Developments and  Liquidity and Capital Resources  Draft Private Mortgage Insurer Eligibility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Statement of Statutory Accounting Principles No. 58, </w:t>
      </w:r>
      <w:r>
        <w:rPr>
          <w:rFonts w:ascii="Times New Roman" w:hAnsi="Times New Roman"/>
          <w:i/>
          <w:sz w:val="17"/>
        </w:rPr>
        <w:t>Mortgage Guaranty Insurance,</w:t>
      </w:r>
      <w:r>
        <w:rPr>
          <w:rFonts w:ascii="Times New Roman" w:hAnsi="Times New Roman"/>
          <w:sz w:val="17"/>
        </w:rPr>
        <w:t xml:space="preserve"> requires mortgage insurers to establish a special contingency reserve for statutory accounting purposes included in total liabilities equal to 50% of earned premium for that year. During the nine months ended September 30, 2014, Essent Guaranty increased its contingency reserve by $69,897 and Essent PA increased its contingency reserve by $7,207.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nine months ended September 30, 2014 or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30" w:name="PB_18_125523_8146"/>
      <w:bookmarkEnd w:id="3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2.</w:t>
      </w:r>
      <w:r>
        <w:rPr>
          <w:rFonts w:ascii="Times New Roman" w:hAnsi="Times New Roman"/>
        </w:rPr>
        <w:t xml:space="preserve">         </w:t>
      </w:r>
      <w:r>
        <w:rPr>
          <w:rFonts w:ascii="Times New Roman" w:hAnsi="Times New Roman"/>
          <w:b/>
          <w:sz w:val="17"/>
        </w:rPr>
        <w:t>Managements Discussion and Analysis of Financial Condition and Results of Operations</w:t>
      </w:r>
      <w:bookmarkStart w:id="31" w:name="Item2_ManagementsDiscussionAndAna_125535"/>
      <w:bookmarkEnd w:id="31"/>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The following discussion should be read together with the Selected Financial Data and our audited consolidated financial statements and related notes included in our Annual Report on Form 10-K as of and for the year ended December 31, 2013 as filed with the Securities and Exchange Commission and referred to herein as the Annual Report, and our condensed consolidated financial statements and related notes as of and for the three and nine months ended September 30, 2014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Since writing our first policy in May 2010, we have grown to an estimated 14.0% market share based on new insurance written on a flow basis (in which loans are insured in individual, loan-by-loan transactions) excluding new insurance written under the Home Affordable Refinance Program and bulk transactions (in which each loan in a portfolio of loans is insured in a single transaction), for the nine months ended September 30, 2014, up from 12.1%, 8.6% and 4.5% for the years ended December 31, 2013, 2012 and 2011, respectively. We believe that our growth has been driven largely by the unique opportunity we offer lenders to partner with a well-capitalized mortgage insurer, unencumbered by legacy business, that provides fair and transparent claims payment practices, and consistency and speed of service.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2010, Essent Guaranty became the first private mortgage insurer to be approved by the GSEs since 1995, and is licensed to write coverage in all 50 states and the District of Columbia. We completed our initial public offering in November 2013.  The financial strength of Essent Guaranty is rated Baa2 with a stable outlook by Moodys Investors Service and BBB+ with a stable outlook by Standard &amp; Poors Rating Services.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had master policy relationships with approximately 1,138 customers as of September 30, 2014. We have a fully functioning, scalable and flexible mortgage insurance platform, which we acquired from Triad Guaranty Inc. and its wholly-owned subsidiary, Triad Guaranty Insurance Corporation, which we refer to collectively as Triad, in exchange for up to $30 million in cash and the assumption of certain contractual obligations. Our holding company is domiciled in Bermuda and our U.S. insurance business is headquartered in Radnor, Pennsylvania. We operate additional underwriting and service centers in Winston-Salem, North Carolina and Irvine, California. We have a highly experienced, talented team with 322 employees as of September 30, 2014. We generated new insurance written of approximately $8.8 billion and $18.3 billion for the three and nine months ended September 30, 2014, respectively, compared to approximately $6.4 billion and $16.6 billion the three and nine months ended September 30, 2013, respectively.  As of September 30, 2014, we had approximately $46.4 billion of insurance in force.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Through June 30, 2014, all of our insurance business has been conducted through Essent Guaranty.  In July 2014, Essent Re issued its first insurance policy in connection with Freddie Macs Agency Credit Insurance Structure (ACIS) program.  This policy covers up to $28.5 million of the risk on the loans in the reference pools associated with the STACR 2014 DN-1 debt notes issued by Freddie Mac in February of 2014.</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Legislative and Regulatory Developments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July 10, 2014, the Federal Housing Finance Agency (FHFA) released for public input draft Private Mortgage Insurer Eligibility Requirements, (PMIERs). If implemented, the PMIERs represent revised standards by which private mortgage insurers would be eligible to provide mortgage insurance on loans owned or guaranteed by Fannie Mae and Freddie Mac. The public input period with respect to the PMIERs closed on September 8, 2014. See additional discussion in  Liquidity and Capital Resources  Draft Private Mortgage Insurer Eligibility Requirements.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32" w:name="PB_19_110112_7056"/>
      <w:bookmarkEnd w:id="3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Factors Affecting Our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Net Premiums Written and Earned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Premiums are based on insurance in force, or IIF, during all or a portion of a period. A change in the average IIF during a period causes premiums to increase or decrease as compared to prior periods. Average premiums rates in effect during a given period will also cause premiums to differ when compared to earlier periods. IIF at the end of a reporting period is a function of the IIF at the beginning of such reporting period plus new insurance written, or NIW, less policy cancellations (including claims paid) during the period. As a result, premiums are generally influenced 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Cancellations of our insurance policies, which are impacted by payments on mortgages, home price appreciation, or refinancings, which in turn are affected by mortgage interest rates. Cancellations are also impacted by the levels of rescissions and claim payments;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Premiums ceded or assumed under reinsurance arrangements with unaffiliated third parties. To date, we have not entered into any third party reinsurance contracts.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September 30, 2014 were non-refundable. Premiums collected on annual policies are recognized as net premiums earned on a straight line basis over the year of coverage. For the nine months ended September 30, 2014, monthly and single premium policies comprised 82.5% and 17.5% of our NIW,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Persistency and Business Mix</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88.5% at September 30, 2014. Generally, higher prepayment speeds lead to lower persistency.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Net Investment Income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investment portfolio was comprised entirely of investment grade fixed income securities and money market investments as of September 30, 2014. The principal factors that influence investment income are the size of the investment portfolio and the yield. The size of our investment portfolio, as measured by amortized cost (which excludes changes in fair market value, such as from changes in interest rates), is mainly a function of issuances of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33" w:name="PB_20_130728_7056"/>
      <w:bookmarkEnd w:id="3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temporary impairments recognized in earnings. The amount received on the sale of fixed income securities is affected by the coupon rate of the security compared to the yield of comparable securities at the time of sale.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Income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acquisition of our mortgage insurance platform, we entered into a services agreement with Triad to provide certain information technology maintenance and development and customer support-related services. In return for these services, we receive a fee which is recorded in other income. From the period from December 1, 2009 to November 30, 2010, this fee was based on a fixed amount. Effective December 1, 2010, the fee is adjusted monthly based on the number of Triads mortgage insurance policies in force and, accordingly, will decrease over time as Triads existing policies are cancelled. The services agreement provides for a minimum monthly fee of $150,000 for the duration of the services agreement. The services agreement was automatically extended until November 30, 2015 and provides for four subsequent one-year renewals at Triads option.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income also includes revenues associated with contract underwriting services. The level of contract underwriting revenue is dependent upon the number of customers who have engaged us for this service and the number of loans underwritten for these customers.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Provision for Losses and Loss Adjustment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provision for losses and loss adjustment expenses reflect the current expense that is recorded within a particular period to reflect actual and estimated loss payments that we believe will ultimately be made as a result of insured loans that are in default.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Losses incurred are generally affected 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overall state of the economy, which broadly affects the likelihood that borrowers may default on their loans and have the ability to cure such defaults;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product mix of IIF, with loans having higher risk characteristics generally resulting in higher defaults and claims;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size of loans insured, with higher average loan amounts tending to increase losses incurred;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loan-to-value ratio, with higher average loan-to-value ratios tending to increase losses incurred;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percentage of coverage on insured loans, with deeper average coverage tending to increase losses incurred;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credit quality of borrowers, including higher debt-to-income ratios and lower FICO scores, which tend to increase incurred losses;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rate at which we rescind policies. Because of tighter underwriting standards generally in the mortgage lending industry and terms set forth in our Clarity of Coverage</w:t>
      </w:r>
      <w:r>
        <w:rPr>
          <w:rFonts w:ascii="Times New Roman" w:hAnsi="Times New Roman"/>
          <w:sz w:val="11"/>
        </w:rPr>
        <w:t>®</w:t>
      </w:r>
      <w:r>
        <w:rPr>
          <w:rFonts w:ascii="Times New Roman" w:hAnsi="Times New Roman"/>
        </w:rPr>
        <w:t> </w:t>
      </w:r>
      <w:r>
        <w:rPr>
          <w:rFonts w:ascii="Times New Roman" w:hAnsi="Times New Roman"/>
          <w:sz w:val="17"/>
        </w:rPr>
        <w:t>master policy endorsement, we expect that our level of rescission activity will be lower than recent rescission activity seen in the mortgage insurance industry;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distribution of claims over the life of a book. The average age of our insurance portfolio is young with 97% of our IIF as of September 30, 2014 having been originated since January 1, 2012. As a result, based on historical industry performance, we expect the number of defaults and claims we experience, as well as our provision for losses and loss adjustment expenses, to increase as our portfolio seasons. See  Mortgage Insurance Earnings and Cash Flow Cycle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34" w:name="PB_21_130756_5335"/>
      <w:bookmarkEnd w:id="3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based upon our experience and industry data, that claims incidence for mortgage insurance is generally highest in the third through sixth years after loan origination. As of September 30, 2014, 97% of our IIF relates to business written since January 1, 2012 and substantially all of our policies in force are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Underwriting and Operating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other underwriting and operating expenses include components that are substantially fixed, as well as expenses that generally increase or decrease in line with the level of NIW or premiums.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most significant expense is compensation and benefits for our employees, which represented 67% of other underwriting and operating expenses for each of the three and nine months ended September 30, 2014, compared to 65% of other underwriting and operating expenses for each of the three and nine months ended September 30, 2013.  Compensation and benefits expense includes base and incentive cash compensation, stock compensation expense, benefits and payroll taxes.  Compensation and benefits expense has increased as we have increased our staffing from 209 employees at January 1, 2013 to 322 at September 30, 2014,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Underwriting and other expenses also include legal, consulting, other professional fees, premium taxes, depreciation and amortization, travel, entertainment, marketing, licensing, supplies, hardware, software, rent, utilities and other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 Further, we expect to incur incremental costs related to being a public company, including certain operating and compensation expenses.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Income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Income taxes are incurred based on the amount of earnings or losses generated in the jurisdictions in which we operate and the applicable tax rates and regulations in those jurisdictions. To date, substantially all of our business activity has been conducted in the United States where we are subject to corporate level Federal income taxes.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 The amount of income tax expense or benefit recorded in future periods will be dependent on the jurisdictions in which we operate and the tax laws and regulations in effect. In 2014, since substantially all of our earnings are expected to be generated in the United States, we anticipate that our effective tax rate will approach the federal statutory tax rate.  Beginning in 2015, we expect an increasing portion of our consolidated earnings will be generated in Bermuda and accordingly expect that our effective tax rate will decline below the federal statutory tax 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Essent Group Ltd. and its wholly owned subsidiary, Essent Re, are domiciled in Bermuda, which does not have a corporate income tax. Through June 30, 2014, these entities have incurred expenses and generated limited amounts of investment income. In July 2014, Essent Re entered into an insurance transaction with Freddie Mac and entered into a quota share reinsurance transaction with Essent Guaranty, an affiliate, to reinsure 25% of Essent Guarantys GSE-eligible NIW effective July 1, 2014.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Since inception and prior to June 30, 2013, we recorded a valuation allowance against deferred tax assets, and, as such, we generally did not record a benefit associated with the losses incurred in prior periods or other income tax benefits. The income tax provision or benefit recognized in prior periods related to changes in our valuation allowance associated with changes in deferred tax liabilities resulting from the increase or decrease in the unrealized gain on our investment portfolio.  At June 30, 2013, after weighing all of the evidence, we concluded that it was more likely than not that our deferred tax assets would be realized. As a result, in 2013, we released the valuation allowance on our deferred tax assets.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35" w:name="PB_22_130812_5796"/>
      <w:bookmarkEnd w:id="3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Mortgage Insurance Earnings and Cash Flow Cycle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increasing losses.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Key Performance Indicators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Insurance In Force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discussed above, premiums we collect and earn are generated based on our IIF, which is a function of our NIW and cancellations. The following table includes a summary of the change in our IIF for the three and nine months ended September 30, 2014 and 2013.  In addition, this table includes our risk in force, or RIF, at the end of each period and the number of customers that purchased new mortgage insurance policies during each respective period.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82"/>
        <w:gridCol w:w="210"/>
        <w:gridCol w:w="116"/>
        <w:gridCol w:w="1126"/>
        <w:gridCol w:w="213"/>
        <w:gridCol w:w="116"/>
        <w:gridCol w:w="1126"/>
        <w:gridCol w:w="212"/>
        <w:gridCol w:w="115"/>
        <w:gridCol w:w="1122"/>
        <w:gridCol w:w="213"/>
        <w:gridCol w:w="114"/>
        <w:gridCol w:w="1122"/>
        <w:gridCol w:w="118"/>
      </w:tblGrid>
      <w:tr>
        <w:trPr/>
        <w:tc>
          <w:tcPr>
            <w:tcW w:w="428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69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w:t>
            </w:r>
          </w:p>
        </w:tc>
        <w:tc>
          <w:tcPr>
            <w:tcW w:w="212" w:type="dxa"/>
            <w:tcBorders/>
            <w:shd w:fill="auto" w:val="clear"/>
            <w:vAlign w:val="bottom"/>
          </w:tcPr>
          <w:p>
            <w:pPr>
              <w:pStyle w:val="TableContents"/>
              <w:spacing w:before="0" w:after="0"/>
              <w:ind w:left="0" w:right="0" w:hanging="0"/>
              <w:jc w:val="center"/>
              <w:rPr/>
            </w:pPr>
            <w:r>
              <w:rPr/>
              <w:t> </w:t>
            </w:r>
          </w:p>
        </w:tc>
        <w:tc>
          <w:tcPr>
            <w:tcW w:w="268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18" w:type="dxa"/>
            <w:tcBorders/>
            <w:shd w:fill="auto" w:val="clear"/>
            <w:vAlign w:val="bottom"/>
          </w:tcPr>
          <w:p>
            <w:pPr>
              <w:pStyle w:val="TableContents"/>
              <w:spacing w:before="0" w:after="0"/>
              <w:ind w:left="0" w:right="0" w:hanging="0"/>
              <w:jc w:val="center"/>
              <w:rPr/>
            </w:pPr>
            <w:r>
              <w:rPr/>
              <w:t> </w:t>
            </w:r>
          </w:p>
        </w:tc>
      </w:tr>
      <w:tr>
        <w:trPr/>
        <w:tc>
          <w:tcPr>
            <w:tcW w:w="428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210"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2" w:type="dxa"/>
            <w:tcBorders/>
            <w:shd w:fill="auto" w:val="clear"/>
            <w:vAlign w:val="bottom"/>
          </w:tcPr>
          <w:p>
            <w:pPr>
              <w:pStyle w:val="TableContents"/>
              <w:spacing w:before="0" w:after="0"/>
              <w:ind w:left="0" w:right="0" w:hanging="0"/>
              <w:jc w:val="center"/>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3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8" w:type="dxa"/>
            <w:tcBorders/>
            <w:shd w:fill="auto" w:val="clear"/>
            <w:vAlign w:val="bottom"/>
          </w:tcPr>
          <w:p>
            <w:pPr>
              <w:pStyle w:val="TableContents"/>
              <w:spacing w:before="0" w:after="0"/>
              <w:ind w:left="0" w:right="0" w:hanging="0"/>
              <w:jc w:val="center"/>
              <w:rPr/>
            </w:pPr>
            <w:r>
              <w:rPr/>
              <w:t> </w:t>
            </w:r>
          </w:p>
        </w:tc>
      </w:tr>
      <w:tr>
        <w:trPr/>
        <w:tc>
          <w:tcPr>
            <w:tcW w:w="42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IIF, beginning of period </w:t>
            </w:r>
          </w:p>
        </w:tc>
        <w:tc>
          <w:tcPr>
            <w:tcW w:w="21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39,379,879</w:t>
            </w:r>
          </w:p>
        </w:tc>
        <w:tc>
          <w:tcPr>
            <w:tcW w:w="213"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22,576,300</w:t>
            </w:r>
          </w:p>
        </w:tc>
        <w:tc>
          <w:tcPr>
            <w:tcW w:w="212"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32,028,196</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13,628,980</w:t>
            </w:r>
          </w:p>
        </w:tc>
        <w:tc>
          <w:tcPr>
            <w:tcW w:w="118" w:type="dxa"/>
            <w:tcBorders/>
            <w:shd w:fill="CCEEFF" w:val="clear"/>
            <w:vAlign w:val="bottom"/>
          </w:tcPr>
          <w:p>
            <w:pPr>
              <w:pStyle w:val="TableContents"/>
              <w:spacing w:before="0" w:after="0"/>
              <w:ind w:left="0" w:right="0" w:hanging="0"/>
              <w:rPr/>
            </w:pPr>
            <w:r>
              <w:rPr/>
              <w:t> </w:t>
            </w:r>
          </w:p>
        </w:tc>
      </w:tr>
      <w:tr>
        <w:trPr/>
        <w:tc>
          <w:tcPr>
            <w:tcW w:w="42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NIW  Flow </w:t>
            </w:r>
          </w:p>
        </w:tc>
        <w:tc>
          <w:tcPr>
            <w:tcW w:w="210"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7,283,169</w:t>
            </w:r>
          </w:p>
        </w:tc>
        <w:tc>
          <w:tcPr>
            <w:tcW w:w="213"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6,408,055</w:t>
            </w:r>
          </w:p>
        </w:tc>
        <w:tc>
          <w:tcPr>
            <w:tcW w:w="212"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16,788,076</w:t>
            </w:r>
          </w:p>
        </w:tc>
        <w:tc>
          <w:tcPr>
            <w:tcW w:w="213"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16,624,738</w:t>
            </w:r>
          </w:p>
        </w:tc>
        <w:tc>
          <w:tcPr>
            <w:tcW w:w="118" w:type="dxa"/>
            <w:tcBorders/>
            <w:shd w:fill="auto" w:val="clear"/>
            <w:vAlign w:val="bottom"/>
          </w:tcPr>
          <w:p>
            <w:pPr>
              <w:pStyle w:val="TableContents"/>
              <w:spacing w:before="0" w:after="0"/>
              <w:ind w:left="0" w:right="0" w:hanging="0"/>
              <w:rPr/>
            </w:pPr>
            <w:r>
              <w:rPr/>
              <w:t> </w:t>
            </w:r>
          </w:p>
        </w:tc>
      </w:tr>
      <w:tr>
        <w:trPr/>
        <w:tc>
          <w:tcPr>
            <w:tcW w:w="42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NIW  Bulk </w:t>
            </w:r>
          </w:p>
        </w:tc>
        <w:tc>
          <w:tcPr>
            <w:tcW w:w="210"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1,506,529</w:t>
            </w:r>
          </w:p>
        </w:tc>
        <w:tc>
          <w:tcPr>
            <w:tcW w:w="213"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1,506,529</w:t>
            </w:r>
          </w:p>
        </w:tc>
        <w:tc>
          <w:tcPr>
            <w:tcW w:w="213" w:type="dxa"/>
            <w:tcBorders/>
            <w:shd w:fill="CCEEFF" w:val="clear"/>
            <w:vAlign w:val="bottom"/>
          </w:tcPr>
          <w:p>
            <w:pPr>
              <w:pStyle w:val="TableContents"/>
              <w:spacing w:before="0" w:after="0"/>
              <w:ind w:left="0" w:right="0" w:hanging="0"/>
              <w:rPr/>
            </w:pPr>
            <w:r>
              <w:rPr/>
              <w:t> </w:t>
            </w:r>
          </w:p>
        </w:tc>
        <w:tc>
          <w:tcPr>
            <w:tcW w:w="12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CCEEFF" w:val="clear"/>
            <w:vAlign w:val="bottom"/>
          </w:tcPr>
          <w:p>
            <w:pPr>
              <w:pStyle w:val="TableContents"/>
              <w:spacing w:before="0" w:after="0"/>
              <w:ind w:left="0" w:right="0" w:hanging="0"/>
              <w:rPr/>
            </w:pPr>
            <w:r>
              <w:rPr/>
              <w:t> </w:t>
            </w:r>
          </w:p>
        </w:tc>
      </w:tr>
      <w:tr>
        <w:trPr/>
        <w:tc>
          <w:tcPr>
            <w:tcW w:w="42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Cancellations </w:t>
            </w:r>
          </w:p>
        </w:tc>
        <w:tc>
          <w:tcPr>
            <w:tcW w:w="210"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(1,741,051</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(785,633</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(3,894,275</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(2,054,996</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IIF, end of period </w:t>
            </w:r>
          </w:p>
        </w:tc>
        <w:tc>
          <w:tcPr>
            <w:tcW w:w="210"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46,428,526</w:t>
            </w:r>
          </w:p>
        </w:tc>
        <w:tc>
          <w:tcPr>
            <w:tcW w:w="213"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28,198,722</w:t>
            </w:r>
          </w:p>
        </w:tc>
        <w:tc>
          <w:tcPr>
            <w:tcW w:w="212"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46,428,526</w:t>
            </w:r>
          </w:p>
        </w:tc>
        <w:tc>
          <w:tcPr>
            <w:tcW w:w="213" w:type="dxa"/>
            <w:tcBorders/>
            <w:shd w:fill="CCEEFF" w:val="clear"/>
            <w:vAlign w:val="bottom"/>
          </w:tcPr>
          <w:p>
            <w:pPr>
              <w:pStyle w:val="TableContents"/>
              <w:spacing w:before="0" w:after="0"/>
              <w:ind w:left="0" w:right="0" w:hanging="0"/>
              <w:rPr/>
            </w:pPr>
            <w:r>
              <w:rPr/>
              <w:t> </w:t>
            </w:r>
          </w:p>
        </w:tc>
        <w:tc>
          <w:tcPr>
            <w:tcW w:w="1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28,198,722</w:t>
            </w:r>
          </w:p>
        </w:tc>
        <w:tc>
          <w:tcPr>
            <w:tcW w:w="118" w:type="dxa"/>
            <w:tcBorders/>
            <w:shd w:fill="CCEEFF" w:val="clear"/>
            <w:vAlign w:val="bottom"/>
          </w:tcPr>
          <w:p>
            <w:pPr>
              <w:pStyle w:val="TableContents"/>
              <w:spacing w:before="0" w:after="0"/>
              <w:ind w:left="0" w:right="0" w:hanging="0"/>
              <w:rPr/>
            </w:pPr>
            <w:r>
              <w:rPr/>
              <w:t> </w:t>
            </w:r>
          </w:p>
        </w:tc>
      </w:tr>
      <w:tr>
        <w:trPr/>
        <w:tc>
          <w:tcPr>
            <w:tcW w:w="42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Average IIF during the period </w:t>
            </w:r>
          </w:p>
        </w:tc>
        <w:tc>
          <w:tcPr>
            <w:tcW w:w="21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43,723,634</w:t>
            </w:r>
          </w:p>
        </w:tc>
        <w:tc>
          <w:tcPr>
            <w:tcW w:w="213"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25,516,938</w:t>
            </w:r>
          </w:p>
        </w:tc>
        <w:tc>
          <w:tcPr>
            <w:tcW w:w="212"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38,202,872</w:t>
            </w:r>
          </w:p>
        </w:tc>
        <w:tc>
          <w:tcPr>
            <w:tcW w:w="213"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20,376,486</w:t>
            </w:r>
          </w:p>
        </w:tc>
        <w:tc>
          <w:tcPr>
            <w:tcW w:w="118" w:type="dxa"/>
            <w:tcBorders/>
            <w:shd w:fill="auto" w:val="clear"/>
            <w:vAlign w:val="bottom"/>
          </w:tcPr>
          <w:p>
            <w:pPr>
              <w:pStyle w:val="TableContents"/>
              <w:spacing w:before="0" w:after="0"/>
              <w:ind w:left="0" w:right="0" w:hanging="0"/>
              <w:rPr/>
            </w:pPr>
            <w:r>
              <w:rPr/>
              <w:t> </w:t>
            </w:r>
          </w:p>
        </w:tc>
      </w:tr>
      <w:tr>
        <w:trPr/>
        <w:tc>
          <w:tcPr>
            <w:tcW w:w="42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RIF, end of period </w:t>
            </w:r>
          </w:p>
        </w:tc>
        <w:tc>
          <w:tcPr>
            <w:tcW w:w="21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11,152,497</w:t>
            </w:r>
          </w:p>
        </w:tc>
        <w:tc>
          <w:tcPr>
            <w:tcW w:w="213"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6,764,997</w:t>
            </w:r>
          </w:p>
        </w:tc>
        <w:tc>
          <w:tcPr>
            <w:tcW w:w="212"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11,152,497</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6,764,997</w:t>
            </w:r>
          </w:p>
        </w:tc>
        <w:tc>
          <w:tcPr>
            <w:tcW w:w="118" w:type="dxa"/>
            <w:tcBorders/>
            <w:shd w:fill="CCEEFF" w:val="clear"/>
            <w:vAlign w:val="bottom"/>
          </w:tcPr>
          <w:p>
            <w:pPr>
              <w:pStyle w:val="TableContents"/>
              <w:spacing w:before="0" w:after="0"/>
              <w:ind w:left="0" w:right="0" w:hanging="0"/>
              <w:rPr/>
            </w:pPr>
            <w:r>
              <w:rPr/>
              <w:t> </w:t>
            </w:r>
          </w:p>
        </w:tc>
      </w:tr>
      <w:tr>
        <w:trPr/>
        <w:tc>
          <w:tcPr>
            <w:tcW w:w="42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Number of customers generating NIW during the period </w:t>
            </w:r>
          </w:p>
        </w:tc>
        <w:tc>
          <w:tcPr>
            <w:tcW w:w="210"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w:t>
            </w:r>
          </w:p>
        </w:tc>
        <w:tc>
          <w:tcPr>
            <w:tcW w:w="213"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546</w:t>
            </w:r>
          </w:p>
        </w:tc>
        <w:tc>
          <w:tcPr>
            <w:tcW w:w="212"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903</w:t>
            </w:r>
          </w:p>
        </w:tc>
        <w:tc>
          <w:tcPr>
            <w:tcW w:w="213" w:type="dxa"/>
            <w:tcBorders/>
            <w:shd w:fill="auto" w:val="clear"/>
            <w:vAlign w:val="bottom"/>
          </w:tcPr>
          <w:p>
            <w:pPr>
              <w:pStyle w:val="TableContents"/>
              <w:spacing w:before="0" w:after="0"/>
              <w:ind w:left="0" w:right="0" w:hanging="0"/>
              <w:rPr/>
            </w:pPr>
            <w:r>
              <w:rPr/>
              <w:t> </w:t>
            </w:r>
          </w:p>
        </w:tc>
        <w:tc>
          <w:tcPr>
            <w:tcW w:w="12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637</w:t>
            </w:r>
          </w:p>
        </w:tc>
        <w:tc>
          <w:tcPr>
            <w:tcW w:w="11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cancellation activity is relatively low because the average age of our insurance portfolio is young. The following is a summary of our IIF at September 30, 2014 by vintage:</w:t>
      </w:r>
    </w:p>
    <w:p>
      <w:pPr>
        <w:pStyle w:val="TextBody"/>
        <w:spacing w:before="0" w:after="0"/>
        <w:ind w:left="0" w:right="0" w:hanging="0"/>
        <w:rPr/>
      </w:pPr>
      <w:r>
        <w:rPr/>
        <w:t> </w:t>
      </w:r>
    </w:p>
    <w:tbl>
      <w:tblPr>
        <w:tblW w:w="4000" w:type="pct"/>
        <w:jc w:val="left"/>
        <w:tblInd w:w="0" w:type="dxa"/>
        <w:tblCellMar>
          <w:top w:w="0" w:type="dxa"/>
          <w:left w:w="0" w:type="dxa"/>
          <w:bottom w:w="28" w:type="dxa"/>
          <w:right w:w="0" w:type="dxa"/>
        </w:tblCellMar>
      </w:tblPr>
      <w:tblGrid>
        <w:gridCol w:w="4813"/>
        <w:gridCol w:w="240"/>
        <w:gridCol w:w="132"/>
        <w:gridCol w:w="1372"/>
        <w:gridCol w:w="240"/>
        <w:gridCol w:w="1205"/>
        <w:gridCol w:w="162"/>
      </w:tblGrid>
      <w:tr>
        <w:trPr/>
        <w:tc>
          <w:tcPr>
            <w:tcW w:w="481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240" w:type="dxa"/>
            <w:tcBorders/>
            <w:shd w:fill="auto" w:val="clear"/>
            <w:tcMar>
              <w:bottom w:w="0" w:type="dxa"/>
            </w:tcMar>
            <w:vAlign w:val="bottom"/>
          </w:tcPr>
          <w:p>
            <w:pPr>
              <w:pStyle w:val="TableContents"/>
              <w:spacing w:before="0" w:after="0"/>
              <w:ind w:left="0" w:right="0" w:hanging="0"/>
              <w:jc w:val="center"/>
              <w:rPr/>
            </w:pPr>
            <w:r>
              <w:rPr/>
              <w:t> </w:t>
            </w:r>
          </w:p>
        </w:tc>
        <w:tc>
          <w:tcPr>
            <w:tcW w:w="1504"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40" w:type="dxa"/>
            <w:tcBorders/>
            <w:shd w:fill="auto" w:val="clear"/>
            <w:tcMar>
              <w:bottom w:w="0" w:type="dxa"/>
            </w:tcMar>
            <w:vAlign w:val="bottom"/>
          </w:tcPr>
          <w:p>
            <w:pPr>
              <w:pStyle w:val="TableContents"/>
              <w:spacing w:before="0" w:after="0"/>
              <w:ind w:left="0" w:right="0" w:hanging="0"/>
              <w:jc w:val="center"/>
              <w:rPr/>
            </w:pPr>
            <w:r>
              <w:rPr/>
              <w:t> </w:t>
            </w:r>
          </w:p>
        </w:tc>
        <w:tc>
          <w:tcPr>
            <w:tcW w:w="120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62" w:type="dxa"/>
            <w:tcBorders/>
            <w:shd w:fill="auto" w:val="clear"/>
            <w:tcMar>
              <w:bottom w:w="0" w:type="dxa"/>
            </w:tcMar>
            <w:vAlign w:val="bottom"/>
          </w:tcPr>
          <w:p>
            <w:pPr>
              <w:pStyle w:val="TableContents"/>
              <w:spacing w:before="0" w:after="0"/>
              <w:ind w:left="0" w:right="0" w:hanging="0"/>
              <w:jc w:val="center"/>
              <w:rPr/>
            </w:pPr>
            <w:r>
              <w:rPr/>
              <w:t> </w:t>
            </w:r>
          </w:p>
        </w:tc>
      </w:tr>
      <w:tr>
        <w:trPr/>
        <w:tc>
          <w:tcPr>
            <w:tcW w:w="481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2014 (through September 30) </w:t>
            </w:r>
          </w:p>
        </w:tc>
        <w:tc>
          <w:tcPr>
            <w:tcW w:w="240" w:type="dxa"/>
            <w:tcBorders/>
            <w:shd w:fill="CCEEFF" w:val="clear"/>
            <w:tcMar>
              <w:bottom w:w="0" w:type="dxa"/>
            </w:tcMar>
            <w:vAlign w:val="bottom"/>
          </w:tcPr>
          <w:p>
            <w:pPr>
              <w:pStyle w:val="TableContents"/>
              <w:spacing w:before="0" w:after="0"/>
              <w:ind w:left="0" w:right="0" w:hanging="0"/>
              <w:rPr/>
            </w:pPr>
            <w:r>
              <w:rPr/>
              <w:t> </w:t>
            </w:r>
          </w:p>
        </w:tc>
        <w:tc>
          <w:tcPr>
            <w:tcW w:w="13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2"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17,847,162</w:t>
            </w:r>
          </w:p>
        </w:tc>
        <w:tc>
          <w:tcPr>
            <w:tcW w:w="240" w:type="dxa"/>
            <w:tcBorders/>
            <w:shd w:fill="CCEEFF" w:val="clear"/>
            <w:tcMar>
              <w:bottom w:w="0" w:type="dxa"/>
            </w:tcMar>
            <w:vAlign w:val="bottom"/>
          </w:tcPr>
          <w:p>
            <w:pPr>
              <w:pStyle w:val="TableContents"/>
              <w:spacing w:before="0" w:after="0"/>
              <w:ind w:left="0" w:right="0" w:hanging="0"/>
              <w:rPr/>
            </w:pPr>
            <w:r>
              <w:rPr/>
              <w:t> </w:t>
            </w:r>
          </w:p>
        </w:tc>
        <w:tc>
          <w:tcPr>
            <w:tcW w:w="120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38.4</w:t>
            </w:r>
          </w:p>
        </w:tc>
        <w:tc>
          <w:tcPr>
            <w:tcW w:w="1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1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2013 </w:t>
            </w:r>
          </w:p>
        </w:tc>
        <w:tc>
          <w:tcPr>
            <w:tcW w:w="240" w:type="dxa"/>
            <w:tcBorders/>
            <w:shd w:fill="auto" w:val="clear"/>
            <w:tcMar>
              <w:bottom w:w="0" w:type="dxa"/>
            </w:tcMar>
            <w:vAlign w:val="bottom"/>
          </w:tcPr>
          <w:p>
            <w:pPr>
              <w:pStyle w:val="TableContents"/>
              <w:spacing w:before="0" w:after="0"/>
              <w:ind w:left="0" w:right="0" w:hanging="0"/>
              <w:rPr/>
            </w:pPr>
            <w:r>
              <w:rPr/>
              <w:t> </w:t>
            </w:r>
          </w:p>
        </w:tc>
        <w:tc>
          <w:tcPr>
            <w:tcW w:w="1504"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18,781,640</w:t>
            </w:r>
          </w:p>
        </w:tc>
        <w:tc>
          <w:tcPr>
            <w:tcW w:w="240" w:type="dxa"/>
            <w:tcBorders/>
            <w:shd w:fill="auto" w:val="clear"/>
            <w:tcMar>
              <w:bottom w:w="0" w:type="dxa"/>
            </w:tcMar>
            <w:vAlign w:val="bottom"/>
          </w:tcPr>
          <w:p>
            <w:pPr>
              <w:pStyle w:val="TableContents"/>
              <w:spacing w:before="0" w:after="0"/>
              <w:ind w:left="0" w:right="0" w:hanging="0"/>
              <w:rPr/>
            </w:pPr>
            <w:r>
              <w:rPr/>
              <w:t> </w:t>
            </w:r>
          </w:p>
        </w:tc>
        <w:tc>
          <w:tcPr>
            <w:tcW w:w="1205"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40.5</w:t>
            </w:r>
          </w:p>
        </w:tc>
        <w:tc>
          <w:tcPr>
            <w:tcW w:w="162" w:type="dxa"/>
            <w:tcBorders/>
            <w:shd w:fill="auto" w:val="clear"/>
            <w:tcMar>
              <w:bottom w:w="0" w:type="dxa"/>
            </w:tcMar>
            <w:vAlign w:val="bottom"/>
          </w:tcPr>
          <w:p>
            <w:pPr>
              <w:pStyle w:val="TableContents"/>
              <w:spacing w:before="0" w:after="0"/>
              <w:ind w:left="0" w:right="0" w:hanging="0"/>
              <w:rPr/>
            </w:pPr>
            <w:r>
              <w:rPr/>
              <w:t> </w:t>
            </w:r>
          </w:p>
        </w:tc>
      </w:tr>
      <w:tr>
        <w:trPr/>
        <w:tc>
          <w:tcPr>
            <w:tcW w:w="481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2012 </w:t>
            </w:r>
          </w:p>
        </w:tc>
        <w:tc>
          <w:tcPr>
            <w:tcW w:w="240" w:type="dxa"/>
            <w:tcBorders/>
            <w:shd w:fill="CCEEFF" w:val="clear"/>
            <w:tcMar>
              <w:bottom w:w="0" w:type="dxa"/>
            </w:tcMar>
            <w:vAlign w:val="bottom"/>
          </w:tcPr>
          <w:p>
            <w:pPr>
              <w:pStyle w:val="TableContents"/>
              <w:spacing w:before="0" w:after="0"/>
              <w:ind w:left="0" w:right="0" w:hanging="0"/>
              <w:rPr/>
            </w:pPr>
            <w:r>
              <w:rPr/>
              <w:t> </w:t>
            </w:r>
          </w:p>
        </w:tc>
        <w:tc>
          <w:tcPr>
            <w:tcW w:w="1504"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8,307,209</w:t>
            </w:r>
          </w:p>
        </w:tc>
        <w:tc>
          <w:tcPr>
            <w:tcW w:w="240" w:type="dxa"/>
            <w:tcBorders/>
            <w:shd w:fill="CCEEFF" w:val="clear"/>
            <w:tcMar>
              <w:bottom w:w="0" w:type="dxa"/>
            </w:tcMar>
            <w:vAlign w:val="bottom"/>
          </w:tcPr>
          <w:p>
            <w:pPr>
              <w:pStyle w:val="TableContents"/>
              <w:spacing w:before="0" w:after="0"/>
              <w:ind w:left="0" w:right="0" w:hanging="0"/>
              <w:rPr/>
            </w:pPr>
            <w:r>
              <w:rPr/>
              <w:t> </w:t>
            </w:r>
          </w:p>
        </w:tc>
        <w:tc>
          <w:tcPr>
            <w:tcW w:w="120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62" w:type="dxa"/>
            <w:tcBorders/>
            <w:shd w:fill="CCEEFF" w:val="clear"/>
            <w:tcMar>
              <w:bottom w:w="0" w:type="dxa"/>
            </w:tcMar>
            <w:vAlign w:val="bottom"/>
          </w:tcPr>
          <w:p>
            <w:pPr>
              <w:pStyle w:val="TableContents"/>
              <w:spacing w:before="0" w:after="0"/>
              <w:ind w:left="0" w:right="0" w:hanging="0"/>
              <w:rPr/>
            </w:pPr>
            <w:r>
              <w:rPr/>
              <w:t> </w:t>
            </w:r>
          </w:p>
        </w:tc>
      </w:tr>
      <w:tr>
        <w:trPr/>
        <w:tc>
          <w:tcPr>
            <w:tcW w:w="481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2011 </w:t>
            </w:r>
          </w:p>
        </w:tc>
        <w:tc>
          <w:tcPr>
            <w:tcW w:w="240" w:type="dxa"/>
            <w:tcBorders/>
            <w:shd w:fill="auto" w:val="clear"/>
            <w:tcMar>
              <w:bottom w:w="0" w:type="dxa"/>
            </w:tcMar>
            <w:vAlign w:val="bottom"/>
          </w:tcPr>
          <w:p>
            <w:pPr>
              <w:pStyle w:val="TableContents"/>
              <w:spacing w:before="0" w:after="0"/>
              <w:ind w:left="0" w:right="0" w:hanging="0"/>
              <w:rPr/>
            </w:pPr>
            <w:r>
              <w:rPr/>
              <w:t> </w:t>
            </w:r>
          </w:p>
        </w:tc>
        <w:tc>
          <w:tcPr>
            <w:tcW w:w="1504"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1,408,705</w:t>
            </w:r>
          </w:p>
        </w:tc>
        <w:tc>
          <w:tcPr>
            <w:tcW w:w="240" w:type="dxa"/>
            <w:tcBorders/>
            <w:shd w:fill="auto" w:val="clear"/>
            <w:tcMar>
              <w:bottom w:w="0" w:type="dxa"/>
            </w:tcMar>
            <w:vAlign w:val="bottom"/>
          </w:tcPr>
          <w:p>
            <w:pPr>
              <w:pStyle w:val="TableContents"/>
              <w:spacing w:before="0" w:after="0"/>
              <w:ind w:left="0" w:right="0" w:hanging="0"/>
              <w:rPr/>
            </w:pPr>
            <w:r>
              <w:rPr/>
              <w:t> </w:t>
            </w:r>
          </w:p>
        </w:tc>
        <w:tc>
          <w:tcPr>
            <w:tcW w:w="1205"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62" w:type="dxa"/>
            <w:tcBorders/>
            <w:shd w:fill="auto" w:val="clear"/>
            <w:tcMar>
              <w:bottom w:w="0" w:type="dxa"/>
            </w:tcMar>
            <w:vAlign w:val="bottom"/>
          </w:tcPr>
          <w:p>
            <w:pPr>
              <w:pStyle w:val="TableContents"/>
              <w:spacing w:before="0" w:after="0"/>
              <w:ind w:left="0" w:right="0" w:hanging="0"/>
              <w:rPr/>
            </w:pPr>
            <w:r>
              <w:rPr/>
              <w:t> </w:t>
            </w:r>
          </w:p>
        </w:tc>
      </w:tr>
      <w:tr>
        <w:trPr/>
        <w:tc>
          <w:tcPr>
            <w:tcW w:w="481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2010 </w:t>
            </w:r>
          </w:p>
        </w:tc>
        <w:tc>
          <w:tcPr>
            <w:tcW w:w="240" w:type="dxa"/>
            <w:tcBorders/>
            <w:shd w:fill="CCEEFF" w:val="clear"/>
            <w:tcMar>
              <w:bottom w:w="0" w:type="dxa"/>
            </w:tcMar>
            <w:vAlign w:val="bottom"/>
          </w:tcPr>
          <w:p>
            <w:pPr>
              <w:pStyle w:val="TableContents"/>
              <w:spacing w:before="0" w:after="0"/>
              <w:ind w:left="0" w:right="0" w:hanging="0"/>
              <w:rPr/>
            </w:pPr>
            <w:r>
              <w:rPr/>
              <w:t> </w:t>
            </w:r>
          </w:p>
        </w:tc>
        <w:tc>
          <w:tcPr>
            <w:tcW w:w="1504"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83,810</w:t>
            </w:r>
          </w:p>
        </w:tc>
        <w:tc>
          <w:tcPr>
            <w:tcW w:w="240" w:type="dxa"/>
            <w:tcBorders/>
            <w:shd w:fill="CCEEFF" w:val="clear"/>
            <w:tcMar>
              <w:bottom w:w="0" w:type="dxa"/>
            </w:tcMar>
            <w:vAlign w:val="bottom"/>
          </w:tcPr>
          <w:p>
            <w:pPr>
              <w:pStyle w:val="TableContents"/>
              <w:spacing w:before="0" w:after="0"/>
              <w:ind w:left="0" w:right="0" w:hanging="0"/>
              <w:rPr/>
            </w:pPr>
            <w:r>
              <w:rPr/>
              <w:t> </w:t>
            </w:r>
          </w:p>
        </w:tc>
        <w:tc>
          <w:tcPr>
            <w:tcW w:w="1205"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162" w:type="dxa"/>
            <w:tcBorders/>
            <w:shd w:fill="CCEEFF" w:val="clear"/>
            <w:tcMar>
              <w:bottom w:w="0" w:type="dxa"/>
            </w:tcMar>
            <w:vAlign w:val="bottom"/>
          </w:tcPr>
          <w:p>
            <w:pPr>
              <w:pStyle w:val="TableContents"/>
              <w:spacing w:before="0" w:after="0"/>
              <w:ind w:left="0" w:right="0" w:hanging="0"/>
              <w:rPr/>
            </w:pPr>
            <w:r>
              <w:rPr/>
              <w:t> </w:t>
            </w:r>
          </w:p>
        </w:tc>
      </w:tr>
      <w:tr>
        <w:trPr/>
        <w:tc>
          <w:tcPr>
            <w:tcW w:w="4813" w:type="dxa"/>
            <w:tcBorders/>
            <w:shd w:fill="auto" w:val="clear"/>
            <w:tcMar>
              <w:bottom w:w="0" w:type="dxa"/>
            </w:tcMar>
            <w:vAlign w:val="bottom"/>
          </w:tcPr>
          <w:p>
            <w:pPr>
              <w:pStyle w:val="TableContents"/>
              <w:spacing w:before="0" w:after="0"/>
              <w:ind w:left="0" w:right="0" w:hanging="0"/>
              <w:rPr/>
            </w:pPr>
            <w:r>
              <w:rPr/>
              <w:t> </w:t>
            </w:r>
          </w:p>
        </w:tc>
        <w:tc>
          <w:tcPr>
            <w:tcW w:w="240" w:type="dxa"/>
            <w:tcBorders/>
            <w:shd w:fill="auto" w:val="clear"/>
            <w:tcMar>
              <w:bottom w:w="0" w:type="dxa"/>
            </w:tcMar>
            <w:vAlign w:val="bottom"/>
          </w:tcPr>
          <w:p>
            <w:pPr>
              <w:pStyle w:val="TableContents"/>
              <w:spacing w:before="0" w:after="0"/>
              <w:ind w:left="0" w:right="0" w:hanging="0"/>
              <w:rPr/>
            </w:pPr>
            <w:r>
              <w:rPr/>
              <w:t> </w:t>
            </w:r>
          </w:p>
        </w:tc>
        <w:tc>
          <w:tcPr>
            <w:tcW w:w="132"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2"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46,428,526</w:t>
            </w:r>
          </w:p>
        </w:tc>
        <w:tc>
          <w:tcPr>
            <w:tcW w:w="240" w:type="dxa"/>
            <w:tcBorders/>
            <w:shd w:fill="auto" w:val="clear"/>
            <w:tcMar>
              <w:bottom w:w="0" w:type="dxa"/>
            </w:tcMar>
            <w:vAlign w:val="bottom"/>
          </w:tcPr>
          <w:p>
            <w:pPr>
              <w:pStyle w:val="TableContents"/>
              <w:spacing w:before="0" w:after="0"/>
              <w:ind w:left="0" w:right="0" w:hanging="0"/>
              <w:rPr/>
            </w:pPr>
            <w:r>
              <w:rPr/>
              <w:t> </w:t>
            </w:r>
          </w:p>
        </w:tc>
        <w:tc>
          <w:tcPr>
            <w:tcW w:w="1205" w:type="dxa"/>
            <w:tcBorders>
              <w:bottom w:val="double" w:sz="6"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1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Average Premium 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average premium rate is dependent on a number of factors, including: (1) the risk characteristics and average coverage on the mortgages we insure; (2) the mix of monthly premium compared to single premium policies in our portfolio; (3) cancellations of non-refundable single premium policies during the period; and (4) changes to our pricing.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outlines our average premium rate, which reflects net premiums earned as a percentage of average IIF, for the periods presented:</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3243"/>
        <w:gridCol w:w="176"/>
        <w:gridCol w:w="133"/>
        <w:gridCol w:w="1254"/>
        <w:gridCol w:w="230"/>
        <w:gridCol w:w="133"/>
        <w:gridCol w:w="1254"/>
        <w:gridCol w:w="228"/>
        <w:gridCol w:w="132"/>
        <w:gridCol w:w="1245"/>
        <w:gridCol w:w="228"/>
        <w:gridCol w:w="132"/>
        <w:gridCol w:w="1245"/>
        <w:gridCol w:w="163"/>
      </w:tblGrid>
      <w:tr>
        <w:trPr/>
        <w:tc>
          <w:tcPr>
            <w:tcW w:w="3243"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300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w:t>
            </w:r>
          </w:p>
        </w:tc>
        <w:tc>
          <w:tcPr>
            <w:tcW w:w="228" w:type="dxa"/>
            <w:tcBorders/>
            <w:shd w:fill="auto" w:val="clear"/>
            <w:vAlign w:val="bottom"/>
          </w:tcPr>
          <w:p>
            <w:pPr>
              <w:pStyle w:val="TableContents"/>
              <w:spacing w:before="0" w:after="0"/>
              <w:ind w:left="0" w:right="0" w:hanging="0"/>
              <w:jc w:val="center"/>
              <w:rPr/>
            </w:pPr>
            <w:r>
              <w:rPr/>
              <w:t> </w:t>
            </w:r>
          </w:p>
        </w:tc>
        <w:tc>
          <w:tcPr>
            <w:tcW w:w="298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63" w:type="dxa"/>
            <w:tcBorders/>
            <w:shd w:fill="auto" w:val="clear"/>
            <w:vAlign w:val="bottom"/>
          </w:tcPr>
          <w:p>
            <w:pPr>
              <w:pStyle w:val="TableContents"/>
              <w:spacing w:before="0" w:after="0"/>
              <w:ind w:left="0" w:right="0" w:hanging="0"/>
              <w:jc w:val="center"/>
              <w:rPr/>
            </w:pPr>
            <w:r>
              <w:rPr/>
              <w:t> </w:t>
            </w:r>
          </w:p>
        </w:tc>
      </w:tr>
      <w:tr>
        <w:trPr/>
        <w:tc>
          <w:tcPr>
            <w:tcW w:w="324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176" w:type="dxa"/>
            <w:tcBorders/>
            <w:shd w:fill="auto" w:val="clear"/>
            <w:vAlign w:val="bottom"/>
          </w:tcPr>
          <w:p>
            <w:pPr>
              <w:pStyle w:val="TableContents"/>
              <w:spacing w:before="0" w:after="0"/>
              <w:ind w:left="0" w:right="0" w:hanging="0"/>
              <w:jc w:val="center"/>
              <w:rPr/>
            </w:pPr>
            <w:r>
              <w:rPr/>
              <w:t> </w:t>
            </w:r>
          </w:p>
        </w:tc>
        <w:tc>
          <w:tcPr>
            <w:tcW w:w="13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3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8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8" w:type="dxa"/>
            <w:tcBorders/>
            <w:shd w:fill="auto" w:val="clear"/>
            <w:vAlign w:val="bottom"/>
          </w:tcPr>
          <w:p>
            <w:pPr>
              <w:pStyle w:val="TableContents"/>
              <w:spacing w:before="0" w:after="0"/>
              <w:ind w:left="0" w:right="0" w:hanging="0"/>
              <w:jc w:val="center"/>
              <w:rPr/>
            </w:pPr>
            <w:r>
              <w:rPr/>
              <w:t> </w:t>
            </w:r>
          </w:p>
        </w:tc>
        <w:tc>
          <w:tcPr>
            <w:tcW w:w="13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2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7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63" w:type="dxa"/>
            <w:tcBorders/>
            <w:shd w:fill="auto" w:val="clear"/>
            <w:vAlign w:val="bottom"/>
          </w:tcPr>
          <w:p>
            <w:pPr>
              <w:pStyle w:val="TableContents"/>
              <w:spacing w:before="0" w:after="0"/>
              <w:ind w:left="0" w:right="0" w:hanging="0"/>
              <w:jc w:val="center"/>
              <w:rPr/>
            </w:pPr>
            <w:r>
              <w:rPr/>
              <w:t> </w:t>
            </w:r>
          </w:p>
        </w:tc>
      </w:tr>
      <w:tr>
        <w:trPr/>
        <w:tc>
          <w:tcPr>
            <w:tcW w:w="324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premiums earned </w:t>
            </w:r>
          </w:p>
        </w:tc>
        <w:tc>
          <w:tcPr>
            <w:tcW w:w="176"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60,323</w:t>
            </w:r>
          </w:p>
        </w:tc>
        <w:tc>
          <w:tcPr>
            <w:tcW w:w="230"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34,282</w:t>
            </w:r>
          </w:p>
        </w:tc>
        <w:tc>
          <w:tcPr>
            <w:tcW w:w="228"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155,415</w:t>
            </w:r>
          </w:p>
        </w:tc>
        <w:tc>
          <w:tcPr>
            <w:tcW w:w="228"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83,027</w:t>
            </w:r>
          </w:p>
        </w:tc>
        <w:tc>
          <w:tcPr>
            <w:tcW w:w="163" w:type="dxa"/>
            <w:tcBorders/>
            <w:shd w:fill="CCEEFF" w:val="clear"/>
            <w:vAlign w:val="bottom"/>
          </w:tcPr>
          <w:p>
            <w:pPr>
              <w:pStyle w:val="TableContents"/>
              <w:spacing w:before="0" w:after="0"/>
              <w:ind w:left="0" w:right="0" w:hanging="0"/>
              <w:rPr/>
            </w:pPr>
            <w:r>
              <w:rPr/>
              <w:t> </w:t>
            </w:r>
          </w:p>
        </w:tc>
      </w:tr>
      <w:tr>
        <w:trPr/>
        <w:tc>
          <w:tcPr>
            <w:tcW w:w="32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Average IIF during the period </w:t>
            </w:r>
          </w:p>
        </w:tc>
        <w:tc>
          <w:tcPr>
            <w:tcW w:w="176"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43,723,634</w:t>
            </w:r>
          </w:p>
        </w:tc>
        <w:tc>
          <w:tcPr>
            <w:tcW w:w="230"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25,516,938</w:t>
            </w:r>
          </w:p>
        </w:tc>
        <w:tc>
          <w:tcPr>
            <w:tcW w:w="228"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38,202,872</w:t>
            </w:r>
          </w:p>
        </w:tc>
        <w:tc>
          <w:tcPr>
            <w:tcW w:w="228"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20,376,486</w:t>
            </w:r>
          </w:p>
        </w:tc>
        <w:tc>
          <w:tcPr>
            <w:tcW w:w="163" w:type="dxa"/>
            <w:tcBorders/>
            <w:shd w:fill="auto" w:val="clear"/>
            <w:vAlign w:val="bottom"/>
          </w:tcPr>
          <w:p>
            <w:pPr>
              <w:pStyle w:val="TableContents"/>
              <w:spacing w:before="0" w:after="0"/>
              <w:ind w:left="0" w:right="0" w:hanging="0"/>
              <w:rPr/>
            </w:pPr>
            <w:r>
              <w:rPr/>
              <w:t> </w:t>
            </w:r>
          </w:p>
        </w:tc>
      </w:tr>
      <w:tr>
        <w:trPr/>
        <w:tc>
          <w:tcPr>
            <w:tcW w:w="324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Average premium rate (annualized) </w:t>
            </w:r>
          </w:p>
        </w:tc>
        <w:tc>
          <w:tcPr>
            <w:tcW w:w="176" w:type="dxa"/>
            <w:tcBorders/>
            <w:shd w:fill="CCEEFF" w:val="clear"/>
            <w:vAlign w:val="bottom"/>
          </w:tcPr>
          <w:p>
            <w:pPr>
              <w:pStyle w:val="TableContents"/>
              <w:spacing w:before="0" w:after="0"/>
              <w:ind w:left="0" w:right="0" w:hanging="0"/>
              <w:rPr/>
            </w:pPr>
            <w:r>
              <w:rPr/>
              <w:t> </w:t>
            </w:r>
          </w:p>
        </w:tc>
        <w:tc>
          <w:tcPr>
            <w:tcW w:w="13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0.55</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36" w:name="PB_23_131053_2897"/>
      <w:bookmarkEnd w:id="3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Persistency 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Risk to Capital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risk to capital ratio is frequently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Risk to Capital.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2014, the combined net risk in force of our U.S. insurance companies was $10.7 billion and our combined statutory capital was $664.2 million, resulting in a risk to capital ratio of 16.1 to 1. The amount of capital required varies in each jurisdiction in which we operate; however, generally, the maximum permitted risk to capital ratio is 25 to 1. State insurance regulators and, as discussed in  Liquidity and Capital Resources  Private Mortgage Insurer Eligibility Requirements below, the GSEs are currently examining their respective capital rules to determine whether, in light of the recent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months and nine month periods ended September 30, 2014, capital contributions of $25 million and $100 million, respectively, were made by Essent Group Ltd. to our U.S. insurance subsidiaries.  During the three and nine month periods ended September 30, 2013, capital contributions of $0 and $120 million, respectively, were made to our U.S. insurance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results of operations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839"/>
        <w:gridCol w:w="180"/>
        <w:gridCol w:w="171"/>
        <w:gridCol w:w="1197"/>
        <w:gridCol w:w="217"/>
        <w:gridCol w:w="171"/>
        <w:gridCol w:w="1199"/>
        <w:gridCol w:w="192"/>
        <w:gridCol w:w="156"/>
        <w:gridCol w:w="1195"/>
        <w:gridCol w:w="206"/>
        <w:gridCol w:w="156"/>
        <w:gridCol w:w="1197"/>
        <w:gridCol w:w="129"/>
      </w:tblGrid>
      <w:tr>
        <w:trPr/>
        <w:tc>
          <w:tcPr>
            <w:tcW w:w="3839"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Summary of Operations</w:t>
            </w:r>
          </w:p>
        </w:tc>
        <w:tc>
          <w:tcPr>
            <w:tcW w:w="180" w:type="dxa"/>
            <w:tcBorders/>
            <w:shd w:fill="auto" w:val="clear"/>
            <w:vAlign w:val="bottom"/>
          </w:tcPr>
          <w:p>
            <w:pPr>
              <w:pStyle w:val="TableContents"/>
              <w:spacing w:before="0" w:after="0"/>
              <w:ind w:left="0" w:right="0" w:hanging="0"/>
              <w:jc w:val="center"/>
              <w:rPr/>
            </w:pPr>
            <w:r>
              <w:rPr/>
              <w:t> </w:t>
            </w:r>
          </w:p>
        </w:tc>
        <w:tc>
          <w:tcPr>
            <w:tcW w:w="295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w:t>
            </w:r>
          </w:p>
        </w:tc>
        <w:tc>
          <w:tcPr>
            <w:tcW w:w="192" w:type="dxa"/>
            <w:tcBorders/>
            <w:shd w:fill="auto" w:val="clear"/>
            <w:vAlign w:val="bottom"/>
          </w:tcPr>
          <w:p>
            <w:pPr>
              <w:pStyle w:val="TableContents"/>
              <w:spacing w:before="0" w:after="0"/>
              <w:ind w:left="0" w:right="0" w:hanging="0"/>
              <w:jc w:val="center"/>
              <w:rPr/>
            </w:pPr>
            <w:r>
              <w:rPr/>
              <w:t> </w:t>
            </w:r>
          </w:p>
        </w:tc>
        <w:tc>
          <w:tcPr>
            <w:tcW w:w="291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29" w:type="dxa"/>
            <w:tcBorders/>
            <w:shd w:fill="auto" w:val="clear"/>
            <w:vAlign w:val="bottom"/>
          </w:tcPr>
          <w:p>
            <w:pPr>
              <w:pStyle w:val="TableContents"/>
              <w:spacing w:before="0" w:after="0"/>
              <w:ind w:left="0" w:right="0" w:hanging="0"/>
              <w:jc w:val="center"/>
              <w:rPr/>
            </w:pPr>
            <w:r>
              <w:rPr/>
              <w:t> </w:t>
            </w:r>
          </w:p>
        </w:tc>
      </w:tr>
      <w:tr>
        <w:trPr/>
        <w:tc>
          <w:tcPr>
            <w:tcW w:w="383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180" w:type="dxa"/>
            <w:tcBorders/>
            <w:shd w:fill="auto" w:val="clear"/>
            <w:vAlign w:val="bottom"/>
          </w:tcPr>
          <w:p>
            <w:pPr>
              <w:pStyle w:val="TableContents"/>
              <w:spacing w:before="0" w:after="0"/>
              <w:ind w:left="0" w:right="0" w:hanging="0"/>
              <w:jc w:val="center"/>
              <w:rPr/>
            </w:pPr>
            <w:r>
              <w:rPr/>
              <w:t> </w:t>
            </w:r>
          </w:p>
        </w:tc>
        <w:tc>
          <w:tcPr>
            <w:tcW w:w="13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17" w:type="dxa"/>
            <w:tcBorders/>
            <w:shd w:fill="auto" w:val="clear"/>
            <w:vAlign w:val="bottom"/>
          </w:tcPr>
          <w:p>
            <w:pPr>
              <w:pStyle w:val="TableContents"/>
              <w:spacing w:before="0" w:after="0"/>
              <w:ind w:left="0" w:right="0" w:hanging="0"/>
              <w:jc w:val="center"/>
              <w:rPr/>
            </w:pPr>
            <w:r>
              <w:rPr/>
              <w:t> </w:t>
            </w:r>
          </w:p>
        </w:tc>
        <w:tc>
          <w:tcPr>
            <w:tcW w:w="137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92" w:type="dxa"/>
            <w:tcBorders/>
            <w:shd w:fill="auto" w:val="clear"/>
            <w:vAlign w:val="bottom"/>
          </w:tcPr>
          <w:p>
            <w:pPr>
              <w:pStyle w:val="TableContents"/>
              <w:spacing w:before="0" w:after="0"/>
              <w:ind w:left="0" w:right="0" w:hanging="0"/>
              <w:jc w:val="center"/>
              <w:rPr/>
            </w:pPr>
            <w:r>
              <w:rPr/>
              <w:t> </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06" w:type="dxa"/>
            <w:tcBorders/>
            <w:shd w:fill="auto" w:val="clear"/>
            <w:vAlign w:val="bottom"/>
          </w:tcPr>
          <w:p>
            <w:pPr>
              <w:pStyle w:val="TableContents"/>
              <w:spacing w:before="0" w:after="0"/>
              <w:ind w:left="0" w:right="0" w:hanging="0"/>
              <w:jc w:val="center"/>
              <w:rPr/>
            </w:pPr>
            <w:r>
              <w:rPr/>
              <w:t> </w:t>
            </w:r>
          </w:p>
        </w:tc>
        <w:tc>
          <w:tcPr>
            <w:tcW w:w="13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9" w:type="dxa"/>
            <w:tcBorders/>
            <w:shd w:fill="auto" w:val="clear"/>
            <w:vAlign w:val="bottom"/>
          </w:tcPr>
          <w:p>
            <w:pPr>
              <w:pStyle w:val="TableContents"/>
              <w:spacing w:before="0" w:after="0"/>
              <w:ind w:left="0" w:right="0" w:hanging="0"/>
              <w:jc w:val="center"/>
              <w:rPr/>
            </w:pPr>
            <w:r>
              <w:rPr/>
              <w:t> </w:t>
            </w:r>
          </w:p>
        </w:tc>
      </w:tr>
      <w:tr>
        <w:trPr/>
        <w:tc>
          <w:tcPr>
            <w:tcW w:w="3839"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180" w:type="dxa"/>
            <w:tcBorders/>
            <w:shd w:fill="CCEEFF" w:val="clear"/>
            <w:vAlign w:val="bottom"/>
          </w:tcPr>
          <w:p>
            <w:pPr>
              <w:pStyle w:val="TableContents"/>
              <w:spacing w:before="0" w:after="0"/>
              <w:ind w:left="0" w:right="0" w:hanging="0"/>
              <w:rPr/>
            </w:pPr>
            <w:r>
              <w:rPr/>
              <w:t> </w:t>
            </w:r>
          </w:p>
        </w:tc>
        <w:tc>
          <w:tcPr>
            <w:tcW w:w="1368"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38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premiums written </w:t>
            </w:r>
          </w:p>
        </w:tc>
        <w:tc>
          <w:tcPr>
            <w:tcW w:w="180"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77,862</w:t>
            </w:r>
          </w:p>
        </w:tc>
        <w:tc>
          <w:tcPr>
            <w:tcW w:w="217"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55,026</w:t>
            </w:r>
          </w:p>
        </w:tc>
        <w:tc>
          <w:tcPr>
            <w:tcW w:w="192"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193,559</w:t>
            </w:r>
          </w:p>
        </w:tc>
        <w:tc>
          <w:tcPr>
            <w:tcW w:w="206"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133,322</w:t>
            </w:r>
          </w:p>
        </w:tc>
        <w:tc>
          <w:tcPr>
            <w:tcW w:w="129" w:type="dxa"/>
            <w:tcBorders/>
            <w:shd w:fill="auto" w:val="clear"/>
            <w:vAlign w:val="bottom"/>
          </w:tcPr>
          <w:p>
            <w:pPr>
              <w:pStyle w:val="TableContents"/>
              <w:spacing w:before="0" w:after="0"/>
              <w:ind w:left="0" w:right="0" w:hanging="0"/>
              <w:rPr/>
            </w:pPr>
            <w:r>
              <w:rPr/>
              <w:t> </w:t>
            </w:r>
          </w:p>
        </w:tc>
      </w:tr>
      <w:tr>
        <w:trPr/>
        <w:tc>
          <w:tcPr>
            <w:tcW w:w="383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Increase in unearned premiums </w:t>
            </w:r>
          </w:p>
        </w:tc>
        <w:tc>
          <w:tcPr>
            <w:tcW w:w="180" w:type="dxa"/>
            <w:tcBorders/>
            <w:shd w:fill="CCEEFF" w:val="clear"/>
            <w:vAlign w:val="bottom"/>
          </w:tcPr>
          <w:p>
            <w:pPr>
              <w:pStyle w:val="TableContents"/>
              <w:spacing w:before="0" w:after="0"/>
              <w:ind w:left="0" w:right="0" w:hanging="0"/>
              <w:rPr/>
            </w:pPr>
            <w:r>
              <w:rPr/>
              <w:t> </w:t>
            </w:r>
          </w:p>
        </w:tc>
        <w:tc>
          <w:tcPr>
            <w:tcW w:w="13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(17,539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(20,744</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(38,144</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(50,295</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premiums earned </w:t>
            </w:r>
          </w:p>
        </w:tc>
        <w:tc>
          <w:tcPr>
            <w:tcW w:w="180" w:type="dxa"/>
            <w:tcBorders/>
            <w:shd w:fill="auto" w:val="clear"/>
            <w:vAlign w:val="bottom"/>
          </w:tcPr>
          <w:p>
            <w:pPr>
              <w:pStyle w:val="TableContents"/>
              <w:spacing w:before="0" w:after="0"/>
              <w:ind w:left="0" w:right="0" w:hanging="0"/>
              <w:rPr/>
            </w:pPr>
            <w:r>
              <w:rPr/>
              <w:t> </w:t>
            </w:r>
          </w:p>
        </w:tc>
        <w:tc>
          <w:tcPr>
            <w:tcW w:w="13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60,323</w:t>
            </w:r>
          </w:p>
        </w:tc>
        <w:tc>
          <w:tcPr>
            <w:tcW w:w="217"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34,282</w:t>
            </w:r>
          </w:p>
        </w:tc>
        <w:tc>
          <w:tcPr>
            <w:tcW w:w="192"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155,415</w:t>
            </w:r>
          </w:p>
        </w:tc>
        <w:tc>
          <w:tcPr>
            <w:tcW w:w="206"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83,027</w:t>
            </w:r>
          </w:p>
        </w:tc>
        <w:tc>
          <w:tcPr>
            <w:tcW w:w="129" w:type="dxa"/>
            <w:tcBorders/>
            <w:shd w:fill="auto" w:val="clear"/>
            <w:vAlign w:val="bottom"/>
          </w:tcPr>
          <w:p>
            <w:pPr>
              <w:pStyle w:val="TableContents"/>
              <w:spacing w:before="0" w:after="0"/>
              <w:ind w:left="0" w:right="0" w:hanging="0"/>
              <w:rPr/>
            </w:pPr>
            <w:r>
              <w:rPr/>
              <w:t> </w:t>
            </w:r>
          </w:p>
        </w:tc>
      </w:tr>
      <w:tr>
        <w:trPr/>
        <w:tc>
          <w:tcPr>
            <w:tcW w:w="383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investment income </w:t>
            </w:r>
          </w:p>
        </w:tc>
        <w:tc>
          <w:tcPr>
            <w:tcW w:w="180" w:type="dxa"/>
            <w:tcBorders/>
            <w:shd w:fill="CCEEFF" w:val="clear"/>
            <w:vAlign w:val="bottom"/>
          </w:tcPr>
          <w:p>
            <w:pPr>
              <w:pStyle w:val="TableContents"/>
              <w:spacing w:before="0" w:after="0"/>
              <w:ind w:left="0" w:right="0" w:hanging="0"/>
              <w:rPr/>
            </w:pPr>
            <w:r>
              <w:rPr/>
              <w:t> </w:t>
            </w:r>
          </w:p>
        </w:tc>
        <w:tc>
          <w:tcPr>
            <w:tcW w:w="13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3,405</w:t>
            </w:r>
          </w:p>
        </w:tc>
        <w:tc>
          <w:tcPr>
            <w:tcW w:w="217"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1,138</w:t>
            </w:r>
          </w:p>
        </w:tc>
        <w:tc>
          <w:tcPr>
            <w:tcW w:w="192"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8,383</w:t>
            </w:r>
          </w:p>
        </w:tc>
        <w:tc>
          <w:tcPr>
            <w:tcW w:w="206"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2,882</w:t>
            </w:r>
          </w:p>
        </w:tc>
        <w:tc>
          <w:tcPr>
            <w:tcW w:w="129" w:type="dxa"/>
            <w:tcBorders/>
            <w:shd w:fill="CCEEFF" w:val="clear"/>
            <w:vAlign w:val="bottom"/>
          </w:tcPr>
          <w:p>
            <w:pPr>
              <w:pStyle w:val="TableContents"/>
              <w:spacing w:before="0" w:after="0"/>
              <w:ind w:left="0" w:right="0" w:hanging="0"/>
              <w:rPr/>
            </w:pPr>
            <w:r>
              <w:rPr/>
              <w:t> </w:t>
            </w:r>
          </w:p>
        </w:tc>
      </w:tr>
      <w:tr>
        <w:trPr/>
        <w:tc>
          <w:tcPr>
            <w:tcW w:w="38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Realized investment gains, net </w:t>
            </w:r>
          </w:p>
        </w:tc>
        <w:tc>
          <w:tcPr>
            <w:tcW w:w="180" w:type="dxa"/>
            <w:tcBorders/>
            <w:shd w:fill="auto" w:val="clear"/>
            <w:vAlign w:val="bottom"/>
          </w:tcPr>
          <w:p>
            <w:pPr>
              <w:pStyle w:val="TableContents"/>
              <w:spacing w:before="0" w:after="0"/>
              <w:ind w:left="0" w:right="0" w:hanging="0"/>
              <w:rPr/>
            </w:pPr>
            <w:r>
              <w:rPr/>
              <w:t> </w:t>
            </w:r>
          </w:p>
        </w:tc>
        <w:tc>
          <w:tcPr>
            <w:tcW w:w="13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7"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2"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206"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29" w:type="dxa"/>
            <w:tcBorders/>
            <w:shd w:fill="auto" w:val="clear"/>
            <w:vAlign w:val="bottom"/>
          </w:tcPr>
          <w:p>
            <w:pPr>
              <w:pStyle w:val="TableContents"/>
              <w:spacing w:before="0" w:after="0"/>
              <w:ind w:left="0" w:right="0" w:hanging="0"/>
              <w:rPr/>
            </w:pPr>
            <w:r>
              <w:rPr/>
              <w:t> </w:t>
            </w:r>
          </w:p>
        </w:tc>
      </w:tr>
      <w:tr>
        <w:trPr/>
        <w:tc>
          <w:tcPr>
            <w:tcW w:w="383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income </w:t>
            </w:r>
          </w:p>
        </w:tc>
        <w:tc>
          <w:tcPr>
            <w:tcW w:w="180" w:type="dxa"/>
            <w:tcBorders/>
            <w:shd w:fill="CCEEFF" w:val="clear"/>
            <w:vAlign w:val="bottom"/>
          </w:tcPr>
          <w:p>
            <w:pPr>
              <w:pStyle w:val="TableContents"/>
              <w:spacing w:before="0" w:after="0"/>
              <w:ind w:left="0" w:right="0" w:hanging="0"/>
              <w:rPr/>
            </w:pPr>
            <w:r>
              <w:rPr/>
              <w:t> </w:t>
            </w:r>
          </w:p>
        </w:tc>
        <w:tc>
          <w:tcPr>
            <w:tcW w:w="13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w:t>
            </w:r>
          </w:p>
        </w:tc>
        <w:tc>
          <w:tcPr>
            <w:tcW w:w="217" w:type="dxa"/>
            <w:tcBorders/>
            <w:shd w:fill="CCEEFF" w:val="clear"/>
            <w:vAlign w:val="bottom"/>
          </w:tcPr>
          <w:p>
            <w:pPr>
              <w:pStyle w:val="TableContents"/>
              <w:spacing w:before="0" w:after="0"/>
              <w:ind w:left="0" w:right="0" w:hanging="0"/>
              <w:rPr/>
            </w:pPr>
            <w:r>
              <w:rPr/>
              <w:t> </w:t>
            </w:r>
          </w:p>
        </w:tc>
        <w:tc>
          <w:tcPr>
            <w:tcW w:w="13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1,033</w:t>
            </w:r>
          </w:p>
        </w:tc>
        <w:tc>
          <w:tcPr>
            <w:tcW w:w="192" w:type="dxa"/>
            <w:tcBorders/>
            <w:shd w:fill="CCEEFF"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2,308</w:t>
            </w:r>
          </w:p>
        </w:tc>
        <w:tc>
          <w:tcPr>
            <w:tcW w:w="206" w:type="dxa"/>
            <w:tcBorders/>
            <w:shd w:fill="CCEEFF"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3,046</w:t>
            </w:r>
          </w:p>
        </w:tc>
        <w:tc>
          <w:tcPr>
            <w:tcW w:w="129" w:type="dxa"/>
            <w:tcBorders/>
            <w:shd w:fill="CCEEFF" w:val="clear"/>
            <w:vAlign w:val="bottom"/>
          </w:tcPr>
          <w:p>
            <w:pPr>
              <w:pStyle w:val="TableContents"/>
              <w:spacing w:before="0" w:after="0"/>
              <w:ind w:left="0" w:right="0" w:hanging="0"/>
              <w:rPr/>
            </w:pPr>
            <w:r>
              <w:rPr/>
              <w:t> </w:t>
            </w:r>
          </w:p>
        </w:tc>
      </w:tr>
      <w:tr>
        <w:trPr/>
        <w:tc>
          <w:tcPr>
            <w:tcW w:w="38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revenues </w:t>
            </w:r>
          </w:p>
        </w:tc>
        <w:tc>
          <w:tcPr>
            <w:tcW w:w="180" w:type="dxa"/>
            <w:tcBorders/>
            <w:shd w:fill="auto" w:val="clear"/>
            <w:vAlign w:val="bottom"/>
          </w:tcPr>
          <w:p>
            <w:pPr>
              <w:pStyle w:val="TableContents"/>
              <w:spacing w:before="0" w:after="0"/>
              <w:ind w:left="0" w:right="0" w:hanging="0"/>
              <w:rPr/>
            </w:pPr>
            <w:r>
              <w:rPr/>
              <w:t> </w:t>
            </w:r>
          </w:p>
        </w:tc>
        <w:tc>
          <w:tcPr>
            <w:tcW w:w="13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64,621</w:t>
            </w:r>
          </w:p>
        </w:tc>
        <w:tc>
          <w:tcPr>
            <w:tcW w:w="217" w:type="dxa"/>
            <w:tcBorders/>
            <w:shd w:fill="auto" w:val="clear"/>
            <w:vAlign w:val="bottom"/>
          </w:tcPr>
          <w:p>
            <w:pPr>
              <w:pStyle w:val="TableContents"/>
              <w:spacing w:before="0" w:after="0"/>
              <w:ind w:left="0" w:right="0" w:hanging="0"/>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36,455</w:t>
            </w:r>
          </w:p>
        </w:tc>
        <w:tc>
          <w:tcPr>
            <w:tcW w:w="192" w:type="dxa"/>
            <w:tcBorders/>
            <w:shd w:fill="auto"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166,725</w:t>
            </w:r>
          </w:p>
        </w:tc>
        <w:tc>
          <w:tcPr>
            <w:tcW w:w="206" w:type="dxa"/>
            <w:tcBorders/>
            <w:shd w:fill="auto"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89,050</w:t>
            </w:r>
          </w:p>
        </w:tc>
        <w:tc>
          <w:tcPr>
            <w:tcW w:w="129" w:type="dxa"/>
            <w:tcBorders/>
            <w:shd w:fill="auto" w:val="clear"/>
            <w:vAlign w:val="bottom"/>
          </w:tcPr>
          <w:p>
            <w:pPr>
              <w:pStyle w:val="TableContents"/>
              <w:spacing w:before="0" w:after="0"/>
              <w:ind w:left="0" w:right="0" w:hanging="0"/>
              <w:rPr/>
            </w:pPr>
            <w:r>
              <w:rPr/>
              <w:t> </w:t>
            </w:r>
          </w:p>
        </w:tc>
      </w:tr>
      <w:tr>
        <w:trPr/>
        <w:tc>
          <w:tcPr>
            <w:tcW w:w="3839"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pPr>
            <w:r>
              <w:rPr/>
              <w:t> </w:t>
            </w:r>
          </w:p>
        </w:tc>
        <w:tc>
          <w:tcPr>
            <w:tcW w:w="1368"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3839"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Losses and expenses:</w:t>
            </w:r>
          </w:p>
        </w:tc>
        <w:tc>
          <w:tcPr>
            <w:tcW w:w="180" w:type="dxa"/>
            <w:tcBorders/>
            <w:shd w:fill="auto" w:val="clear"/>
            <w:vAlign w:val="bottom"/>
          </w:tcPr>
          <w:p>
            <w:pPr>
              <w:pStyle w:val="TableContents"/>
              <w:spacing w:before="0" w:after="0"/>
              <w:ind w:left="0" w:right="0" w:hanging="0"/>
              <w:rPr/>
            </w:pPr>
            <w:r>
              <w:rPr/>
              <w:t> </w:t>
            </w:r>
          </w:p>
        </w:tc>
        <w:tc>
          <w:tcPr>
            <w:tcW w:w="1368"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383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Provision for losses and LAE </w:t>
            </w:r>
          </w:p>
        </w:tc>
        <w:tc>
          <w:tcPr>
            <w:tcW w:w="180" w:type="dxa"/>
            <w:tcBorders/>
            <w:shd w:fill="CCEEFF" w:val="clear"/>
            <w:vAlign w:val="bottom"/>
          </w:tcPr>
          <w:p>
            <w:pPr>
              <w:pStyle w:val="TableContents"/>
              <w:spacing w:before="0" w:after="0"/>
              <w:ind w:left="0" w:right="0" w:hanging="0"/>
              <w:rPr/>
            </w:pPr>
            <w:r>
              <w:rPr/>
              <w:t> </w:t>
            </w:r>
          </w:p>
        </w:tc>
        <w:tc>
          <w:tcPr>
            <w:tcW w:w="13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1,391</w:t>
            </w:r>
          </w:p>
        </w:tc>
        <w:tc>
          <w:tcPr>
            <w:tcW w:w="217" w:type="dxa"/>
            <w:tcBorders/>
            <w:shd w:fill="CCEEFF" w:val="clear"/>
            <w:vAlign w:val="bottom"/>
          </w:tcPr>
          <w:p>
            <w:pPr>
              <w:pStyle w:val="TableContents"/>
              <w:spacing w:before="0" w:after="0"/>
              <w:ind w:left="0" w:right="0" w:hanging="0"/>
              <w:rPr/>
            </w:pPr>
            <w:r>
              <w:rPr/>
              <w:t> </w:t>
            </w:r>
          </w:p>
        </w:tc>
        <w:tc>
          <w:tcPr>
            <w:tcW w:w="13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192"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3,259</w:t>
            </w:r>
          </w:p>
        </w:tc>
        <w:tc>
          <w:tcPr>
            <w:tcW w:w="206" w:type="dxa"/>
            <w:tcBorders/>
            <w:shd w:fill="CCEEFF" w:val="clear"/>
            <w:vAlign w:val="bottom"/>
          </w:tcPr>
          <w:p>
            <w:pPr>
              <w:pStyle w:val="TableContents"/>
              <w:spacing w:before="0" w:after="0"/>
              <w:ind w:left="0" w:right="0" w:hanging="0"/>
              <w:rPr/>
            </w:pPr>
            <w:r>
              <w:rPr/>
              <w:t> </w:t>
            </w:r>
          </w:p>
        </w:tc>
        <w:tc>
          <w:tcPr>
            <w:tcW w:w="13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1,629</w:t>
            </w:r>
          </w:p>
        </w:tc>
        <w:tc>
          <w:tcPr>
            <w:tcW w:w="129" w:type="dxa"/>
            <w:tcBorders/>
            <w:shd w:fill="CCEEFF" w:val="clear"/>
            <w:vAlign w:val="bottom"/>
          </w:tcPr>
          <w:p>
            <w:pPr>
              <w:pStyle w:val="TableContents"/>
              <w:spacing w:before="0" w:after="0"/>
              <w:ind w:left="0" w:right="0" w:hanging="0"/>
              <w:rPr/>
            </w:pPr>
            <w:r>
              <w:rPr/>
              <w:t> </w:t>
            </w:r>
          </w:p>
        </w:tc>
      </w:tr>
      <w:tr>
        <w:trPr/>
        <w:tc>
          <w:tcPr>
            <w:tcW w:w="38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underwriting and operating expenses </w:t>
            </w:r>
          </w:p>
        </w:tc>
        <w:tc>
          <w:tcPr>
            <w:tcW w:w="180" w:type="dxa"/>
            <w:tcBorders/>
            <w:shd w:fill="auto" w:val="clear"/>
            <w:vAlign w:val="bottom"/>
          </w:tcPr>
          <w:p>
            <w:pPr>
              <w:pStyle w:val="TableContents"/>
              <w:spacing w:before="0" w:after="0"/>
              <w:ind w:left="0" w:right="0" w:hanging="0"/>
              <w:rPr/>
            </w:pPr>
            <w:r>
              <w:rPr/>
              <w:t> </w:t>
            </w:r>
          </w:p>
        </w:tc>
        <w:tc>
          <w:tcPr>
            <w:tcW w:w="13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24,469</w:t>
            </w:r>
          </w:p>
        </w:tc>
        <w:tc>
          <w:tcPr>
            <w:tcW w:w="217" w:type="dxa"/>
            <w:tcBorders/>
            <w:shd w:fill="auto" w:val="clear"/>
            <w:vAlign w:val="bottom"/>
          </w:tcPr>
          <w:p>
            <w:pPr>
              <w:pStyle w:val="TableContents"/>
              <w:spacing w:before="0" w:after="0"/>
              <w:ind w:left="0" w:right="0" w:hanging="0"/>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18,237</w:t>
            </w:r>
          </w:p>
        </w:tc>
        <w:tc>
          <w:tcPr>
            <w:tcW w:w="192" w:type="dxa"/>
            <w:tcBorders/>
            <w:shd w:fill="auto"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71,576</w:t>
            </w:r>
          </w:p>
        </w:tc>
        <w:tc>
          <w:tcPr>
            <w:tcW w:w="206" w:type="dxa"/>
            <w:tcBorders/>
            <w:shd w:fill="auto"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48,756</w:t>
            </w:r>
          </w:p>
        </w:tc>
        <w:tc>
          <w:tcPr>
            <w:tcW w:w="129" w:type="dxa"/>
            <w:tcBorders/>
            <w:shd w:fill="auto" w:val="clear"/>
            <w:vAlign w:val="bottom"/>
          </w:tcPr>
          <w:p>
            <w:pPr>
              <w:pStyle w:val="TableContents"/>
              <w:spacing w:before="0" w:after="0"/>
              <w:ind w:left="0" w:right="0" w:hanging="0"/>
              <w:rPr/>
            </w:pPr>
            <w:r>
              <w:rPr/>
              <w:t> </w:t>
            </w:r>
          </w:p>
        </w:tc>
      </w:tr>
      <w:tr>
        <w:trPr/>
        <w:tc>
          <w:tcPr>
            <w:tcW w:w="383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losses and expenses </w:t>
            </w:r>
          </w:p>
        </w:tc>
        <w:tc>
          <w:tcPr>
            <w:tcW w:w="180" w:type="dxa"/>
            <w:tcBorders/>
            <w:shd w:fill="CCEEFF" w:val="clear"/>
            <w:vAlign w:val="bottom"/>
          </w:tcPr>
          <w:p>
            <w:pPr>
              <w:pStyle w:val="TableContents"/>
              <w:spacing w:before="0" w:after="0"/>
              <w:ind w:left="0" w:right="0" w:hanging="0"/>
              <w:rPr/>
            </w:pPr>
            <w:r>
              <w:rPr/>
              <w:t> </w:t>
            </w:r>
          </w:p>
        </w:tc>
        <w:tc>
          <w:tcPr>
            <w:tcW w:w="13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25,860</w:t>
            </w:r>
          </w:p>
        </w:tc>
        <w:tc>
          <w:tcPr>
            <w:tcW w:w="217" w:type="dxa"/>
            <w:tcBorders/>
            <w:shd w:fill="CCEEFF" w:val="clear"/>
            <w:vAlign w:val="bottom"/>
          </w:tcPr>
          <w:p>
            <w:pPr>
              <w:pStyle w:val="TableContents"/>
              <w:spacing w:before="0" w:after="0"/>
              <w:ind w:left="0" w:right="0" w:hanging="0"/>
              <w:rPr/>
            </w:pPr>
            <w:r>
              <w:rPr/>
              <w:t> </w:t>
            </w:r>
          </w:p>
        </w:tc>
        <w:tc>
          <w:tcPr>
            <w:tcW w:w="13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18,556</w:t>
            </w:r>
          </w:p>
        </w:tc>
        <w:tc>
          <w:tcPr>
            <w:tcW w:w="192" w:type="dxa"/>
            <w:tcBorders/>
            <w:shd w:fill="CCEEFF"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74,835</w:t>
            </w:r>
          </w:p>
        </w:tc>
        <w:tc>
          <w:tcPr>
            <w:tcW w:w="206" w:type="dxa"/>
            <w:tcBorders/>
            <w:shd w:fill="CCEEFF"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50,385</w:t>
            </w:r>
          </w:p>
        </w:tc>
        <w:tc>
          <w:tcPr>
            <w:tcW w:w="129" w:type="dxa"/>
            <w:tcBorders/>
            <w:shd w:fill="CCEEFF" w:val="clear"/>
            <w:vAlign w:val="bottom"/>
          </w:tcPr>
          <w:p>
            <w:pPr>
              <w:pStyle w:val="TableContents"/>
              <w:spacing w:before="0" w:after="0"/>
              <w:ind w:left="0" w:right="0" w:hanging="0"/>
              <w:rPr/>
            </w:pPr>
            <w:r>
              <w:rPr/>
              <w:t> </w:t>
            </w:r>
          </w:p>
        </w:tc>
      </w:tr>
      <w:tr>
        <w:trPr/>
        <w:tc>
          <w:tcPr>
            <w:tcW w:w="38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Income before income taxes </w:t>
            </w:r>
          </w:p>
        </w:tc>
        <w:tc>
          <w:tcPr>
            <w:tcW w:w="180" w:type="dxa"/>
            <w:tcBorders/>
            <w:shd w:fill="auto" w:val="clear"/>
            <w:vAlign w:val="bottom"/>
          </w:tcPr>
          <w:p>
            <w:pPr>
              <w:pStyle w:val="TableContents"/>
              <w:spacing w:before="0" w:after="0"/>
              <w:ind w:left="0" w:right="0" w:hanging="0"/>
              <w:rPr/>
            </w:pPr>
            <w:r>
              <w:rPr/>
              <w:t> </w:t>
            </w:r>
          </w:p>
        </w:tc>
        <w:tc>
          <w:tcPr>
            <w:tcW w:w="13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38,761</w:t>
            </w:r>
          </w:p>
        </w:tc>
        <w:tc>
          <w:tcPr>
            <w:tcW w:w="217" w:type="dxa"/>
            <w:tcBorders/>
            <w:shd w:fill="auto" w:val="clear"/>
            <w:vAlign w:val="bottom"/>
          </w:tcPr>
          <w:p>
            <w:pPr>
              <w:pStyle w:val="TableContents"/>
              <w:spacing w:before="0" w:after="0"/>
              <w:ind w:left="0" w:right="0" w:hanging="0"/>
              <w:rPr/>
            </w:pPr>
            <w:r>
              <w:rPr/>
              <w:t> </w:t>
            </w:r>
          </w:p>
        </w:tc>
        <w:tc>
          <w:tcPr>
            <w:tcW w:w="13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17,899</w:t>
            </w:r>
          </w:p>
        </w:tc>
        <w:tc>
          <w:tcPr>
            <w:tcW w:w="192"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91,890</w:t>
            </w:r>
          </w:p>
        </w:tc>
        <w:tc>
          <w:tcPr>
            <w:tcW w:w="206" w:type="dxa"/>
            <w:tcBorders/>
            <w:shd w:fill="auto" w:val="clear"/>
            <w:vAlign w:val="bottom"/>
          </w:tcPr>
          <w:p>
            <w:pPr>
              <w:pStyle w:val="TableContents"/>
              <w:spacing w:before="0" w:after="0"/>
              <w:ind w:left="0" w:right="0" w:hanging="0"/>
              <w:rPr/>
            </w:pPr>
            <w:r>
              <w:rPr/>
              <w:t> </w:t>
            </w:r>
          </w:p>
        </w:tc>
        <w:tc>
          <w:tcPr>
            <w:tcW w:w="13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38,665</w:t>
            </w:r>
          </w:p>
        </w:tc>
        <w:tc>
          <w:tcPr>
            <w:tcW w:w="129" w:type="dxa"/>
            <w:tcBorders/>
            <w:shd w:fill="auto" w:val="clear"/>
            <w:vAlign w:val="bottom"/>
          </w:tcPr>
          <w:p>
            <w:pPr>
              <w:pStyle w:val="TableContents"/>
              <w:spacing w:before="0" w:after="0"/>
              <w:ind w:left="0" w:right="0" w:hanging="0"/>
              <w:rPr/>
            </w:pPr>
            <w:r>
              <w:rPr/>
              <w:t> </w:t>
            </w:r>
          </w:p>
        </w:tc>
      </w:tr>
      <w:tr>
        <w:trPr/>
        <w:tc>
          <w:tcPr>
            <w:tcW w:w="383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 expense (benefit) </w:t>
            </w:r>
          </w:p>
        </w:tc>
        <w:tc>
          <w:tcPr>
            <w:tcW w:w="180" w:type="dxa"/>
            <w:tcBorders/>
            <w:shd w:fill="CCEEFF" w:val="clear"/>
            <w:vAlign w:val="bottom"/>
          </w:tcPr>
          <w:p>
            <w:pPr>
              <w:pStyle w:val="TableContents"/>
              <w:spacing w:before="0" w:after="0"/>
              <w:ind w:left="0" w:right="0" w:hanging="0"/>
              <w:rPr/>
            </w:pPr>
            <w:r>
              <w:rPr/>
              <w:t> </w:t>
            </w:r>
          </w:p>
        </w:tc>
        <w:tc>
          <w:tcPr>
            <w:tcW w:w="13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13,691</w:t>
            </w:r>
          </w:p>
        </w:tc>
        <w:tc>
          <w:tcPr>
            <w:tcW w:w="217" w:type="dxa"/>
            <w:tcBorders/>
            <w:shd w:fill="CCEEFF" w:val="clear"/>
            <w:vAlign w:val="bottom"/>
          </w:tcPr>
          <w:p>
            <w:pPr>
              <w:pStyle w:val="TableContents"/>
              <w:spacing w:before="0" w:after="0"/>
              <w:ind w:left="0" w:right="0" w:hanging="0"/>
              <w:rPr/>
            </w:pPr>
            <w:r>
              <w:rPr/>
              <w:t> </w:t>
            </w:r>
          </w:p>
        </w:tc>
        <w:tc>
          <w:tcPr>
            <w:tcW w:w="13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2,280</w:t>
            </w:r>
          </w:p>
        </w:tc>
        <w:tc>
          <w:tcPr>
            <w:tcW w:w="192" w:type="dxa"/>
            <w:tcBorders/>
            <w:shd w:fill="CCEEFF"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32,259</w:t>
            </w:r>
          </w:p>
        </w:tc>
        <w:tc>
          <w:tcPr>
            <w:tcW w:w="206" w:type="dxa"/>
            <w:tcBorders/>
            <w:shd w:fill="CCEEFF" w:val="clear"/>
            <w:vAlign w:val="bottom"/>
          </w:tcPr>
          <w:p>
            <w:pPr>
              <w:pStyle w:val="TableContents"/>
              <w:spacing w:before="0" w:after="0"/>
              <w:ind w:left="0" w:right="0" w:hanging="0"/>
              <w:rPr/>
            </w:pPr>
            <w:r>
              <w:rPr/>
              <w:t> </w:t>
            </w:r>
          </w:p>
        </w:tc>
        <w:tc>
          <w:tcPr>
            <w:tcW w:w="13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(7,731</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39" w:type="dxa"/>
            <w:tcBorders/>
            <w:shd w:fill="auto" w:val="clear"/>
          </w:tcPr>
          <w:p>
            <w:pPr>
              <w:pStyle w:val="TableContents"/>
              <w:spacing w:before="0" w:after="0"/>
              <w:ind w:left="0" w:right="0" w:hanging="0"/>
              <w:rPr/>
            </w:pPr>
            <w:r>
              <w:rPr>
                <w:rFonts w:ascii="Times New Roman" w:hAnsi="Times New Roman"/>
                <w:b/>
                <w:sz w:val="17"/>
              </w:rPr>
              <w:t>Net income</w:t>
            </w:r>
            <w:r>
              <w:rPr/>
              <w:t xml:space="preserve"> </w:t>
            </w:r>
          </w:p>
        </w:tc>
        <w:tc>
          <w:tcPr>
            <w:tcW w:w="180"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9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25,070</w:t>
            </w:r>
          </w:p>
        </w:tc>
        <w:tc>
          <w:tcPr>
            <w:tcW w:w="217"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15,619</w:t>
            </w:r>
          </w:p>
        </w:tc>
        <w:tc>
          <w:tcPr>
            <w:tcW w:w="192" w:type="dxa"/>
            <w:tcBorders/>
            <w:shd w:fill="auto" w:val="clear"/>
            <w:vAlign w:val="bottom"/>
          </w:tcPr>
          <w:p>
            <w:pPr>
              <w:pStyle w:val="TableContents"/>
              <w:spacing w:before="0" w:after="0"/>
              <w:ind w:left="0" w:right="0" w:hanging="0"/>
              <w:rPr/>
            </w:pPr>
            <w:r>
              <w:rPr/>
              <w:t> </w:t>
            </w:r>
          </w:p>
        </w:tc>
        <w:tc>
          <w:tcPr>
            <w:tcW w:w="15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59,631</w:t>
            </w:r>
          </w:p>
        </w:tc>
        <w:tc>
          <w:tcPr>
            <w:tcW w:w="206" w:type="dxa"/>
            <w:tcBorders/>
            <w:shd w:fill="auto" w:val="clear"/>
            <w:vAlign w:val="bottom"/>
          </w:tcPr>
          <w:p>
            <w:pPr>
              <w:pStyle w:val="TableContents"/>
              <w:spacing w:before="0" w:after="0"/>
              <w:ind w:left="0" w:right="0" w:hanging="0"/>
              <w:rPr/>
            </w:pPr>
            <w:r>
              <w:rPr/>
              <w:t> </w:t>
            </w:r>
          </w:p>
        </w:tc>
        <w:tc>
          <w:tcPr>
            <w:tcW w:w="15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9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46,396</w:t>
            </w:r>
          </w:p>
        </w:tc>
        <w:tc>
          <w:tcPr>
            <w:tcW w:w="12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Three and Nine Months Ended September 30, 2014 Compared to the Three and Nine Months Ended September 30,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reported net income of $25.1 million for the three months ended September 30, 2014 as compared to $15.6 million for the three months ended September 30, 2013. We reported net income of $59.6 million and $46.4 million for the nine months ended September 30, 2014 and 2013, respectively.  The increases in our net income for the three and nine months ended September 30, 2014 as compared to the same periods of 2013 were primarily due to increases in net premiums earned associated with the growth of our IIF and increases in net investment income, partially offset by increases in other underwriting and operating expenses and the provision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37" w:name="PB_24_131150_3020"/>
      <w:bookmarkEnd w:id="3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losses and loss adjustment expenses.  Also affecting results for the nine months ended September 30, 2013 was an income tax benefit that resulted from the release of the valuation allowance on our deferred tax assets.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Net Premiums Written and Earned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premiums earned increased in the three months ended September 30, 2014 by 76% over the same period of 2013 primarily due to the increase in our average IIF from $25.5 billion for the three months ended September 30, 2013 to $43.7 billion for the three months ended September 30, 2014.  Net premiums earned increased 87% in the nine months ended September 30, 2014 over the same period of 2013 primarily due to the increase in our average IIF from $20.4 billion for the nine months ended September 30, 2013 to $38.2 billion for the nine months ended September 30, 2014.  Net premiums written increased in the three and nine months ended September 30, 2014 by 42% and 45%, respectively, over the three and nine months ended September 30,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three months ended September 30, 2014 and 2013, unearned premiums increased by $17.5 million and $20.7 million, respectively.  The change in unearned premiums was a result of net premiums written on single premium policies of $26.1 million and $25.0 million, respectively, which was partially offset by $8.6 million and $4.3 million, respectively, of unearned premium that was recognized in earnings during the periods.  In the nine months ended September 30, 2014 and 2013, unearned premiums increased by $38.1 million and $50.3 million, respectively.  The change in unearned premiums was a result of net premiums written on single premium policies of $58.2 million and $61.5 million, respectively, which was partially offset by $20.1 million and $11.2 million, respectively, of unearned premium that was recognized in earnings during the periods.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Net Investment Income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net investment income was derived from the following sources for the period indicated:</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3141"/>
        <w:gridCol w:w="172"/>
        <w:gridCol w:w="198"/>
        <w:gridCol w:w="1241"/>
        <w:gridCol w:w="228"/>
        <w:gridCol w:w="198"/>
        <w:gridCol w:w="1243"/>
        <w:gridCol w:w="185"/>
        <w:gridCol w:w="194"/>
        <w:gridCol w:w="1223"/>
        <w:gridCol w:w="225"/>
        <w:gridCol w:w="194"/>
        <w:gridCol w:w="1223"/>
        <w:gridCol w:w="131"/>
      </w:tblGrid>
      <w:tr>
        <w:trPr/>
        <w:tc>
          <w:tcPr>
            <w:tcW w:w="3141"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310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w:t>
            </w:r>
          </w:p>
        </w:tc>
        <w:tc>
          <w:tcPr>
            <w:tcW w:w="185" w:type="dxa"/>
            <w:tcBorders/>
            <w:shd w:fill="auto" w:val="clear"/>
            <w:vAlign w:val="bottom"/>
          </w:tcPr>
          <w:p>
            <w:pPr>
              <w:pStyle w:val="TableContents"/>
              <w:spacing w:before="0" w:after="0"/>
              <w:ind w:left="0" w:right="0" w:hanging="0"/>
              <w:jc w:val="center"/>
              <w:rPr/>
            </w:pPr>
            <w:r>
              <w:rPr/>
              <w:t> </w:t>
            </w:r>
          </w:p>
        </w:tc>
        <w:tc>
          <w:tcPr>
            <w:tcW w:w="305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31" w:type="dxa"/>
            <w:tcBorders/>
            <w:shd w:fill="auto" w:val="clear"/>
            <w:vAlign w:val="bottom"/>
          </w:tcPr>
          <w:p>
            <w:pPr>
              <w:pStyle w:val="TableContents"/>
              <w:spacing w:before="0" w:after="0"/>
              <w:ind w:left="0" w:right="0" w:hanging="0"/>
              <w:jc w:val="center"/>
              <w:rPr/>
            </w:pPr>
            <w:r>
              <w:rPr/>
              <w:t> </w:t>
            </w:r>
          </w:p>
        </w:tc>
      </w:tr>
      <w:tr>
        <w:trPr/>
        <w:tc>
          <w:tcPr>
            <w:tcW w:w="314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172" w:type="dxa"/>
            <w:tcBorders/>
            <w:shd w:fill="auto" w:val="clear"/>
            <w:vAlign w:val="bottom"/>
          </w:tcPr>
          <w:p>
            <w:pPr>
              <w:pStyle w:val="TableContents"/>
              <w:spacing w:before="0" w:after="0"/>
              <w:ind w:left="0" w:right="0" w:hanging="0"/>
              <w:jc w:val="center"/>
              <w:rPr/>
            </w:pPr>
            <w:r>
              <w:rPr/>
              <w:t> </w:t>
            </w:r>
          </w:p>
        </w:tc>
        <w:tc>
          <w:tcPr>
            <w:tcW w:w="14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2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4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85" w:type="dxa"/>
            <w:tcBorders/>
            <w:shd w:fill="auto" w:val="clear"/>
            <w:vAlign w:val="bottom"/>
          </w:tcPr>
          <w:p>
            <w:pPr>
              <w:pStyle w:val="TableContents"/>
              <w:spacing w:before="0" w:after="0"/>
              <w:ind w:left="0" w:right="0" w:hanging="0"/>
              <w:jc w:val="center"/>
              <w:rPr/>
            </w:pPr>
            <w:r>
              <w:rPr/>
              <w:t> </w:t>
            </w:r>
          </w:p>
        </w:tc>
        <w:tc>
          <w:tcPr>
            <w:tcW w:w="14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2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1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31" w:type="dxa"/>
            <w:tcBorders/>
            <w:shd w:fill="auto" w:val="clear"/>
            <w:vAlign w:val="bottom"/>
          </w:tcPr>
          <w:p>
            <w:pPr>
              <w:pStyle w:val="TableContents"/>
              <w:spacing w:before="0" w:after="0"/>
              <w:ind w:left="0" w:right="0" w:hanging="0"/>
              <w:jc w:val="center"/>
              <w:rPr/>
            </w:pPr>
            <w:r>
              <w:rPr/>
              <w:t> </w:t>
            </w:r>
          </w:p>
        </w:tc>
      </w:tr>
      <w:tr>
        <w:trPr/>
        <w:tc>
          <w:tcPr>
            <w:tcW w:w="314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Fixed maturities </w:t>
            </w:r>
          </w:p>
        </w:tc>
        <w:tc>
          <w:tcPr>
            <w:tcW w:w="172"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3,737</w:t>
            </w:r>
          </w:p>
        </w:tc>
        <w:tc>
          <w:tcPr>
            <w:tcW w:w="228"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1,273</w:t>
            </w:r>
          </w:p>
        </w:tc>
        <w:tc>
          <w:tcPr>
            <w:tcW w:w="185" w:type="dxa"/>
            <w:tcBorders/>
            <w:shd w:fill="CCEEFF" w:val="clear"/>
            <w:vAlign w:val="bottom"/>
          </w:tcPr>
          <w:p>
            <w:pPr>
              <w:pStyle w:val="TableContents"/>
              <w:spacing w:before="0" w:after="0"/>
              <w:ind w:left="0" w:right="0" w:hanging="0"/>
              <w:rPr/>
            </w:pPr>
            <w:r>
              <w:rPr/>
              <w:t> </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9,115</w:t>
            </w:r>
          </w:p>
        </w:tc>
        <w:tc>
          <w:tcPr>
            <w:tcW w:w="225" w:type="dxa"/>
            <w:tcBorders/>
            <w:shd w:fill="CCEEFF" w:val="clear"/>
            <w:vAlign w:val="bottom"/>
          </w:tcPr>
          <w:p>
            <w:pPr>
              <w:pStyle w:val="TableContents"/>
              <w:spacing w:before="0" w:after="0"/>
              <w:ind w:left="0" w:right="0" w:hanging="0"/>
              <w:rPr/>
            </w:pPr>
            <w:r>
              <w:rPr/>
              <w:t> </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3,297</w:t>
            </w:r>
          </w:p>
        </w:tc>
        <w:tc>
          <w:tcPr>
            <w:tcW w:w="131" w:type="dxa"/>
            <w:tcBorders/>
            <w:shd w:fill="CCEEFF" w:val="clear"/>
            <w:vAlign w:val="bottom"/>
          </w:tcPr>
          <w:p>
            <w:pPr>
              <w:pStyle w:val="TableContents"/>
              <w:spacing w:before="0" w:after="0"/>
              <w:ind w:left="0" w:right="0" w:hanging="0"/>
              <w:rPr/>
            </w:pPr>
            <w:r>
              <w:rPr/>
              <w:t> </w:t>
            </w:r>
          </w:p>
        </w:tc>
      </w:tr>
      <w:tr>
        <w:trPr/>
        <w:tc>
          <w:tcPr>
            <w:tcW w:w="31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Short-term investments </w:t>
            </w:r>
          </w:p>
        </w:tc>
        <w:tc>
          <w:tcPr>
            <w:tcW w:w="172" w:type="dxa"/>
            <w:tcBorders/>
            <w:shd w:fill="auto" w:val="clear"/>
            <w:vAlign w:val="bottom"/>
          </w:tcPr>
          <w:p>
            <w:pPr>
              <w:pStyle w:val="TableContents"/>
              <w:spacing w:before="0" w:after="0"/>
              <w:ind w:left="0" w:right="0" w:hanging="0"/>
              <w:rPr/>
            </w:pPr>
            <w:r>
              <w:rPr/>
              <w:t> </w:t>
            </w:r>
          </w:p>
        </w:tc>
        <w:tc>
          <w:tcPr>
            <w:tcW w:w="14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8" w:type="dxa"/>
            <w:tcBorders/>
            <w:shd w:fill="auto" w:val="clear"/>
            <w:vAlign w:val="bottom"/>
          </w:tcPr>
          <w:p>
            <w:pPr>
              <w:pStyle w:val="TableContents"/>
              <w:spacing w:before="0" w:after="0"/>
              <w:ind w:left="0" w:right="0" w:hanging="0"/>
              <w:rPr/>
            </w:pPr>
            <w:r>
              <w:rPr/>
              <w:t> </w:t>
            </w:r>
          </w:p>
        </w:tc>
        <w:tc>
          <w:tcPr>
            <w:tcW w:w="14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85" w:type="dxa"/>
            <w:tcBorders/>
            <w:shd w:fill="auto" w:val="clear"/>
            <w:vAlign w:val="bottom"/>
          </w:tcPr>
          <w:p>
            <w:pPr>
              <w:pStyle w:val="TableContents"/>
              <w:spacing w:before="0" w:after="0"/>
              <w:ind w:left="0" w:right="0" w:hanging="0"/>
              <w:rPr/>
            </w:pPr>
            <w:r>
              <w:rPr/>
              <w:t> </w:t>
            </w:r>
          </w:p>
        </w:tc>
        <w:tc>
          <w:tcPr>
            <w:tcW w:w="14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25" w:type="dxa"/>
            <w:tcBorders/>
            <w:shd w:fill="auto" w:val="clear"/>
            <w:vAlign w:val="bottom"/>
          </w:tcPr>
          <w:p>
            <w:pPr>
              <w:pStyle w:val="TableContents"/>
              <w:spacing w:before="0" w:after="0"/>
              <w:ind w:left="0" w:right="0" w:hanging="0"/>
              <w:rPr/>
            </w:pPr>
            <w:r>
              <w:rPr/>
              <w:t> </w:t>
            </w:r>
          </w:p>
        </w:tc>
        <w:tc>
          <w:tcPr>
            <w:tcW w:w="14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31" w:type="dxa"/>
            <w:tcBorders/>
            <w:shd w:fill="auto" w:val="clear"/>
            <w:vAlign w:val="bottom"/>
          </w:tcPr>
          <w:p>
            <w:pPr>
              <w:pStyle w:val="TableContents"/>
              <w:spacing w:before="0" w:after="0"/>
              <w:ind w:left="0" w:right="0" w:hanging="0"/>
              <w:rPr/>
            </w:pPr>
            <w:r>
              <w:rPr/>
              <w:t> </w:t>
            </w:r>
          </w:p>
        </w:tc>
      </w:tr>
      <w:tr>
        <w:trPr/>
        <w:tc>
          <w:tcPr>
            <w:tcW w:w="314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Gross investment income </w:t>
            </w:r>
          </w:p>
        </w:tc>
        <w:tc>
          <w:tcPr>
            <w:tcW w:w="172" w:type="dxa"/>
            <w:tcBorders/>
            <w:shd w:fill="CCEEFF" w:val="clear"/>
            <w:vAlign w:val="bottom"/>
          </w:tcPr>
          <w:p>
            <w:pPr>
              <w:pStyle w:val="TableContents"/>
              <w:spacing w:before="0" w:after="0"/>
              <w:ind w:left="0" w:right="0" w:hanging="0"/>
              <w:rPr/>
            </w:pPr>
            <w:r>
              <w:rPr/>
              <w:t> </w:t>
            </w:r>
          </w:p>
        </w:tc>
        <w:tc>
          <w:tcPr>
            <w:tcW w:w="14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3,751</w:t>
            </w:r>
          </w:p>
        </w:tc>
        <w:tc>
          <w:tcPr>
            <w:tcW w:w="228" w:type="dxa"/>
            <w:tcBorders/>
            <w:shd w:fill="CCEEFF" w:val="clear"/>
            <w:vAlign w:val="bottom"/>
          </w:tcPr>
          <w:p>
            <w:pPr>
              <w:pStyle w:val="TableContents"/>
              <w:spacing w:before="0" w:after="0"/>
              <w:ind w:left="0" w:right="0" w:hanging="0"/>
              <w:rPr/>
            </w:pPr>
            <w:r>
              <w:rPr/>
              <w:t> </w:t>
            </w:r>
          </w:p>
        </w:tc>
        <w:tc>
          <w:tcPr>
            <w:tcW w:w="14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1,283</w:t>
            </w:r>
          </w:p>
        </w:tc>
        <w:tc>
          <w:tcPr>
            <w:tcW w:w="185" w:type="dxa"/>
            <w:tcBorders/>
            <w:shd w:fill="CCEEFF" w:val="clear"/>
            <w:vAlign w:val="bottom"/>
          </w:tcPr>
          <w:p>
            <w:pPr>
              <w:pStyle w:val="TableContents"/>
              <w:spacing w:before="0" w:after="0"/>
              <w:ind w:left="0" w:right="0" w:hanging="0"/>
              <w:rPr/>
            </w:pPr>
            <w:r>
              <w:rPr/>
              <w:t> </w:t>
            </w:r>
          </w:p>
        </w:tc>
        <w:tc>
          <w:tcPr>
            <w:tcW w:w="14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9,160</w:t>
            </w:r>
          </w:p>
        </w:tc>
        <w:tc>
          <w:tcPr>
            <w:tcW w:w="225" w:type="dxa"/>
            <w:tcBorders/>
            <w:shd w:fill="CCEEFF" w:val="clear"/>
            <w:vAlign w:val="bottom"/>
          </w:tcPr>
          <w:p>
            <w:pPr>
              <w:pStyle w:val="TableContents"/>
              <w:spacing w:before="0" w:after="0"/>
              <w:ind w:left="0" w:right="0" w:hanging="0"/>
              <w:rPr/>
            </w:pPr>
            <w:r>
              <w:rPr/>
              <w:t> </w:t>
            </w:r>
          </w:p>
        </w:tc>
        <w:tc>
          <w:tcPr>
            <w:tcW w:w="14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3,311</w:t>
            </w:r>
          </w:p>
        </w:tc>
        <w:tc>
          <w:tcPr>
            <w:tcW w:w="131" w:type="dxa"/>
            <w:tcBorders/>
            <w:shd w:fill="CCEEFF" w:val="clear"/>
            <w:vAlign w:val="bottom"/>
          </w:tcPr>
          <w:p>
            <w:pPr>
              <w:pStyle w:val="TableContents"/>
              <w:spacing w:before="0" w:after="0"/>
              <w:ind w:left="0" w:right="0" w:hanging="0"/>
              <w:rPr/>
            </w:pPr>
            <w:r>
              <w:rPr/>
              <w:t> </w:t>
            </w:r>
          </w:p>
        </w:tc>
      </w:tr>
      <w:tr>
        <w:trPr/>
        <w:tc>
          <w:tcPr>
            <w:tcW w:w="31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Investment expenses </w:t>
            </w:r>
          </w:p>
        </w:tc>
        <w:tc>
          <w:tcPr>
            <w:tcW w:w="172" w:type="dxa"/>
            <w:tcBorders/>
            <w:shd w:fill="auto" w:val="clear"/>
            <w:vAlign w:val="bottom"/>
          </w:tcPr>
          <w:p>
            <w:pPr>
              <w:pStyle w:val="TableContents"/>
              <w:spacing w:before="0" w:after="0"/>
              <w:ind w:left="0" w:right="0" w:hanging="0"/>
              <w:rPr/>
            </w:pPr>
            <w:r>
              <w:rPr/>
              <w:t> </w:t>
            </w:r>
          </w:p>
        </w:tc>
        <w:tc>
          <w:tcPr>
            <w:tcW w:w="14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2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(777</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(429</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4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investment income </w:t>
            </w:r>
          </w:p>
        </w:tc>
        <w:tc>
          <w:tcPr>
            <w:tcW w:w="172" w:type="dxa"/>
            <w:tcBorders/>
            <w:shd w:fill="CCEEFF" w:val="clear"/>
            <w:vAlign w:val="bottom"/>
          </w:tcPr>
          <w:p>
            <w:pPr>
              <w:pStyle w:val="TableContents"/>
              <w:spacing w:before="0" w:after="0"/>
              <w:ind w:left="0" w:right="0" w:hanging="0"/>
              <w:rPr/>
            </w:pPr>
            <w:r>
              <w:rPr/>
              <w:t> </w:t>
            </w:r>
          </w:p>
        </w:tc>
        <w:tc>
          <w:tcPr>
            <w:tcW w:w="19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3,405</w:t>
            </w:r>
          </w:p>
        </w:tc>
        <w:tc>
          <w:tcPr>
            <w:tcW w:w="228" w:type="dxa"/>
            <w:tcBorders/>
            <w:shd w:fill="CCEEFF" w:val="clear"/>
            <w:vAlign w:val="bottom"/>
          </w:tcPr>
          <w:p>
            <w:pPr>
              <w:pStyle w:val="TableContents"/>
              <w:spacing w:before="0" w:after="0"/>
              <w:ind w:left="0" w:right="0" w:hanging="0"/>
              <w:rPr/>
            </w:pPr>
            <w:r>
              <w:rPr/>
              <w:t> </w:t>
            </w:r>
          </w:p>
        </w:tc>
        <w:tc>
          <w:tcPr>
            <w:tcW w:w="19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1,138</w:t>
            </w:r>
          </w:p>
        </w:tc>
        <w:tc>
          <w:tcPr>
            <w:tcW w:w="185" w:type="dxa"/>
            <w:tcBorders/>
            <w:shd w:fill="CCEEFF" w:val="clear"/>
            <w:vAlign w:val="bottom"/>
          </w:tcPr>
          <w:p>
            <w:pPr>
              <w:pStyle w:val="TableContents"/>
              <w:spacing w:before="0" w:after="0"/>
              <w:ind w:left="0" w:right="0" w:hanging="0"/>
              <w:rPr/>
            </w:pPr>
            <w:r>
              <w:rPr/>
              <w:t> </w:t>
            </w:r>
          </w:p>
        </w:tc>
        <w:tc>
          <w:tcPr>
            <w:tcW w:w="19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8,383</w:t>
            </w:r>
          </w:p>
        </w:tc>
        <w:tc>
          <w:tcPr>
            <w:tcW w:w="225" w:type="dxa"/>
            <w:tcBorders/>
            <w:shd w:fill="CCEEFF" w:val="clear"/>
            <w:vAlign w:val="bottom"/>
          </w:tcPr>
          <w:p>
            <w:pPr>
              <w:pStyle w:val="TableContents"/>
              <w:spacing w:before="0" w:after="0"/>
              <w:ind w:left="0" w:right="0" w:hanging="0"/>
              <w:rPr/>
            </w:pPr>
            <w:r>
              <w:rPr/>
              <w:t> </w:t>
            </w:r>
          </w:p>
        </w:tc>
        <w:tc>
          <w:tcPr>
            <w:tcW w:w="19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2,882</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increase in net investment income for the three and nine months ended September 30, 2014 as compared to the same periods of 2013 was primarily due to an increase in the weighted average balance of our investment portfolio as a result of investing the proceeds from our initial public offering, capital contributions from our initial investors in June and March 2013, and cash flows generated from operations. The average cash and investment portfolio balance was $885.0 million for the three months ended September 30, 2014 compared to $449.9 million for the three months ended September 30, 2013.  The average cash and investment portfolio balance was $845.8 million for the nine months ended September 30, 2014 compared to $365.1 million for the same period of 2013. The pre-tax investment income yield was 1.7% and 1.1% in the three months ended September 30, 2014 and 2013, respectively, and 1.4% and 1.2% in the nine months ended September 30, 2014 and 2013, respectively. The pre-tax investment income yields are calculated based on amortized cost. See  Liquidity and Capital Resources below for further details of our investment portfolio.</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Income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income includes fees earned for information technology and customer support services provided to Triad and contract underwriting revenues. The decrease in other income for the three and nine months ended September 30, 2014 compared to the same periods in 2013 was primarily due to a reduction in the number of Triads mortgage insurance policies in force.  The fees earned from Triad will continue to decrease over time as Triads existing policies are cancelled.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38" w:name="PB_25_134202_7056"/>
      <w:bookmarkEnd w:id="3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Provision for Losses and Loss Adjustment Expenses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increases in the provision for losses and LAE in the three and nine months ended September 30, 2014 as compared to the same periods in 2013 were primarily due to an increase in the number of insured loans in default partially offset by previously identified defaults that cured.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presents a rollforward of insured loans in default for the periods indicated:</w:t>
      </w:r>
    </w:p>
    <w:p>
      <w:pPr>
        <w:pStyle w:val="TextBody"/>
        <w:spacing w:before="0" w:after="0"/>
        <w:ind w:left="0" w:right="0" w:hanging="0"/>
        <w:rPr/>
      </w:pPr>
      <w:r>
        <w:rPr/>
        <w:t> </w:t>
      </w:r>
    </w:p>
    <w:tbl>
      <w:tblPr>
        <w:tblW w:w="4500" w:type="pct"/>
        <w:jc w:val="left"/>
        <w:tblInd w:w="0" w:type="dxa"/>
        <w:tblCellMar>
          <w:top w:w="0" w:type="dxa"/>
          <w:left w:w="0" w:type="dxa"/>
          <w:bottom w:w="0" w:type="dxa"/>
          <w:right w:w="0" w:type="dxa"/>
        </w:tblCellMar>
      </w:tblPr>
      <w:tblGrid>
        <w:gridCol w:w="3013"/>
        <w:gridCol w:w="181"/>
        <w:gridCol w:w="1328"/>
        <w:gridCol w:w="222"/>
        <w:gridCol w:w="1307"/>
        <w:gridCol w:w="186"/>
        <w:gridCol w:w="1310"/>
        <w:gridCol w:w="218"/>
        <w:gridCol w:w="1310"/>
        <w:gridCol w:w="109"/>
      </w:tblGrid>
      <w:tr>
        <w:trPr/>
        <w:tc>
          <w:tcPr>
            <w:tcW w:w="3013"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2857"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w:t>
            </w:r>
          </w:p>
        </w:tc>
        <w:tc>
          <w:tcPr>
            <w:tcW w:w="186" w:type="dxa"/>
            <w:tcBorders/>
            <w:shd w:fill="auto" w:val="clear"/>
            <w:vAlign w:val="bottom"/>
          </w:tcPr>
          <w:p>
            <w:pPr>
              <w:pStyle w:val="TableContents"/>
              <w:spacing w:before="0" w:after="0"/>
              <w:ind w:left="0" w:right="0" w:hanging="0"/>
              <w:jc w:val="center"/>
              <w:rPr/>
            </w:pPr>
            <w:r>
              <w:rPr/>
              <w:t> </w:t>
            </w:r>
          </w:p>
        </w:tc>
        <w:tc>
          <w:tcPr>
            <w:tcW w:w="2838"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09" w:type="dxa"/>
            <w:tcBorders/>
            <w:shd w:fill="auto" w:val="clear"/>
            <w:vAlign w:val="bottom"/>
          </w:tcPr>
          <w:p>
            <w:pPr>
              <w:pStyle w:val="TableContents"/>
              <w:spacing w:before="0" w:after="0"/>
              <w:ind w:left="0" w:right="0" w:hanging="0"/>
              <w:jc w:val="center"/>
              <w:rPr/>
            </w:pPr>
            <w:r>
              <w:rPr/>
              <w:t> </w:t>
            </w:r>
          </w:p>
        </w:tc>
      </w:tr>
      <w:tr>
        <w:trPr/>
        <w:tc>
          <w:tcPr>
            <w:tcW w:w="3013"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132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0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86" w:type="dxa"/>
            <w:tcBorders/>
            <w:shd w:fill="auto" w:val="clear"/>
            <w:vAlign w:val="bottom"/>
          </w:tcPr>
          <w:p>
            <w:pPr>
              <w:pStyle w:val="TableContents"/>
              <w:spacing w:before="0" w:after="0"/>
              <w:ind w:left="0" w:right="0" w:hanging="0"/>
              <w:jc w:val="center"/>
              <w:rPr/>
            </w:pPr>
            <w:r>
              <w:rPr/>
              <w:t> </w:t>
            </w:r>
          </w:p>
        </w:tc>
        <w:tc>
          <w:tcPr>
            <w:tcW w:w="131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1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9" w:type="dxa"/>
            <w:tcBorders/>
            <w:shd w:fill="auto" w:val="clear"/>
            <w:vAlign w:val="bottom"/>
          </w:tcPr>
          <w:p>
            <w:pPr>
              <w:pStyle w:val="TableContents"/>
              <w:spacing w:before="0" w:after="0"/>
              <w:ind w:left="0" w:right="0" w:hanging="0"/>
              <w:jc w:val="center"/>
              <w:rPr/>
            </w:pPr>
            <w:r>
              <w:rPr/>
              <w:t> </w:t>
            </w:r>
          </w:p>
        </w:tc>
      </w:tr>
      <w:tr>
        <w:trPr/>
        <w:tc>
          <w:tcPr>
            <w:tcW w:w="30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Beginning default inventory </w:t>
            </w:r>
          </w:p>
        </w:tc>
        <w:tc>
          <w:tcPr>
            <w:tcW w:w="181" w:type="dxa"/>
            <w:tcBorders/>
            <w:shd w:fill="CCEEFF" w:val="clear"/>
            <w:vAlign w:val="bottom"/>
          </w:tcPr>
          <w:p>
            <w:pPr>
              <w:pStyle w:val="TableContents"/>
              <w:spacing w:before="0" w:after="0"/>
              <w:ind w:left="0" w:right="0" w:hanging="0"/>
              <w:rPr/>
            </w:pPr>
            <w:r>
              <w:rPr/>
              <w:t> </w:t>
            </w:r>
          </w:p>
        </w:tc>
        <w:tc>
          <w:tcPr>
            <w:tcW w:w="13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22" w:type="dxa"/>
            <w:tcBorders/>
            <w:shd w:fill="CCEEFF" w:val="clear"/>
            <w:vAlign w:val="bottom"/>
          </w:tcPr>
          <w:p>
            <w:pPr>
              <w:pStyle w:val="TableContents"/>
              <w:spacing w:before="0" w:after="0"/>
              <w:ind w:left="0" w:right="0" w:hanging="0"/>
              <w:rPr/>
            </w:pPr>
            <w:r>
              <w:rPr/>
              <w:t> </w:t>
            </w:r>
          </w:p>
        </w:tc>
        <w:tc>
          <w:tcPr>
            <w:tcW w:w="13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86" w:type="dxa"/>
            <w:tcBorders/>
            <w:shd w:fill="CCEEFF" w:val="clear"/>
            <w:vAlign w:val="bottom"/>
          </w:tcPr>
          <w:p>
            <w:pPr>
              <w:pStyle w:val="TableContents"/>
              <w:spacing w:before="0" w:after="0"/>
              <w:ind w:left="0" w:right="0" w:hanging="0"/>
              <w:rPr/>
            </w:pPr>
            <w:r>
              <w:rPr/>
              <w:t> </w:t>
            </w:r>
          </w:p>
        </w:tc>
        <w:tc>
          <w:tcPr>
            <w:tcW w:w="13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18" w:type="dxa"/>
            <w:tcBorders/>
            <w:shd w:fill="CCEEFF" w:val="clear"/>
            <w:vAlign w:val="bottom"/>
          </w:tcPr>
          <w:p>
            <w:pPr>
              <w:pStyle w:val="TableContents"/>
              <w:spacing w:before="0" w:after="0"/>
              <w:ind w:left="0" w:right="0" w:hanging="0"/>
              <w:rPr/>
            </w:pPr>
            <w:r>
              <w:rPr/>
              <w:t> </w:t>
            </w:r>
          </w:p>
        </w:tc>
        <w:tc>
          <w:tcPr>
            <w:tcW w:w="13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09" w:type="dxa"/>
            <w:tcBorders/>
            <w:shd w:fill="CCEEFF" w:val="clear"/>
            <w:vAlign w:val="bottom"/>
          </w:tcPr>
          <w:p>
            <w:pPr>
              <w:pStyle w:val="TableContents"/>
              <w:spacing w:before="0" w:after="0"/>
              <w:ind w:left="0" w:right="0" w:hanging="0"/>
              <w:rPr/>
            </w:pPr>
            <w:r>
              <w:rPr/>
              <w:t> </w:t>
            </w:r>
          </w:p>
        </w:tc>
      </w:tr>
      <w:tr>
        <w:trPr/>
        <w:tc>
          <w:tcPr>
            <w:tcW w:w="30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Plus: new defaults </w:t>
            </w:r>
          </w:p>
        </w:tc>
        <w:tc>
          <w:tcPr>
            <w:tcW w:w="181" w:type="dxa"/>
            <w:tcBorders/>
            <w:shd w:fill="auto" w:val="clear"/>
            <w:vAlign w:val="bottom"/>
          </w:tcPr>
          <w:p>
            <w:pPr>
              <w:pStyle w:val="TableContents"/>
              <w:spacing w:before="0" w:after="0"/>
              <w:ind w:left="0" w:right="0" w:hanging="0"/>
              <w:rPr/>
            </w:pPr>
            <w:r>
              <w:rPr/>
              <w:t> </w:t>
            </w:r>
          </w:p>
        </w:tc>
        <w:tc>
          <w:tcPr>
            <w:tcW w:w="13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22" w:type="dxa"/>
            <w:tcBorders/>
            <w:shd w:fill="auto" w:val="clear"/>
            <w:vAlign w:val="bottom"/>
          </w:tcPr>
          <w:p>
            <w:pPr>
              <w:pStyle w:val="TableContents"/>
              <w:spacing w:before="0" w:after="0"/>
              <w:ind w:left="0" w:right="0" w:hanging="0"/>
              <w:rPr/>
            </w:pPr>
            <w:r>
              <w:rPr/>
              <w:t> </w:t>
            </w:r>
          </w:p>
        </w:tc>
        <w:tc>
          <w:tcPr>
            <w:tcW w:w="13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86" w:type="dxa"/>
            <w:tcBorders/>
            <w:shd w:fill="auto" w:val="clear"/>
            <w:vAlign w:val="bottom"/>
          </w:tcPr>
          <w:p>
            <w:pPr>
              <w:pStyle w:val="TableContents"/>
              <w:spacing w:before="0" w:after="0"/>
              <w:ind w:left="0" w:right="0" w:hanging="0"/>
              <w:rPr/>
            </w:pPr>
            <w:r>
              <w:rPr/>
              <w:t> </w:t>
            </w:r>
          </w:p>
        </w:tc>
        <w:tc>
          <w:tcPr>
            <w:tcW w:w="1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555</w:t>
            </w:r>
          </w:p>
        </w:tc>
        <w:tc>
          <w:tcPr>
            <w:tcW w:w="218" w:type="dxa"/>
            <w:tcBorders/>
            <w:shd w:fill="auto" w:val="clear"/>
            <w:vAlign w:val="bottom"/>
          </w:tcPr>
          <w:p>
            <w:pPr>
              <w:pStyle w:val="TableContents"/>
              <w:spacing w:before="0" w:after="0"/>
              <w:ind w:left="0" w:right="0" w:hanging="0"/>
              <w:rPr/>
            </w:pPr>
            <w:r>
              <w:rPr/>
              <w:t> </w:t>
            </w:r>
          </w:p>
        </w:tc>
        <w:tc>
          <w:tcPr>
            <w:tcW w:w="1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109" w:type="dxa"/>
            <w:tcBorders/>
            <w:shd w:fill="auto" w:val="clear"/>
            <w:vAlign w:val="bottom"/>
          </w:tcPr>
          <w:p>
            <w:pPr>
              <w:pStyle w:val="TableContents"/>
              <w:spacing w:before="0" w:after="0"/>
              <w:ind w:left="0" w:right="0" w:hanging="0"/>
              <w:rPr/>
            </w:pPr>
            <w:r>
              <w:rPr/>
              <w:t> </w:t>
            </w:r>
          </w:p>
        </w:tc>
      </w:tr>
      <w:tr>
        <w:trPr/>
        <w:tc>
          <w:tcPr>
            <w:tcW w:w="30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Less: cures </w:t>
            </w:r>
          </w:p>
        </w:tc>
        <w:tc>
          <w:tcPr>
            <w:tcW w:w="181" w:type="dxa"/>
            <w:tcBorders/>
            <w:shd w:fill="CCEEFF" w:val="clear"/>
            <w:vAlign w:val="bottom"/>
          </w:tcPr>
          <w:p>
            <w:pPr>
              <w:pStyle w:val="TableContents"/>
              <w:spacing w:before="0" w:after="0"/>
              <w:ind w:left="0" w:right="0" w:hanging="0"/>
              <w:rPr/>
            </w:pPr>
            <w:r>
              <w:rPr/>
              <w:t> </w:t>
            </w:r>
          </w:p>
        </w:tc>
        <w:tc>
          <w:tcPr>
            <w:tcW w:w="13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Less: claims paid </w:t>
            </w:r>
          </w:p>
        </w:tc>
        <w:tc>
          <w:tcPr>
            <w:tcW w:w="181" w:type="dxa"/>
            <w:tcBorders/>
            <w:shd w:fill="auto" w:val="clear"/>
            <w:vAlign w:val="bottom"/>
          </w:tcPr>
          <w:p>
            <w:pPr>
              <w:pStyle w:val="TableContents"/>
              <w:spacing w:before="0" w:after="0"/>
              <w:ind w:left="0" w:right="0" w:hanging="0"/>
              <w:rPr/>
            </w:pPr>
            <w:r>
              <w:rPr/>
              <w:t> </w:t>
            </w:r>
          </w:p>
        </w:tc>
        <w:tc>
          <w:tcPr>
            <w:tcW w:w="132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Ending default inventory </w:t>
            </w:r>
          </w:p>
        </w:tc>
        <w:tc>
          <w:tcPr>
            <w:tcW w:w="181" w:type="dxa"/>
            <w:tcBorders/>
            <w:shd w:fill="CCEEFF" w:val="clear"/>
            <w:vAlign w:val="bottom"/>
          </w:tcPr>
          <w:p>
            <w:pPr>
              <w:pStyle w:val="TableContents"/>
              <w:spacing w:before="0" w:after="0"/>
              <w:ind w:left="0" w:right="0" w:hanging="0"/>
              <w:rPr/>
            </w:pPr>
            <w:r>
              <w:rPr/>
              <w:t> </w:t>
            </w:r>
          </w:p>
        </w:tc>
        <w:tc>
          <w:tcPr>
            <w:tcW w:w="13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22" w:type="dxa"/>
            <w:tcBorders/>
            <w:shd w:fill="CCEEFF" w:val="clear"/>
            <w:vAlign w:val="bottom"/>
          </w:tcPr>
          <w:p>
            <w:pPr>
              <w:pStyle w:val="TableContents"/>
              <w:spacing w:before="0" w:after="0"/>
              <w:ind w:left="0" w:right="0" w:hanging="0"/>
              <w:rPr/>
            </w:pPr>
            <w:r>
              <w:rPr/>
              <w:t> </w:t>
            </w:r>
          </w:p>
        </w:tc>
        <w:tc>
          <w:tcPr>
            <w:tcW w:w="13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186" w:type="dxa"/>
            <w:tcBorders/>
            <w:shd w:fill="CCEEFF" w:val="clear"/>
            <w:vAlign w:val="bottom"/>
          </w:tcPr>
          <w:p>
            <w:pPr>
              <w:pStyle w:val="TableContents"/>
              <w:spacing w:before="0" w:after="0"/>
              <w:ind w:left="0" w:right="0" w:hanging="0"/>
              <w:rPr/>
            </w:pPr>
            <w:r>
              <w:rPr/>
              <w:t> </w:t>
            </w:r>
          </w:p>
        </w:tc>
        <w:tc>
          <w:tcPr>
            <w:tcW w:w="13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18" w:type="dxa"/>
            <w:tcBorders/>
            <w:shd w:fill="CCEEFF" w:val="clear"/>
            <w:vAlign w:val="bottom"/>
          </w:tcPr>
          <w:p>
            <w:pPr>
              <w:pStyle w:val="TableContents"/>
              <w:spacing w:before="0" w:after="0"/>
              <w:ind w:left="0" w:right="0" w:hanging="0"/>
              <w:rPr/>
            </w:pPr>
            <w:r>
              <w:rPr/>
              <w:t> </w:t>
            </w:r>
          </w:p>
        </w:tc>
        <w:tc>
          <w:tcPr>
            <w:tcW w:w="13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10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increase in the number of defaults at September 30, 2014 compared to September 30, 2013 was primarily due to an increase in our IIF and policies in force, as well as further seasoning of our insurance portfolio.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includes additional information about our loans in default as of the dates indicated:</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4795"/>
        <w:gridCol w:w="245"/>
        <w:gridCol w:w="130"/>
        <w:gridCol w:w="1203"/>
        <w:gridCol w:w="297"/>
        <w:gridCol w:w="130"/>
        <w:gridCol w:w="1203"/>
        <w:gridCol w:w="161"/>
      </w:tblGrid>
      <w:tr>
        <w:trPr/>
        <w:tc>
          <w:tcPr>
            <w:tcW w:w="4795" w:type="dxa"/>
            <w:tcBorders/>
            <w:shd w:fill="auto" w:val="clear"/>
            <w:vAlign w:val="bottom"/>
          </w:tcPr>
          <w:p>
            <w:pPr>
              <w:pStyle w:val="TableContents"/>
              <w:spacing w:before="0" w:after="0"/>
              <w:ind w:left="0" w:right="0" w:hanging="0"/>
              <w:rPr/>
            </w:pPr>
            <w:r>
              <w:rPr/>
              <w:t> </w:t>
            </w:r>
          </w:p>
        </w:tc>
        <w:tc>
          <w:tcPr>
            <w:tcW w:w="245" w:type="dxa"/>
            <w:tcBorders/>
            <w:shd w:fill="auto" w:val="clear"/>
            <w:vAlign w:val="bottom"/>
          </w:tcPr>
          <w:p>
            <w:pPr>
              <w:pStyle w:val="TableContents"/>
              <w:spacing w:before="0" w:after="0"/>
              <w:ind w:left="0" w:right="0" w:hanging="0"/>
              <w:jc w:val="center"/>
              <w:rPr/>
            </w:pPr>
            <w:r>
              <w:rPr/>
              <w:t> </w:t>
            </w:r>
          </w:p>
        </w:tc>
        <w:tc>
          <w:tcPr>
            <w:tcW w:w="296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 September 30,</w:t>
            </w:r>
          </w:p>
        </w:tc>
        <w:tc>
          <w:tcPr>
            <w:tcW w:w="161" w:type="dxa"/>
            <w:tcBorders/>
            <w:shd w:fill="auto" w:val="clear"/>
            <w:vAlign w:val="bottom"/>
          </w:tcPr>
          <w:p>
            <w:pPr>
              <w:pStyle w:val="TableContents"/>
              <w:spacing w:before="0" w:after="0"/>
              <w:ind w:left="0" w:right="0" w:hanging="0"/>
              <w:jc w:val="center"/>
              <w:rPr/>
            </w:pPr>
            <w:r>
              <w:rPr/>
              <w:t> </w:t>
            </w:r>
          </w:p>
        </w:tc>
      </w:tr>
      <w:tr>
        <w:trPr/>
        <w:tc>
          <w:tcPr>
            <w:tcW w:w="4795" w:type="dxa"/>
            <w:tcBorders/>
            <w:shd w:fill="auto" w:val="clear"/>
            <w:vAlign w:val="bottom"/>
          </w:tcPr>
          <w:p>
            <w:pPr>
              <w:pStyle w:val="TableContents"/>
              <w:spacing w:before="0" w:after="0"/>
              <w:ind w:left="0" w:right="0" w:hanging="0"/>
              <w:rPr/>
            </w:pPr>
            <w:r>
              <w:rPr/>
              <w:t> </w:t>
            </w:r>
          </w:p>
        </w:tc>
        <w:tc>
          <w:tcPr>
            <w:tcW w:w="245" w:type="dxa"/>
            <w:tcBorders/>
            <w:shd w:fill="auto" w:val="clear"/>
            <w:vAlign w:val="bottom"/>
          </w:tcPr>
          <w:p>
            <w:pPr>
              <w:pStyle w:val="TableContents"/>
              <w:spacing w:before="0" w:after="0"/>
              <w:ind w:left="0" w:right="0" w:hanging="0"/>
              <w:jc w:val="center"/>
              <w:rPr/>
            </w:pPr>
            <w:r>
              <w:rPr/>
              <w:t> </w:t>
            </w:r>
          </w:p>
        </w:tc>
        <w:tc>
          <w:tcPr>
            <w:tcW w:w="13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61" w:type="dxa"/>
            <w:tcBorders/>
            <w:shd w:fill="auto" w:val="clear"/>
            <w:vAlign w:val="bottom"/>
          </w:tcPr>
          <w:p>
            <w:pPr>
              <w:pStyle w:val="TableContents"/>
              <w:spacing w:before="0" w:after="0"/>
              <w:ind w:left="0" w:right="0" w:hanging="0"/>
              <w:jc w:val="center"/>
              <w:rPr/>
            </w:pPr>
            <w:r>
              <w:rPr/>
              <w:t> </w:t>
            </w:r>
          </w:p>
        </w:tc>
      </w:tr>
      <w:tr>
        <w:trPr/>
        <w:tc>
          <w:tcPr>
            <w:tcW w:w="47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Case reserves (in thousands) </w:t>
            </w:r>
          </w:p>
        </w:tc>
        <w:tc>
          <w:tcPr>
            <w:tcW w:w="245"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5,192</w:t>
            </w:r>
          </w:p>
        </w:tc>
        <w:tc>
          <w:tcPr>
            <w:tcW w:w="297"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2,501</w:t>
            </w:r>
          </w:p>
        </w:tc>
        <w:tc>
          <w:tcPr>
            <w:tcW w:w="161" w:type="dxa"/>
            <w:tcBorders/>
            <w:shd w:fill="CCEEFF" w:val="clear"/>
            <w:vAlign w:val="bottom"/>
          </w:tcPr>
          <w:p>
            <w:pPr>
              <w:pStyle w:val="TableContents"/>
              <w:spacing w:before="0" w:after="0"/>
              <w:ind w:left="0" w:right="0" w:hanging="0"/>
              <w:rPr/>
            </w:pPr>
            <w:r>
              <w:rPr/>
              <w:t> </w:t>
            </w:r>
          </w:p>
        </w:tc>
      </w:tr>
      <w:tr>
        <w:trPr/>
        <w:tc>
          <w:tcPr>
            <w:tcW w:w="4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Ending default inventory </w:t>
            </w:r>
          </w:p>
        </w:tc>
        <w:tc>
          <w:tcPr>
            <w:tcW w:w="245" w:type="dxa"/>
            <w:tcBorders/>
            <w:shd w:fill="auto" w:val="clear"/>
            <w:vAlign w:val="bottom"/>
          </w:tcPr>
          <w:p>
            <w:pPr>
              <w:pStyle w:val="TableContents"/>
              <w:spacing w:before="0" w:after="0"/>
              <w:ind w:left="0" w:right="0" w:hanging="0"/>
              <w:rPr/>
            </w:pPr>
            <w:r>
              <w:rPr/>
              <w:t> </w:t>
            </w:r>
          </w:p>
        </w:tc>
        <w:tc>
          <w:tcPr>
            <w:tcW w:w="13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97" w:type="dxa"/>
            <w:tcBorders/>
            <w:shd w:fill="auto" w:val="clear"/>
            <w:vAlign w:val="bottom"/>
          </w:tcPr>
          <w:p>
            <w:pPr>
              <w:pStyle w:val="TableContents"/>
              <w:spacing w:before="0" w:after="0"/>
              <w:ind w:left="0" w:right="0" w:hanging="0"/>
              <w:rPr/>
            </w:pPr>
            <w:r>
              <w:rPr/>
              <w:t> </w:t>
            </w:r>
          </w:p>
        </w:tc>
        <w:tc>
          <w:tcPr>
            <w:tcW w:w="13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161" w:type="dxa"/>
            <w:tcBorders/>
            <w:shd w:fill="auto" w:val="clear"/>
            <w:vAlign w:val="bottom"/>
          </w:tcPr>
          <w:p>
            <w:pPr>
              <w:pStyle w:val="TableContents"/>
              <w:spacing w:before="0" w:after="0"/>
              <w:ind w:left="0" w:right="0" w:hanging="0"/>
              <w:rPr/>
            </w:pPr>
            <w:r>
              <w:rPr/>
              <w:t> </w:t>
            </w:r>
          </w:p>
        </w:tc>
      </w:tr>
      <w:tr>
        <w:trPr/>
        <w:tc>
          <w:tcPr>
            <w:tcW w:w="47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Average reserve per default </w:t>
            </w:r>
          </w:p>
        </w:tc>
        <w:tc>
          <w:tcPr>
            <w:tcW w:w="245"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16,641</w:t>
            </w:r>
          </w:p>
        </w:tc>
        <w:tc>
          <w:tcPr>
            <w:tcW w:w="297"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21,560</w:t>
            </w:r>
          </w:p>
        </w:tc>
        <w:tc>
          <w:tcPr>
            <w:tcW w:w="161" w:type="dxa"/>
            <w:tcBorders/>
            <w:shd w:fill="CCEEFF" w:val="clear"/>
            <w:vAlign w:val="bottom"/>
          </w:tcPr>
          <w:p>
            <w:pPr>
              <w:pStyle w:val="TableContents"/>
              <w:spacing w:before="0" w:after="0"/>
              <w:ind w:left="0" w:right="0" w:hanging="0"/>
              <w:rPr/>
            </w:pPr>
            <w:r>
              <w:rPr/>
              <w:t> </w:t>
            </w:r>
          </w:p>
        </w:tc>
      </w:tr>
      <w:tr>
        <w:trPr/>
        <w:tc>
          <w:tcPr>
            <w:tcW w:w="47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Default rate </w:t>
            </w:r>
          </w:p>
        </w:tc>
        <w:tc>
          <w:tcPr>
            <w:tcW w:w="245" w:type="dxa"/>
            <w:tcBorders/>
            <w:shd w:fill="auto" w:val="clear"/>
            <w:vAlign w:val="bottom"/>
          </w:tcPr>
          <w:p>
            <w:pPr>
              <w:pStyle w:val="TableContents"/>
              <w:spacing w:before="0" w:after="0"/>
              <w:ind w:left="0" w:right="0" w:hanging="0"/>
              <w:rPr/>
            </w:pPr>
            <w:r>
              <w:rPr/>
              <w:t> </w:t>
            </w:r>
          </w:p>
        </w:tc>
        <w:tc>
          <w:tcPr>
            <w:tcW w:w="13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0.15</w:t>
            </w:r>
          </w:p>
        </w:tc>
        <w:tc>
          <w:tcPr>
            <w:tcW w:w="2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0.09</w:t>
            </w:r>
          </w:p>
        </w:tc>
        <w:tc>
          <w:tcPr>
            <w:tcW w:w="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Claims received included in ending default inventory </w:t>
            </w:r>
          </w:p>
        </w:tc>
        <w:tc>
          <w:tcPr>
            <w:tcW w:w="245" w:type="dxa"/>
            <w:tcBorders/>
            <w:shd w:fill="CCEEFF" w:val="clear"/>
            <w:vAlign w:val="bottom"/>
          </w:tcPr>
          <w:p>
            <w:pPr>
              <w:pStyle w:val="TableContents"/>
              <w:spacing w:before="0" w:after="0"/>
              <w:ind w:left="0" w:right="0" w:hanging="0"/>
              <w:rPr/>
            </w:pPr>
            <w:r>
              <w:rPr/>
              <w:t> </w:t>
            </w:r>
          </w:p>
        </w:tc>
        <w:tc>
          <w:tcPr>
            <w:tcW w:w="13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97" w:type="dxa"/>
            <w:tcBorders/>
            <w:shd w:fill="CCEEFF" w:val="clear"/>
            <w:vAlign w:val="bottom"/>
          </w:tcPr>
          <w:p>
            <w:pPr>
              <w:pStyle w:val="TableContents"/>
              <w:spacing w:before="0" w:after="0"/>
              <w:ind w:left="0" w:right="0" w:hanging="0"/>
              <w:rPr/>
            </w:pPr>
            <w:r>
              <w:rPr/>
              <w:t> </w:t>
            </w:r>
          </w:p>
        </w:tc>
        <w:tc>
          <w:tcPr>
            <w:tcW w:w="13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6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decrease in the average reserve per default was primarily due to changes in the composition (such as mark-to-market loan-to-value ratios, risk in force, and number of months past due) of the underlying loans in default.  In addition, historical cure ratios showed improvement in 2014.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provide a reconciliation of the beginning and ending reserve balances for losses and LAE and a detail of reserves and defaulted RIF by the number of missed payments and pending claims:</w:t>
      </w:r>
    </w:p>
    <w:p>
      <w:pPr>
        <w:pStyle w:val="TextBody"/>
        <w:spacing w:before="0" w:after="0"/>
        <w:ind w:left="0" w:right="0" w:hanging="0"/>
        <w:rPr/>
      </w:pPr>
      <w:r>
        <w:rPr/>
        <w:t> </w:t>
      </w:r>
    </w:p>
    <w:tbl>
      <w:tblPr>
        <w:tblW w:w="4900" w:type="pct"/>
        <w:jc w:val="left"/>
        <w:tblInd w:w="0" w:type="dxa"/>
        <w:tblCellMar>
          <w:top w:w="0" w:type="dxa"/>
          <w:left w:w="0" w:type="dxa"/>
          <w:bottom w:w="0" w:type="dxa"/>
          <w:right w:w="0" w:type="dxa"/>
        </w:tblCellMar>
      </w:tblPr>
      <w:tblGrid>
        <w:gridCol w:w="3417"/>
        <w:gridCol w:w="182"/>
        <w:gridCol w:w="199"/>
        <w:gridCol w:w="1213"/>
        <w:gridCol w:w="236"/>
        <w:gridCol w:w="199"/>
        <w:gridCol w:w="1215"/>
        <w:gridCol w:w="195"/>
        <w:gridCol w:w="194"/>
        <w:gridCol w:w="1195"/>
        <w:gridCol w:w="233"/>
        <w:gridCol w:w="194"/>
        <w:gridCol w:w="1196"/>
        <w:gridCol w:w="132"/>
      </w:tblGrid>
      <w:tr>
        <w:trPr/>
        <w:tc>
          <w:tcPr>
            <w:tcW w:w="3417"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306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w:t>
            </w:r>
          </w:p>
        </w:tc>
        <w:tc>
          <w:tcPr>
            <w:tcW w:w="195" w:type="dxa"/>
            <w:tcBorders/>
            <w:shd w:fill="auto" w:val="clear"/>
            <w:vAlign w:val="bottom"/>
          </w:tcPr>
          <w:p>
            <w:pPr>
              <w:pStyle w:val="TableContents"/>
              <w:spacing w:before="0" w:after="0"/>
              <w:ind w:left="0" w:right="0" w:hanging="0"/>
              <w:jc w:val="center"/>
              <w:rPr/>
            </w:pPr>
            <w:r>
              <w:rPr/>
              <w:t> </w:t>
            </w:r>
          </w:p>
        </w:tc>
        <w:tc>
          <w:tcPr>
            <w:tcW w:w="301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32" w:type="dxa"/>
            <w:tcBorders/>
            <w:shd w:fill="auto" w:val="clear"/>
            <w:vAlign w:val="bottom"/>
          </w:tcPr>
          <w:p>
            <w:pPr>
              <w:pStyle w:val="TableContents"/>
              <w:spacing w:before="0" w:after="0"/>
              <w:ind w:left="0" w:right="0" w:hanging="0"/>
              <w:jc w:val="center"/>
              <w:rPr/>
            </w:pPr>
            <w:r>
              <w:rPr/>
              <w:t> </w:t>
            </w:r>
          </w:p>
        </w:tc>
      </w:tr>
      <w:tr>
        <w:trPr/>
        <w:tc>
          <w:tcPr>
            <w:tcW w:w="341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182" w:type="dxa"/>
            <w:tcBorders/>
            <w:shd w:fill="auto" w:val="clear"/>
            <w:vAlign w:val="bottom"/>
          </w:tcPr>
          <w:p>
            <w:pPr>
              <w:pStyle w:val="TableContents"/>
              <w:spacing w:before="0" w:after="0"/>
              <w:ind w:left="0" w:right="0" w:hanging="0"/>
              <w:jc w:val="center"/>
              <w:rPr/>
            </w:pPr>
            <w:r>
              <w:rPr/>
              <w:t> </w:t>
            </w:r>
          </w:p>
        </w:tc>
        <w:tc>
          <w:tcPr>
            <w:tcW w:w="14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3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1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95" w:type="dxa"/>
            <w:tcBorders/>
            <w:shd w:fill="auto" w:val="clear"/>
            <w:vAlign w:val="bottom"/>
          </w:tcPr>
          <w:p>
            <w:pPr>
              <w:pStyle w:val="TableContents"/>
              <w:spacing w:before="0" w:after="0"/>
              <w:ind w:left="0" w:right="0" w:hanging="0"/>
              <w:jc w:val="center"/>
              <w:rPr/>
            </w:pPr>
            <w:r>
              <w:rPr/>
              <w:t> </w:t>
            </w:r>
          </w:p>
        </w:tc>
        <w:tc>
          <w:tcPr>
            <w:tcW w:w="13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3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9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32" w:type="dxa"/>
            <w:tcBorders/>
            <w:shd w:fill="auto" w:val="clear"/>
            <w:vAlign w:val="bottom"/>
          </w:tcPr>
          <w:p>
            <w:pPr>
              <w:pStyle w:val="TableContents"/>
              <w:spacing w:before="0" w:after="0"/>
              <w:ind w:left="0" w:right="0" w:hanging="0"/>
              <w:jc w:val="center"/>
              <w:rPr/>
            </w:pPr>
            <w:r>
              <w:rPr/>
              <w:t> </w:t>
            </w:r>
          </w:p>
        </w:tc>
      </w:tr>
      <w:tr>
        <w:trPr/>
        <w:tc>
          <w:tcPr>
            <w:tcW w:w="34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Reserve for losses and LAE at beginning of period </w:t>
            </w:r>
          </w:p>
        </w:tc>
        <w:tc>
          <w:tcPr>
            <w:tcW w:w="182" w:type="dxa"/>
            <w:tcBorders/>
            <w:shd w:fill="CCEEFF" w:val="clear"/>
            <w:vAlign w:val="bottom"/>
          </w:tcPr>
          <w:p>
            <w:pPr>
              <w:pStyle w:val="TableContents"/>
              <w:spacing w:before="0" w:after="0"/>
              <w:ind w:left="0" w:right="0" w:hanging="0"/>
              <w:rPr/>
            </w:pPr>
            <w:r>
              <w:rPr/>
              <w:t> </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4,506</w:t>
            </w:r>
          </w:p>
        </w:tc>
        <w:tc>
          <w:tcPr>
            <w:tcW w:w="236" w:type="dxa"/>
            <w:tcBorders/>
            <w:shd w:fill="CCEEFF" w:val="clear"/>
            <w:vAlign w:val="bottom"/>
          </w:tcPr>
          <w:p>
            <w:pPr>
              <w:pStyle w:val="TableContents"/>
              <w:spacing w:before="0" w:after="0"/>
              <w:ind w:left="0" w:right="0" w:hanging="0"/>
              <w:rPr/>
            </w:pPr>
            <w:r>
              <w:rPr/>
              <w:t> </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2,548</w:t>
            </w:r>
          </w:p>
        </w:tc>
        <w:tc>
          <w:tcPr>
            <w:tcW w:w="195" w:type="dxa"/>
            <w:tcBorders/>
            <w:shd w:fill="CCEEFF" w:val="clear"/>
            <w:vAlign w:val="bottom"/>
          </w:tcPr>
          <w:p>
            <w:pPr>
              <w:pStyle w:val="TableContents"/>
              <w:spacing w:before="0" w:after="0"/>
              <w:ind w:left="0" w:right="0" w:hanging="0"/>
              <w:rPr/>
            </w:pPr>
            <w:r>
              <w:rPr/>
              <w:t> </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3,070</w:t>
            </w:r>
          </w:p>
        </w:tc>
        <w:tc>
          <w:tcPr>
            <w:tcW w:w="233" w:type="dxa"/>
            <w:tcBorders/>
            <w:shd w:fill="CCEEFF" w:val="clear"/>
            <w:vAlign w:val="bottom"/>
          </w:tcPr>
          <w:p>
            <w:pPr>
              <w:pStyle w:val="TableContents"/>
              <w:spacing w:before="0" w:after="0"/>
              <w:ind w:left="0" w:right="0" w:hanging="0"/>
              <w:rPr/>
            </w:pPr>
            <w:r>
              <w:rPr/>
              <w:t> </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1,499</w:t>
            </w:r>
          </w:p>
        </w:tc>
        <w:tc>
          <w:tcPr>
            <w:tcW w:w="132" w:type="dxa"/>
            <w:tcBorders/>
            <w:shd w:fill="CCEEFF" w:val="clear"/>
            <w:vAlign w:val="bottom"/>
          </w:tcPr>
          <w:p>
            <w:pPr>
              <w:pStyle w:val="TableContents"/>
              <w:spacing w:before="0" w:after="0"/>
              <w:ind w:left="0" w:right="0" w:hanging="0"/>
              <w:rPr/>
            </w:pPr>
            <w:r>
              <w:rPr/>
              <w:t> </w:t>
            </w:r>
          </w:p>
        </w:tc>
      </w:tr>
      <w:tr>
        <w:trPr/>
        <w:tc>
          <w:tcPr>
            <w:tcW w:w="3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 provision for losses and LAE occurring in:</w:t>
            </w:r>
          </w:p>
        </w:tc>
        <w:tc>
          <w:tcPr>
            <w:tcW w:w="182" w:type="dxa"/>
            <w:tcBorders/>
            <w:shd w:fill="auto" w:val="clear"/>
            <w:vAlign w:val="bottom"/>
          </w:tcPr>
          <w:p>
            <w:pPr>
              <w:pStyle w:val="TableContents"/>
              <w:spacing w:before="0" w:after="0"/>
              <w:ind w:left="0" w:right="0" w:hanging="0"/>
              <w:rPr/>
            </w:pPr>
            <w:r>
              <w:rPr/>
              <w:t> </w:t>
            </w:r>
          </w:p>
        </w:tc>
        <w:tc>
          <w:tcPr>
            <w:tcW w:w="1412" w:type="dxa"/>
            <w:gridSpan w:val="2"/>
            <w:tcBorders/>
            <w:shd w:fill="auto" w:val="clear"/>
            <w:vAlign w:val="bottom"/>
          </w:tcPr>
          <w:p>
            <w:pPr>
              <w:pStyle w:val="TableContents"/>
              <w:spacing w:before="0" w:after="0"/>
              <w:ind w:left="0" w:right="0" w:hanging="0"/>
              <w:jc w:val="right"/>
              <w:rPr/>
            </w:pPr>
            <w:r>
              <w:rPr/>
              <w:t> </w:t>
            </w:r>
          </w:p>
        </w:tc>
        <w:tc>
          <w:tcPr>
            <w:tcW w:w="236" w:type="dxa"/>
            <w:tcBorders/>
            <w:shd w:fill="auto" w:val="clear"/>
            <w:vAlign w:val="bottom"/>
          </w:tcPr>
          <w:p>
            <w:pPr>
              <w:pStyle w:val="TableContents"/>
              <w:spacing w:before="0" w:after="0"/>
              <w:ind w:left="0" w:right="0" w:hanging="0"/>
              <w:rPr/>
            </w:pPr>
            <w:r>
              <w:rPr/>
              <w:t> </w:t>
            </w:r>
          </w:p>
        </w:tc>
        <w:tc>
          <w:tcPr>
            <w:tcW w:w="1414"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389" w:type="dxa"/>
            <w:gridSpan w:val="2"/>
            <w:tcBorders/>
            <w:shd w:fill="auto" w:val="clear"/>
            <w:vAlign w:val="bottom"/>
          </w:tcPr>
          <w:p>
            <w:pPr>
              <w:pStyle w:val="TableContents"/>
              <w:spacing w:before="0" w:after="0"/>
              <w:ind w:left="0" w:right="0" w:hanging="0"/>
              <w:jc w:val="right"/>
              <w:rPr/>
            </w:pPr>
            <w:r>
              <w:rPr/>
              <w:t> </w:t>
            </w:r>
          </w:p>
        </w:tc>
        <w:tc>
          <w:tcPr>
            <w:tcW w:w="233"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34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Current period </w:t>
            </w:r>
          </w:p>
        </w:tc>
        <w:tc>
          <w:tcPr>
            <w:tcW w:w="182" w:type="dxa"/>
            <w:tcBorders/>
            <w:shd w:fill="CCEEFF" w:val="clear"/>
            <w:vAlign w:val="bottom"/>
          </w:tcPr>
          <w:p>
            <w:pPr>
              <w:pStyle w:val="TableContents"/>
              <w:spacing w:before="0" w:after="0"/>
              <w:ind w:left="0" w:right="0" w:hanging="0"/>
              <w:rPr/>
            </w:pPr>
            <w:r>
              <w:rPr/>
              <w:t> </w:t>
            </w:r>
          </w:p>
        </w:tc>
        <w:tc>
          <w:tcPr>
            <w:tcW w:w="14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1,502</w:t>
            </w:r>
          </w:p>
        </w:tc>
        <w:tc>
          <w:tcPr>
            <w:tcW w:w="236" w:type="dxa"/>
            <w:tcBorders/>
            <w:shd w:fill="CCEEFF" w:val="clear"/>
            <w:vAlign w:val="bottom"/>
          </w:tcPr>
          <w:p>
            <w:pPr>
              <w:pStyle w:val="TableContents"/>
              <w:spacing w:before="0" w:after="0"/>
              <w:ind w:left="0" w:right="0" w:hanging="0"/>
              <w:rPr/>
            </w:pPr>
            <w:r>
              <w:rPr/>
              <w:t> </w:t>
            </w:r>
          </w:p>
        </w:tc>
        <w:tc>
          <w:tcPr>
            <w:tcW w:w="14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648</w:t>
            </w:r>
          </w:p>
        </w:tc>
        <w:tc>
          <w:tcPr>
            <w:tcW w:w="195" w:type="dxa"/>
            <w:tcBorders/>
            <w:shd w:fill="CCEEFF" w:val="clear"/>
            <w:vAlign w:val="bottom"/>
          </w:tcPr>
          <w:p>
            <w:pPr>
              <w:pStyle w:val="TableContents"/>
              <w:spacing w:before="0" w:after="0"/>
              <w:ind w:left="0" w:right="0" w:hanging="0"/>
              <w:rPr/>
            </w:pPr>
            <w:r>
              <w:rPr/>
              <w:t> </w:t>
            </w:r>
          </w:p>
        </w:tc>
        <w:tc>
          <w:tcPr>
            <w:tcW w:w="13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3,954</w:t>
            </w:r>
          </w:p>
        </w:tc>
        <w:tc>
          <w:tcPr>
            <w:tcW w:w="233"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2,083</w:t>
            </w:r>
          </w:p>
        </w:tc>
        <w:tc>
          <w:tcPr>
            <w:tcW w:w="132" w:type="dxa"/>
            <w:tcBorders/>
            <w:shd w:fill="CCEEFF" w:val="clear"/>
            <w:vAlign w:val="bottom"/>
          </w:tcPr>
          <w:p>
            <w:pPr>
              <w:pStyle w:val="TableContents"/>
              <w:spacing w:before="0" w:after="0"/>
              <w:ind w:left="0" w:right="0" w:hanging="0"/>
              <w:rPr/>
            </w:pPr>
            <w:r>
              <w:rPr/>
              <w:t> </w:t>
            </w:r>
          </w:p>
        </w:tc>
      </w:tr>
      <w:tr>
        <w:trPr/>
        <w:tc>
          <w:tcPr>
            <w:tcW w:w="3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Prior years </w:t>
            </w:r>
          </w:p>
        </w:tc>
        <w:tc>
          <w:tcPr>
            <w:tcW w:w="182" w:type="dxa"/>
            <w:tcBorders/>
            <w:shd w:fill="auto" w:val="clear"/>
            <w:vAlign w:val="bottom"/>
          </w:tcPr>
          <w:p>
            <w:pPr>
              <w:pStyle w:val="TableContents"/>
              <w:spacing w:before="0" w:after="0"/>
              <w:ind w:left="0" w:right="0" w:hanging="0"/>
              <w:rPr/>
            </w:pPr>
            <w:r>
              <w:rPr/>
              <w:t> </w:t>
            </w:r>
          </w:p>
        </w:tc>
        <w:tc>
          <w:tcPr>
            <w:tcW w:w="14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(695</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Incurred losses during the current period </w:t>
            </w:r>
          </w:p>
        </w:tc>
        <w:tc>
          <w:tcPr>
            <w:tcW w:w="182" w:type="dxa"/>
            <w:tcBorders/>
            <w:shd w:fill="CCEEFF" w:val="clear"/>
            <w:vAlign w:val="bottom"/>
          </w:tcPr>
          <w:p>
            <w:pPr>
              <w:pStyle w:val="TableContents"/>
              <w:spacing w:before="0" w:after="0"/>
              <w:ind w:left="0" w:right="0" w:hanging="0"/>
              <w:rPr/>
            </w:pPr>
            <w:r>
              <w:rPr/>
              <w:t> </w:t>
            </w:r>
          </w:p>
        </w:tc>
        <w:tc>
          <w:tcPr>
            <w:tcW w:w="14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1,391</w:t>
            </w:r>
          </w:p>
        </w:tc>
        <w:tc>
          <w:tcPr>
            <w:tcW w:w="236" w:type="dxa"/>
            <w:tcBorders/>
            <w:shd w:fill="CCEEFF" w:val="clear"/>
            <w:vAlign w:val="bottom"/>
          </w:tcPr>
          <w:p>
            <w:pPr>
              <w:pStyle w:val="TableContents"/>
              <w:spacing w:before="0" w:after="0"/>
              <w:ind w:left="0" w:right="0" w:hanging="0"/>
              <w:rPr/>
            </w:pPr>
            <w:r>
              <w:rPr/>
              <w:t> </w:t>
            </w:r>
          </w:p>
        </w:tc>
        <w:tc>
          <w:tcPr>
            <w:tcW w:w="14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195" w:type="dxa"/>
            <w:tcBorders/>
            <w:shd w:fill="CCEEFF" w:val="clear"/>
            <w:vAlign w:val="bottom"/>
          </w:tcPr>
          <w:p>
            <w:pPr>
              <w:pStyle w:val="TableContents"/>
              <w:spacing w:before="0" w:after="0"/>
              <w:ind w:left="0" w:right="0" w:hanging="0"/>
              <w:rPr/>
            </w:pPr>
            <w:r>
              <w:rPr/>
              <w:t> </w:t>
            </w:r>
          </w:p>
        </w:tc>
        <w:tc>
          <w:tcPr>
            <w:tcW w:w="13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3,259</w:t>
            </w:r>
          </w:p>
        </w:tc>
        <w:tc>
          <w:tcPr>
            <w:tcW w:w="233" w:type="dxa"/>
            <w:tcBorders/>
            <w:shd w:fill="CCEEFF"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1,629</w:t>
            </w:r>
          </w:p>
        </w:tc>
        <w:tc>
          <w:tcPr>
            <w:tcW w:w="132" w:type="dxa"/>
            <w:tcBorders/>
            <w:shd w:fill="CCEEFF" w:val="clear"/>
            <w:vAlign w:val="bottom"/>
          </w:tcPr>
          <w:p>
            <w:pPr>
              <w:pStyle w:val="TableContents"/>
              <w:spacing w:before="0" w:after="0"/>
              <w:ind w:left="0" w:right="0" w:hanging="0"/>
              <w:rPr/>
            </w:pPr>
            <w:r>
              <w:rPr/>
              <w:t> </w:t>
            </w:r>
          </w:p>
        </w:tc>
      </w:tr>
      <w:tr>
        <w:trPr/>
        <w:tc>
          <w:tcPr>
            <w:tcW w:w="3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Deduct payments for losses and LAE occurring in:</w:t>
            </w:r>
          </w:p>
        </w:tc>
        <w:tc>
          <w:tcPr>
            <w:tcW w:w="182" w:type="dxa"/>
            <w:tcBorders/>
            <w:shd w:fill="auto" w:val="clear"/>
            <w:vAlign w:val="bottom"/>
          </w:tcPr>
          <w:p>
            <w:pPr>
              <w:pStyle w:val="TableContents"/>
              <w:spacing w:before="0" w:after="0"/>
              <w:ind w:left="0" w:right="0" w:hanging="0"/>
              <w:rPr/>
            </w:pPr>
            <w:r>
              <w:rPr/>
              <w:t> </w:t>
            </w:r>
          </w:p>
        </w:tc>
        <w:tc>
          <w:tcPr>
            <w:tcW w:w="1412" w:type="dxa"/>
            <w:gridSpan w:val="2"/>
            <w:tcBorders/>
            <w:shd w:fill="auto" w:val="clear"/>
            <w:vAlign w:val="bottom"/>
          </w:tcPr>
          <w:p>
            <w:pPr>
              <w:pStyle w:val="TableContents"/>
              <w:spacing w:before="0" w:after="0"/>
              <w:ind w:left="0" w:right="0" w:hanging="0"/>
              <w:jc w:val="right"/>
              <w:rPr/>
            </w:pPr>
            <w:r>
              <w:rPr/>
              <w:t> </w:t>
            </w:r>
          </w:p>
        </w:tc>
        <w:tc>
          <w:tcPr>
            <w:tcW w:w="236" w:type="dxa"/>
            <w:tcBorders/>
            <w:shd w:fill="auto" w:val="clear"/>
            <w:vAlign w:val="bottom"/>
          </w:tcPr>
          <w:p>
            <w:pPr>
              <w:pStyle w:val="TableContents"/>
              <w:spacing w:before="0" w:after="0"/>
              <w:ind w:left="0" w:right="0" w:hanging="0"/>
              <w:rPr/>
            </w:pPr>
            <w:r>
              <w:rPr/>
              <w:t> </w:t>
            </w:r>
          </w:p>
        </w:tc>
        <w:tc>
          <w:tcPr>
            <w:tcW w:w="1414"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389" w:type="dxa"/>
            <w:gridSpan w:val="2"/>
            <w:tcBorders/>
            <w:shd w:fill="auto" w:val="clear"/>
            <w:vAlign w:val="bottom"/>
          </w:tcPr>
          <w:p>
            <w:pPr>
              <w:pStyle w:val="TableContents"/>
              <w:spacing w:before="0" w:after="0"/>
              <w:ind w:left="0" w:right="0" w:hanging="0"/>
              <w:jc w:val="right"/>
              <w:rPr/>
            </w:pPr>
            <w:r>
              <w:rPr/>
              <w:t> </w:t>
            </w:r>
          </w:p>
        </w:tc>
        <w:tc>
          <w:tcPr>
            <w:tcW w:w="233"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34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Current period </w:t>
            </w:r>
          </w:p>
        </w:tc>
        <w:tc>
          <w:tcPr>
            <w:tcW w:w="182" w:type="dxa"/>
            <w:tcBorders/>
            <w:shd w:fill="CCEEFF" w:val="clear"/>
            <w:vAlign w:val="bottom"/>
          </w:tcPr>
          <w:p>
            <w:pPr>
              <w:pStyle w:val="TableContents"/>
              <w:spacing w:before="0" w:after="0"/>
              <w:ind w:left="0" w:right="0" w:hanging="0"/>
              <w:rPr/>
            </w:pPr>
            <w:r>
              <w:rPr/>
              <w:t> </w:t>
            </w:r>
          </w:p>
        </w:tc>
        <w:tc>
          <w:tcPr>
            <w:tcW w:w="14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6" w:type="dxa"/>
            <w:tcBorders/>
            <w:shd w:fill="CCEEFF" w:val="clear"/>
            <w:vAlign w:val="bottom"/>
          </w:tcPr>
          <w:p>
            <w:pPr>
              <w:pStyle w:val="TableContents"/>
              <w:spacing w:before="0" w:after="0"/>
              <w:ind w:left="0" w:right="0" w:hanging="0"/>
              <w:rPr/>
            </w:pPr>
            <w:r>
              <w:rPr/>
              <w:t> </w:t>
            </w:r>
          </w:p>
        </w:tc>
        <w:tc>
          <w:tcPr>
            <w:tcW w:w="14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95" w:type="dxa"/>
            <w:tcBorders/>
            <w:shd w:fill="CCEEFF" w:val="clear"/>
            <w:vAlign w:val="bottom"/>
          </w:tcPr>
          <w:p>
            <w:pPr>
              <w:pStyle w:val="TableContents"/>
              <w:spacing w:before="0" w:after="0"/>
              <w:ind w:left="0" w:right="0" w:hanging="0"/>
              <w:rPr/>
            </w:pPr>
            <w:r>
              <w:rPr/>
              <w:t> </w:t>
            </w:r>
          </w:p>
        </w:tc>
        <w:tc>
          <w:tcPr>
            <w:tcW w:w="13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3"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32" w:type="dxa"/>
            <w:tcBorders/>
            <w:shd w:fill="CCEEFF" w:val="clear"/>
            <w:vAlign w:val="bottom"/>
          </w:tcPr>
          <w:p>
            <w:pPr>
              <w:pStyle w:val="TableContents"/>
              <w:spacing w:before="0" w:after="0"/>
              <w:ind w:left="0" w:right="0" w:hanging="0"/>
              <w:rPr/>
            </w:pPr>
            <w:r>
              <w:rPr/>
              <w:t> </w:t>
            </w:r>
          </w:p>
        </w:tc>
      </w:tr>
      <w:tr>
        <w:trPr/>
        <w:tc>
          <w:tcPr>
            <w:tcW w:w="3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Prior years </w:t>
            </w:r>
          </w:p>
        </w:tc>
        <w:tc>
          <w:tcPr>
            <w:tcW w:w="182" w:type="dxa"/>
            <w:tcBorders/>
            <w:shd w:fill="auto" w:val="clear"/>
            <w:vAlign w:val="bottom"/>
          </w:tcPr>
          <w:p>
            <w:pPr>
              <w:pStyle w:val="TableContents"/>
              <w:spacing w:before="0" w:after="0"/>
              <w:ind w:left="0" w:right="0" w:hanging="0"/>
              <w:rPr/>
            </w:pPr>
            <w:r>
              <w:rPr/>
              <w:t> </w:t>
            </w:r>
          </w:p>
        </w:tc>
        <w:tc>
          <w:tcPr>
            <w:tcW w:w="14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36" w:type="dxa"/>
            <w:tcBorders/>
            <w:shd w:fill="auto" w:val="clear"/>
            <w:vAlign w:val="bottom"/>
          </w:tcPr>
          <w:p>
            <w:pPr>
              <w:pStyle w:val="TableContents"/>
              <w:spacing w:before="0" w:after="0"/>
              <w:ind w:left="0" w:right="0" w:hanging="0"/>
              <w:rPr/>
            </w:pPr>
            <w:r>
              <w:rPr/>
              <w:t> </w:t>
            </w:r>
          </w:p>
        </w:tc>
        <w:tc>
          <w:tcPr>
            <w:tcW w:w="141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95" w:type="dxa"/>
            <w:tcBorders/>
            <w:shd w:fill="auto" w:val="clear"/>
            <w:vAlign w:val="bottom"/>
          </w:tcPr>
          <w:p>
            <w:pPr>
              <w:pStyle w:val="TableContents"/>
              <w:spacing w:before="0" w:after="0"/>
              <w:ind w:left="0" w:right="0" w:hanging="0"/>
              <w:rPr/>
            </w:pPr>
            <w:r>
              <w:rPr/>
              <w:t> </w:t>
            </w:r>
          </w:p>
        </w:tc>
        <w:tc>
          <w:tcPr>
            <w:tcW w:w="13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646</w:t>
            </w:r>
          </w:p>
        </w:tc>
        <w:tc>
          <w:tcPr>
            <w:tcW w:w="233" w:type="dxa"/>
            <w:tcBorders/>
            <w:shd w:fill="auto"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132" w:type="dxa"/>
            <w:tcBorders/>
            <w:shd w:fill="auto" w:val="clear"/>
            <w:vAlign w:val="bottom"/>
          </w:tcPr>
          <w:p>
            <w:pPr>
              <w:pStyle w:val="TableContents"/>
              <w:spacing w:before="0" w:after="0"/>
              <w:ind w:left="0" w:right="0" w:hanging="0"/>
              <w:rPr/>
            </w:pPr>
            <w:r>
              <w:rPr/>
              <w:t> </w:t>
            </w:r>
          </w:p>
        </w:tc>
      </w:tr>
      <w:tr>
        <w:trPr/>
        <w:tc>
          <w:tcPr>
            <w:tcW w:w="34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Loss and LAE payments during the current period </w:t>
            </w:r>
          </w:p>
        </w:tc>
        <w:tc>
          <w:tcPr>
            <w:tcW w:w="182" w:type="dxa"/>
            <w:tcBorders/>
            <w:shd w:fill="CCEEFF" w:val="clear"/>
            <w:vAlign w:val="bottom"/>
          </w:tcPr>
          <w:p>
            <w:pPr>
              <w:pStyle w:val="TableContents"/>
              <w:spacing w:before="0" w:after="0"/>
              <w:ind w:left="0" w:right="0" w:hanging="0"/>
              <w:rPr/>
            </w:pPr>
            <w:r>
              <w:rPr/>
              <w:t> </w:t>
            </w:r>
          </w:p>
        </w:tc>
        <w:tc>
          <w:tcPr>
            <w:tcW w:w="14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236" w:type="dxa"/>
            <w:tcBorders/>
            <w:shd w:fill="CCEEFF" w:val="clear"/>
            <w:vAlign w:val="bottom"/>
          </w:tcPr>
          <w:p>
            <w:pPr>
              <w:pStyle w:val="TableContents"/>
              <w:spacing w:before="0" w:after="0"/>
              <w:ind w:left="0" w:right="0" w:hanging="0"/>
              <w:rPr/>
            </w:pPr>
            <w:r>
              <w:rPr/>
              <w:t> </w:t>
            </w:r>
          </w:p>
        </w:tc>
        <w:tc>
          <w:tcPr>
            <w:tcW w:w="14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95" w:type="dxa"/>
            <w:tcBorders/>
            <w:shd w:fill="CCEEFF" w:val="clear"/>
            <w:vAlign w:val="bottom"/>
          </w:tcPr>
          <w:p>
            <w:pPr>
              <w:pStyle w:val="TableContents"/>
              <w:spacing w:before="0" w:after="0"/>
              <w:ind w:left="0" w:right="0" w:hanging="0"/>
              <w:rPr/>
            </w:pPr>
            <w:r>
              <w:rPr/>
              <w:t> </w:t>
            </w:r>
          </w:p>
        </w:tc>
        <w:tc>
          <w:tcPr>
            <w:tcW w:w="13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647</w:t>
            </w:r>
          </w:p>
        </w:tc>
        <w:tc>
          <w:tcPr>
            <w:tcW w:w="233" w:type="dxa"/>
            <w:tcBorders/>
            <w:shd w:fill="CCEEFF"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w:t>
            </w:r>
          </w:p>
        </w:tc>
        <w:tc>
          <w:tcPr>
            <w:tcW w:w="132" w:type="dxa"/>
            <w:tcBorders/>
            <w:shd w:fill="CCEEFF" w:val="clear"/>
            <w:vAlign w:val="bottom"/>
          </w:tcPr>
          <w:p>
            <w:pPr>
              <w:pStyle w:val="TableContents"/>
              <w:spacing w:before="0" w:after="0"/>
              <w:ind w:left="0" w:right="0" w:hanging="0"/>
              <w:rPr/>
            </w:pPr>
            <w:r>
              <w:rPr/>
              <w:t> </w:t>
            </w:r>
          </w:p>
        </w:tc>
      </w:tr>
      <w:tr>
        <w:trPr/>
        <w:tc>
          <w:tcPr>
            <w:tcW w:w="3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Reserve for losses and LAE at end of period </w:t>
            </w:r>
          </w:p>
        </w:tc>
        <w:tc>
          <w:tcPr>
            <w:tcW w:w="182" w:type="dxa"/>
            <w:tcBorders/>
            <w:shd w:fill="auto" w:val="clear"/>
            <w:vAlign w:val="bottom"/>
          </w:tcPr>
          <w:p>
            <w:pPr>
              <w:pStyle w:val="TableContents"/>
              <w:spacing w:before="0" w:after="0"/>
              <w:ind w:left="0" w:right="0" w:hanging="0"/>
              <w:rPr/>
            </w:pPr>
            <w:r>
              <w:rPr/>
              <w:t> </w:t>
            </w:r>
          </w:p>
        </w:tc>
        <w:tc>
          <w:tcPr>
            <w:tcW w:w="19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5,682</w:t>
            </w:r>
          </w:p>
        </w:tc>
        <w:tc>
          <w:tcPr>
            <w:tcW w:w="236" w:type="dxa"/>
            <w:tcBorders/>
            <w:shd w:fill="auto" w:val="clear"/>
            <w:vAlign w:val="bottom"/>
          </w:tcPr>
          <w:p>
            <w:pPr>
              <w:pStyle w:val="TableContents"/>
              <w:spacing w:before="0" w:after="0"/>
              <w:ind w:left="0" w:right="0" w:hanging="0"/>
              <w:rPr/>
            </w:pPr>
            <w:r>
              <w:rPr/>
              <w:t> </w:t>
            </w:r>
          </w:p>
        </w:tc>
        <w:tc>
          <w:tcPr>
            <w:tcW w:w="19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2,727</w:t>
            </w:r>
          </w:p>
        </w:tc>
        <w:tc>
          <w:tcPr>
            <w:tcW w:w="195" w:type="dxa"/>
            <w:tcBorders/>
            <w:shd w:fill="auto" w:val="clear"/>
            <w:vAlign w:val="bottom"/>
          </w:tcPr>
          <w:p>
            <w:pPr>
              <w:pStyle w:val="TableContents"/>
              <w:spacing w:before="0" w:after="0"/>
              <w:ind w:left="0" w:right="0" w:hanging="0"/>
              <w:rPr/>
            </w:pPr>
            <w:r>
              <w:rPr/>
              <w:t> </w:t>
            </w:r>
          </w:p>
        </w:tc>
        <w:tc>
          <w:tcPr>
            <w:tcW w:w="19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5,682</w:t>
            </w:r>
          </w:p>
        </w:tc>
        <w:tc>
          <w:tcPr>
            <w:tcW w:w="233" w:type="dxa"/>
            <w:tcBorders/>
            <w:shd w:fill="auto" w:val="clear"/>
            <w:vAlign w:val="bottom"/>
          </w:tcPr>
          <w:p>
            <w:pPr>
              <w:pStyle w:val="TableContents"/>
              <w:spacing w:before="0" w:after="0"/>
              <w:ind w:left="0" w:right="0" w:hanging="0"/>
              <w:rPr/>
            </w:pPr>
            <w:r>
              <w:rPr/>
              <w:t> </w:t>
            </w:r>
          </w:p>
        </w:tc>
        <w:tc>
          <w:tcPr>
            <w:tcW w:w="19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2,727</w:t>
            </w:r>
          </w:p>
        </w:tc>
        <w:tc>
          <w:tcPr>
            <w:tcW w:w="13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39" w:name="PB_26_134906_5335"/>
      <w:bookmarkEnd w:id="3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092"/>
        <w:gridCol w:w="102"/>
        <w:gridCol w:w="956"/>
        <w:gridCol w:w="102"/>
        <w:gridCol w:w="1106"/>
        <w:gridCol w:w="296"/>
        <w:gridCol w:w="130"/>
        <w:gridCol w:w="826"/>
        <w:gridCol w:w="102"/>
        <w:gridCol w:w="1185"/>
        <w:gridCol w:w="296"/>
        <w:gridCol w:w="122"/>
        <w:gridCol w:w="830"/>
        <w:gridCol w:w="101"/>
        <w:gridCol w:w="1106"/>
        <w:gridCol w:w="853"/>
      </w:tblGrid>
      <w:tr>
        <w:trPr/>
        <w:tc>
          <w:tcPr>
            <w:tcW w:w="2092"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7158" w:type="dxa"/>
            <w:gridSpan w:val="1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 September 30, 2014</w:t>
            </w:r>
          </w:p>
        </w:tc>
        <w:tc>
          <w:tcPr>
            <w:tcW w:w="853" w:type="dxa"/>
            <w:tcBorders/>
            <w:shd w:fill="auto" w:val="clear"/>
            <w:vAlign w:val="bottom"/>
          </w:tcPr>
          <w:p>
            <w:pPr>
              <w:pStyle w:val="TableContents"/>
              <w:spacing w:before="0" w:after="0"/>
              <w:ind w:left="0" w:right="0" w:hanging="0"/>
              <w:jc w:val="center"/>
              <w:rPr/>
            </w:pPr>
            <w:r>
              <w:rPr/>
              <w:t> </w:t>
            </w:r>
          </w:p>
        </w:tc>
      </w:tr>
      <w:tr>
        <w:trPr/>
        <w:tc>
          <w:tcPr>
            <w:tcW w:w="209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102" w:type="dxa"/>
            <w:tcBorders/>
            <w:shd w:fill="auto" w:val="clear"/>
            <w:vAlign w:val="bottom"/>
          </w:tcPr>
          <w:p>
            <w:pPr>
              <w:pStyle w:val="TableContents"/>
              <w:spacing w:before="0" w:after="0"/>
              <w:ind w:left="0" w:right="0" w:hanging="0"/>
              <w:jc w:val="center"/>
              <w:rPr/>
            </w:pPr>
            <w:r>
              <w:rPr/>
              <w:t> </w:t>
            </w:r>
          </w:p>
        </w:tc>
        <w:tc>
          <w:tcPr>
            <w:tcW w:w="95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w:t>
              <w:br/>
              <w:t>Policies in</w:t>
              <w:br/>
              <w:t>Default</w:t>
            </w:r>
          </w:p>
        </w:tc>
        <w:tc>
          <w:tcPr>
            <w:tcW w:w="1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0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Percentage of</w:t>
              <w:br/>
              <w:t>Policies in</w:t>
              <w:br/>
              <w:t>Default</w:t>
            </w:r>
          </w:p>
        </w:tc>
        <w:tc>
          <w:tcPr>
            <w:tcW w:w="2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5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 of</w:t>
              <w:br/>
              <w:t>Reserves</w:t>
            </w:r>
          </w:p>
        </w:tc>
        <w:tc>
          <w:tcPr>
            <w:tcW w:w="1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8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Percentage of</w:t>
              <w:br/>
              <w:t>Reserves</w:t>
            </w:r>
          </w:p>
        </w:tc>
        <w:tc>
          <w:tcPr>
            <w:tcW w:w="2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5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Defaulted</w:t>
              <w:br/>
              <w:t>RIF</w:t>
            </w:r>
          </w:p>
        </w:tc>
        <w:tc>
          <w:tcPr>
            <w:tcW w:w="10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0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Reserves as a</w:t>
              <w:br/>
              <w:t>Percentage of</w:t>
              <w:br/>
              <w:t>RIF</w:t>
            </w:r>
          </w:p>
        </w:tc>
        <w:tc>
          <w:tcPr>
            <w:tcW w:w="853" w:type="dxa"/>
            <w:tcBorders/>
            <w:shd w:fill="auto" w:val="clear"/>
            <w:vAlign w:val="bottom"/>
          </w:tcPr>
          <w:p>
            <w:pPr>
              <w:pStyle w:val="TableContents"/>
              <w:spacing w:before="0" w:after="0"/>
              <w:ind w:left="0" w:right="0" w:hanging="0"/>
              <w:jc w:val="center"/>
              <w:rPr/>
            </w:pPr>
            <w:r>
              <w:rPr/>
              <w:t> </w:t>
            </w:r>
          </w:p>
        </w:tc>
      </w:tr>
      <w:tr>
        <w:trPr/>
        <w:tc>
          <w:tcPr>
            <w:tcW w:w="20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Missed payments:</w:t>
            </w:r>
          </w:p>
        </w:tc>
        <w:tc>
          <w:tcPr>
            <w:tcW w:w="102" w:type="dxa"/>
            <w:tcBorders/>
            <w:shd w:fill="CCEEFF" w:val="clear"/>
            <w:vAlign w:val="bottom"/>
          </w:tcPr>
          <w:p>
            <w:pPr>
              <w:pStyle w:val="TableContents"/>
              <w:spacing w:before="0" w:after="0"/>
              <w:ind w:left="0" w:right="0" w:hanging="0"/>
              <w:rPr/>
            </w:pPr>
            <w:r>
              <w:rPr/>
              <w:t> </w:t>
            </w:r>
          </w:p>
        </w:tc>
        <w:tc>
          <w:tcPr>
            <w:tcW w:w="956"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1106" w:type="dxa"/>
            <w:tcBorders/>
            <w:shd w:fill="CCEEFF" w:val="clear"/>
            <w:vAlign w:val="bottom"/>
          </w:tcPr>
          <w:p>
            <w:pPr>
              <w:pStyle w:val="TableContents"/>
              <w:spacing w:before="0" w:after="0"/>
              <w:ind w:left="0" w:right="0" w:hanging="0"/>
              <w:jc w:val="right"/>
              <w:rPr/>
            </w:pPr>
            <w:r>
              <w:rPr/>
              <w:t> </w:t>
            </w:r>
          </w:p>
        </w:tc>
        <w:tc>
          <w:tcPr>
            <w:tcW w:w="296"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1185" w:type="dxa"/>
            <w:tcBorders/>
            <w:shd w:fill="CCEEFF" w:val="clear"/>
            <w:vAlign w:val="bottom"/>
          </w:tcPr>
          <w:p>
            <w:pPr>
              <w:pStyle w:val="TableContents"/>
              <w:spacing w:before="0" w:after="0"/>
              <w:ind w:left="0" w:right="0" w:hanging="0"/>
              <w:jc w:val="right"/>
              <w:rPr/>
            </w:pPr>
            <w:r>
              <w:rPr/>
              <w:t> </w:t>
            </w:r>
          </w:p>
        </w:tc>
        <w:tc>
          <w:tcPr>
            <w:tcW w:w="296" w:type="dxa"/>
            <w:tcBorders/>
            <w:shd w:fill="CCEEFF" w:val="clear"/>
            <w:vAlign w:val="bottom"/>
          </w:tcPr>
          <w:p>
            <w:pPr>
              <w:pStyle w:val="TableContents"/>
              <w:spacing w:before="0" w:after="0"/>
              <w:ind w:left="0" w:right="0" w:hanging="0"/>
              <w:rPr/>
            </w:pPr>
            <w:r>
              <w:rPr/>
              <w:t> </w:t>
            </w:r>
          </w:p>
        </w:tc>
        <w:tc>
          <w:tcPr>
            <w:tcW w:w="952" w:type="dxa"/>
            <w:gridSpan w:val="2"/>
            <w:tcBorders/>
            <w:shd w:fill="CCEEFF" w:val="cle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1106" w:type="dxa"/>
            <w:tcBorders/>
            <w:shd w:fill="CCEEFF" w:val="clear"/>
            <w:vAlign w:val="bottom"/>
          </w:tcPr>
          <w:p>
            <w:pPr>
              <w:pStyle w:val="TableContents"/>
              <w:spacing w:before="0" w:after="0"/>
              <w:ind w:left="0" w:right="0" w:hanging="0"/>
              <w:jc w:val="right"/>
              <w:rPr/>
            </w:pPr>
            <w:r>
              <w:rPr/>
              <w:t> </w:t>
            </w:r>
          </w:p>
        </w:tc>
        <w:tc>
          <w:tcPr>
            <w:tcW w:w="853" w:type="dxa"/>
            <w:tcBorders/>
            <w:shd w:fill="CCEEFF" w:val="clear"/>
            <w:vAlign w:val="bottom"/>
          </w:tcPr>
          <w:p>
            <w:pPr>
              <w:pStyle w:val="TableContents"/>
              <w:spacing w:before="0" w:after="0"/>
              <w:ind w:left="0" w:right="0" w:hanging="0"/>
              <w:rPr/>
            </w:pPr>
            <w:r>
              <w:rPr/>
              <w:t> </w:t>
            </w:r>
          </w:p>
        </w:tc>
      </w:tr>
      <w:tr>
        <w:trPr/>
        <w:tc>
          <w:tcPr>
            <w:tcW w:w="20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Three payments or less </w:t>
            </w:r>
          </w:p>
        </w:tc>
        <w:tc>
          <w:tcPr>
            <w:tcW w:w="102" w:type="dxa"/>
            <w:tcBorders/>
            <w:shd w:fill="auto" w:val="clear"/>
            <w:vAlign w:val="bottom"/>
          </w:tcPr>
          <w:p>
            <w:pPr>
              <w:pStyle w:val="TableContents"/>
              <w:spacing w:before="0" w:after="0"/>
              <w:ind w:left="0" w:right="0" w:hanging="0"/>
              <w:rPr/>
            </w:pPr>
            <w:r>
              <w:rPr/>
              <w:t> </w:t>
            </w:r>
          </w:p>
        </w:tc>
        <w:tc>
          <w:tcPr>
            <w:tcW w:w="9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02" w:type="dxa"/>
            <w:tcBorders/>
            <w:shd w:fill="auto" w:val="clear"/>
            <w:vAlign w:val="bottom"/>
          </w:tcPr>
          <w:p>
            <w:pPr>
              <w:pStyle w:val="TableContents"/>
              <w:spacing w:before="0" w:after="0"/>
              <w:ind w:left="0" w:right="0" w:hanging="0"/>
              <w:rPr/>
            </w:pPr>
            <w:r>
              <w:rPr/>
              <w:t> </w:t>
            </w:r>
          </w:p>
        </w:tc>
        <w:tc>
          <w:tcPr>
            <w:tcW w:w="11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1,773</w:t>
            </w:r>
          </w:p>
        </w:tc>
        <w:tc>
          <w:tcPr>
            <w:tcW w:w="102" w:type="dxa"/>
            <w:tcBorders/>
            <w:shd w:fill="auto" w:val="clear"/>
            <w:vAlign w:val="bottom"/>
          </w:tcPr>
          <w:p>
            <w:pPr>
              <w:pStyle w:val="TableContents"/>
              <w:spacing w:before="0" w:after="0"/>
              <w:ind w:left="0" w:right="0" w:hanging="0"/>
              <w:rPr/>
            </w:pPr>
            <w:r>
              <w:rPr/>
              <w:t> </w:t>
            </w:r>
          </w:p>
        </w:tc>
        <w:tc>
          <w:tcPr>
            <w:tcW w:w="11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9,464</w:t>
            </w:r>
          </w:p>
        </w:tc>
        <w:tc>
          <w:tcPr>
            <w:tcW w:w="101" w:type="dxa"/>
            <w:tcBorders/>
            <w:shd w:fill="auto" w:val="clear"/>
            <w:vAlign w:val="bottom"/>
          </w:tcPr>
          <w:p>
            <w:pPr>
              <w:pStyle w:val="TableContents"/>
              <w:spacing w:before="0" w:after="0"/>
              <w:ind w:left="0" w:right="0" w:hanging="0"/>
              <w:rPr/>
            </w:pPr>
            <w:r>
              <w:rPr/>
              <w:t> </w:t>
            </w:r>
          </w:p>
        </w:tc>
        <w:tc>
          <w:tcPr>
            <w:tcW w:w="11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8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Four to eleven payments </w:t>
            </w:r>
          </w:p>
        </w:tc>
        <w:tc>
          <w:tcPr>
            <w:tcW w:w="102" w:type="dxa"/>
            <w:tcBorders/>
            <w:shd w:fill="CCEEFF" w:val="clear"/>
            <w:vAlign w:val="bottom"/>
          </w:tcPr>
          <w:p>
            <w:pPr>
              <w:pStyle w:val="TableContents"/>
              <w:spacing w:before="0" w:after="0"/>
              <w:ind w:left="0" w:right="0" w:hanging="0"/>
              <w:rPr/>
            </w:pPr>
            <w:r>
              <w:rPr/>
              <w:t> </w:t>
            </w:r>
          </w:p>
        </w:tc>
        <w:tc>
          <w:tcPr>
            <w:tcW w:w="9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02" w:type="dxa"/>
            <w:tcBorders/>
            <w:shd w:fill="CCEEFF" w:val="clear"/>
            <w:vAlign w:val="bottom"/>
          </w:tcPr>
          <w:p>
            <w:pPr>
              <w:pStyle w:val="TableContents"/>
              <w:spacing w:before="0" w:after="0"/>
              <w:ind w:left="0" w:right="0" w:hanging="0"/>
              <w:rPr/>
            </w:pPr>
            <w:r>
              <w:rPr/>
              <w:t> </w:t>
            </w:r>
          </w:p>
        </w:tc>
        <w:tc>
          <w:tcPr>
            <w:tcW w:w="11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96"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2,405</w:t>
            </w:r>
          </w:p>
        </w:tc>
        <w:tc>
          <w:tcPr>
            <w:tcW w:w="102" w:type="dxa"/>
            <w:tcBorders/>
            <w:shd w:fill="CCEEFF" w:val="clear"/>
            <w:vAlign w:val="bottom"/>
          </w:tcPr>
          <w:p>
            <w:pPr>
              <w:pStyle w:val="TableContents"/>
              <w:spacing w:before="0" w:after="0"/>
              <w:ind w:left="0" w:right="0" w:hanging="0"/>
              <w:rPr/>
            </w:pPr>
            <w:r>
              <w:rPr/>
              <w:t> </w:t>
            </w:r>
          </w:p>
        </w:tc>
        <w:tc>
          <w:tcPr>
            <w:tcW w:w="11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96" w:type="dxa"/>
            <w:tcBorders/>
            <w:shd w:fill="CCEEFF" w:val="clear"/>
            <w:vAlign w:val="bottom"/>
          </w:tcPr>
          <w:p>
            <w:pPr>
              <w:pStyle w:val="TableContents"/>
              <w:spacing w:before="0" w:after="0"/>
              <w:ind w:left="0" w:right="0" w:hanging="0"/>
              <w:rPr/>
            </w:pPr>
            <w:r>
              <w:rPr/>
              <w:t> </w:t>
            </w:r>
          </w:p>
        </w:tc>
        <w:tc>
          <w:tcPr>
            <w:tcW w:w="9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4,865</w:t>
            </w:r>
          </w:p>
        </w:tc>
        <w:tc>
          <w:tcPr>
            <w:tcW w:w="101" w:type="dxa"/>
            <w:tcBorders/>
            <w:shd w:fill="CCEEFF" w:val="clear"/>
            <w:vAlign w:val="bottom"/>
          </w:tcPr>
          <w:p>
            <w:pPr>
              <w:pStyle w:val="TableContents"/>
              <w:spacing w:before="0" w:after="0"/>
              <w:ind w:left="0" w:right="0" w:hanging="0"/>
              <w:rPr/>
            </w:pPr>
            <w:r>
              <w:rPr/>
              <w:t> </w:t>
            </w:r>
          </w:p>
        </w:tc>
        <w:tc>
          <w:tcPr>
            <w:tcW w:w="11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853" w:type="dxa"/>
            <w:tcBorders/>
            <w:shd w:fill="CCEEFF" w:val="clear"/>
            <w:vAlign w:val="bottom"/>
          </w:tcPr>
          <w:p>
            <w:pPr>
              <w:pStyle w:val="TableContents"/>
              <w:spacing w:before="0" w:after="0"/>
              <w:ind w:left="0" w:right="0" w:hanging="0"/>
              <w:rPr/>
            </w:pPr>
            <w:r>
              <w:rPr/>
              <w:t> </w:t>
            </w:r>
          </w:p>
        </w:tc>
      </w:tr>
      <w:tr>
        <w:trPr/>
        <w:tc>
          <w:tcPr>
            <w:tcW w:w="20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Twelve or more payments </w:t>
            </w:r>
          </w:p>
        </w:tc>
        <w:tc>
          <w:tcPr>
            <w:tcW w:w="102" w:type="dxa"/>
            <w:tcBorders/>
            <w:shd w:fill="auto" w:val="clear"/>
            <w:vAlign w:val="bottom"/>
          </w:tcPr>
          <w:p>
            <w:pPr>
              <w:pStyle w:val="TableContents"/>
              <w:spacing w:before="0" w:after="0"/>
              <w:ind w:left="0" w:right="0" w:hanging="0"/>
              <w:rPr/>
            </w:pPr>
            <w:r>
              <w:rPr/>
              <w:t> </w:t>
            </w:r>
          </w:p>
        </w:tc>
        <w:tc>
          <w:tcPr>
            <w:tcW w:w="9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02" w:type="dxa"/>
            <w:tcBorders/>
            <w:shd w:fill="auto" w:val="clear"/>
            <w:vAlign w:val="bottom"/>
          </w:tcPr>
          <w:p>
            <w:pPr>
              <w:pStyle w:val="TableContents"/>
              <w:spacing w:before="0" w:after="0"/>
              <w:ind w:left="0" w:right="0" w:hanging="0"/>
              <w:rPr/>
            </w:pPr>
            <w:r>
              <w:rPr/>
              <w:t> </w:t>
            </w:r>
          </w:p>
        </w:tc>
        <w:tc>
          <w:tcPr>
            <w:tcW w:w="11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96" w:type="dxa"/>
            <w:tcBorders/>
            <w:shd w:fill="auto" w:val="clear"/>
            <w:vAlign w:val="bottom"/>
          </w:tcPr>
          <w:p>
            <w:pPr>
              <w:pStyle w:val="TableContents"/>
              <w:spacing w:before="0" w:after="0"/>
              <w:ind w:left="0" w:right="0" w:hanging="0"/>
              <w:rPr/>
            </w:pPr>
            <w:r>
              <w:rPr/>
              <w:t> </w:t>
            </w:r>
          </w:p>
        </w:tc>
        <w:tc>
          <w:tcPr>
            <w:tcW w:w="9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788</w:t>
            </w:r>
          </w:p>
        </w:tc>
        <w:tc>
          <w:tcPr>
            <w:tcW w:w="102" w:type="dxa"/>
            <w:tcBorders/>
            <w:shd w:fill="auto" w:val="clear"/>
            <w:vAlign w:val="bottom"/>
          </w:tcPr>
          <w:p>
            <w:pPr>
              <w:pStyle w:val="TableContents"/>
              <w:spacing w:before="0" w:after="0"/>
              <w:ind w:left="0" w:right="0" w:hanging="0"/>
              <w:rPr/>
            </w:pPr>
            <w:r>
              <w:rPr/>
              <w:t> </w:t>
            </w:r>
          </w:p>
        </w:tc>
        <w:tc>
          <w:tcPr>
            <w:tcW w:w="11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96" w:type="dxa"/>
            <w:tcBorders/>
            <w:shd w:fill="auto" w:val="clear"/>
            <w:vAlign w:val="bottom"/>
          </w:tcPr>
          <w:p>
            <w:pPr>
              <w:pStyle w:val="TableContents"/>
              <w:spacing w:before="0" w:after="0"/>
              <w:ind w:left="0" w:right="0" w:hanging="0"/>
              <w:rPr/>
            </w:pPr>
            <w:r>
              <w:rPr/>
              <w:t> </w:t>
            </w:r>
          </w:p>
        </w:tc>
        <w:tc>
          <w:tcPr>
            <w:tcW w:w="9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1,042</w:t>
            </w:r>
          </w:p>
        </w:tc>
        <w:tc>
          <w:tcPr>
            <w:tcW w:w="101" w:type="dxa"/>
            <w:tcBorders/>
            <w:shd w:fill="auto" w:val="clear"/>
            <w:vAlign w:val="bottom"/>
          </w:tcPr>
          <w:p>
            <w:pPr>
              <w:pStyle w:val="TableContents"/>
              <w:spacing w:before="0" w:after="0"/>
              <w:ind w:left="0" w:right="0" w:hanging="0"/>
              <w:rPr/>
            </w:pPr>
            <w:r>
              <w:rPr/>
              <w:t> </w:t>
            </w:r>
          </w:p>
        </w:tc>
        <w:tc>
          <w:tcPr>
            <w:tcW w:w="11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853" w:type="dxa"/>
            <w:tcBorders/>
            <w:shd w:fill="auto" w:val="clear"/>
            <w:vAlign w:val="bottom"/>
          </w:tcPr>
          <w:p>
            <w:pPr>
              <w:pStyle w:val="TableContents"/>
              <w:spacing w:before="0" w:after="0"/>
              <w:ind w:left="0" w:right="0" w:hanging="0"/>
              <w:rPr/>
            </w:pPr>
            <w:r>
              <w:rPr/>
              <w:t> </w:t>
            </w:r>
          </w:p>
        </w:tc>
      </w:tr>
      <w:tr>
        <w:trPr/>
        <w:tc>
          <w:tcPr>
            <w:tcW w:w="20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Pending claims </w:t>
            </w:r>
          </w:p>
        </w:tc>
        <w:tc>
          <w:tcPr>
            <w:tcW w:w="102" w:type="dxa"/>
            <w:tcBorders/>
            <w:shd w:fill="CCEEFF" w:val="clear"/>
            <w:vAlign w:val="bottom"/>
          </w:tcPr>
          <w:p>
            <w:pPr>
              <w:pStyle w:val="TableContents"/>
              <w:spacing w:before="0" w:after="0"/>
              <w:ind w:left="0" w:right="0" w:hanging="0"/>
              <w:rPr/>
            </w:pPr>
            <w:r>
              <w:rPr/>
              <w:t> </w:t>
            </w:r>
          </w:p>
        </w:tc>
        <w:tc>
          <w:tcPr>
            <w:tcW w:w="95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02" w:type="dxa"/>
            <w:tcBorders/>
            <w:shd w:fill="CCEEFF" w:val="clear"/>
            <w:vAlign w:val="bottom"/>
          </w:tcPr>
          <w:p>
            <w:pPr>
              <w:pStyle w:val="TableContents"/>
              <w:spacing w:before="0" w:after="0"/>
              <w:ind w:left="0" w:right="0" w:hanging="0"/>
              <w:rPr/>
            </w:pPr>
            <w:r>
              <w:rPr/>
              <w:t> </w:t>
            </w:r>
          </w:p>
        </w:tc>
        <w:tc>
          <w:tcPr>
            <w:tcW w:w="110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96" w:type="dxa"/>
            <w:tcBorders/>
            <w:shd w:fill="CCEEFF" w:val="clear"/>
            <w:vAlign w:val="bottom"/>
          </w:tcPr>
          <w:p>
            <w:pPr>
              <w:pStyle w:val="TableContents"/>
              <w:spacing w:before="0" w:after="0"/>
              <w:ind w:left="0" w:right="0" w:hanging="0"/>
              <w:rPr/>
            </w:pPr>
            <w:r>
              <w:rPr/>
              <w:t> </w:t>
            </w:r>
          </w:p>
        </w:tc>
        <w:tc>
          <w:tcPr>
            <w:tcW w:w="9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w:t>
            </w:r>
          </w:p>
        </w:tc>
        <w:tc>
          <w:tcPr>
            <w:tcW w:w="102" w:type="dxa"/>
            <w:tcBorders/>
            <w:shd w:fill="CCEEFF" w:val="clear"/>
            <w:vAlign w:val="bottom"/>
          </w:tcPr>
          <w:p>
            <w:pPr>
              <w:pStyle w:val="TableContents"/>
              <w:spacing w:before="0" w:after="0"/>
              <w:ind w:left="0" w:right="0" w:hanging="0"/>
              <w:rPr/>
            </w:pPr>
            <w:r>
              <w:rPr/>
              <w:t> </w:t>
            </w:r>
          </w:p>
        </w:tc>
        <w:tc>
          <w:tcPr>
            <w:tcW w:w="118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96" w:type="dxa"/>
            <w:tcBorders/>
            <w:shd w:fill="CCEEFF" w:val="clear"/>
            <w:vAlign w:val="bottom"/>
          </w:tcPr>
          <w:p>
            <w:pPr>
              <w:pStyle w:val="TableContents"/>
              <w:spacing w:before="0" w:after="0"/>
              <w:ind w:left="0" w:right="0" w:hanging="0"/>
              <w:rPr/>
            </w:pPr>
            <w:r>
              <w:rPr/>
              <w:t> </w:t>
            </w:r>
          </w:p>
        </w:tc>
        <w:tc>
          <w:tcPr>
            <w:tcW w:w="9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101" w:type="dxa"/>
            <w:tcBorders/>
            <w:shd w:fill="CCEEFF" w:val="clear"/>
            <w:vAlign w:val="bottom"/>
          </w:tcPr>
          <w:p>
            <w:pPr>
              <w:pStyle w:val="TableContents"/>
              <w:spacing w:before="0" w:after="0"/>
              <w:ind w:left="0" w:right="0" w:hanging="0"/>
              <w:rPr/>
            </w:pPr>
            <w:r>
              <w:rPr/>
              <w:t> </w:t>
            </w:r>
          </w:p>
        </w:tc>
        <w:tc>
          <w:tcPr>
            <w:tcW w:w="11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853" w:type="dxa"/>
            <w:tcBorders/>
            <w:shd w:fill="CCEEFF" w:val="clear"/>
            <w:vAlign w:val="bottom"/>
          </w:tcPr>
          <w:p>
            <w:pPr>
              <w:pStyle w:val="TableContents"/>
              <w:spacing w:before="0" w:after="0"/>
              <w:ind w:left="0" w:right="0" w:hanging="0"/>
              <w:rPr/>
            </w:pPr>
            <w:r>
              <w:rPr/>
              <w:t> </w:t>
            </w:r>
          </w:p>
        </w:tc>
      </w:tr>
      <w:tr>
        <w:trPr/>
        <w:tc>
          <w:tcPr>
            <w:tcW w:w="20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102" w:type="dxa"/>
            <w:tcBorders/>
            <w:shd w:fill="auto" w:val="clear"/>
            <w:vAlign w:val="bottom"/>
          </w:tcPr>
          <w:p>
            <w:pPr>
              <w:pStyle w:val="TableContents"/>
              <w:spacing w:before="0" w:after="0"/>
              <w:ind w:left="0" w:right="0" w:hanging="0"/>
              <w:rPr/>
            </w:pPr>
            <w:r>
              <w:rPr/>
              <w:t> </w:t>
            </w:r>
          </w:p>
        </w:tc>
        <w:tc>
          <w:tcPr>
            <w:tcW w:w="95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102" w:type="dxa"/>
            <w:tcBorders/>
            <w:shd w:fill="auto" w:val="clear"/>
            <w:vAlign w:val="bottom"/>
          </w:tcPr>
          <w:p>
            <w:pPr>
              <w:pStyle w:val="TableContents"/>
              <w:spacing w:before="0" w:after="0"/>
              <w:ind w:left="0" w:right="0" w:hanging="0"/>
              <w:rPr/>
            </w:pPr>
            <w:r>
              <w:rPr/>
              <w:t> </w:t>
            </w:r>
          </w:p>
        </w:tc>
        <w:tc>
          <w:tcPr>
            <w:tcW w:w="11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5,192</w:t>
            </w:r>
          </w:p>
        </w:tc>
        <w:tc>
          <w:tcPr>
            <w:tcW w:w="102" w:type="dxa"/>
            <w:tcBorders/>
            <w:shd w:fill="auto" w:val="clear"/>
            <w:vAlign w:val="bottom"/>
          </w:tcPr>
          <w:p>
            <w:pPr>
              <w:pStyle w:val="TableContents"/>
              <w:spacing w:before="0" w:after="0"/>
              <w:ind w:left="0" w:right="0" w:hanging="0"/>
              <w:rPr/>
            </w:pPr>
            <w:r>
              <w:rPr/>
              <w:t> </w:t>
            </w:r>
          </w:p>
        </w:tc>
        <w:tc>
          <w:tcPr>
            <w:tcW w:w="11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15,594</w:t>
            </w:r>
          </w:p>
        </w:tc>
        <w:tc>
          <w:tcPr>
            <w:tcW w:w="101" w:type="dxa"/>
            <w:tcBorders/>
            <w:shd w:fill="auto" w:val="clear"/>
            <w:vAlign w:val="bottom"/>
          </w:tcPr>
          <w:p>
            <w:pPr>
              <w:pStyle w:val="TableContents"/>
              <w:spacing w:before="0" w:after="0"/>
              <w:ind w:left="0" w:right="0" w:hanging="0"/>
              <w:rPr/>
            </w:pPr>
            <w:r>
              <w:rPr/>
              <w:t> </w:t>
            </w:r>
          </w:p>
        </w:tc>
        <w:tc>
          <w:tcPr>
            <w:tcW w:w="11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853" w:type="dxa"/>
            <w:tcBorders/>
            <w:shd w:fill="auto" w:val="clear"/>
            <w:vAlign w:val="bottom"/>
          </w:tcPr>
          <w:p>
            <w:pPr>
              <w:pStyle w:val="TableContents"/>
              <w:spacing w:before="0" w:after="0"/>
              <w:ind w:left="0" w:right="0" w:hanging="0"/>
              <w:rPr/>
            </w:pPr>
            <w:r>
              <w:rPr/>
              <w:t> </w:t>
            </w:r>
          </w:p>
        </w:tc>
      </w:tr>
      <w:tr>
        <w:trPr/>
        <w:tc>
          <w:tcPr>
            <w:tcW w:w="20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IBNR </w:t>
            </w:r>
          </w:p>
        </w:tc>
        <w:tc>
          <w:tcPr>
            <w:tcW w:w="102" w:type="dxa"/>
            <w:tcBorders/>
            <w:shd w:fill="CCEEFF" w:val="clear"/>
            <w:vAlign w:val="bottom"/>
          </w:tcPr>
          <w:p>
            <w:pPr>
              <w:pStyle w:val="TableContents"/>
              <w:spacing w:before="0" w:after="0"/>
              <w:ind w:left="0" w:right="0" w:hanging="0"/>
              <w:rPr/>
            </w:pPr>
            <w:r>
              <w:rPr/>
              <w:t> </w:t>
            </w:r>
          </w:p>
        </w:tc>
        <w:tc>
          <w:tcPr>
            <w:tcW w:w="956"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1106" w:type="dxa"/>
            <w:tcBorders/>
            <w:shd w:fill="CCEEFF" w:val="clear"/>
            <w:vAlign w:val="bottom"/>
          </w:tcPr>
          <w:p>
            <w:pPr>
              <w:pStyle w:val="TableContents"/>
              <w:spacing w:before="0" w:after="0"/>
              <w:ind w:left="0" w:right="0" w:hanging="0"/>
              <w:jc w:val="right"/>
              <w:rPr/>
            </w:pPr>
            <w:r>
              <w:rPr/>
              <w:t> </w:t>
            </w:r>
          </w:p>
        </w:tc>
        <w:tc>
          <w:tcPr>
            <w:tcW w:w="296"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389</w:t>
            </w:r>
          </w:p>
        </w:tc>
        <w:tc>
          <w:tcPr>
            <w:tcW w:w="102" w:type="dxa"/>
            <w:tcBorders/>
            <w:shd w:fill="CCEEFF" w:val="clear"/>
            <w:vAlign w:val="bottom"/>
          </w:tcPr>
          <w:p>
            <w:pPr>
              <w:pStyle w:val="TableContents"/>
              <w:spacing w:before="0" w:after="0"/>
              <w:ind w:left="0" w:right="0" w:hanging="0"/>
              <w:rPr/>
            </w:pPr>
            <w:r>
              <w:rPr/>
              <w:t> </w:t>
            </w:r>
          </w:p>
        </w:tc>
        <w:tc>
          <w:tcPr>
            <w:tcW w:w="1185" w:type="dxa"/>
            <w:tcBorders/>
            <w:shd w:fill="CCEEFF" w:val="clear"/>
            <w:vAlign w:val="bottom"/>
          </w:tcPr>
          <w:p>
            <w:pPr>
              <w:pStyle w:val="TableContents"/>
              <w:spacing w:before="0" w:after="0"/>
              <w:ind w:left="0" w:right="0" w:hanging="0"/>
              <w:jc w:val="right"/>
              <w:rPr/>
            </w:pPr>
            <w:r>
              <w:rPr/>
              <w:t> </w:t>
            </w:r>
          </w:p>
        </w:tc>
        <w:tc>
          <w:tcPr>
            <w:tcW w:w="296" w:type="dxa"/>
            <w:tcBorders/>
            <w:shd w:fill="CCEEFF" w:val="clear"/>
            <w:vAlign w:val="bottom"/>
          </w:tcPr>
          <w:p>
            <w:pPr>
              <w:pStyle w:val="TableContents"/>
              <w:spacing w:before="0" w:after="0"/>
              <w:ind w:left="0" w:right="0" w:hanging="0"/>
              <w:rPr/>
            </w:pPr>
            <w:r>
              <w:rPr/>
              <w:t> </w:t>
            </w:r>
          </w:p>
        </w:tc>
        <w:tc>
          <w:tcPr>
            <w:tcW w:w="952" w:type="dxa"/>
            <w:gridSpan w:val="2"/>
            <w:tcBorders/>
            <w:shd w:fill="CCEEFF" w:val="cle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1106" w:type="dxa"/>
            <w:tcBorders/>
            <w:shd w:fill="CCEEFF" w:val="clear"/>
            <w:vAlign w:val="bottom"/>
          </w:tcPr>
          <w:p>
            <w:pPr>
              <w:pStyle w:val="TableContents"/>
              <w:spacing w:before="0" w:after="0"/>
              <w:ind w:left="0" w:right="0" w:hanging="0"/>
              <w:jc w:val="right"/>
              <w:rPr/>
            </w:pPr>
            <w:r>
              <w:rPr/>
              <w:t> </w:t>
            </w:r>
          </w:p>
        </w:tc>
        <w:tc>
          <w:tcPr>
            <w:tcW w:w="853" w:type="dxa"/>
            <w:tcBorders/>
            <w:shd w:fill="CCEEFF" w:val="clear"/>
            <w:vAlign w:val="bottom"/>
          </w:tcPr>
          <w:p>
            <w:pPr>
              <w:pStyle w:val="TableContents"/>
              <w:spacing w:before="0" w:after="0"/>
              <w:ind w:left="0" w:right="0" w:hanging="0"/>
              <w:rPr/>
            </w:pPr>
            <w:r>
              <w:rPr/>
              <w:t> </w:t>
            </w:r>
          </w:p>
        </w:tc>
      </w:tr>
      <w:tr>
        <w:trPr/>
        <w:tc>
          <w:tcPr>
            <w:tcW w:w="20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LAE and other </w:t>
            </w:r>
          </w:p>
        </w:tc>
        <w:tc>
          <w:tcPr>
            <w:tcW w:w="102" w:type="dxa"/>
            <w:tcBorders/>
            <w:shd w:fill="auto" w:val="clear"/>
            <w:vAlign w:val="bottom"/>
          </w:tcPr>
          <w:p>
            <w:pPr>
              <w:pStyle w:val="TableContents"/>
              <w:spacing w:before="0" w:after="0"/>
              <w:ind w:left="0" w:right="0" w:hanging="0"/>
              <w:rPr/>
            </w:pPr>
            <w:r>
              <w:rPr/>
              <w:t> </w:t>
            </w:r>
          </w:p>
        </w:tc>
        <w:tc>
          <w:tcPr>
            <w:tcW w:w="956"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1106" w:type="dxa"/>
            <w:tcBorders/>
            <w:shd w:fill="auto" w:val="clear"/>
            <w:vAlign w:val="bottom"/>
          </w:tcPr>
          <w:p>
            <w:pPr>
              <w:pStyle w:val="TableContents"/>
              <w:spacing w:before="0" w:after="0"/>
              <w:ind w:left="0" w:right="0" w:hanging="0"/>
              <w:jc w:val="right"/>
              <w:rPr/>
            </w:pPr>
            <w:r>
              <w:rPr/>
              <w:t> </w:t>
            </w:r>
          </w:p>
        </w:tc>
        <w:tc>
          <w:tcPr>
            <w:tcW w:w="296" w:type="dxa"/>
            <w:tcBorders/>
            <w:shd w:fill="auto" w:val="clear"/>
            <w:vAlign w:val="bottom"/>
          </w:tcPr>
          <w:p>
            <w:pPr>
              <w:pStyle w:val="TableContents"/>
              <w:spacing w:before="0" w:after="0"/>
              <w:ind w:left="0" w:right="0" w:hanging="0"/>
              <w:rPr/>
            </w:pPr>
            <w:r>
              <w:rPr/>
              <w:t> </w:t>
            </w:r>
          </w:p>
        </w:tc>
        <w:tc>
          <w:tcPr>
            <w:tcW w:w="9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02" w:type="dxa"/>
            <w:tcBorders/>
            <w:shd w:fill="auto" w:val="clear"/>
            <w:vAlign w:val="bottom"/>
          </w:tcPr>
          <w:p>
            <w:pPr>
              <w:pStyle w:val="TableContents"/>
              <w:spacing w:before="0" w:after="0"/>
              <w:ind w:left="0" w:right="0" w:hanging="0"/>
              <w:rPr/>
            </w:pPr>
            <w:r>
              <w:rPr/>
              <w:t> </w:t>
            </w:r>
          </w:p>
        </w:tc>
        <w:tc>
          <w:tcPr>
            <w:tcW w:w="1185" w:type="dxa"/>
            <w:tcBorders/>
            <w:shd w:fill="auto" w:val="clear"/>
            <w:vAlign w:val="bottom"/>
          </w:tcPr>
          <w:p>
            <w:pPr>
              <w:pStyle w:val="TableContents"/>
              <w:spacing w:before="0" w:after="0"/>
              <w:ind w:left="0" w:right="0" w:hanging="0"/>
              <w:jc w:val="right"/>
              <w:rPr/>
            </w:pPr>
            <w:r>
              <w:rPr/>
              <w:t> </w:t>
            </w:r>
          </w:p>
        </w:tc>
        <w:tc>
          <w:tcPr>
            <w:tcW w:w="296" w:type="dxa"/>
            <w:tcBorders/>
            <w:shd w:fill="auto" w:val="clear"/>
            <w:vAlign w:val="bottom"/>
          </w:tcPr>
          <w:p>
            <w:pPr>
              <w:pStyle w:val="TableContents"/>
              <w:spacing w:before="0" w:after="0"/>
              <w:ind w:left="0" w:right="0" w:hanging="0"/>
              <w:rPr/>
            </w:pPr>
            <w:r>
              <w:rPr/>
              <w:t> </w:t>
            </w:r>
          </w:p>
        </w:tc>
        <w:tc>
          <w:tcPr>
            <w:tcW w:w="952" w:type="dxa"/>
            <w:gridSpan w:val="2"/>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1106" w:type="dxa"/>
            <w:tcBorders/>
            <w:shd w:fill="auto" w:val="clear"/>
            <w:vAlign w:val="bottom"/>
          </w:tcPr>
          <w:p>
            <w:pPr>
              <w:pStyle w:val="TableContents"/>
              <w:spacing w:before="0" w:after="0"/>
              <w:ind w:left="0" w:right="0" w:hanging="0"/>
              <w:jc w:val="right"/>
              <w:rPr/>
            </w:pPr>
            <w:r>
              <w:rPr/>
              <w:t> </w:t>
            </w:r>
          </w:p>
        </w:tc>
        <w:tc>
          <w:tcPr>
            <w:tcW w:w="853" w:type="dxa"/>
            <w:tcBorders/>
            <w:shd w:fill="auto" w:val="clear"/>
            <w:vAlign w:val="bottom"/>
          </w:tcPr>
          <w:p>
            <w:pPr>
              <w:pStyle w:val="TableContents"/>
              <w:spacing w:before="0" w:after="0"/>
              <w:ind w:left="0" w:right="0" w:hanging="0"/>
              <w:rPr/>
            </w:pPr>
            <w:r>
              <w:rPr/>
              <w:t> </w:t>
            </w:r>
          </w:p>
        </w:tc>
      </w:tr>
      <w:tr>
        <w:trPr/>
        <w:tc>
          <w:tcPr>
            <w:tcW w:w="209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reserves </w:t>
            </w:r>
          </w:p>
        </w:tc>
        <w:tc>
          <w:tcPr>
            <w:tcW w:w="102" w:type="dxa"/>
            <w:tcBorders/>
            <w:shd w:fill="CCEEFF" w:val="clear"/>
            <w:vAlign w:val="bottom"/>
          </w:tcPr>
          <w:p>
            <w:pPr>
              <w:pStyle w:val="TableContents"/>
              <w:spacing w:before="0" w:after="0"/>
              <w:ind w:left="0" w:right="0" w:hanging="0"/>
              <w:rPr/>
            </w:pPr>
            <w:r>
              <w:rPr/>
              <w:t> </w:t>
            </w:r>
          </w:p>
        </w:tc>
        <w:tc>
          <w:tcPr>
            <w:tcW w:w="956"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1106" w:type="dxa"/>
            <w:tcBorders/>
            <w:shd w:fill="CCEEFF" w:val="clear"/>
            <w:vAlign w:val="bottom"/>
          </w:tcPr>
          <w:p>
            <w:pPr>
              <w:pStyle w:val="TableContents"/>
              <w:spacing w:before="0" w:after="0"/>
              <w:ind w:left="0" w:right="0" w:hanging="0"/>
              <w:jc w:val="right"/>
              <w:rPr/>
            </w:pPr>
            <w:r>
              <w:rPr/>
              <w:t> </w:t>
            </w:r>
          </w:p>
        </w:tc>
        <w:tc>
          <w:tcPr>
            <w:tcW w:w="296"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5,682</w:t>
            </w:r>
          </w:p>
        </w:tc>
        <w:tc>
          <w:tcPr>
            <w:tcW w:w="102" w:type="dxa"/>
            <w:tcBorders/>
            <w:shd w:fill="CCEEFF" w:val="clear"/>
            <w:vAlign w:val="bottom"/>
          </w:tcPr>
          <w:p>
            <w:pPr>
              <w:pStyle w:val="TableContents"/>
              <w:spacing w:before="0" w:after="0"/>
              <w:ind w:left="0" w:right="0" w:hanging="0"/>
              <w:rPr/>
            </w:pPr>
            <w:r>
              <w:rPr/>
              <w:t> </w:t>
            </w:r>
          </w:p>
        </w:tc>
        <w:tc>
          <w:tcPr>
            <w:tcW w:w="1185" w:type="dxa"/>
            <w:tcBorders/>
            <w:shd w:fill="CCEEFF" w:val="clear"/>
            <w:vAlign w:val="bottom"/>
          </w:tcPr>
          <w:p>
            <w:pPr>
              <w:pStyle w:val="TableContents"/>
              <w:spacing w:before="0" w:after="0"/>
              <w:ind w:left="0" w:right="0" w:hanging="0"/>
              <w:jc w:val="right"/>
              <w:rPr/>
            </w:pPr>
            <w:r>
              <w:rPr/>
              <w:t> </w:t>
            </w:r>
          </w:p>
        </w:tc>
        <w:tc>
          <w:tcPr>
            <w:tcW w:w="296" w:type="dxa"/>
            <w:tcBorders/>
            <w:shd w:fill="CCEEFF" w:val="clear"/>
            <w:vAlign w:val="bottom"/>
          </w:tcPr>
          <w:p>
            <w:pPr>
              <w:pStyle w:val="TableContents"/>
              <w:spacing w:before="0" w:after="0"/>
              <w:ind w:left="0" w:right="0" w:hanging="0"/>
              <w:rPr/>
            </w:pPr>
            <w:r>
              <w:rPr/>
              <w:t> </w:t>
            </w:r>
          </w:p>
        </w:tc>
        <w:tc>
          <w:tcPr>
            <w:tcW w:w="952" w:type="dxa"/>
            <w:gridSpan w:val="2"/>
            <w:tcBorders/>
            <w:shd w:fill="CCEEFF" w:val="cle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c>
          <w:tcPr>
            <w:tcW w:w="1106" w:type="dxa"/>
            <w:tcBorders/>
            <w:shd w:fill="CCEEFF" w:val="clear"/>
            <w:vAlign w:val="bottom"/>
          </w:tcPr>
          <w:p>
            <w:pPr>
              <w:pStyle w:val="TableContents"/>
              <w:spacing w:before="0" w:after="0"/>
              <w:ind w:left="0" w:right="0" w:hanging="0"/>
              <w:jc w:val="right"/>
              <w:rPr/>
            </w:pPr>
            <w:r>
              <w:rPr/>
              <w:t> </w:t>
            </w:r>
          </w:p>
        </w:tc>
        <w:tc>
          <w:tcPr>
            <w:tcW w:w="85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090"/>
        <w:gridCol w:w="102"/>
        <w:gridCol w:w="959"/>
        <w:gridCol w:w="102"/>
        <w:gridCol w:w="1111"/>
        <w:gridCol w:w="296"/>
        <w:gridCol w:w="131"/>
        <w:gridCol w:w="828"/>
        <w:gridCol w:w="102"/>
        <w:gridCol w:w="1189"/>
        <w:gridCol w:w="296"/>
        <w:gridCol w:w="127"/>
        <w:gridCol w:w="813"/>
        <w:gridCol w:w="102"/>
        <w:gridCol w:w="1110"/>
        <w:gridCol w:w="847"/>
      </w:tblGrid>
      <w:tr>
        <w:trPr/>
        <w:tc>
          <w:tcPr>
            <w:tcW w:w="2090" w:type="dxa"/>
            <w:tcBorders/>
            <w:shd w:fill="auto" w:val="cle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7166" w:type="dxa"/>
            <w:gridSpan w:val="1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 September 30, 2013</w:t>
            </w:r>
          </w:p>
        </w:tc>
        <w:tc>
          <w:tcPr>
            <w:tcW w:w="847" w:type="dxa"/>
            <w:tcBorders/>
            <w:shd w:fill="auto" w:val="clear"/>
            <w:vAlign w:val="bottom"/>
          </w:tcPr>
          <w:p>
            <w:pPr>
              <w:pStyle w:val="TableContents"/>
              <w:spacing w:before="0" w:after="0"/>
              <w:ind w:left="0" w:right="0" w:hanging="0"/>
              <w:jc w:val="center"/>
              <w:rPr/>
            </w:pPr>
            <w:r>
              <w:rPr/>
              <w:t> </w:t>
            </w:r>
          </w:p>
        </w:tc>
      </w:tr>
      <w:tr>
        <w:trPr/>
        <w:tc>
          <w:tcPr>
            <w:tcW w:w="209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102" w:type="dxa"/>
            <w:tcBorders/>
            <w:shd w:fill="auto" w:val="clear"/>
            <w:vAlign w:val="bottom"/>
          </w:tcPr>
          <w:p>
            <w:pPr>
              <w:pStyle w:val="TableContents"/>
              <w:spacing w:before="0" w:after="0"/>
              <w:ind w:left="0" w:right="0" w:hanging="0"/>
              <w:jc w:val="center"/>
              <w:rPr/>
            </w:pPr>
            <w:r>
              <w:rPr/>
              <w:t> </w:t>
            </w:r>
          </w:p>
        </w:tc>
        <w:tc>
          <w:tcPr>
            <w:tcW w:w="95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w:t>
              <w:br/>
              <w:t>Policies in</w:t>
              <w:br/>
              <w:t>Default</w:t>
            </w:r>
          </w:p>
        </w:tc>
        <w:tc>
          <w:tcPr>
            <w:tcW w:w="1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1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Percentage of</w:t>
              <w:br/>
              <w:t>Policies in</w:t>
              <w:br/>
              <w:t>Default</w:t>
            </w:r>
          </w:p>
        </w:tc>
        <w:tc>
          <w:tcPr>
            <w:tcW w:w="2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 of</w:t>
              <w:br/>
              <w:t>Reserves</w:t>
            </w:r>
          </w:p>
        </w:tc>
        <w:tc>
          <w:tcPr>
            <w:tcW w:w="1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8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Percentage of</w:t>
              <w:br/>
              <w:t>Reserves</w:t>
            </w:r>
          </w:p>
        </w:tc>
        <w:tc>
          <w:tcPr>
            <w:tcW w:w="2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Defaulted</w:t>
              <w:br/>
              <w:t>RIF</w:t>
            </w:r>
          </w:p>
        </w:tc>
        <w:tc>
          <w:tcPr>
            <w:tcW w:w="1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Reserves as a</w:t>
              <w:br/>
              <w:t>Percentage of</w:t>
              <w:br/>
              <w:t>RIF</w:t>
            </w:r>
          </w:p>
        </w:tc>
        <w:tc>
          <w:tcPr>
            <w:tcW w:w="847" w:type="dxa"/>
            <w:tcBorders/>
            <w:shd w:fill="auto" w:val="clear"/>
            <w:vAlign w:val="bottom"/>
          </w:tcPr>
          <w:p>
            <w:pPr>
              <w:pStyle w:val="TableContents"/>
              <w:spacing w:before="0" w:after="0"/>
              <w:ind w:left="0" w:right="0" w:hanging="0"/>
              <w:jc w:val="center"/>
              <w:rPr/>
            </w:pPr>
            <w:r>
              <w:rPr/>
              <w:t> </w:t>
            </w:r>
          </w:p>
        </w:tc>
      </w:tr>
      <w:tr>
        <w:trPr/>
        <w:tc>
          <w:tcPr>
            <w:tcW w:w="20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Missed payments:</w:t>
            </w:r>
          </w:p>
        </w:tc>
        <w:tc>
          <w:tcPr>
            <w:tcW w:w="102" w:type="dxa"/>
            <w:tcBorders/>
            <w:shd w:fill="CCEEFF" w:val="clear"/>
            <w:vAlign w:val="bottom"/>
          </w:tcPr>
          <w:p>
            <w:pPr>
              <w:pStyle w:val="TableContents"/>
              <w:spacing w:before="0" w:after="0"/>
              <w:ind w:left="0" w:right="0" w:hanging="0"/>
              <w:rPr/>
            </w:pPr>
            <w:r>
              <w:rPr/>
              <w:t> </w:t>
            </w:r>
          </w:p>
        </w:tc>
        <w:tc>
          <w:tcPr>
            <w:tcW w:w="959"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1111" w:type="dxa"/>
            <w:tcBorders/>
            <w:shd w:fill="CCEEFF" w:val="clear"/>
            <w:vAlign w:val="bottom"/>
          </w:tcPr>
          <w:p>
            <w:pPr>
              <w:pStyle w:val="TableContents"/>
              <w:spacing w:before="0" w:after="0"/>
              <w:ind w:left="0" w:right="0" w:hanging="0"/>
              <w:jc w:val="right"/>
              <w:rPr/>
            </w:pPr>
            <w:r>
              <w:rPr/>
              <w:t> </w:t>
            </w:r>
          </w:p>
        </w:tc>
        <w:tc>
          <w:tcPr>
            <w:tcW w:w="296" w:type="dxa"/>
            <w:tcBorders/>
            <w:shd w:fill="CCEEFF" w:val="clear"/>
            <w:vAlign w:val="bottom"/>
          </w:tcPr>
          <w:p>
            <w:pPr>
              <w:pStyle w:val="TableContents"/>
              <w:spacing w:before="0" w:after="0"/>
              <w:ind w:left="0" w:right="0" w:hanging="0"/>
              <w:rPr/>
            </w:pPr>
            <w:r>
              <w:rPr/>
              <w:t> </w:t>
            </w:r>
          </w:p>
        </w:tc>
        <w:tc>
          <w:tcPr>
            <w:tcW w:w="959" w:type="dxa"/>
            <w:gridSpan w:val="2"/>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1189" w:type="dxa"/>
            <w:tcBorders/>
            <w:shd w:fill="CCEEFF" w:val="clear"/>
            <w:vAlign w:val="bottom"/>
          </w:tcPr>
          <w:p>
            <w:pPr>
              <w:pStyle w:val="TableContents"/>
              <w:spacing w:before="0" w:after="0"/>
              <w:ind w:left="0" w:right="0" w:hanging="0"/>
              <w:jc w:val="right"/>
              <w:rPr/>
            </w:pPr>
            <w:r>
              <w:rPr/>
              <w:t> </w:t>
            </w:r>
          </w:p>
        </w:tc>
        <w:tc>
          <w:tcPr>
            <w:tcW w:w="296" w:type="dxa"/>
            <w:tcBorders/>
            <w:shd w:fill="CCEEFF" w:val="clear"/>
            <w:vAlign w:val="bottom"/>
          </w:tcPr>
          <w:p>
            <w:pPr>
              <w:pStyle w:val="TableContents"/>
              <w:spacing w:before="0" w:after="0"/>
              <w:ind w:left="0" w:right="0" w:hanging="0"/>
              <w:rPr/>
            </w:pPr>
            <w:r>
              <w:rPr/>
              <w:t> </w:t>
            </w:r>
          </w:p>
        </w:tc>
        <w:tc>
          <w:tcPr>
            <w:tcW w:w="940" w:type="dxa"/>
            <w:gridSpan w:val="2"/>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1110" w:type="dxa"/>
            <w:tcBorders/>
            <w:shd w:fill="CCEEFF" w:val="clear"/>
            <w:vAlign w:val="bottom"/>
          </w:tcPr>
          <w:p>
            <w:pPr>
              <w:pStyle w:val="TableContents"/>
              <w:spacing w:before="0" w:after="0"/>
              <w:ind w:left="0" w:right="0" w:hanging="0"/>
              <w:jc w:val="right"/>
              <w:rPr/>
            </w:pPr>
            <w:r>
              <w:rPr/>
              <w:t> </w:t>
            </w:r>
          </w:p>
        </w:tc>
        <w:tc>
          <w:tcPr>
            <w:tcW w:w="847" w:type="dxa"/>
            <w:tcBorders/>
            <w:shd w:fill="CCEEFF" w:val="clear"/>
            <w:vAlign w:val="bottom"/>
          </w:tcPr>
          <w:p>
            <w:pPr>
              <w:pStyle w:val="TableContents"/>
              <w:spacing w:before="0" w:after="0"/>
              <w:ind w:left="0" w:right="0" w:hanging="0"/>
              <w:rPr/>
            </w:pPr>
            <w:r>
              <w:rPr/>
              <w:t> </w:t>
            </w:r>
          </w:p>
        </w:tc>
      </w:tr>
      <w:tr>
        <w:trPr/>
        <w:tc>
          <w:tcPr>
            <w:tcW w:w="20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Three payments or less </w:t>
            </w:r>
          </w:p>
        </w:tc>
        <w:tc>
          <w:tcPr>
            <w:tcW w:w="102" w:type="dxa"/>
            <w:tcBorders/>
            <w:shd w:fill="auto" w:val="clear"/>
            <w:vAlign w:val="bottom"/>
          </w:tcPr>
          <w:p>
            <w:pPr>
              <w:pStyle w:val="TableContents"/>
              <w:spacing w:before="0" w:after="0"/>
              <w:ind w:left="0" w:right="0" w:hanging="0"/>
              <w:rPr/>
            </w:pPr>
            <w:r>
              <w:rPr/>
              <w:t> </w:t>
            </w:r>
          </w:p>
        </w:tc>
        <w:tc>
          <w:tcPr>
            <w:tcW w:w="9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02" w:type="dxa"/>
            <w:tcBorders/>
            <w:shd w:fill="auto" w:val="clear"/>
            <w:vAlign w:val="bottom"/>
          </w:tcPr>
          <w:p>
            <w:pPr>
              <w:pStyle w:val="TableContents"/>
              <w:spacing w:before="0" w:after="0"/>
              <w:ind w:left="0" w:right="0" w:hanging="0"/>
              <w:rPr/>
            </w:pPr>
            <w:r>
              <w:rPr/>
              <w:t> </w:t>
            </w:r>
          </w:p>
        </w:tc>
        <w:tc>
          <w:tcPr>
            <w:tcW w:w="11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729</w:t>
            </w:r>
          </w:p>
        </w:tc>
        <w:tc>
          <w:tcPr>
            <w:tcW w:w="102" w:type="dxa"/>
            <w:tcBorders/>
            <w:shd w:fill="auto" w:val="clear"/>
            <w:vAlign w:val="bottom"/>
          </w:tcPr>
          <w:p>
            <w:pPr>
              <w:pStyle w:val="TableContents"/>
              <w:spacing w:before="0" w:after="0"/>
              <w:ind w:left="0" w:right="0" w:hanging="0"/>
              <w:rPr/>
            </w:pPr>
            <w:r>
              <w:rPr/>
              <w:t> </w:t>
            </w:r>
          </w:p>
        </w:tc>
        <w:tc>
          <w:tcPr>
            <w:tcW w:w="11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2,874</w:t>
            </w:r>
          </w:p>
        </w:tc>
        <w:tc>
          <w:tcPr>
            <w:tcW w:w="102" w:type="dxa"/>
            <w:tcBorders/>
            <w:shd w:fill="auto" w:val="clear"/>
            <w:vAlign w:val="bottom"/>
          </w:tcPr>
          <w:p>
            <w:pPr>
              <w:pStyle w:val="TableContents"/>
              <w:spacing w:before="0" w:after="0"/>
              <w:ind w:left="0" w:right="0" w:hanging="0"/>
              <w:rPr/>
            </w:pPr>
            <w:r>
              <w:rPr/>
              <w:t> </w:t>
            </w:r>
          </w:p>
        </w:tc>
        <w:tc>
          <w:tcPr>
            <w:tcW w:w="11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8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Four to eleven payments </w:t>
            </w:r>
          </w:p>
        </w:tc>
        <w:tc>
          <w:tcPr>
            <w:tcW w:w="102" w:type="dxa"/>
            <w:tcBorders/>
            <w:shd w:fill="CCEEFF" w:val="clear"/>
            <w:vAlign w:val="bottom"/>
          </w:tcPr>
          <w:p>
            <w:pPr>
              <w:pStyle w:val="TableContents"/>
              <w:spacing w:before="0" w:after="0"/>
              <w:ind w:left="0" w:right="0" w:hanging="0"/>
              <w:rPr/>
            </w:pPr>
            <w:r>
              <w:rPr/>
              <w:t> </w:t>
            </w:r>
          </w:p>
        </w:tc>
        <w:tc>
          <w:tcPr>
            <w:tcW w:w="9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02" w:type="dxa"/>
            <w:tcBorders/>
            <w:shd w:fill="CCEEFF" w:val="clear"/>
            <w:vAlign w:val="bottom"/>
          </w:tcPr>
          <w:p>
            <w:pPr>
              <w:pStyle w:val="TableContents"/>
              <w:spacing w:before="0" w:after="0"/>
              <w:ind w:left="0" w:right="0" w:hanging="0"/>
              <w:rPr/>
            </w:pPr>
            <w:r>
              <w:rPr/>
              <w:t> </w:t>
            </w:r>
          </w:p>
        </w:tc>
        <w:tc>
          <w:tcPr>
            <w:tcW w:w="11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96" w:type="dxa"/>
            <w:tcBorders/>
            <w:shd w:fill="CCEEFF" w:val="clear"/>
            <w:vAlign w:val="bottom"/>
          </w:tcPr>
          <w:p>
            <w:pPr>
              <w:pStyle w:val="TableContents"/>
              <w:spacing w:before="0" w:after="0"/>
              <w:ind w:left="0" w:right="0" w:hanging="0"/>
              <w:rPr/>
            </w:pPr>
            <w:r>
              <w:rPr/>
              <w:t> </w:t>
            </w:r>
          </w:p>
        </w:tc>
        <w:tc>
          <w:tcPr>
            <w:tcW w:w="9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102" w:type="dxa"/>
            <w:tcBorders/>
            <w:shd w:fill="CCEEFF" w:val="clear"/>
            <w:vAlign w:val="bottom"/>
          </w:tcPr>
          <w:p>
            <w:pPr>
              <w:pStyle w:val="TableContents"/>
              <w:spacing w:before="0" w:after="0"/>
              <w:ind w:left="0" w:right="0" w:hanging="0"/>
              <w:rPr/>
            </w:pPr>
            <w:r>
              <w:rPr/>
              <w:t> </w:t>
            </w:r>
          </w:p>
        </w:tc>
        <w:tc>
          <w:tcPr>
            <w:tcW w:w="11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96" w:type="dxa"/>
            <w:tcBorders/>
            <w:shd w:fill="CCEEFF" w:val="clear"/>
            <w:vAlign w:val="bottom"/>
          </w:tcPr>
          <w:p>
            <w:pPr>
              <w:pStyle w:val="TableContents"/>
              <w:spacing w:before="0" w:after="0"/>
              <w:ind w:left="0" w:right="0" w:hanging="0"/>
              <w:rPr/>
            </w:pPr>
            <w:r>
              <w:rPr/>
              <w:t> </w:t>
            </w:r>
          </w:p>
        </w:tc>
        <w:tc>
          <w:tcPr>
            <w:tcW w:w="9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1,949</w:t>
            </w:r>
          </w:p>
        </w:tc>
        <w:tc>
          <w:tcPr>
            <w:tcW w:w="102" w:type="dxa"/>
            <w:tcBorders/>
            <w:shd w:fill="CCEEFF" w:val="clear"/>
            <w:vAlign w:val="bottom"/>
          </w:tcPr>
          <w:p>
            <w:pPr>
              <w:pStyle w:val="TableContents"/>
              <w:spacing w:before="0" w:after="0"/>
              <w:ind w:left="0" w:right="0" w:hanging="0"/>
              <w:rPr/>
            </w:pPr>
            <w:r>
              <w:rPr/>
              <w:t> </w:t>
            </w:r>
          </w:p>
        </w:tc>
        <w:tc>
          <w:tcPr>
            <w:tcW w:w="11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847" w:type="dxa"/>
            <w:tcBorders/>
            <w:shd w:fill="CCEEFF" w:val="clear"/>
            <w:vAlign w:val="bottom"/>
          </w:tcPr>
          <w:p>
            <w:pPr>
              <w:pStyle w:val="TableContents"/>
              <w:spacing w:before="0" w:after="0"/>
              <w:ind w:left="0" w:right="0" w:hanging="0"/>
              <w:rPr/>
            </w:pPr>
            <w:r>
              <w:rPr/>
              <w:t> </w:t>
            </w:r>
          </w:p>
        </w:tc>
      </w:tr>
      <w:tr>
        <w:trPr/>
        <w:tc>
          <w:tcPr>
            <w:tcW w:w="20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Twelve or more payments </w:t>
            </w:r>
          </w:p>
        </w:tc>
        <w:tc>
          <w:tcPr>
            <w:tcW w:w="102" w:type="dxa"/>
            <w:tcBorders/>
            <w:shd w:fill="auto" w:val="clear"/>
            <w:vAlign w:val="bottom"/>
          </w:tcPr>
          <w:p>
            <w:pPr>
              <w:pStyle w:val="TableContents"/>
              <w:spacing w:before="0" w:after="0"/>
              <w:ind w:left="0" w:right="0" w:hanging="0"/>
              <w:rPr/>
            </w:pPr>
            <w:r>
              <w:rPr/>
              <w:t> </w:t>
            </w:r>
          </w:p>
        </w:tc>
        <w:tc>
          <w:tcPr>
            <w:tcW w:w="9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2" w:type="dxa"/>
            <w:tcBorders/>
            <w:shd w:fill="auto" w:val="clear"/>
            <w:vAlign w:val="bottom"/>
          </w:tcPr>
          <w:p>
            <w:pPr>
              <w:pStyle w:val="TableContents"/>
              <w:spacing w:before="0" w:after="0"/>
              <w:ind w:left="0" w:right="0" w:hanging="0"/>
              <w:rPr/>
            </w:pPr>
            <w:r>
              <w:rPr/>
              <w:t> </w:t>
            </w:r>
          </w:p>
        </w:tc>
        <w:tc>
          <w:tcPr>
            <w:tcW w:w="11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96" w:type="dxa"/>
            <w:tcBorders/>
            <w:shd w:fill="auto" w:val="clear"/>
            <w:vAlign w:val="bottom"/>
          </w:tcPr>
          <w:p>
            <w:pPr>
              <w:pStyle w:val="TableContents"/>
              <w:spacing w:before="0" w:after="0"/>
              <w:ind w:left="0" w:right="0" w:hanging="0"/>
              <w:rPr/>
            </w:pPr>
            <w:r>
              <w:rPr/>
              <w:t> </w:t>
            </w:r>
          </w:p>
        </w:tc>
        <w:tc>
          <w:tcPr>
            <w:tcW w:w="9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02" w:type="dxa"/>
            <w:tcBorders/>
            <w:shd w:fill="auto" w:val="clear"/>
            <w:vAlign w:val="bottom"/>
          </w:tcPr>
          <w:p>
            <w:pPr>
              <w:pStyle w:val="TableContents"/>
              <w:spacing w:before="0" w:after="0"/>
              <w:ind w:left="0" w:right="0" w:hanging="0"/>
              <w:rPr/>
            </w:pPr>
            <w:r>
              <w:rPr/>
              <w:t> </w:t>
            </w:r>
          </w:p>
        </w:tc>
        <w:tc>
          <w:tcPr>
            <w:tcW w:w="11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96" w:type="dxa"/>
            <w:tcBorders/>
            <w:shd w:fill="auto" w:val="clear"/>
            <w:vAlign w:val="bottom"/>
          </w:tcPr>
          <w:p>
            <w:pPr>
              <w:pStyle w:val="TableContents"/>
              <w:spacing w:before="0" w:after="0"/>
              <w:ind w:left="0" w:right="0" w:hanging="0"/>
              <w:rPr/>
            </w:pPr>
            <w:r>
              <w:rPr/>
              <w:t> </w:t>
            </w:r>
          </w:p>
        </w:tc>
        <w:tc>
          <w:tcPr>
            <w:tcW w:w="9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w:t>
            </w:r>
          </w:p>
        </w:tc>
        <w:tc>
          <w:tcPr>
            <w:tcW w:w="102" w:type="dxa"/>
            <w:tcBorders/>
            <w:shd w:fill="auto" w:val="clear"/>
            <w:vAlign w:val="bottom"/>
          </w:tcPr>
          <w:p>
            <w:pPr>
              <w:pStyle w:val="TableContents"/>
              <w:spacing w:before="0" w:after="0"/>
              <w:ind w:left="0" w:right="0" w:hanging="0"/>
              <w:rPr/>
            </w:pPr>
            <w:r>
              <w:rPr/>
              <w:t> </w:t>
            </w:r>
          </w:p>
        </w:tc>
        <w:tc>
          <w:tcPr>
            <w:tcW w:w="11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847" w:type="dxa"/>
            <w:tcBorders/>
            <w:shd w:fill="auto" w:val="clear"/>
            <w:vAlign w:val="bottom"/>
          </w:tcPr>
          <w:p>
            <w:pPr>
              <w:pStyle w:val="TableContents"/>
              <w:spacing w:before="0" w:after="0"/>
              <w:ind w:left="0" w:right="0" w:hanging="0"/>
              <w:rPr/>
            </w:pPr>
            <w:r>
              <w:rPr/>
              <w:t> </w:t>
            </w:r>
          </w:p>
        </w:tc>
      </w:tr>
      <w:tr>
        <w:trPr/>
        <w:tc>
          <w:tcPr>
            <w:tcW w:w="20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Pending claims </w:t>
            </w:r>
          </w:p>
        </w:tc>
        <w:tc>
          <w:tcPr>
            <w:tcW w:w="102" w:type="dxa"/>
            <w:tcBorders/>
            <w:shd w:fill="CCEEFF" w:val="clear"/>
            <w:vAlign w:val="bottom"/>
          </w:tcPr>
          <w:p>
            <w:pPr>
              <w:pStyle w:val="TableContents"/>
              <w:spacing w:before="0" w:after="0"/>
              <w:ind w:left="0" w:right="0" w:hanging="0"/>
              <w:rPr/>
            </w:pPr>
            <w:r>
              <w:rPr/>
              <w:t> </w:t>
            </w:r>
          </w:p>
        </w:tc>
        <w:tc>
          <w:tcPr>
            <w:tcW w:w="95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02" w:type="dxa"/>
            <w:tcBorders/>
            <w:shd w:fill="CCEEFF" w:val="clear"/>
            <w:vAlign w:val="bottom"/>
          </w:tcPr>
          <w:p>
            <w:pPr>
              <w:pStyle w:val="TableContents"/>
              <w:spacing w:before="0" w:after="0"/>
              <w:ind w:left="0" w:right="0" w:hanging="0"/>
              <w:rPr/>
            </w:pPr>
            <w:r>
              <w:rPr/>
              <w:t> </w:t>
            </w:r>
          </w:p>
        </w:tc>
        <w:tc>
          <w:tcPr>
            <w:tcW w:w="111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96" w:type="dxa"/>
            <w:tcBorders/>
            <w:shd w:fill="CCEEFF" w:val="clear"/>
            <w:vAlign w:val="bottom"/>
          </w:tcPr>
          <w:p>
            <w:pPr>
              <w:pStyle w:val="TableContents"/>
              <w:spacing w:before="0" w:after="0"/>
              <w:ind w:left="0" w:right="0" w:hanging="0"/>
              <w:rPr/>
            </w:pPr>
            <w:r>
              <w:rPr/>
              <w:t> </w:t>
            </w:r>
          </w:p>
        </w:tc>
        <w:tc>
          <w:tcPr>
            <w:tcW w:w="9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102" w:type="dxa"/>
            <w:tcBorders/>
            <w:shd w:fill="CCEEFF" w:val="clear"/>
            <w:vAlign w:val="bottom"/>
          </w:tcPr>
          <w:p>
            <w:pPr>
              <w:pStyle w:val="TableContents"/>
              <w:spacing w:before="0" w:after="0"/>
              <w:ind w:left="0" w:right="0" w:hanging="0"/>
              <w:rPr/>
            </w:pPr>
            <w:r>
              <w:rPr/>
              <w:t> </w:t>
            </w:r>
          </w:p>
        </w:tc>
        <w:tc>
          <w:tcPr>
            <w:tcW w:w="118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96" w:type="dxa"/>
            <w:tcBorders/>
            <w:shd w:fill="CCEEFF" w:val="clear"/>
            <w:vAlign w:val="bottom"/>
          </w:tcPr>
          <w:p>
            <w:pPr>
              <w:pStyle w:val="TableContents"/>
              <w:spacing w:before="0" w:after="0"/>
              <w:ind w:left="0" w:right="0" w:hanging="0"/>
              <w:rPr/>
            </w:pPr>
            <w:r>
              <w:rPr/>
              <w:t> </w:t>
            </w:r>
          </w:p>
        </w:tc>
        <w:tc>
          <w:tcPr>
            <w:tcW w:w="9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02" w:type="dxa"/>
            <w:tcBorders/>
            <w:shd w:fill="CCEEFF" w:val="clear"/>
            <w:vAlign w:val="bottom"/>
          </w:tcPr>
          <w:p>
            <w:pPr>
              <w:pStyle w:val="TableContents"/>
              <w:spacing w:before="0" w:after="0"/>
              <w:ind w:left="0" w:right="0" w:hanging="0"/>
              <w:rPr/>
            </w:pPr>
            <w:r>
              <w:rPr/>
              <w:t> </w:t>
            </w:r>
          </w:p>
        </w:tc>
        <w:tc>
          <w:tcPr>
            <w:tcW w:w="11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847" w:type="dxa"/>
            <w:tcBorders/>
            <w:shd w:fill="CCEEFF" w:val="clear"/>
            <w:vAlign w:val="bottom"/>
          </w:tcPr>
          <w:p>
            <w:pPr>
              <w:pStyle w:val="TableContents"/>
              <w:spacing w:before="0" w:after="0"/>
              <w:ind w:left="0" w:right="0" w:hanging="0"/>
              <w:rPr/>
            </w:pPr>
            <w:r>
              <w:rPr/>
              <w:t> </w:t>
            </w:r>
          </w:p>
        </w:tc>
      </w:tr>
      <w:tr>
        <w:trPr/>
        <w:tc>
          <w:tcPr>
            <w:tcW w:w="20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102" w:type="dxa"/>
            <w:tcBorders/>
            <w:shd w:fill="auto" w:val="clear"/>
            <w:vAlign w:val="bottom"/>
          </w:tcPr>
          <w:p>
            <w:pPr>
              <w:pStyle w:val="TableContents"/>
              <w:spacing w:before="0" w:after="0"/>
              <w:ind w:left="0" w:right="0" w:hanging="0"/>
              <w:rPr/>
            </w:pPr>
            <w:r>
              <w:rPr/>
              <w:t> </w:t>
            </w:r>
          </w:p>
        </w:tc>
        <w:tc>
          <w:tcPr>
            <w:tcW w:w="9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102" w:type="dxa"/>
            <w:tcBorders/>
            <w:shd w:fill="auto" w:val="clear"/>
            <w:vAlign w:val="bottom"/>
          </w:tcPr>
          <w:p>
            <w:pPr>
              <w:pStyle w:val="TableContents"/>
              <w:spacing w:before="0" w:after="0"/>
              <w:ind w:left="0" w:right="0" w:hanging="0"/>
              <w:rPr/>
            </w:pPr>
            <w:r>
              <w:rPr/>
              <w:t> </w:t>
            </w:r>
          </w:p>
        </w:tc>
        <w:tc>
          <w:tcPr>
            <w:tcW w:w="111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2,501</w:t>
            </w:r>
          </w:p>
        </w:tc>
        <w:tc>
          <w:tcPr>
            <w:tcW w:w="102" w:type="dxa"/>
            <w:tcBorders/>
            <w:shd w:fill="auto" w:val="clear"/>
            <w:vAlign w:val="bottom"/>
          </w:tcPr>
          <w:p>
            <w:pPr>
              <w:pStyle w:val="TableContents"/>
              <w:spacing w:before="0" w:after="0"/>
              <w:ind w:left="0" w:right="0" w:hanging="0"/>
              <w:rPr/>
            </w:pPr>
            <w:r>
              <w:rPr/>
              <w:t> </w:t>
            </w:r>
          </w:p>
        </w:tc>
        <w:tc>
          <w:tcPr>
            <w:tcW w:w="11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5,640</w:t>
            </w:r>
          </w:p>
        </w:tc>
        <w:tc>
          <w:tcPr>
            <w:tcW w:w="102" w:type="dxa"/>
            <w:tcBorders/>
            <w:shd w:fill="auto" w:val="clear"/>
            <w:vAlign w:val="bottom"/>
          </w:tcPr>
          <w:p>
            <w:pPr>
              <w:pStyle w:val="TableContents"/>
              <w:spacing w:before="0" w:after="0"/>
              <w:ind w:left="0" w:right="0" w:hanging="0"/>
              <w:rPr/>
            </w:pPr>
            <w:r>
              <w:rPr/>
              <w:t> </w:t>
            </w:r>
          </w:p>
        </w:tc>
        <w:tc>
          <w:tcPr>
            <w:tcW w:w="11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847" w:type="dxa"/>
            <w:tcBorders/>
            <w:shd w:fill="auto" w:val="clear"/>
            <w:vAlign w:val="bottom"/>
          </w:tcPr>
          <w:p>
            <w:pPr>
              <w:pStyle w:val="TableContents"/>
              <w:spacing w:before="0" w:after="0"/>
              <w:ind w:left="0" w:right="0" w:hanging="0"/>
              <w:rPr/>
            </w:pPr>
            <w:r>
              <w:rPr/>
              <w:t> </w:t>
            </w:r>
          </w:p>
        </w:tc>
      </w:tr>
      <w:tr>
        <w:trPr/>
        <w:tc>
          <w:tcPr>
            <w:tcW w:w="20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IBNR </w:t>
            </w:r>
          </w:p>
        </w:tc>
        <w:tc>
          <w:tcPr>
            <w:tcW w:w="102" w:type="dxa"/>
            <w:tcBorders/>
            <w:shd w:fill="CCEEFF" w:val="clear"/>
            <w:vAlign w:val="bottom"/>
          </w:tcPr>
          <w:p>
            <w:pPr>
              <w:pStyle w:val="TableContents"/>
              <w:spacing w:before="0" w:after="0"/>
              <w:ind w:left="0" w:right="0" w:hanging="0"/>
              <w:rPr/>
            </w:pPr>
            <w:r>
              <w:rPr/>
              <w:t> </w:t>
            </w:r>
          </w:p>
        </w:tc>
        <w:tc>
          <w:tcPr>
            <w:tcW w:w="959"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1111" w:type="dxa"/>
            <w:tcBorders/>
            <w:shd w:fill="CCEEFF" w:val="clear"/>
            <w:vAlign w:val="bottom"/>
          </w:tcPr>
          <w:p>
            <w:pPr>
              <w:pStyle w:val="TableContents"/>
              <w:spacing w:before="0" w:after="0"/>
              <w:ind w:left="0" w:right="0" w:hanging="0"/>
              <w:jc w:val="right"/>
              <w:rPr/>
            </w:pPr>
            <w:r>
              <w:rPr/>
              <w:t> </w:t>
            </w:r>
          </w:p>
        </w:tc>
        <w:tc>
          <w:tcPr>
            <w:tcW w:w="296" w:type="dxa"/>
            <w:tcBorders/>
            <w:shd w:fill="CCEEFF" w:val="clear"/>
            <w:vAlign w:val="bottom"/>
          </w:tcPr>
          <w:p>
            <w:pPr>
              <w:pStyle w:val="TableContents"/>
              <w:spacing w:before="0" w:after="0"/>
              <w:ind w:left="0" w:right="0" w:hanging="0"/>
              <w:rPr/>
            </w:pPr>
            <w:r>
              <w:rPr/>
              <w:t> </w:t>
            </w:r>
          </w:p>
        </w:tc>
        <w:tc>
          <w:tcPr>
            <w:tcW w:w="9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w:t>
            </w:r>
          </w:p>
        </w:tc>
        <w:tc>
          <w:tcPr>
            <w:tcW w:w="102" w:type="dxa"/>
            <w:tcBorders/>
            <w:shd w:fill="CCEEFF" w:val="clear"/>
            <w:vAlign w:val="bottom"/>
          </w:tcPr>
          <w:p>
            <w:pPr>
              <w:pStyle w:val="TableContents"/>
              <w:spacing w:before="0" w:after="0"/>
              <w:ind w:left="0" w:right="0" w:hanging="0"/>
              <w:rPr/>
            </w:pPr>
            <w:r>
              <w:rPr/>
              <w:t> </w:t>
            </w:r>
          </w:p>
        </w:tc>
        <w:tc>
          <w:tcPr>
            <w:tcW w:w="1189" w:type="dxa"/>
            <w:tcBorders/>
            <w:shd w:fill="CCEEFF" w:val="clear"/>
            <w:vAlign w:val="bottom"/>
          </w:tcPr>
          <w:p>
            <w:pPr>
              <w:pStyle w:val="TableContents"/>
              <w:spacing w:before="0" w:after="0"/>
              <w:ind w:left="0" w:right="0" w:hanging="0"/>
              <w:jc w:val="right"/>
              <w:rPr/>
            </w:pPr>
            <w:r>
              <w:rPr/>
              <w:t> </w:t>
            </w:r>
          </w:p>
        </w:tc>
        <w:tc>
          <w:tcPr>
            <w:tcW w:w="296" w:type="dxa"/>
            <w:tcBorders/>
            <w:shd w:fill="CCEEFF" w:val="clear"/>
            <w:vAlign w:val="bottom"/>
          </w:tcPr>
          <w:p>
            <w:pPr>
              <w:pStyle w:val="TableContents"/>
              <w:spacing w:before="0" w:after="0"/>
              <w:ind w:left="0" w:right="0" w:hanging="0"/>
              <w:rPr/>
            </w:pPr>
            <w:r>
              <w:rPr/>
              <w:t> </w:t>
            </w:r>
          </w:p>
        </w:tc>
        <w:tc>
          <w:tcPr>
            <w:tcW w:w="940" w:type="dxa"/>
            <w:gridSpan w:val="2"/>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1110" w:type="dxa"/>
            <w:tcBorders/>
            <w:shd w:fill="CCEEFF" w:val="clear"/>
            <w:vAlign w:val="bottom"/>
          </w:tcPr>
          <w:p>
            <w:pPr>
              <w:pStyle w:val="TableContents"/>
              <w:spacing w:before="0" w:after="0"/>
              <w:ind w:left="0" w:right="0" w:hanging="0"/>
              <w:jc w:val="right"/>
              <w:rPr/>
            </w:pPr>
            <w:r>
              <w:rPr/>
              <w:t> </w:t>
            </w:r>
          </w:p>
        </w:tc>
        <w:tc>
          <w:tcPr>
            <w:tcW w:w="847" w:type="dxa"/>
            <w:tcBorders/>
            <w:shd w:fill="CCEEFF" w:val="clear"/>
            <w:vAlign w:val="bottom"/>
          </w:tcPr>
          <w:p>
            <w:pPr>
              <w:pStyle w:val="TableContents"/>
              <w:spacing w:before="0" w:after="0"/>
              <w:ind w:left="0" w:right="0" w:hanging="0"/>
              <w:rPr/>
            </w:pPr>
            <w:r>
              <w:rPr/>
              <w:t> </w:t>
            </w:r>
          </w:p>
        </w:tc>
      </w:tr>
      <w:tr>
        <w:trPr/>
        <w:tc>
          <w:tcPr>
            <w:tcW w:w="20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LAE and other </w:t>
            </w:r>
          </w:p>
        </w:tc>
        <w:tc>
          <w:tcPr>
            <w:tcW w:w="102" w:type="dxa"/>
            <w:tcBorders/>
            <w:shd w:fill="auto" w:val="clear"/>
            <w:vAlign w:val="bottom"/>
          </w:tcPr>
          <w:p>
            <w:pPr>
              <w:pStyle w:val="TableContents"/>
              <w:spacing w:before="0" w:after="0"/>
              <w:ind w:left="0" w:right="0" w:hanging="0"/>
              <w:rPr/>
            </w:pPr>
            <w:r>
              <w:rPr/>
              <w:t> </w:t>
            </w:r>
          </w:p>
        </w:tc>
        <w:tc>
          <w:tcPr>
            <w:tcW w:w="959"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1111" w:type="dxa"/>
            <w:tcBorders/>
            <w:shd w:fill="auto" w:val="clear"/>
            <w:vAlign w:val="bottom"/>
          </w:tcPr>
          <w:p>
            <w:pPr>
              <w:pStyle w:val="TableContents"/>
              <w:spacing w:before="0" w:after="0"/>
              <w:ind w:left="0" w:right="0" w:hanging="0"/>
              <w:jc w:val="right"/>
              <w:rPr/>
            </w:pPr>
            <w:r>
              <w:rPr/>
              <w:t> </w:t>
            </w:r>
          </w:p>
        </w:tc>
        <w:tc>
          <w:tcPr>
            <w:tcW w:w="296" w:type="dxa"/>
            <w:tcBorders/>
            <w:shd w:fill="auto" w:val="clear"/>
            <w:vAlign w:val="bottom"/>
          </w:tcPr>
          <w:p>
            <w:pPr>
              <w:pStyle w:val="TableContents"/>
              <w:spacing w:before="0" w:after="0"/>
              <w:ind w:left="0" w:right="0" w:hanging="0"/>
              <w:rPr/>
            </w:pPr>
            <w:r>
              <w:rPr/>
              <w:t> </w:t>
            </w:r>
          </w:p>
        </w:tc>
        <w:tc>
          <w:tcPr>
            <w:tcW w:w="9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02" w:type="dxa"/>
            <w:tcBorders/>
            <w:shd w:fill="auto" w:val="clear"/>
            <w:vAlign w:val="bottom"/>
          </w:tcPr>
          <w:p>
            <w:pPr>
              <w:pStyle w:val="TableContents"/>
              <w:spacing w:before="0" w:after="0"/>
              <w:ind w:left="0" w:right="0" w:hanging="0"/>
              <w:rPr/>
            </w:pPr>
            <w:r>
              <w:rPr/>
              <w:t> </w:t>
            </w:r>
          </w:p>
        </w:tc>
        <w:tc>
          <w:tcPr>
            <w:tcW w:w="1189" w:type="dxa"/>
            <w:tcBorders/>
            <w:shd w:fill="auto" w:val="clear"/>
            <w:vAlign w:val="bottom"/>
          </w:tcPr>
          <w:p>
            <w:pPr>
              <w:pStyle w:val="TableContents"/>
              <w:spacing w:before="0" w:after="0"/>
              <w:ind w:left="0" w:right="0" w:hanging="0"/>
              <w:jc w:val="right"/>
              <w:rPr/>
            </w:pPr>
            <w:r>
              <w:rPr/>
              <w:t> </w:t>
            </w:r>
          </w:p>
        </w:tc>
        <w:tc>
          <w:tcPr>
            <w:tcW w:w="296" w:type="dxa"/>
            <w:tcBorders/>
            <w:shd w:fill="auto" w:val="clear"/>
            <w:vAlign w:val="bottom"/>
          </w:tcPr>
          <w:p>
            <w:pPr>
              <w:pStyle w:val="TableContents"/>
              <w:spacing w:before="0" w:after="0"/>
              <w:ind w:left="0" w:right="0" w:hanging="0"/>
              <w:rPr/>
            </w:pPr>
            <w:r>
              <w:rPr/>
              <w:t> </w:t>
            </w:r>
          </w:p>
        </w:tc>
        <w:tc>
          <w:tcPr>
            <w:tcW w:w="940" w:type="dxa"/>
            <w:gridSpan w:val="2"/>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1110" w:type="dxa"/>
            <w:tcBorders/>
            <w:shd w:fill="auto" w:val="clear"/>
            <w:vAlign w:val="bottom"/>
          </w:tcPr>
          <w:p>
            <w:pPr>
              <w:pStyle w:val="TableContents"/>
              <w:spacing w:before="0" w:after="0"/>
              <w:ind w:left="0" w:right="0" w:hanging="0"/>
              <w:jc w:val="right"/>
              <w:rPr/>
            </w:pPr>
            <w:r>
              <w:rPr/>
              <w:t> </w:t>
            </w:r>
          </w:p>
        </w:tc>
        <w:tc>
          <w:tcPr>
            <w:tcW w:w="847" w:type="dxa"/>
            <w:tcBorders/>
            <w:shd w:fill="auto" w:val="clear"/>
            <w:vAlign w:val="bottom"/>
          </w:tcPr>
          <w:p>
            <w:pPr>
              <w:pStyle w:val="TableContents"/>
              <w:spacing w:before="0" w:after="0"/>
              <w:ind w:left="0" w:right="0" w:hanging="0"/>
              <w:rPr/>
            </w:pPr>
            <w:r>
              <w:rPr/>
              <w:t> </w:t>
            </w:r>
          </w:p>
        </w:tc>
      </w:tr>
      <w:tr>
        <w:trPr/>
        <w:tc>
          <w:tcPr>
            <w:tcW w:w="20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reserves </w:t>
            </w:r>
          </w:p>
        </w:tc>
        <w:tc>
          <w:tcPr>
            <w:tcW w:w="102" w:type="dxa"/>
            <w:tcBorders/>
            <w:shd w:fill="CCEEFF" w:val="clear"/>
            <w:vAlign w:val="bottom"/>
          </w:tcPr>
          <w:p>
            <w:pPr>
              <w:pStyle w:val="TableContents"/>
              <w:spacing w:before="0" w:after="0"/>
              <w:ind w:left="0" w:right="0" w:hanging="0"/>
              <w:rPr/>
            </w:pPr>
            <w:r>
              <w:rPr/>
              <w:t> </w:t>
            </w:r>
          </w:p>
        </w:tc>
        <w:tc>
          <w:tcPr>
            <w:tcW w:w="959"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1111" w:type="dxa"/>
            <w:tcBorders/>
            <w:shd w:fill="CCEEFF" w:val="clear"/>
            <w:vAlign w:val="bottom"/>
          </w:tcPr>
          <w:p>
            <w:pPr>
              <w:pStyle w:val="TableContents"/>
              <w:spacing w:before="0" w:after="0"/>
              <w:ind w:left="0" w:right="0" w:hanging="0"/>
              <w:jc w:val="right"/>
              <w:rPr/>
            </w:pPr>
            <w:r>
              <w:rPr/>
              <w:t> </w:t>
            </w:r>
          </w:p>
        </w:tc>
        <w:tc>
          <w:tcPr>
            <w:tcW w:w="296"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2,727</w:t>
            </w:r>
          </w:p>
        </w:tc>
        <w:tc>
          <w:tcPr>
            <w:tcW w:w="102" w:type="dxa"/>
            <w:tcBorders/>
            <w:shd w:fill="CCEEFF" w:val="clear"/>
            <w:vAlign w:val="bottom"/>
          </w:tcPr>
          <w:p>
            <w:pPr>
              <w:pStyle w:val="TableContents"/>
              <w:spacing w:before="0" w:after="0"/>
              <w:ind w:left="0" w:right="0" w:hanging="0"/>
              <w:rPr/>
            </w:pPr>
            <w:r>
              <w:rPr/>
              <w:t> </w:t>
            </w:r>
          </w:p>
        </w:tc>
        <w:tc>
          <w:tcPr>
            <w:tcW w:w="1189" w:type="dxa"/>
            <w:tcBorders/>
            <w:shd w:fill="CCEEFF" w:val="clear"/>
            <w:vAlign w:val="bottom"/>
          </w:tcPr>
          <w:p>
            <w:pPr>
              <w:pStyle w:val="TableContents"/>
              <w:spacing w:before="0" w:after="0"/>
              <w:ind w:left="0" w:right="0" w:hanging="0"/>
              <w:jc w:val="right"/>
              <w:rPr/>
            </w:pPr>
            <w:r>
              <w:rPr/>
              <w:t> </w:t>
            </w:r>
          </w:p>
        </w:tc>
        <w:tc>
          <w:tcPr>
            <w:tcW w:w="296" w:type="dxa"/>
            <w:tcBorders/>
            <w:shd w:fill="CCEEFF" w:val="clear"/>
            <w:vAlign w:val="bottom"/>
          </w:tcPr>
          <w:p>
            <w:pPr>
              <w:pStyle w:val="TableContents"/>
              <w:spacing w:before="0" w:after="0"/>
              <w:ind w:left="0" w:right="0" w:hanging="0"/>
              <w:rPr/>
            </w:pPr>
            <w:r>
              <w:rPr/>
              <w:t> </w:t>
            </w:r>
          </w:p>
        </w:tc>
        <w:tc>
          <w:tcPr>
            <w:tcW w:w="940" w:type="dxa"/>
            <w:gridSpan w:val="2"/>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c>
          <w:tcPr>
            <w:tcW w:w="1110" w:type="dxa"/>
            <w:tcBorders/>
            <w:shd w:fill="CCEEFF" w:val="clear"/>
            <w:vAlign w:val="bottom"/>
          </w:tcPr>
          <w:p>
            <w:pPr>
              <w:pStyle w:val="TableContents"/>
              <w:spacing w:before="0" w:after="0"/>
              <w:ind w:left="0" w:right="0" w:hanging="0"/>
              <w:jc w:val="right"/>
              <w:rPr/>
            </w:pPr>
            <w:r>
              <w:rPr/>
              <w:t> </w:t>
            </w:r>
          </w:p>
        </w:tc>
        <w:tc>
          <w:tcPr>
            <w:tcW w:w="84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months ended September 30, 2014, the provision for losses and LAE was $1.4 million, comprised of $1.5 million of current year losses partially offset by $0.1 million of favorable prior years loss development.  During the three months ended September 30, 2013, the provision for losses and LAE was $0.3 million, comprised of $0.6 million of current year losses and $0.3 million of favorable prior years loss development.  In both periods, the prior years loss development is the result of a re-estimation of amounts ultimately to be paid on prior year defaults in the default inventory.  During the three months ended September 30, 2014, we paid four claims for a total amount of $0.2 million.  During the three months ended September 30, 2013, we paid two claims for a total amount of $0.1 million. Claim severity, representing the total amount of claims paid divided by the related RIF of the defaulted mortgage loans, for the three months ended September 30, 2014 and 2013 was 108% and 64%,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nine months ended September 30, 2014, the provision for losses and LAE was $3.3 million, comprised of $4.0 million of current year losses partially offset by $0.7 million of favorable prior years loss development.  During the nine months ended September 30, 2013, the provision for losses and LAE was $1.6 million, comprised of $2.1 million of current year losses partially offset by $0.5 million of favorable prior years loss development.  In both periods, the favorable prior years loss development is the result of a re-estimation of amounts ultimately to be paid on prior year defaults in the default inventory.  During the nine months ended September 30, 2014, we paid 20 claims for a total amount of $0.6 million.  During the nine months ended September 30, 2013, we paid eight claims for a total amount of $0.4 million. Claim severity for the nine months ended September 30, 2014 and 2013 was 73% and 77%,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Underwriting and Operating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are the components of our other underwriting and operating expenses for the periods indicated:</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1836"/>
        <w:gridCol w:w="166"/>
        <w:gridCol w:w="129"/>
        <w:gridCol w:w="758"/>
        <w:gridCol w:w="166"/>
        <w:gridCol w:w="563"/>
        <w:gridCol w:w="287"/>
        <w:gridCol w:w="129"/>
        <w:gridCol w:w="758"/>
        <w:gridCol w:w="166"/>
        <w:gridCol w:w="563"/>
        <w:gridCol w:w="287"/>
        <w:gridCol w:w="129"/>
        <w:gridCol w:w="758"/>
        <w:gridCol w:w="166"/>
        <w:gridCol w:w="563"/>
        <w:gridCol w:w="287"/>
        <w:gridCol w:w="128"/>
        <w:gridCol w:w="758"/>
        <w:gridCol w:w="166"/>
        <w:gridCol w:w="563"/>
        <w:gridCol w:w="164"/>
      </w:tblGrid>
      <w:tr>
        <w:trPr/>
        <w:tc>
          <w:tcPr>
            <w:tcW w:w="1836" w:type="dxa"/>
            <w:tcBorders/>
            <w:shd w:fill="FFFFFF" w:val="clear"/>
            <w:vAlign w:val="bottom"/>
          </w:tcPr>
          <w:p>
            <w:pPr>
              <w:pStyle w:val="TableContents"/>
              <w:spacing w:before="0" w:after="0"/>
              <w:ind w:left="0" w:right="0" w:hanging="0"/>
              <w:rPr/>
            </w:pPr>
            <w:r>
              <w:rPr/>
              <w:t> </w:t>
            </w:r>
          </w:p>
        </w:tc>
        <w:tc>
          <w:tcPr>
            <w:tcW w:w="166" w:type="dxa"/>
            <w:tcBorders/>
            <w:shd w:fill="FFFFFF" w:val="clear"/>
            <w:vAlign w:val="bottom"/>
          </w:tcPr>
          <w:p>
            <w:pPr>
              <w:pStyle w:val="TableContents"/>
              <w:spacing w:before="0" w:after="0"/>
              <w:ind w:left="0" w:right="0" w:hanging="0"/>
              <w:jc w:val="center"/>
              <w:rPr/>
            </w:pPr>
            <w:r>
              <w:rPr/>
              <w:t> </w:t>
            </w:r>
          </w:p>
        </w:tc>
        <w:tc>
          <w:tcPr>
            <w:tcW w:w="3519" w:type="dxa"/>
            <w:gridSpan w:val="9"/>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w:t>
            </w:r>
          </w:p>
        </w:tc>
        <w:tc>
          <w:tcPr>
            <w:tcW w:w="287" w:type="dxa"/>
            <w:tcBorders/>
            <w:shd w:fill="FFFFFF" w:val="clear"/>
            <w:vAlign w:val="bottom"/>
          </w:tcPr>
          <w:p>
            <w:pPr>
              <w:pStyle w:val="TableContents"/>
              <w:spacing w:before="0" w:after="0"/>
              <w:ind w:left="0" w:right="0" w:hanging="0"/>
              <w:jc w:val="center"/>
              <w:rPr/>
            </w:pPr>
            <w:r>
              <w:rPr/>
              <w:t> </w:t>
            </w:r>
          </w:p>
        </w:tc>
        <w:tc>
          <w:tcPr>
            <w:tcW w:w="3518" w:type="dxa"/>
            <w:gridSpan w:val="9"/>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64" w:type="dxa"/>
            <w:tcBorders/>
            <w:shd w:fill="FFFFFF" w:val="clear"/>
            <w:vAlign w:val="bottom"/>
          </w:tcPr>
          <w:p>
            <w:pPr>
              <w:pStyle w:val="TableContents"/>
              <w:spacing w:before="0" w:after="0"/>
              <w:ind w:left="0" w:right="0" w:hanging="0"/>
              <w:rPr/>
            </w:pPr>
            <w:r>
              <w:rPr/>
              <w:t> </w:t>
            </w:r>
          </w:p>
        </w:tc>
      </w:tr>
      <w:tr>
        <w:trPr/>
        <w:tc>
          <w:tcPr>
            <w:tcW w:w="1836" w:type="dxa"/>
            <w:tcBorders/>
            <w:shd w:fill="FFFFFF" w:val="clear"/>
            <w:vAlign w:val="bottom"/>
          </w:tcPr>
          <w:p>
            <w:pPr>
              <w:pStyle w:val="TableContents"/>
              <w:spacing w:before="0" w:after="0"/>
              <w:ind w:left="0" w:right="0" w:hanging="0"/>
              <w:rPr/>
            </w:pPr>
            <w:r>
              <w:rPr/>
              <w:t> </w:t>
            </w:r>
          </w:p>
        </w:tc>
        <w:tc>
          <w:tcPr>
            <w:tcW w:w="166" w:type="dxa"/>
            <w:tcBorders/>
            <w:shd w:fill="FFFFFF" w:val="clear"/>
            <w:vAlign w:val="bottom"/>
          </w:tcPr>
          <w:p>
            <w:pPr>
              <w:pStyle w:val="TableContents"/>
              <w:spacing w:before="0" w:after="0"/>
              <w:ind w:left="0" w:right="0" w:hanging="0"/>
              <w:jc w:val="center"/>
              <w:rPr/>
            </w:pPr>
            <w:r>
              <w:rPr/>
              <w:t> </w:t>
            </w:r>
          </w:p>
        </w:tc>
        <w:tc>
          <w:tcPr>
            <w:tcW w:w="1616" w:type="dxa"/>
            <w:gridSpan w:val="4"/>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87"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616" w:type="dxa"/>
            <w:gridSpan w:val="4"/>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87" w:type="dxa"/>
            <w:tcBorders/>
            <w:shd w:fill="FFFFFF" w:val="clear"/>
            <w:vAlign w:val="bottom"/>
          </w:tcPr>
          <w:p>
            <w:pPr>
              <w:pStyle w:val="TableContents"/>
              <w:spacing w:before="0" w:after="0"/>
              <w:ind w:left="0" w:right="0" w:hanging="0"/>
              <w:jc w:val="center"/>
              <w:rPr/>
            </w:pPr>
            <w:r>
              <w:rPr/>
              <w:t> </w:t>
            </w:r>
          </w:p>
        </w:tc>
        <w:tc>
          <w:tcPr>
            <w:tcW w:w="1616" w:type="dxa"/>
            <w:gridSpan w:val="4"/>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87"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1615" w:type="dxa"/>
            <w:gridSpan w:val="4"/>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64" w:type="dxa"/>
            <w:tcBorders/>
            <w:shd w:fill="FFFFFF" w:val="clear"/>
            <w:vAlign w:val="bottom"/>
          </w:tcPr>
          <w:p>
            <w:pPr>
              <w:pStyle w:val="TableContents"/>
              <w:spacing w:before="0" w:after="0"/>
              <w:ind w:left="0" w:right="0" w:hanging="0"/>
              <w:rPr/>
            </w:pPr>
            <w:r>
              <w:rPr/>
              <w:t> </w:t>
            </w:r>
          </w:p>
        </w:tc>
      </w:tr>
      <w:tr>
        <w:trPr/>
        <w:tc>
          <w:tcPr>
            <w:tcW w:w="1836" w:type="dxa"/>
            <w:tcBorders>
              <w:bottom w:val="single" w:sz="8" w:space="0" w:color="000000"/>
            </w:tcBorders>
            <w:shd w:fill="FFFFFF"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166" w:type="dxa"/>
            <w:tcBorders/>
            <w:shd w:fill="FFFFFF" w:val="clear"/>
            <w:vAlign w:val="bottom"/>
          </w:tcPr>
          <w:p>
            <w:pPr>
              <w:pStyle w:val="TableContents"/>
              <w:spacing w:before="0" w:after="0"/>
              <w:ind w:left="0" w:right="0" w:hanging="0"/>
              <w:jc w:val="center"/>
              <w:rPr/>
            </w:pPr>
            <w:r>
              <w:rPr/>
              <w:t> </w:t>
            </w:r>
          </w:p>
        </w:tc>
        <w:tc>
          <w:tcPr>
            <w:tcW w:w="887"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66"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563"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87" w:type="dxa"/>
            <w:tcBorders/>
            <w:shd w:fill="FFFFFF" w:val="clear"/>
            <w:vAlign w:val="bottom"/>
          </w:tcPr>
          <w:p>
            <w:pPr>
              <w:pStyle w:val="TableContents"/>
              <w:spacing w:before="0" w:after="0"/>
              <w:ind w:left="0" w:right="0" w:hanging="0"/>
              <w:jc w:val="center"/>
              <w:rPr/>
            </w:pPr>
            <w:r>
              <w:rPr/>
              <w:t> </w:t>
            </w:r>
          </w:p>
        </w:tc>
        <w:tc>
          <w:tcPr>
            <w:tcW w:w="887"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66"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563"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87" w:type="dxa"/>
            <w:tcBorders/>
            <w:shd w:fill="FFFFFF" w:val="clear"/>
            <w:vAlign w:val="bottom"/>
          </w:tcPr>
          <w:p>
            <w:pPr>
              <w:pStyle w:val="TableContents"/>
              <w:spacing w:before="0" w:after="0"/>
              <w:ind w:left="0" w:right="0" w:hanging="0"/>
              <w:jc w:val="center"/>
              <w:rPr/>
            </w:pPr>
            <w:r>
              <w:rPr/>
              <w:t> </w:t>
            </w:r>
          </w:p>
        </w:tc>
        <w:tc>
          <w:tcPr>
            <w:tcW w:w="887"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66"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563"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87" w:type="dxa"/>
            <w:tcBorders/>
            <w:shd w:fill="FFFFFF" w:val="clear"/>
            <w:vAlign w:val="bottom"/>
          </w:tcPr>
          <w:p>
            <w:pPr>
              <w:pStyle w:val="TableContents"/>
              <w:spacing w:before="0" w:after="0"/>
              <w:ind w:left="0" w:right="0" w:hanging="0"/>
              <w:jc w:val="center"/>
              <w:rPr/>
            </w:pPr>
            <w:r>
              <w:rPr/>
              <w:t> </w:t>
            </w:r>
          </w:p>
        </w:tc>
        <w:tc>
          <w:tcPr>
            <w:tcW w:w="886" w:type="dxa"/>
            <w:gridSpan w:val="2"/>
            <w:tcBorders>
              <w:bottom w:val="sing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66" w:type="dxa"/>
            <w:tcBorders>
              <w:top w:val="single" w:sz="8" w:space="0" w:color="000000"/>
            </w:tcBorders>
            <w:shd w:fill="FFFFFF" w:val="clear"/>
            <w:tcMar>
              <w:top w:w="28" w:type="dxa"/>
            </w:tcMar>
            <w:vAlign w:val="bottom"/>
          </w:tcPr>
          <w:p>
            <w:pPr>
              <w:pStyle w:val="TableContents"/>
              <w:spacing w:before="0" w:after="0"/>
              <w:ind w:left="0" w:right="0" w:hanging="0"/>
              <w:jc w:val="center"/>
              <w:rPr/>
            </w:pPr>
            <w:r>
              <w:rPr/>
              <w:t> </w:t>
            </w:r>
          </w:p>
        </w:tc>
        <w:tc>
          <w:tcPr>
            <w:tcW w:w="563" w:type="dxa"/>
            <w:tcBorders>
              <w:top w:val="single" w:sz="8" w:space="0" w:color="000000"/>
              <w:bottom w:val="single" w:sz="8"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64" w:type="dxa"/>
            <w:tcBorders/>
            <w:shd w:fill="FFFFFF" w:val="clear"/>
            <w:vAlign w:val="bottom"/>
          </w:tcPr>
          <w:p>
            <w:pPr>
              <w:pStyle w:val="TableContents"/>
              <w:spacing w:before="0" w:after="0"/>
              <w:ind w:left="0" w:right="0" w:hanging="0"/>
              <w:rPr/>
            </w:pPr>
            <w:r>
              <w:rPr/>
              <w:t> </w:t>
            </w:r>
          </w:p>
        </w:tc>
      </w:tr>
      <w:tr>
        <w:trPr/>
        <w:tc>
          <w:tcPr>
            <w:tcW w:w="18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Compensation and benefits </w:t>
            </w:r>
          </w:p>
        </w:tc>
        <w:tc>
          <w:tcPr>
            <w:tcW w:w="166"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16,369</w:t>
            </w:r>
          </w:p>
        </w:tc>
        <w:tc>
          <w:tcPr>
            <w:tcW w:w="166" w:type="dxa"/>
            <w:tcBorders/>
            <w:shd w:fill="CCEEFF" w:val="clear"/>
            <w:vAlign w:val="bottom"/>
          </w:tcPr>
          <w:p>
            <w:pPr>
              <w:pStyle w:val="TableContents"/>
              <w:spacing w:before="0" w:after="0"/>
              <w:ind w:left="0" w:right="0" w:hanging="0"/>
              <w:rPr/>
            </w:pPr>
            <w:r>
              <w:rPr/>
              <w:t> </w:t>
            </w:r>
          </w:p>
        </w:tc>
        <w:tc>
          <w:tcPr>
            <w:tcW w:w="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11,926</w:t>
            </w:r>
          </w:p>
        </w:tc>
        <w:tc>
          <w:tcPr>
            <w:tcW w:w="166" w:type="dxa"/>
            <w:tcBorders/>
            <w:shd w:fill="CCEEFF" w:val="clear"/>
            <w:vAlign w:val="bottom"/>
          </w:tcPr>
          <w:p>
            <w:pPr>
              <w:pStyle w:val="TableContents"/>
              <w:spacing w:before="0" w:after="0"/>
              <w:ind w:left="0" w:right="0" w:hanging="0"/>
              <w:rPr/>
            </w:pPr>
            <w:r>
              <w:rPr/>
              <w:t> </w:t>
            </w:r>
          </w:p>
        </w:tc>
        <w:tc>
          <w:tcPr>
            <w:tcW w:w="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47,877</w:t>
            </w:r>
          </w:p>
        </w:tc>
        <w:tc>
          <w:tcPr>
            <w:tcW w:w="166" w:type="dxa"/>
            <w:tcBorders/>
            <w:shd w:fill="CCEEFF" w:val="clear"/>
            <w:vAlign w:val="bottom"/>
          </w:tcPr>
          <w:p>
            <w:pPr>
              <w:pStyle w:val="TableContents"/>
              <w:spacing w:before="0" w:after="0"/>
              <w:ind w:left="0" w:right="0" w:hanging="0"/>
              <w:rPr/>
            </w:pPr>
            <w:r>
              <w:rPr/>
              <w:t> </w:t>
            </w:r>
          </w:p>
        </w:tc>
        <w:tc>
          <w:tcPr>
            <w:tcW w:w="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31,916</w:t>
            </w:r>
          </w:p>
        </w:tc>
        <w:tc>
          <w:tcPr>
            <w:tcW w:w="166" w:type="dxa"/>
            <w:tcBorders/>
            <w:shd w:fill="CCEEFF" w:val="clear"/>
            <w:vAlign w:val="bottom"/>
          </w:tcPr>
          <w:p>
            <w:pPr>
              <w:pStyle w:val="TableContents"/>
              <w:spacing w:before="0" w:after="0"/>
              <w:ind w:left="0" w:right="0" w:hanging="0"/>
              <w:rPr/>
            </w:pPr>
            <w:r>
              <w:rPr/>
              <w:t> </w:t>
            </w:r>
          </w:p>
        </w:tc>
        <w:tc>
          <w:tcPr>
            <w:tcW w:w="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8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166" w:type="dxa"/>
            <w:tcBorders/>
            <w:shd w:fill="auto"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8,100</w:t>
            </w:r>
          </w:p>
        </w:tc>
        <w:tc>
          <w:tcPr>
            <w:tcW w:w="166" w:type="dxa"/>
            <w:tcBorders/>
            <w:shd w:fill="auto" w:val="clear"/>
            <w:vAlign w:val="bottom"/>
          </w:tcPr>
          <w:p>
            <w:pPr>
              <w:pStyle w:val="TableContents"/>
              <w:spacing w:before="0" w:after="0"/>
              <w:ind w:left="0" w:right="0" w:hanging="0"/>
              <w:rPr/>
            </w:pPr>
            <w:r>
              <w:rPr/>
              <w:t> </w:t>
            </w:r>
          </w:p>
        </w:tc>
        <w:tc>
          <w:tcPr>
            <w:tcW w:w="5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87" w:type="dxa"/>
            <w:tcBorders/>
            <w:shd w:fill="auto"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6,311</w:t>
            </w:r>
          </w:p>
        </w:tc>
        <w:tc>
          <w:tcPr>
            <w:tcW w:w="166" w:type="dxa"/>
            <w:tcBorders/>
            <w:shd w:fill="auto" w:val="clear"/>
            <w:vAlign w:val="bottom"/>
          </w:tcPr>
          <w:p>
            <w:pPr>
              <w:pStyle w:val="TableContents"/>
              <w:spacing w:before="0" w:after="0"/>
              <w:ind w:left="0" w:right="0" w:hanging="0"/>
              <w:rPr/>
            </w:pPr>
            <w:r>
              <w:rPr/>
              <w:t> </w:t>
            </w:r>
          </w:p>
        </w:tc>
        <w:tc>
          <w:tcPr>
            <w:tcW w:w="5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87" w:type="dxa"/>
            <w:tcBorders/>
            <w:shd w:fill="auto" w:val="clear"/>
            <w:vAlign w:val="bottom"/>
          </w:tcPr>
          <w:p>
            <w:pPr>
              <w:pStyle w:val="TableContents"/>
              <w:spacing w:before="0" w:after="0"/>
              <w:ind w:left="0" w:right="0" w:hanging="0"/>
              <w:rPr/>
            </w:pPr>
            <w:r>
              <w:rPr/>
              <w:t> </w:t>
            </w:r>
          </w:p>
        </w:tc>
        <w:tc>
          <w:tcPr>
            <w:tcW w:w="8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23,699</w:t>
            </w:r>
          </w:p>
        </w:tc>
        <w:tc>
          <w:tcPr>
            <w:tcW w:w="166" w:type="dxa"/>
            <w:tcBorders/>
            <w:shd w:fill="auto" w:val="clear"/>
            <w:vAlign w:val="bottom"/>
          </w:tcPr>
          <w:p>
            <w:pPr>
              <w:pStyle w:val="TableContents"/>
              <w:spacing w:before="0" w:after="0"/>
              <w:ind w:left="0" w:right="0" w:hanging="0"/>
              <w:rPr/>
            </w:pPr>
            <w:r>
              <w:rPr/>
              <w:t> </w:t>
            </w:r>
          </w:p>
        </w:tc>
        <w:tc>
          <w:tcPr>
            <w:tcW w:w="5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87" w:type="dxa"/>
            <w:tcBorders/>
            <w:shd w:fill="auto" w:val="clear"/>
            <w:vAlign w:val="bottom"/>
          </w:tcPr>
          <w:p>
            <w:pPr>
              <w:pStyle w:val="TableContents"/>
              <w:spacing w:before="0" w:after="0"/>
              <w:ind w:left="0" w:right="0" w:hanging="0"/>
              <w:rPr/>
            </w:pPr>
            <w:r>
              <w:rPr/>
              <w:t> </w:t>
            </w:r>
          </w:p>
        </w:tc>
        <w:tc>
          <w:tcPr>
            <w:tcW w:w="8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16,840</w:t>
            </w:r>
          </w:p>
        </w:tc>
        <w:tc>
          <w:tcPr>
            <w:tcW w:w="166" w:type="dxa"/>
            <w:tcBorders/>
            <w:shd w:fill="auto" w:val="clear"/>
            <w:vAlign w:val="bottom"/>
          </w:tcPr>
          <w:p>
            <w:pPr>
              <w:pStyle w:val="TableContents"/>
              <w:spacing w:before="0" w:after="0"/>
              <w:ind w:left="0" w:right="0" w:hanging="0"/>
              <w:rPr/>
            </w:pPr>
            <w:r>
              <w:rPr/>
              <w:t> </w:t>
            </w:r>
          </w:p>
        </w:tc>
        <w:tc>
          <w:tcPr>
            <w:tcW w:w="5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64" w:type="dxa"/>
            <w:tcBorders/>
            <w:shd w:fill="auto" w:val="clear"/>
            <w:vAlign w:val="bottom"/>
          </w:tcPr>
          <w:p>
            <w:pPr>
              <w:pStyle w:val="TableContents"/>
              <w:spacing w:before="0" w:after="0"/>
              <w:ind w:left="0" w:right="0" w:hanging="0"/>
              <w:rPr/>
            </w:pPr>
            <w:r>
              <w:rPr/>
              <w:t> </w:t>
            </w:r>
          </w:p>
        </w:tc>
      </w:tr>
      <w:tr>
        <w:trPr/>
        <w:tc>
          <w:tcPr>
            <w:tcW w:w="1836"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24,469</w:t>
            </w:r>
          </w:p>
        </w:tc>
        <w:tc>
          <w:tcPr>
            <w:tcW w:w="166" w:type="dxa"/>
            <w:tcBorders/>
            <w:shd w:fill="CCEEFF" w:val="clear"/>
            <w:vAlign w:val="bottom"/>
          </w:tcPr>
          <w:p>
            <w:pPr>
              <w:pStyle w:val="TableContents"/>
              <w:spacing w:before="0" w:after="0"/>
              <w:ind w:left="0" w:right="0" w:hanging="0"/>
              <w:rPr/>
            </w:pPr>
            <w:r>
              <w:rPr/>
              <w:t> </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18,237</w:t>
            </w:r>
          </w:p>
        </w:tc>
        <w:tc>
          <w:tcPr>
            <w:tcW w:w="166" w:type="dxa"/>
            <w:tcBorders/>
            <w:shd w:fill="CCEEFF" w:val="clear"/>
            <w:vAlign w:val="bottom"/>
          </w:tcPr>
          <w:p>
            <w:pPr>
              <w:pStyle w:val="TableContents"/>
              <w:spacing w:before="0" w:after="0"/>
              <w:ind w:left="0" w:right="0" w:hanging="0"/>
              <w:rPr/>
            </w:pPr>
            <w:r>
              <w:rPr/>
              <w:t> </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71,576</w:t>
            </w:r>
          </w:p>
        </w:tc>
        <w:tc>
          <w:tcPr>
            <w:tcW w:w="166" w:type="dxa"/>
            <w:tcBorders/>
            <w:shd w:fill="CCEEFF" w:val="clear"/>
            <w:vAlign w:val="bottom"/>
          </w:tcPr>
          <w:p>
            <w:pPr>
              <w:pStyle w:val="TableContents"/>
              <w:spacing w:before="0" w:after="0"/>
              <w:ind w:left="0" w:right="0" w:hanging="0"/>
              <w:rPr/>
            </w:pPr>
            <w:r>
              <w:rPr/>
              <w:t> </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48,756</w:t>
            </w:r>
          </w:p>
        </w:tc>
        <w:tc>
          <w:tcPr>
            <w:tcW w:w="166" w:type="dxa"/>
            <w:tcBorders/>
            <w:shd w:fill="CCEEFF" w:val="clear"/>
            <w:vAlign w:val="bottom"/>
          </w:tcPr>
          <w:p>
            <w:pPr>
              <w:pStyle w:val="TableContents"/>
              <w:spacing w:before="0" w:after="0"/>
              <w:ind w:left="0" w:right="0" w:hanging="0"/>
              <w:rPr/>
            </w:pPr>
            <w:r>
              <w:rPr/>
              <w:t> </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836"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563" w:type="dxa"/>
            <w:tcBorders/>
            <w:shd w:fill="auto" w:val="clear"/>
            <w:vAlign w:val="bottom"/>
          </w:tcPr>
          <w:p>
            <w:pPr>
              <w:pStyle w:val="TableContents"/>
              <w:spacing w:before="0" w:after="0"/>
              <w:ind w:left="0" w:right="0" w:hanging="0"/>
              <w:jc w:val="right"/>
              <w:rPr/>
            </w:pPr>
            <w:r>
              <w:rPr/>
              <w:t> </w:t>
            </w:r>
          </w:p>
        </w:tc>
        <w:tc>
          <w:tcPr>
            <w:tcW w:w="287"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563" w:type="dxa"/>
            <w:tcBorders/>
            <w:shd w:fill="auto" w:val="clear"/>
            <w:vAlign w:val="bottom"/>
          </w:tcPr>
          <w:p>
            <w:pPr>
              <w:pStyle w:val="TableContents"/>
              <w:spacing w:before="0" w:after="0"/>
              <w:ind w:left="0" w:right="0" w:hanging="0"/>
              <w:jc w:val="right"/>
              <w:rPr/>
            </w:pPr>
            <w:r>
              <w:rPr/>
              <w:t> </w:t>
            </w:r>
          </w:p>
        </w:tc>
        <w:tc>
          <w:tcPr>
            <w:tcW w:w="287" w:type="dxa"/>
            <w:tcBorders/>
            <w:shd w:fill="auto" w:val="clear"/>
            <w:vAlign w:val="bottom"/>
          </w:tcPr>
          <w:p>
            <w:pPr>
              <w:pStyle w:val="TableContents"/>
              <w:spacing w:before="0" w:after="0"/>
              <w:ind w:left="0" w:right="0" w:hanging="0"/>
              <w:rPr/>
            </w:pPr>
            <w:r>
              <w:rPr/>
              <w:t> </w:t>
            </w:r>
          </w:p>
        </w:tc>
        <w:tc>
          <w:tcPr>
            <w:tcW w:w="887"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563" w:type="dxa"/>
            <w:tcBorders/>
            <w:shd w:fill="auto" w:val="clear"/>
            <w:vAlign w:val="bottom"/>
          </w:tcPr>
          <w:p>
            <w:pPr>
              <w:pStyle w:val="TableContents"/>
              <w:spacing w:before="0" w:after="0"/>
              <w:ind w:left="0" w:right="0" w:hanging="0"/>
              <w:jc w:val="right"/>
              <w:rPr/>
            </w:pPr>
            <w:r>
              <w:rPr/>
              <w:t> </w:t>
            </w:r>
          </w:p>
        </w:tc>
        <w:tc>
          <w:tcPr>
            <w:tcW w:w="287"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pPr>
            <w:r>
              <w:rPr/>
              <w:t> </w:t>
            </w:r>
          </w:p>
        </w:tc>
        <w:tc>
          <w:tcPr>
            <w:tcW w:w="166" w:type="dxa"/>
            <w:tcBorders/>
            <w:shd w:fill="auto" w:val="clear"/>
            <w:vAlign w:val="bottom"/>
          </w:tcPr>
          <w:p>
            <w:pPr>
              <w:pStyle w:val="TableContents"/>
              <w:spacing w:before="0" w:after="0"/>
              <w:ind w:left="0" w:right="0" w:hanging="0"/>
              <w:rPr/>
            </w:pPr>
            <w:r>
              <w:rPr/>
              <w:t> </w:t>
            </w:r>
          </w:p>
        </w:tc>
        <w:tc>
          <w:tcPr>
            <w:tcW w:w="563" w:type="dxa"/>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r>
      <w:tr>
        <w:trPr/>
        <w:tc>
          <w:tcPr>
            <w:tcW w:w="18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Number of employees at end of period </w:t>
            </w:r>
          </w:p>
        </w:tc>
        <w:tc>
          <w:tcPr>
            <w:tcW w:w="166"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166" w:type="dxa"/>
            <w:tcBorders/>
            <w:shd w:fill="CCEEFF" w:val="clear"/>
            <w:vAlign w:val="bottom"/>
          </w:tcPr>
          <w:p>
            <w:pPr>
              <w:pStyle w:val="TableContents"/>
              <w:spacing w:before="0" w:after="0"/>
              <w:ind w:left="0" w:right="0" w:hanging="0"/>
              <w:rPr/>
            </w:pPr>
            <w:r>
              <w:rPr/>
              <w:t> </w:t>
            </w:r>
          </w:p>
        </w:tc>
        <w:tc>
          <w:tcPr>
            <w:tcW w:w="563" w:type="dxa"/>
            <w:tcBorders/>
            <w:shd w:fill="CCEEFF" w:val="clear"/>
            <w:vAlign w:val="bottom"/>
          </w:tcPr>
          <w:p>
            <w:pPr>
              <w:pStyle w:val="TableContents"/>
              <w:spacing w:before="0" w:after="0"/>
              <w:ind w:left="0" w:right="0" w:hanging="0"/>
              <w:jc w:val="right"/>
              <w:rPr/>
            </w:pPr>
            <w:r>
              <w:rPr/>
              <w:t> </w:t>
            </w:r>
          </w:p>
        </w:tc>
        <w:tc>
          <w:tcPr>
            <w:tcW w:w="287"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66" w:type="dxa"/>
            <w:tcBorders/>
            <w:shd w:fill="CCEEFF" w:val="clear"/>
            <w:vAlign w:val="bottom"/>
          </w:tcPr>
          <w:p>
            <w:pPr>
              <w:pStyle w:val="TableContents"/>
              <w:spacing w:before="0" w:after="0"/>
              <w:ind w:left="0" w:right="0" w:hanging="0"/>
              <w:rPr/>
            </w:pPr>
            <w:r>
              <w:rPr/>
              <w:t> </w:t>
            </w:r>
          </w:p>
        </w:tc>
        <w:tc>
          <w:tcPr>
            <w:tcW w:w="563" w:type="dxa"/>
            <w:tcBorders/>
            <w:shd w:fill="CCEEFF" w:val="clear"/>
            <w:vAlign w:val="bottom"/>
          </w:tcPr>
          <w:p>
            <w:pPr>
              <w:pStyle w:val="TableContents"/>
              <w:spacing w:before="0" w:after="0"/>
              <w:ind w:left="0" w:right="0" w:hanging="0"/>
              <w:jc w:val="right"/>
              <w:rPr/>
            </w:pPr>
            <w:r>
              <w:rPr/>
              <w:t> </w:t>
            </w:r>
          </w:p>
        </w:tc>
        <w:tc>
          <w:tcPr>
            <w:tcW w:w="287" w:type="dxa"/>
            <w:tcBorders/>
            <w:shd w:fill="CCEEFF" w:val="clear"/>
            <w:vAlign w:val="bottom"/>
          </w:tcPr>
          <w:p>
            <w:pPr>
              <w:pStyle w:val="TableContents"/>
              <w:spacing w:before="0" w:after="0"/>
              <w:ind w:left="0" w:right="0" w:hanging="0"/>
              <w:rPr/>
            </w:pPr>
            <w:r>
              <w:rPr/>
              <w:t> </w:t>
            </w:r>
          </w:p>
        </w:tc>
        <w:tc>
          <w:tcPr>
            <w:tcW w:w="8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166" w:type="dxa"/>
            <w:tcBorders/>
            <w:shd w:fill="CCEEFF" w:val="clear"/>
            <w:vAlign w:val="bottom"/>
          </w:tcPr>
          <w:p>
            <w:pPr>
              <w:pStyle w:val="TableContents"/>
              <w:spacing w:before="0" w:after="0"/>
              <w:ind w:left="0" w:right="0" w:hanging="0"/>
              <w:rPr/>
            </w:pPr>
            <w:r>
              <w:rPr/>
              <w:t> </w:t>
            </w:r>
          </w:p>
        </w:tc>
        <w:tc>
          <w:tcPr>
            <w:tcW w:w="563" w:type="dxa"/>
            <w:tcBorders/>
            <w:shd w:fill="CCEEFF" w:val="clear"/>
            <w:vAlign w:val="bottom"/>
          </w:tcPr>
          <w:p>
            <w:pPr>
              <w:pStyle w:val="TableContents"/>
              <w:spacing w:before="0" w:after="0"/>
              <w:ind w:left="0" w:right="0" w:hanging="0"/>
              <w:jc w:val="right"/>
              <w:rPr/>
            </w:pPr>
            <w:r>
              <w:rPr/>
              <w:t> </w:t>
            </w:r>
          </w:p>
        </w:tc>
        <w:tc>
          <w:tcPr>
            <w:tcW w:w="287"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66" w:type="dxa"/>
            <w:tcBorders/>
            <w:shd w:fill="CCEEFF" w:val="clear"/>
            <w:vAlign w:val="bottom"/>
          </w:tcPr>
          <w:p>
            <w:pPr>
              <w:pStyle w:val="TableContents"/>
              <w:spacing w:before="0" w:after="0"/>
              <w:ind w:left="0" w:right="0" w:hanging="0"/>
              <w:rPr/>
            </w:pPr>
            <w:r>
              <w:rPr/>
              <w:t> </w:t>
            </w:r>
          </w:p>
        </w:tc>
        <w:tc>
          <w:tcPr>
            <w:tcW w:w="563" w:type="dxa"/>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40" w:name="PB_27_140435_5796"/>
      <w:bookmarkEnd w:id="4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Other underwriting and operating expenses were $24.5 million in the three months ended September 30, 2014 as compared to $18.2 million in the three months ended September 30, 2013.  Other underwriting and operating expenses were $71.6 million in the nine months ended September 30, 2014 as compared to and $48.8 million for the same period of 2013. The significant factors contributing to the change in other underwriting and operating expenses were: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Compensation and benefits increased primarily due to the increase in our work force to 322 at September 30, 2014 from 209 at January 1, 2013. Additional employees were hired to support the growth in our business, particularly in our sales organization, as well as our underwriting and customer service teams. Compensation and benefits also increased as a result of an increase in stock-based compensation, which is primarily due to the nonvested shares and nonvested stock units issued to all of employees in connection with our initial public offering completed in November 2013 for which expenses are being recognized over the applicable vesting periods. Compensation and benefits includes salaries, wages and bonus, stock compensation expense, benefits and payroll taxes.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expenses, including premium taxes, travel, marketing, depreciation and amortization, hardware, software, rent and other facilities expenses, increased as a result of the expansion of our business.  In addition, effective with the completion of our initial public offering, we have incurred certain incremental public company expenses, including increased insurance expenses and board of directors costs.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Income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subsidiaries in the United States file a consolidated U.S. Federal income tax return. Our income tax expense was $13.7 million for the three months ended September 30, 2014, compared to an income tax expense of $2.3 million for the three months ended September 30, 2013.  Our income tax expense was $32.3 million for the nine months ended September 30, 2014, compared to an income tax benefit of $7.7 million for the nine months ended September 30, 2013. Our effective tax rate was 35.3% for the three months ended September 30, 2014 and 35.1% for the nine months ended September 30, 2014, which approximates the U.S. federal statutory tax rate as substantially all of our earnings in 2014 will be generated in the United States.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Since inception and prior to June 30, 2013, we had evaluated the realizability of our deferred tax assets on a quarterly basis and concluded that it was more likely than not that some portion or all of the deferred tax asset would not be realized and provided a valuation allowance against the deferred tax assets. Accordingly, we did not record a benefit associated with the losses incurred in prior periods or for other income tax benefits. The income tax provision or benefit recognized in prior periods related to changes in our valuation allowance associated with changes in deferred tax liabilities relating to the change in the unrealized gain on our investment portfolio. At June 30, 2013, after weighing all the evidence, we concluded that it is more likely than not that our deferred tax assets will be realized.  As a result, we released the valuation allowance on our deferred tax assets as of June 30, 2013, except for amounts that were to be released against income before income taxes for the remainder of 2013 and recognized an income tax benefit in the nine months ended September 30, 2013.  We recognized income tax expense in the three months ended September 30, 2013 as our estimate for pretax income as of September 30, 2013 exceeded our estimate as of June 30, 2013.  At September 30, 2014 and December 31, 2013, we concluded that it is more likely than not that our deferred tax assets would be realized.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sources of funds consist primarily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investment portfolio and interest income on the portfolio;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net premiums that we will receive from our existing IIF as well as policies that we write in the future;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issuance of capital shares.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obligations consist primarily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claim payments under our policies;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other costs and operating expenses of our business.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41" w:name="PB_28_140517_2897"/>
      <w:bookmarkEnd w:id="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2014, we had substantial liquidity with $907.0 million of net cash and investments, which includes $47.1 million at the holding company. Our net cash and investment position increased in the nine months ended September 30, 2014 primarily as a result of net cash flow from operating activities.  Our net cash and investments position increased during the year ended December 31, 2013 primarily as a result of net proceeds of $313.7 million from our initial public offering of Common Shares which was completed in November 2013, $123.9 million in net capital contributions received from our initial investors, plus cash flows from operations, net of amounts invested in our fixed income portfolio.  In the three months ended September 30, 2014, Essent Group Ltd. made capital contributions of $25 million to Essent Guaranty and $101.5 million to Essent Re to support new business written, including Essent Res quota share reinsurance agreement with Essent Guaranty that was finalized in the third quarter of 2014.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insurance portfolio, or to fund new business initiatives.  We continually evaluate opportunities based upon market conditions to finance our operations and/or increase our operating flexibility by accessing the capital markets or other types of indebtedness with institutional lenders.  There can be no guarantee that any such financing opportunities will be available on acceptable terms or at 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the operating subsidiary level, liquidity could be impacted by any one of the following factors: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significant decline in the value of our investments;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inability to sell investment assets to provide cash to fund operating needs;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decline in expected revenues generated from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 in expected claim payments related to our IIF;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 in operating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ability of our U.S. insurance subsidiaries to declare dividends is restricted by certain provisions of the insurance laws of the Commonwealth of Pennsylvania, their state of domicile.  The insurance laws of the Commonwealth of Pennsylvania establish a test limiting the maximum amount of dividends that may be paid out of unassigned surplus by an insurer without prior approval by the Pennsylvania Insurance Commissioner.  Under such a test, we may pay dividends during any 12-month period in an amount equal to the greater of (i) 10 percent of the preceding year-end statutory policyholders surplus or (ii) the preceding years statutory net income.  Pennsylvania statute also requires that dividends and other distributions be paid out of positive unassigned surplus without prior approval.  At September 30, 2014, Essent Guaranty had negative unassigned surplus and therefore would require prior approval by the Pennsylvania Insurance Commissioner to make any dividend payment or other distributions in 2014. At September 30, 2014, Essent Guaranty of PA, Inc. had unassigned surplus of $2.7 million. In March 2014, Essent PA paid a $200,000 dividend to Essent Holdings and in December 2013, Essent PA paid a $5,000 dividend to Essent Holdings.  Essent Guaranty has paid no dividends since its inception.  Essent Re is subject to certain dividend restrictions as prescribed by the Bermuda Monetary Authority and under certain agreements with counterparties.  In connection with quota share reinsurance agreement with Essent Guaranty, Essent Re has agreed to maintain a minimum total equity of $100 million.  As of September 30, 2014, Essent Re had total equity of $102.1 million.  At September 30, 2014, our insurance subsidiaries were in compliance with these rules, regulations and agreements.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consolidated cash flows from operating, investing and financing activities:</w:t>
      </w:r>
    </w:p>
    <w:p>
      <w:pPr>
        <w:pStyle w:val="TextBody"/>
        <w:spacing w:before="0" w:after="0"/>
        <w:ind w:left="0" w:right="0" w:hanging="0"/>
        <w:rPr/>
      </w:pPr>
      <w:r>
        <w:rPr/>
        <w:t> </w:t>
      </w:r>
    </w:p>
    <w:tbl>
      <w:tblPr>
        <w:tblW w:w="3800" w:type="pct"/>
        <w:jc w:val="left"/>
        <w:tblInd w:w="0" w:type="dxa"/>
        <w:tblCellMar>
          <w:top w:w="0" w:type="dxa"/>
          <w:left w:w="0" w:type="dxa"/>
          <w:bottom w:w="0" w:type="dxa"/>
          <w:right w:w="0" w:type="dxa"/>
        </w:tblCellMar>
      </w:tblPr>
      <w:tblGrid>
        <w:gridCol w:w="4541"/>
        <w:gridCol w:w="231"/>
        <w:gridCol w:w="110"/>
        <w:gridCol w:w="1222"/>
        <w:gridCol w:w="238"/>
        <w:gridCol w:w="110"/>
        <w:gridCol w:w="1200"/>
        <w:gridCol w:w="103"/>
      </w:tblGrid>
      <w:tr>
        <w:trPr/>
        <w:tc>
          <w:tcPr>
            <w:tcW w:w="4541"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288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Nine Months Ended</w:t>
            </w:r>
            <w:r>
              <w:rPr>
                <w:b/>
                <w:sz w:val="13"/>
              </w:rPr>
              <w:br/>
              <w:t>September 30,</w:t>
            </w:r>
          </w:p>
        </w:tc>
        <w:tc>
          <w:tcPr>
            <w:tcW w:w="103" w:type="dxa"/>
            <w:tcBorders/>
            <w:shd w:fill="auto" w:val="clear"/>
            <w:vAlign w:val="bottom"/>
          </w:tcPr>
          <w:p>
            <w:pPr>
              <w:pStyle w:val="TableContents"/>
              <w:spacing w:before="0" w:after="0"/>
              <w:ind w:left="0" w:right="0" w:hanging="0"/>
              <w:jc w:val="center"/>
              <w:rPr/>
            </w:pPr>
            <w:r>
              <w:rPr/>
              <w:t> </w:t>
            </w:r>
          </w:p>
        </w:tc>
      </w:tr>
      <w:tr>
        <w:trPr/>
        <w:tc>
          <w:tcPr>
            <w:tcW w:w="454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231" w:type="dxa"/>
            <w:tcBorders/>
            <w:shd w:fill="auto" w:val="clear"/>
            <w:vAlign w:val="bottom"/>
          </w:tcPr>
          <w:p>
            <w:pPr>
              <w:pStyle w:val="TableContents"/>
              <w:spacing w:before="0" w:after="0"/>
              <w:ind w:left="0" w:right="0" w:hanging="0"/>
              <w:jc w:val="center"/>
              <w:rPr/>
            </w:pPr>
            <w:r>
              <w:rPr/>
              <w:t> </w:t>
            </w:r>
          </w:p>
        </w:tc>
        <w:tc>
          <w:tcPr>
            <w:tcW w:w="13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3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1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3" w:type="dxa"/>
            <w:tcBorders/>
            <w:shd w:fill="auto" w:val="clear"/>
            <w:vAlign w:val="bottom"/>
          </w:tcPr>
          <w:p>
            <w:pPr>
              <w:pStyle w:val="TableContents"/>
              <w:spacing w:before="0" w:after="0"/>
              <w:ind w:left="0" w:right="0" w:hanging="0"/>
              <w:jc w:val="center"/>
              <w:rPr/>
            </w:pPr>
            <w:r>
              <w:rPr/>
              <w:t> </w:t>
            </w:r>
          </w:p>
        </w:tc>
      </w:tr>
      <w:tr>
        <w:trPr/>
        <w:tc>
          <w:tcPr>
            <w:tcW w:w="454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cash provided by operating activities </w:t>
            </w:r>
          </w:p>
        </w:tc>
        <w:tc>
          <w:tcPr>
            <w:tcW w:w="23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101,566</w:t>
            </w:r>
          </w:p>
        </w:tc>
        <w:tc>
          <w:tcPr>
            <w:tcW w:w="23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89,285</w:t>
            </w:r>
          </w:p>
        </w:tc>
        <w:tc>
          <w:tcPr>
            <w:tcW w:w="103" w:type="dxa"/>
            <w:tcBorders/>
            <w:shd w:fill="CCEEFF" w:val="clear"/>
            <w:vAlign w:val="bottom"/>
          </w:tcPr>
          <w:p>
            <w:pPr>
              <w:pStyle w:val="TableContents"/>
              <w:spacing w:before="0" w:after="0"/>
              <w:ind w:left="0" w:right="0" w:hanging="0"/>
              <w:rPr/>
            </w:pPr>
            <w:r>
              <w:rPr/>
              <w:t> </w:t>
            </w:r>
          </w:p>
        </w:tc>
      </w:tr>
      <w:tr>
        <w:trPr/>
        <w:tc>
          <w:tcPr>
            <w:tcW w:w="4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cash used in investing activities </w:t>
            </w:r>
          </w:p>
        </w:tc>
        <w:tc>
          <w:tcPr>
            <w:tcW w:w="231" w:type="dxa"/>
            <w:tcBorders/>
            <w:shd w:fill="auto" w:val="clear"/>
            <w:vAlign w:val="bottom"/>
          </w:tcPr>
          <w:p>
            <w:pPr>
              <w:pStyle w:val="TableContents"/>
              <w:spacing w:before="0" w:after="0"/>
              <w:ind w:left="0" w:right="0" w:hanging="0"/>
              <w:rPr/>
            </w:pPr>
            <w:r>
              <w:rPr/>
              <w:t> </w:t>
            </w:r>
          </w:p>
        </w:tc>
        <w:tc>
          <w:tcPr>
            <w:tcW w:w="13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(557,618</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(101,468</w:t>
            </w:r>
          </w:p>
        </w:tc>
        <w:tc>
          <w:tcPr>
            <w:tcW w:w="1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4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cash (used in) provided by financing activities </w:t>
            </w:r>
          </w:p>
        </w:tc>
        <w:tc>
          <w:tcPr>
            <w:tcW w:w="231" w:type="dxa"/>
            <w:tcBorders/>
            <w:shd w:fill="CCEEFF" w:val="clear"/>
            <w:vAlign w:val="bottom"/>
          </w:tcPr>
          <w:p>
            <w:pPr>
              <w:pStyle w:val="TableContents"/>
              <w:spacing w:before="0" w:after="0"/>
              <w:ind w:left="0" w:right="0" w:hanging="0"/>
              <w:rPr/>
            </w:pPr>
            <w:r>
              <w:rPr/>
              <w:t> </w:t>
            </w:r>
          </w:p>
        </w:tc>
        <w:tc>
          <w:tcPr>
            <w:tcW w:w="13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(4,029</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121,125</w:t>
            </w:r>
          </w:p>
        </w:tc>
        <w:tc>
          <w:tcPr>
            <w:tcW w:w="103" w:type="dxa"/>
            <w:tcBorders/>
            <w:shd w:fill="CCEEFF" w:val="clear"/>
            <w:vAlign w:val="bottom"/>
          </w:tcPr>
          <w:p>
            <w:pPr>
              <w:pStyle w:val="TableContents"/>
              <w:spacing w:before="0" w:after="0"/>
              <w:ind w:left="0" w:right="0" w:hanging="0"/>
              <w:rPr/>
            </w:pPr>
            <w:r>
              <w:rPr/>
              <w:t> </w:t>
            </w:r>
          </w:p>
        </w:tc>
      </w:tr>
      <w:tr>
        <w:trPr/>
        <w:tc>
          <w:tcPr>
            <w:tcW w:w="4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Net (decrease) increase in cash </w:t>
            </w:r>
          </w:p>
        </w:tc>
        <w:tc>
          <w:tcPr>
            <w:tcW w:w="231"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(460,081</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108,942</w:t>
            </w:r>
          </w:p>
        </w:tc>
        <w:tc>
          <w:tcPr>
            <w:tcW w:w="10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42" w:name="PB_29_140705_3020"/>
      <w:bookmarkEnd w:id="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Cash flow provided by operating activities totaled $101.6 million for the nine months ended September 30, 2014 as compared to cash flow provided by operating activities of $89.3 million for the nine months ended September 30, 2013. The increase in cash flow from operations of $12.3 million in 2014 was a result of increases in premiums received and net investment income, partially offset by increases in prepaid taxes and expenses paid.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Investing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Cash flow used in investing activities totaled $557.6 million for the nine months ended September 30, 2014 as compared to cash used in investing activities of $101.5 million for the nine months ended September 30, 2013. The increase in cash flow used in investing activities was primarily related to investing capital contributions from our initial investors received in 2013, proceeds from our initial public offering that was completed in November 2013, and cash flows from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Financing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Cash flow used in financing activities totaled $4.0 million for the nine months ended September 30, 2014 as compared to cash provided by financing activities of $121.1 million for the nine months ended September 30, 2013. Cash used in financing activities for the nine months ended September 30, 2014 was primarily related to the acquisition of treasury stock from employees to satisfy tax withholding obligations, a payment made to Triad under the asset purchase agreement, and payment of accrued offering costs, partially offset by excess tax benefits recognized as a result of stock-based compensation.  Cash provided by financing activities in the nine months ended September 30, 2013 was principally due to proceeds received from Class A common shares issued to our initial investors.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Insurance Company Capital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compute a risk to capital ratio for our U.S. insurance companies on a separate company statutory basis, as well as for our combined U.S. insurance operations. The risk to capital ratio is our net risk in force divided by our statutory capital. Our net risk in force represents risk in force net of reinsurance ceded and net of exposures on policies for which loss reserves have been established. Statutory capital consists primarily of statutory policyholders surplus (which increases as a result of statutory net income and decreases as a result of statutory net loss, increase in contingency reserves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and nine month periods ended September 30, 2014, capital contributions of $25 million and $100 million, respectively, were made by Essent Group Ltd. to our U.S. insurance subsidiaries.  During the three and nine month periods ended September 30, 2013, capital contributions of $0 and $120 million, respectively, were made to our U.S. insurance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combined risk to capital calculation for our U.S. insurance operations as of September 30, 2014 is as follows:</w:t>
      </w:r>
    </w:p>
    <w:p>
      <w:pPr>
        <w:pStyle w:val="TextBody"/>
        <w:spacing w:before="0" w:after="0"/>
        <w:ind w:left="0" w:right="0" w:hanging="0"/>
        <w:rPr/>
      </w:pPr>
      <w:r>
        <w:rPr/>
        <w:t> </w:t>
      </w:r>
    </w:p>
    <w:tbl>
      <w:tblPr>
        <w:tblW w:w="4000" w:type="pct"/>
        <w:jc w:val="left"/>
        <w:tblInd w:w="0" w:type="dxa"/>
        <w:tblCellMar>
          <w:top w:w="0" w:type="dxa"/>
          <w:left w:w="0" w:type="dxa"/>
          <w:bottom w:w="28" w:type="dxa"/>
          <w:right w:w="0" w:type="dxa"/>
        </w:tblCellMar>
      </w:tblPr>
      <w:tblGrid>
        <w:gridCol w:w="6481"/>
        <w:gridCol w:w="241"/>
        <w:gridCol w:w="110"/>
        <w:gridCol w:w="1235"/>
        <w:gridCol w:w="97"/>
      </w:tblGrid>
      <w:tr>
        <w:trPr/>
        <w:tc>
          <w:tcPr>
            <w:tcW w:w="6481"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Combined statutory capital:</w:t>
              <w:br/>
              <w:t>($ in thousands)</w:t>
            </w:r>
          </w:p>
        </w:tc>
        <w:tc>
          <w:tcPr>
            <w:tcW w:w="241" w:type="dxa"/>
            <w:tcBorders/>
            <w:shd w:fill="auto" w:val="clear"/>
            <w:tcMar>
              <w:bottom w:w="0" w:type="dxa"/>
            </w:tcMar>
            <w:vAlign w:val="bottom"/>
          </w:tcPr>
          <w:p>
            <w:pPr>
              <w:pStyle w:val="TableContents"/>
              <w:spacing w:before="0" w:after="0"/>
              <w:ind w:left="0" w:right="0" w:hanging="0"/>
              <w:jc w:val="center"/>
              <w:rPr/>
            </w:pPr>
            <w:r>
              <w:rPr/>
              <w:t> </w:t>
            </w:r>
          </w:p>
        </w:tc>
        <w:tc>
          <w:tcPr>
            <w:tcW w:w="1345" w:type="dxa"/>
            <w:gridSpan w:val="2"/>
            <w:tcBorders/>
            <w:shd w:fill="auto" w:val="clear"/>
            <w:tcMar>
              <w:bottom w:w="0" w:type="dxa"/>
            </w:tcMar>
            <w:vAlign w:val="bottom"/>
          </w:tcPr>
          <w:p>
            <w:pPr>
              <w:pStyle w:val="TableContents"/>
              <w:spacing w:before="0" w:after="0"/>
              <w:ind w:left="0" w:right="0" w:hanging="0"/>
              <w:jc w:val="center"/>
              <w:rPr/>
            </w:pPr>
            <w:r>
              <w:rPr/>
              <w:t> </w:t>
            </w:r>
          </w:p>
        </w:tc>
        <w:tc>
          <w:tcPr>
            <w:tcW w:w="97" w:type="dxa"/>
            <w:tcBorders/>
            <w:shd w:fill="auto" w:val="clear"/>
            <w:tcMar>
              <w:bottom w:w="0" w:type="dxa"/>
            </w:tcMar>
            <w:vAlign w:val="bottom"/>
          </w:tcPr>
          <w:p>
            <w:pPr>
              <w:pStyle w:val="TableContents"/>
              <w:spacing w:before="0" w:after="0"/>
              <w:ind w:left="0" w:right="0" w:hanging="0"/>
              <w:jc w:val="center"/>
              <w:rPr/>
            </w:pPr>
            <w:r>
              <w:rPr/>
              <w:t> </w:t>
            </w:r>
          </w:p>
        </w:tc>
      </w:tr>
      <w:tr>
        <w:trPr/>
        <w:tc>
          <w:tcPr>
            <w:tcW w:w="648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Policyholders surplus </w:t>
            </w:r>
          </w:p>
        </w:tc>
        <w:tc>
          <w:tcPr>
            <w:tcW w:w="241" w:type="dxa"/>
            <w:tcBorders/>
            <w:shd w:fill="CCEEFF" w:val="clear"/>
            <w:tcMar>
              <w:bottom w:w="0" w:type="dxa"/>
            </w:tcMar>
            <w:vAlign w:val="bottom"/>
          </w:tcPr>
          <w:p>
            <w:pPr>
              <w:pStyle w:val="TableContents"/>
              <w:spacing w:before="0" w:after="0"/>
              <w:ind w:left="0" w:right="0" w:hanging="0"/>
              <w:rPr/>
            </w:pPr>
            <w:r>
              <w:rPr/>
              <w:t> </w:t>
            </w:r>
          </w:p>
        </w:tc>
        <w:tc>
          <w:tcPr>
            <w:tcW w:w="11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500,324</w:t>
            </w:r>
          </w:p>
        </w:tc>
        <w:tc>
          <w:tcPr>
            <w:tcW w:w="97" w:type="dxa"/>
            <w:tcBorders/>
            <w:shd w:fill="CCEEFF" w:val="clear"/>
            <w:tcMar>
              <w:bottom w:w="0" w:type="dxa"/>
            </w:tcMar>
            <w:vAlign w:val="bottom"/>
          </w:tcPr>
          <w:p>
            <w:pPr>
              <w:pStyle w:val="TableContents"/>
              <w:spacing w:before="0" w:after="0"/>
              <w:ind w:left="0" w:right="0" w:hanging="0"/>
              <w:rPr/>
            </w:pPr>
            <w:r>
              <w:rPr/>
              <w:t> </w:t>
            </w:r>
          </w:p>
        </w:tc>
      </w:tr>
      <w:tr>
        <w:trPr/>
        <w:tc>
          <w:tcPr>
            <w:tcW w:w="648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Contingency reserves </w:t>
            </w:r>
          </w:p>
        </w:tc>
        <w:tc>
          <w:tcPr>
            <w:tcW w:w="241" w:type="dxa"/>
            <w:tcBorders/>
            <w:shd w:fill="auto" w:val="clear"/>
            <w:tcMar>
              <w:bottom w:w="0" w:type="dxa"/>
            </w:tcMar>
            <w:vAlign w:val="bottom"/>
          </w:tcPr>
          <w:p>
            <w:pPr>
              <w:pStyle w:val="TableContents"/>
              <w:spacing w:before="0" w:after="0"/>
              <w:ind w:left="0" w:right="0" w:hanging="0"/>
              <w:rPr/>
            </w:pPr>
            <w:r>
              <w:rPr/>
              <w:t> </w:t>
            </w:r>
          </w:p>
        </w:tc>
        <w:tc>
          <w:tcPr>
            <w:tcW w:w="1345"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163,882</w:t>
            </w:r>
          </w:p>
        </w:tc>
        <w:tc>
          <w:tcPr>
            <w:tcW w:w="97" w:type="dxa"/>
            <w:tcBorders/>
            <w:shd w:fill="auto" w:val="clear"/>
            <w:tcMar>
              <w:bottom w:w="0" w:type="dxa"/>
            </w:tcMar>
            <w:vAlign w:val="bottom"/>
          </w:tcPr>
          <w:p>
            <w:pPr>
              <w:pStyle w:val="TableContents"/>
              <w:spacing w:before="0" w:after="0"/>
              <w:ind w:left="0" w:right="0" w:hanging="0"/>
              <w:rPr/>
            </w:pPr>
            <w:r>
              <w:rPr/>
              <w:t> </w:t>
            </w:r>
          </w:p>
        </w:tc>
      </w:tr>
      <w:tr>
        <w:trPr/>
        <w:tc>
          <w:tcPr>
            <w:tcW w:w="648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Combined statutory capital </w:t>
            </w:r>
          </w:p>
        </w:tc>
        <w:tc>
          <w:tcPr>
            <w:tcW w:w="241" w:type="dxa"/>
            <w:tcBorders/>
            <w:shd w:fill="CCEEFF" w:val="clear"/>
            <w:tcMar>
              <w:bottom w:w="0" w:type="dxa"/>
            </w:tcMar>
            <w:vAlign w:val="bottom"/>
          </w:tcPr>
          <w:p>
            <w:pPr>
              <w:pStyle w:val="TableContents"/>
              <w:spacing w:before="0" w:after="0"/>
              <w:ind w:left="0" w:right="0" w:hanging="0"/>
              <w:rPr/>
            </w:pPr>
            <w:r>
              <w:rPr/>
              <w:t> </w:t>
            </w:r>
          </w:p>
        </w:tc>
        <w:tc>
          <w:tcPr>
            <w:tcW w:w="110"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664,206</w:t>
            </w:r>
          </w:p>
        </w:tc>
        <w:tc>
          <w:tcPr>
            <w:tcW w:w="97" w:type="dxa"/>
            <w:tcBorders/>
            <w:shd w:fill="CCEEFF" w:val="clear"/>
            <w:tcMar>
              <w:bottom w:w="0" w:type="dxa"/>
            </w:tcMar>
            <w:vAlign w:val="bottom"/>
          </w:tcPr>
          <w:p>
            <w:pPr>
              <w:pStyle w:val="TableContents"/>
              <w:spacing w:before="0" w:after="0"/>
              <w:ind w:left="0" w:right="0" w:hanging="0"/>
              <w:rPr/>
            </w:pPr>
            <w:r>
              <w:rPr/>
              <w:t> </w:t>
            </w:r>
          </w:p>
        </w:tc>
      </w:tr>
      <w:tr>
        <w:trPr/>
        <w:tc>
          <w:tcPr>
            <w:tcW w:w="648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Combined net risk in force </w:t>
            </w:r>
          </w:p>
        </w:tc>
        <w:tc>
          <w:tcPr>
            <w:tcW w:w="241" w:type="dxa"/>
            <w:tcBorders/>
            <w:shd w:fill="auto" w:val="clear"/>
            <w:tcMar>
              <w:bottom w:w="0" w:type="dxa"/>
            </w:tcMar>
            <w:vAlign w:val="bottom"/>
          </w:tcPr>
          <w:p>
            <w:pPr>
              <w:pStyle w:val="TableContents"/>
              <w:spacing w:before="0" w:after="0"/>
              <w:ind w:left="0" w:right="0" w:hanging="0"/>
              <w:rPr/>
            </w:pPr>
            <w:r>
              <w:rPr/>
              <w:t> </w:t>
            </w:r>
          </w:p>
        </w:tc>
        <w:tc>
          <w:tcPr>
            <w:tcW w:w="110" w:type="dxa"/>
            <w:tcBorders>
              <w:bottom w:val="single" w:sz="8"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10,713,036</w:t>
            </w:r>
          </w:p>
        </w:tc>
        <w:tc>
          <w:tcPr>
            <w:tcW w:w="97" w:type="dxa"/>
            <w:tcBorders/>
            <w:shd w:fill="auto" w:val="clear"/>
            <w:tcMar>
              <w:bottom w:w="0" w:type="dxa"/>
            </w:tcMar>
            <w:vAlign w:val="bottom"/>
          </w:tcPr>
          <w:p>
            <w:pPr>
              <w:pStyle w:val="TableContents"/>
              <w:spacing w:before="0" w:after="0"/>
              <w:ind w:left="0" w:right="0" w:hanging="0"/>
              <w:rPr/>
            </w:pPr>
            <w:r>
              <w:rPr/>
              <w:t> </w:t>
            </w:r>
          </w:p>
        </w:tc>
      </w:tr>
      <w:tr>
        <w:trPr/>
        <w:tc>
          <w:tcPr>
            <w:tcW w:w="648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Combined risk to capital ratio </w:t>
            </w:r>
          </w:p>
        </w:tc>
        <w:tc>
          <w:tcPr>
            <w:tcW w:w="241" w:type="dxa"/>
            <w:tcBorders/>
            <w:shd w:fill="CCEEFF" w:val="clear"/>
            <w:tcMar>
              <w:bottom w:w="0" w:type="dxa"/>
            </w:tcMar>
            <w:vAlign w:val="bottom"/>
          </w:tcPr>
          <w:p>
            <w:pPr>
              <w:pStyle w:val="TableContents"/>
              <w:spacing w:before="0" w:after="0"/>
              <w:ind w:left="0" w:right="0" w:hanging="0"/>
              <w:rPr/>
            </w:pPr>
            <w:r>
              <w:rPr/>
              <w:t> </w:t>
            </w:r>
          </w:p>
        </w:tc>
        <w:tc>
          <w:tcPr>
            <w:tcW w:w="1345" w:type="dxa"/>
            <w:gridSpan w:val="2"/>
            <w:tcBorders>
              <w:bottom w:val="double" w:sz="6"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16.1:1</w:t>
            </w:r>
          </w:p>
        </w:tc>
        <w:tc>
          <w:tcPr>
            <w:tcW w:w="97"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additional information regarding regulatory capital, see Note 12 to our condensed consolidated financial statements. Our combined statutory capital equals the sum of statutory capital of our U.S. insurance subsidiaries, Essent Guaranty and Essent PA, after eliminating the impact of intercompany transactions. The combined risk to 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43" w:name="PB_30_140910_5335"/>
      <w:bookmarkEnd w:id="4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July 2014, Essent Re entered into an insurance transaction with Freddie Mac and also executed a quota share reinsurance transaction with Essent Guaranty to reinsure 25% of Essent Guarantys GSE-eligible NIW effective July 1, 2014.  In the three months ended September 30, 2014, Essent Group Ltd. made capital contributions to Essent Re of $101.5 million to support new business written, including Essent Res quota share reinsurance agreement with Essent Guaranty that was finalized in the third quarter of 2014.  As of September 30, 2014, Essent Re had total stockholders equity of $102.1 million and net risk in force of $462.3 million.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Financial Strength Ratings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financial strength of Essent Guaranty, our principal mortgage insurance subsidiary, is rated Baa2 by Moodys Investors Service (Moodys) with a stable outlook. Standard &amp; Poors Rating Services (S&amp;P) insurer financial strength rating of Essent Guaranty is BBB+ with a stable outlook.  Essent Re is not currently rated by a nationally recognized statistical rating organization.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Draft Private Mortgage Insurer Eligibility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July 10, 2014, the Federal Housing Finance Agency (FHFA) released for public input draft Private Mortgage Insurer Eligibility Requirements (PMIERs). If implemented, the PMIERs represent revised standards by which private mortgage insurers would be eligible to provide mortgage insurance on loans owned or guaranteed by Fannie Mae and Freddie Mac. The PMIERs include new financial strength requirements incorporating a risk-based framework that would require approved insurers to have a sufficient level of liquid assets from which to pay claims. These new requirements also would impact the amount of capital a mortgage insurer must hold. The draft requirements also include enhanced operational performance expectations and define remedial actions that would apply should an approved insurer fail to comply with the new requirements. The public input period with respect to the PMIERs closed on September 8, 2014. The specific requirements that may be adopted in any final rule, and the timing of when such requirements would become applicable to private mortgage insurers, remains uncertain.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Financial Condition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Stockholders Equity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2014, stockholders equity was $794.9 million compared to $722.1 million as of December 31, 2013. This increase was primarily due to net income generated in 2014.</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Investments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2014, the total fair value of our investment portfolio was $897.2 million, compared to $332.6 million as of December 31, 2013. This increase was primarily due to the investment of proceeds from our initial public offering and capital contributions in the form of cash that were received in 2013 which had not been fully invested as of December 31,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44" w:name="PB_31_140923_5796"/>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Investment Portfolio by Asset Class</w:t>
      </w:r>
    </w:p>
    <w:p>
      <w:pPr>
        <w:pStyle w:val="TextBody"/>
        <w:spacing w:before="0" w:after="0"/>
        <w:ind w:left="0" w:right="0" w:hanging="0"/>
        <w:rPr/>
      </w:pPr>
      <w:r>
        <w:rPr/>
        <w:t> </w:t>
      </w:r>
    </w:p>
    <w:tbl>
      <w:tblPr>
        <w:tblW w:w="4150" w:type="pct"/>
        <w:jc w:val="left"/>
        <w:tblInd w:w="0" w:type="dxa"/>
        <w:tblCellMar>
          <w:top w:w="0" w:type="dxa"/>
          <w:left w:w="0" w:type="dxa"/>
          <w:bottom w:w="0" w:type="dxa"/>
          <w:right w:w="0" w:type="dxa"/>
        </w:tblCellMar>
      </w:tblPr>
      <w:tblGrid>
        <w:gridCol w:w="2540"/>
        <w:gridCol w:w="156"/>
        <w:gridCol w:w="133"/>
        <w:gridCol w:w="1169"/>
        <w:gridCol w:w="214"/>
        <w:gridCol w:w="1123"/>
        <w:gridCol w:w="301"/>
        <w:gridCol w:w="133"/>
        <w:gridCol w:w="1169"/>
        <w:gridCol w:w="214"/>
        <w:gridCol w:w="1123"/>
        <w:gridCol w:w="195"/>
      </w:tblGrid>
      <w:tr>
        <w:trPr/>
        <w:tc>
          <w:tcPr>
            <w:tcW w:w="2540"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Asset Class</w:t>
            </w:r>
          </w:p>
        </w:tc>
        <w:tc>
          <w:tcPr>
            <w:tcW w:w="156" w:type="dxa"/>
            <w:tcBorders/>
            <w:shd w:fill="auto" w:val="clear"/>
            <w:vAlign w:val="bottom"/>
          </w:tcPr>
          <w:p>
            <w:pPr>
              <w:pStyle w:val="TableContents"/>
              <w:spacing w:before="0" w:after="0"/>
              <w:ind w:left="0" w:right="0" w:hanging="0"/>
              <w:jc w:val="center"/>
              <w:rPr/>
            </w:pPr>
            <w:r>
              <w:rPr/>
              <w:t> </w:t>
            </w:r>
          </w:p>
        </w:tc>
        <w:tc>
          <w:tcPr>
            <w:tcW w:w="2639"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2014</w:t>
            </w:r>
          </w:p>
        </w:tc>
        <w:tc>
          <w:tcPr>
            <w:tcW w:w="301" w:type="dxa"/>
            <w:tcBorders/>
            <w:shd w:fill="auto" w:val="clear"/>
            <w:vAlign w:val="bottom"/>
          </w:tcPr>
          <w:p>
            <w:pPr>
              <w:pStyle w:val="TableContents"/>
              <w:spacing w:before="0" w:after="0"/>
              <w:ind w:left="0" w:right="0" w:hanging="0"/>
              <w:jc w:val="center"/>
              <w:rPr/>
            </w:pPr>
            <w:r>
              <w:rPr/>
              <w:t> </w:t>
            </w:r>
          </w:p>
        </w:tc>
        <w:tc>
          <w:tcPr>
            <w:tcW w:w="2639"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95" w:type="dxa"/>
            <w:tcBorders/>
            <w:shd w:fill="auto" w:val="clear"/>
            <w:vAlign w:val="bottom"/>
          </w:tcPr>
          <w:p>
            <w:pPr>
              <w:pStyle w:val="TableContents"/>
              <w:spacing w:before="0" w:after="0"/>
              <w:ind w:left="0" w:right="0" w:hanging="0"/>
              <w:jc w:val="center"/>
              <w:rPr/>
            </w:pPr>
            <w:r>
              <w:rPr/>
              <w:t> </w:t>
            </w:r>
          </w:p>
        </w:tc>
      </w:tr>
      <w:tr>
        <w:trPr/>
        <w:tc>
          <w:tcPr>
            <w:tcW w:w="254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156" w:type="dxa"/>
            <w:tcBorders/>
            <w:shd w:fill="auto" w:val="clear"/>
            <w:vAlign w:val="bottom"/>
          </w:tcPr>
          <w:p>
            <w:pPr>
              <w:pStyle w:val="TableContents"/>
              <w:spacing w:before="0" w:after="0"/>
              <w:ind w:left="0" w:right="0" w:hanging="0"/>
              <w:jc w:val="center"/>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2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w:t>
            </w:r>
          </w:p>
        </w:tc>
        <w:tc>
          <w:tcPr>
            <w:tcW w:w="301" w:type="dxa"/>
            <w:tcBorders/>
            <w:shd w:fill="auto" w:val="clear"/>
            <w:vAlign w:val="bottom"/>
          </w:tcPr>
          <w:p>
            <w:pPr>
              <w:pStyle w:val="TableContents"/>
              <w:spacing w:before="0" w:after="0"/>
              <w:ind w:left="0" w:right="0" w:hanging="0"/>
              <w:jc w:val="center"/>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2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w:t>
            </w:r>
          </w:p>
        </w:tc>
        <w:tc>
          <w:tcPr>
            <w:tcW w:w="195" w:type="dxa"/>
            <w:tcBorders/>
            <w:shd w:fill="auto" w:val="clear"/>
            <w:vAlign w:val="bottom"/>
          </w:tcPr>
          <w:p>
            <w:pPr>
              <w:pStyle w:val="TableContents"/>
              <w:spacing w:before="0" w:after="0"/>
              <w:ind w:left="0" w:right="0" w:hanging="0"/>
              <w:jc w:val="center"/>
              <w:rPr/>
            </w:pPr>
            <w:r>
              <w:rPr/>
              <w:t> </w:t>
            </w:r>
          </w:p>
        </w:tc>
      </w:tr>
      <w:tr>
        <w:trPr/>
        <w:tc>
          <w:tcPr>
            <w:tcW w:w="25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U.S. Treasury securities </w:t>
            </w:r>
          </w:p>
        </w:tc>
        <w:tc>
          <w:tcPr>
            <w:tcW w:w="156"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68,603</w:t>
            </w:r>
          </w:p>
        </w:tc>
        <w:tc>
          <w:tcPr>
            <w:tcW w:w="214" w:type="dxa"/>
            <w:tcBorders/>
            <w:shd w:fill="CCEEFF" w:val="clear"/>
            <w:vAlign w:val="bottom"/>
          </w:tcPr>
          <w:p>
            <w:pPr>
              <w:pStyle w:val="TableContents"/>
              <w:spacing w:before="0" w:after="0"/>
              <w:ind w:left="0" w:right="0" w:hanging="0"/>
              <w:rPr/>
            </w:pPr>
            <w:r>
              <w:rPr/>
              <w:t> </w:t>
            </w:r>
          </w:p>
        </w:tc>
        <w:tc>
          <w:tcPr>
            <w:tcW w:w="11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3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59,187</w:t>
            </w:r>
          </w:p>
        </w:tc>
        <w:tc>
          <w:tcPr>
            <w:tcW w:w="214" w:type="dxa"/>
            <w:tcBorders/>
            <w:shd w:fill="CCEEFF" w:val="clear"/>
            <w:vAlign w:val="bottom"/>
          </w:tcPr>
          <w:p>
            <w:pPr>
              <w:pStyle w:val="TableContents"/>
              <w:spacing w:before="0" w:after="0"/>
              <w:ind w:left="0" w:right="0" w:hanging="0"/>
              <w:rPr/>
            </w:pPr>
            <w:r>
              <w:rPr/>
              <w:t> </w:t>
            </w:r>
          </w:p>
        </w:tc>
        <w:tc>
          <w:tcPr>
            <w:tcW w:w="11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U.S. agency securities </w:t>
            </w:r>
          </w:p>
        </w:tc>
        <w:tc>
          <w:tcPr>
            <w:tcW w:w="156"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6,140</w:t>
            </w:r>
          </w:p>
        </w:tc>
        <w:tc>
          <w:tcPr>
            <w:tcW w:w="214" w:type="dxa"/>
            <w:tcBorders/>
            <w:shd w:fill="auto" w:val="clear"/>
            <w:vAlign w:val="bottom"/>
          </w:tcPr>
          <w:p>
            <w:pPr>
              <w:pStyle w:val="TableContents"/>
              <w:spacing w:before="0" w:after="0"/>
              <w:ind w:left="0" w:right="0" w:hanging="0"/>
              <w:rPr/>
            </w:pPr>
            <w:r>
              <w:rPr/>
              <w:t> </w:t>
            </w:r>
          </w:p>
        </w:tc>
        <w:tc>
          <w:tcPr>
            <w:tcW w:w="11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w:t>
            </w:r>
          </w:p>
        </w:tc>
        <w:tc>
          <w:tcPr>
            <w:tcW w:w="301"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14,839</w:t>
            </w:r>
          </w:p>
        </w:tc>
        <w:tc>
          <w:tcPr>
            <w:tcW w:w="214" w:type="dxa"/>
            <w:tcBorders/>
            <w:shd w:fill="auto" w:val="clear"/>
            <w:vAlign w:val="bottom"/>
          </w:tcPr>
          <w:p>
            <w:pPr>
              <w:pStyle w:val="TableContents"/>
              <w:spacing w:before="0" w:after="0"/>
              <w:ind w:left="0" w:right="0" w:hanging="0"/>
              <w:rPr/>
            </w:pPr>
            <w:r>
              <w:rPr/>
              <w:t> </w:t>
            </w:r>
          </w:p>
        </w:tc>
        <w:tc>
          <w:tcPr>
            <w:tcW w:w="11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5" w:type="dxa"/>
            <w:tcBorders/>
            <w:shd w:fill="auto" w:val="clear"/>
            <w:vAlign w:val="bottom"/>
          </w:tcPr>
          <w:p>
            <w:pPr>
              <w:pStyle w:val="TableContents"/>
              <w:spacing w:before="0" w:after="0"/>
              <w:ind w:left="0" w:right="0" w:hanging="0"/>
              <w:rPr/>
            </w:pPr>
            <w:r>
              <w:rPr/>
              <w:t> </w:t>
            </w:r>
          </w:p>
        </w:tc>
      </w:tr>
      <w:tr>
        <w:trPr/>
        <w:tc>
          <w:tcPr>
            <w:tcW w:w="25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U.S. agency mortgage-backed securities </w:t>
            </w:r>
          </w:p>
        </w:tc>
        <w:tc>
          <w:tcPr>
            <w:tcW w:w="156"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69,143</w:t>
            </w:r>
          </w:p>
        </w:tc>
        <w:tc>
          <w:tcPr>
            <w:tcW w:w="214" w:type="dxa"/>
            <w:tcBorders/>
            <w:shd w:fill="CCEEFF" w:val="clear"/>
            <w:vAlign w:val="bottom"/>
          </w:tcPr>
          <w:p>
            <w:pPr>
              <w:pStyle w:val="TableContents"/>
              <w:spacing w:before="0" w:after="0"/>
              <w:ind w:left="0" w:right="0" w:hanging="0"/>
              <w:rPr/>
            </w:pPr>
            <w:r>
              <w:rPr/>
              <w:t> </w:t>
            </w:r>
          </w:p>
        </w:tc>
        <w:tc>
          <w:tcPr>
            <w:tcW w:w="11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301"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22,241</w:t>
            </w:r>
          </w:p>
        </w:tc>
        <w:tc>
          <w:tcPr>
            <w:tcW w:w="214" w:type="dxa"/>
            <w:tcBorders/>
            <w:shd w:fill="CCEEFF" w:val="clear"/>
            <w:vAlign w:val="bottom"/>
          </w:tcPr>
          <w:p>
            <w:pPr>
              <w:pStyle w:val="TableContents"/>
              <w:spacing w:before="0" w:after="0"/>
              <w:ind w:left="0" w:right="0" w:hanging="0"/>
              <w:rPr/>
            </w:pPr>
            <w:r>
              <w:rPr/>
              <w:t> </w:t>
            </w:r>
          </w:p>
        </w:tc>
        <w:tc>
          <w:tcPr>
            <w:tcW w:w="11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95" w:type="dxa"/>
            <w:tcBorders/>
            <w:shd w:fill="CCEEFF" w:val="clear"/>
            <w:vAlign w:val="bottom"/>
          </w:tcPr>
          <w:p>
            <w:pPr>
              <w:pStyle w:val="TableContents"/>
              <w:spacing w:before="0" w:after="0"/>
              <w:ind w:left="0" w:right="0" w:hanging="0"/>
              <w:rPr/>
            </w:pPr>
            <w:r>
              <w:rPr/>
              <w:t> </w:t>
            </w:r>
          </w:p>
        </w:tc>
      </w:tr>
      <w:tr>
        <w:trPr/>
        <w:tc>
          <w:tcPr>
            <w:tcW w:w="2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Municipal debt securities(1) </w:t>
            </w:r>
          </w:p>
        </w:tc>
        <w:tc>
          <w:tcPr>
            <w:tcW w:w="156"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190,656</w:t>
            </w:r>
          </w:p>
        </w:tc>
        <w:tc>
          <w:tcPr>
            <w:tcW w:w="214" w:type="dxa"/>
            <w:tcBorders/>
            <w:shd w:fill="auto" w:val="clear"/>
            <w:vAlign w:val="bottom"/>
          </w:tcPr>
          <w:p>
            <w:pPr>
              <w:pStyle w:val="TableContents"/>
              <w:spacing w:before="0" w:after="0"/>
              <w:ind w:left="0" w:right="0" w:hanging="0"/>
              <w:rPr/>
            </w:pPr>
            <w:r>
              <w:rPr/>
              <w:t> </w:t>
            </w:r>
          </w:p>
        </w:tc>
        <w:tc>
          <w:tcPr>
            <w:tcW w:w="11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301"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57,650</w:t>
            </w:r>
          </w:p>
        </w:tc>
        <w:tc>
          <w:tcPr>
            <w:tcW w:w="214" w:type="dxa"/>
            <w:tcBorders/>
            <w:shd w:fill="auto" w:val="clear"/>
            <w:vAlign w:val="bottom"/>
          </w:tcPr>
          <w:p>
            <w:pPr>
              <w:pStyle w:val="TableContents"/>
              <w:spacing w:before="0" w:after="0"/>
              <w:ind w:left="0" w:right="0" w:hanging="0"/>
              <w:rPr/>
            </w:pPr>
            <w:r>
              <w:rPr/>
              <w:t> </w:t>
            </w:r>
          </w:p>
        </w:tc>
        <w:tc>
          <w:tcPr>
            <w:tcW w:w="11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95" w:type="dxa"/>
            <w:tcBorders/>
            <w:shd w:fill="auto" w:val="clear"/>
            <w:vAlign w:val="bottom"/>
          </w:tcPr>
          <w:p>
            <w:pPr>
              <w:pStyle w:val="TableContents"/>
              <w:spacing w:before="0" w:after="0"/>
              <w:ind w:left="0" w:right="0" w:hanging="0"/>
              <w:rPr/>
            </w:pPr>
            <w:r>
              <w:rPr/>
              <w:t> </w:t>
            </w:r>
          </w:p>
        </w:tc>
      </w:tr>
      <w:tr>
        <w:trPr/>
        <w:tc>
          <w:tcPr>
            <w:tcW w:w="25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Corporate debt securities </w:t>
            </w:r>
          </w:p>
        </w:tc>
        <w:tc>
          <w:tcPr>
            <w:tcW w:w="156"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271,988</w:t>
            </w:r>
          </w:p>
        </w:tc>
        <w:tc>
          <w:tcPr>
            <w:tcW w:w="214" w:type="dxa"/>
            <w:tcBorders/>
            <w:shd w:fill="CCEEFF" w:val="clear"/>
            <w:vAlign w:val="bottom"/>
          </w:tcPr>
          <w:p>
            <w:pPr>
              <w:pStyle w:val="TableContents"/>
              <w:spacing w:before="0" w:after="0"/>
              <w:ind w:left="0" w:right="0" w:hanging="0"/>
              <w:rPr/>
            </w:pPr>
            <w:r>
              <w:rPr/>
              <w:t> </w:t>
            </w:r>
          </w:p>
        </w:tc>
        <w:tc>
          <w:tcPr>
            <w:tcW w:w="11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301"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125,593</w:t>
            </w:r>
          </w:p>
        </w:tc>
        <w:tc>
          <w:tcPr>
            <w:tcW w:w="214" w:type="dxa"/>
            <w:tcBorders/>
            <w:shd w:fill="CCEEFF" w:val="clear"/>
            <w:vAlign w:val="bottom"/>
          </w:tcPr>
          <w:p>
            <w:pPr>
              <w:pStyle w:val="TableContents"/>
              <w:spacing w:before="0" w:after="0"/>
              <w:ind w:left="0" w:right="0" w:hanging="0"/>
              <w:rPr/>
            </w:pPr>
            <w:r>
              <w:rPr/>
              <w:t> </w:t>
            </w:r>
          </w:p>
        </w:tc>
        <w:tc>
          <w:tcPr>
            <w:tcW w:w="11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95" w:type="dxa"/>
            <w:tcBorders/>
            <w:shd w:fill="CCEEFF" w:val="clear"/>
            <w:vAlign w:val="bottom"/>
          </w:tcPr>
          <w:p>
            <w:pPr>
              <w:pStyle w:val="TableContents"/>
              <w:spacing w:before="0" w:after="0"/>
              <w:ind w:left="0" w:right="0" w:hanging="0"/>
              <w:rPr/>
            </w:pPr>
            <w:r>
              <w:rPr/>
              <w:t> </w:t>
            </w:r>
          </w:p>
        </w:tc>
      </w:tr>
      <w:tr>
        <w:trPr/>
        <w:tc>
          <w:tcPr>
            <w:tcW w:w="2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Mortgage-backed securities </w:t>
            </w:r>
          </w:p>
        </w:tc>
        <w:tc>
          <w:tcPr>
            <w:tcW w:w="156"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62,276</w:t>
            </w:r>
          </w:p>
        </w:tc>
        <w:tc>
          <w:tcPr>
            <w:tcW w:w="214" w:type="dxa"/>
            <w:tcBorders/>
            <w:shd w:fill="auto" w:val="clear"/>
            <w:vAlign w:val="bottom"/>
          </w:tcPr>
          <w:p>
            <w:pPr>
              <w:pStyle w:val="TableContents"/>
              <w:spacing w:before="0" w:after="0"/>
              <w:ind w:left="0" w:right="0" w:hanging="0"/>
              <w:rPr/>
            </w:pPr>
            <w:r>
              <w:rPr/>
              <w:t> </w:t>
            </w:r>
          </w:p>
        </w:tc>
        <w:tc>
          <w:tcPr>
            <w:tcW w:w="11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301"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18,581</w:t>
            </w:r>
          </w:p>
        </w:tc>
        <w:tc>
          <w:tcPr>
            <w:tcW w:w="214" w:type="dxa"/>
            <w:tcBorders/>
            <w:shd w:fill="auto" w:val="clear"/>
            <w:vAlign w:val="bottom"/>
          </w:tcPr>
          <w:p>
            <w:pPr>
              <w:pStyle w:val="TableContents"/>
              <w:spacing w:before="0" w:after="0"/>
              <w:ind w:left="0" w:right="0" w:hanging="0"/>
              <w:rPr/>
            </w:pPr>
            <w:r>
              <w:rPr/>
              <w:t> </w:t>
            </w:r>
          </w:p>
        </w:tc>
        <w:tc>
          <w:tcPr>
            <w:tcW w:w="11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95" w:type="dxa"/>
            <w:tcBorders/>
            <w:shd w:fill="auto" w:val="clear"/>
            <w:vAlign w:val="bottom"/>
          </w:tcPr>
          <w:p>
            <w:pPr>
              <w:pStyle w:val="TableContents"/>
              <w:spacing w:before="0" w:after="0"/>
              <w:ind w:left="0" w:right="0" w:hanging="0"/>
              <w:rPr/>
            </w:pPr>
            <w:r>
              <w:rPr/>
              <w:t> </w:t>
            </w:r>
          </w:p>
        </w:tc>
      </w:tr>
      <w:tr>
        <w:trPr/>
        <w:tc>
          <w:tcPr>
            <w:tcW w:w="254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Asset-backed securities </w:t>
            </w:r>
          </w:p>
        </w:tc>
        <w:tc>
          <w:tcPr>
            <w:tcW w:w="156"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122,082</w:t>
            </w:r>
          </w:p>
        </w:tc>
        <w:tc>
          <w:tcPr>
            <w:tcW w:w="214" w:type="dxa"/>
            <w:tcBorders/>
            <w:shd w:fill="CCEEFF" w:val="clear"/>
            <w:vAlign w:val="bottom"/>
          </w:tcPr>
          <w:p>
            <w:pPr>
              <w:pStyle w:val="TableContents"/>
              <w:spacing w:before="0" w:after="0"/>
              <w:ind w:left="0" w:right="0" w:hanging="0"/>
              <w:rPr/>
            </w:pPr>
            <w:r>
              <w:rPr/>
              <w:t> </w:t>
            </w:r>
          </w:p>
        </w:tc>
        <w:tc>
          <w:tcPr>
            <w:tcW w:w="11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301" w:type="dxa"/>
            <w:tcBorders/>
            <w:shd w:fill="CCEEFF" w:val="clear"/>
            <w:vAlign w:val="bottom"/>
          </w:tcPr>
          <w:p>
            <w:pPr>
              <w:pStyle w:val="TableContents"/>
              <w:spacing w:before="0" w:after="0"/>
              <w:ind w:left="0" w:right="0" w:hanging="0"/>
              <w:rPr/>
            </w:pPr>
            <w:r>
              <w:rPr/>
              <w:t> </w:t>
            </w:r>
          </w:p>
        </w:tc>
        <w:tc>
          <w:tcPr>
            <w:tcW w:w="13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20,385</w:t>
            </w:r>
          </w:p>
        </w:tc>
        <w:tc>
          <w:tcPr>
            <w:tcW w:w="214" w:type="dxa"/>
            <w:tcBorders/>
            <w:shd w:fill="CCEEFF" w:val="clear"/>
            <w:vAlign w:val="bottom"/>
          </w:tcPr>
          <w:p>
            <w:pPr>
              <w:pStyle w:val="TableContents"/>
              <w:spacing w:before="0" w:after="0"/>
              <w:ind w:left="0" w:right="0" w:hanging="0"/>
              <w:rPr/>
            </w:pPr>
            <w:r>
              <w:rPr/>
              <w:t> </w:t>
            </w:r>
          </w:p>
        </w:tc>
        <w:tc>
          <w:tcPr>
            <w:tcW w:w="11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95" w:type="dxa"/>
            <w:tcBorders/>
            <w:shd w:fill="CCEEFF" w:val="clear"/>
            <w:vAlign w:val="bottom"/>
          </w:tcPr>
          <w:p>
            <w:pPr>
              <w:pStyle w:val="TableContents"/>
              <w:spacing w:before="0" w:after="0"/>
              <w:ind w:left="0" w:right="0" w:hanging="0"/>
              <w:rPr/>
            </w:pPr>
            <w:r>
              <w:rPr/>
              <w:t> </w:t>
            </w:r>
          </w:p>
        </w:tc>
      </w:tr>
      <w:tr>
        <w:trPr/>
        <w:tc>
          <w:tcPr>
            <w:tcW w:w="2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Money market funds </w:t>
            </w:r>
          </w:p>
        </w:tc>
        <w:tc>
          <w:tcPr>
            <w:tcW w:w="156" w:type="dxa"/>
            <w:tcBorders/>
            <w:shd w:fill="auto"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106,263</w:t>
            </w:r>
          </w:p>
        </w:tc>
        <w:tc>
          <w:tcPr>
            <w:tcW w:w="214" w:type="dxa"/>
            <w:tcBorders/>
            <w:shd w:fill="auto" w:val="clear"/>
            <w:vAlign w:val="bottom"/>
          </w:tcPr>
          <w:p>
            <w:pPr>
              <w:pStyle w:val="TableContents"/>
              <w:spacing w:before="0" w:after="0"/>
              <w:ind w:left="0" w:right="0" w:hanging="0"/>
              <w:rPr/>
            </w:pPr>
            <w:r>
              <w:rPr/>
              <w:t> </w:t>
            </w:r>
          </w:p>
        </w:tc>
        <w:tc>
          <w:tcPr>
            <w:tcW w:w="112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301" w:type="dxa"/>
            <w:tcBorders/>
            <w:shd w:fill="auto" w:val="clear"/>
            <w:vAlign w:val="bottom"/>
          </w:tcPr>
          <w:p>
            <w:pPr>
              <w:pStyle w:val="TableContents"/>
              <w:spacing w:before="0" w:after="0"/>
              <w:ind w:left="0" w:right="0" w:hanging="0"/>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14,079</w:t>
            </w:r>
          </w:p>
        </w:tc>
        <w:tc>
          <w:tcPr>
            <w:tcW w:w="214" w:type="dxa"/>
            <w:tcBorders/>
            <w:shd w:fill="auto" w:val="clear"/>
            <w:vAlign w:val="bottom"/>
          </w:tcPr>
          <w:p>
            <w:pPr>
              <w:pStyle w:val="TableContents"/>
              <w:spacing w:before="0" w:after="0"/>
              <w:ind w:left="0" w:right="0" w:hanging="0"/>
              <w:rPr/>
            </w:pPr>
            <w:r>
              <w:rPr/>
              <w:t> </w:t>
            </w:r>
          </w:p>
        </w:tc>
        <w:tc>
          <w:tcPr>
            <w:tcW w:w="112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95" w:type="dxa"/>
            <w:tcBorders/>
            <w:shd w:fill="auto" w:val="clear"/>
            <w:vAlign w:val="bottom"/>
          </w:tcPr>
          <w:p>
            <w:pPr>
              <w:pStyle w:val="TableContents"/>
              <w:spacing w:before="0" w:after="0"/>
              <w:ind w:left="0" w:right="0" w:hanging="0"/>
              <w:rPr/>
            </w:pPr>
            <w:r>
              <w:rPr/>
              <w:t> </w:t>
            </w:r>
          </w:p>
        </w:tc>
      </w:tr>
      <w:tr>
        <w:trPr/>
        <w:tc>
          <w:tcPr>
            <w:tcW w:w="2540" w:type="dxa"/>
            <w:tcBorders/>
            <w:shd w:fill="CCEEFF" w:val="clear"/>
          </w:tcPr>
          <w:p>
            <w:pPr>
              <w:pStyle w:val="TableContents"/>
              <w:spacing w:before="0" w:after="0"/>
              <w:ind w:left="0" w:right="0" w:hanging="0"/>
              <w:rPr/>
            </w:pPr>
            <w:r>
              <w:rPr>
                <w:rFonts w:ascii="Times New Roman" w:hAnsi="Times New Roman"/>
                <w:b/>
                <w:sz w:val="17"/>
              </w:rPr>
              <w:t>Total Investments</w:t>
            </w:r>
            <w:r>
              <w:rPr/>
              <w:t xml:space="preserve"> </w:t>
            </w:r>
          </w:p>
        </w:tc>
        <w:tc>
          <w:tcPr>
            <w:tcW w:w="156"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897,151</w:t>
            </w:r>
          </w:p>
        </w:tc>
        <w:tc>
          <w:tcPr>
            <w:tcW w:w="214" w:type="dxa"/>
            <w:tcBorders/>
            <w:shd w:fill="CCEEFF" w:val="clear"/>
            <w:vAlign w:val="bottom"/>
          </w:tcPr>
          <w:p>
            <w:pPr>
              <w:pStyle w:val="TableContents"/>
              <w:spacing w:before="0" w:after="0"/>
              <w:ind w:left="0" w:right="0" w:hanging="0"/>
              <w:rPr/>
            </w:pPr>
            <w:r>
              <w:rPr/>
              <w:t> </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100.0</w:t>
            </w:r>
          </w:p>
        </w:tc>
        <w:tc>
          <w:tcPr>
            <w:tcW w:w="30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332,555</w:t>
            </w:r>
          </w:p>
        </w:tc>
        <w:tc>
          <w:tcPr>
            <w:tcW w:w="214" w:type="dxa"/>
            <w:tcBorders/>
            <w:shd w:fill="CCEEFF" w:val="clear"/>
            <w:vAlign w:val="bottom"/>
          </w:tcPr>
          <w:p>
            <w:pPr>
              <w:pStyle w:val="TableContents"/>
              <w:spacing w:before="0" w:after="0"/>
              <w:ind w:left="0" w:right="0" w:hanging="0"/>
              <w:rPr/>
            </w:pPr>
            <w:r>
              <w:rPr/>
              <w:t> </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100.0</w:t>
            </w:r>
          </w:p>
        </w:tc>
        <w:tc>
          <w:tcPr>
            <w:tcW w:w="19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At September 30, 2014, approximately 59.3% of municipal debt securities were special revenue bonds, 37.3% were general obligation bonds, 2.1% were tax allocation bonds, 0.8% were certification of participation bonds and 0.5% were special assessment bonds. At December 31, 2013, all municipal debt securities were general obligation bonds. For information regarding the amortized cost and fair value of the municipal debt securities, see Note 2 to our condensed consolidated financial statements.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Investment Portfolio by Rating</w:t>
      </w:r>
    </w:p>
    <w:p>
      <w:pPr>
        <w:pStyle w:val="TextBody"/>
        <w:spacing w:before="0" w:after="0"/>
        <w:ind w:left="0" w:right="0" w:hanging="0"/>
        <w:jc w:val="center"/>
        <w:rPr/>
      </w:pPr>
      <w:r>
        <w:rPr/>
        <w:t> </w:t>
      </w:r>
    </w:p>
    <w:tbl>
      <w:tblPr>
        <w:tblW w:w="4000" w:type="pct"/>
        <w:jc w:val="left"/>
        <w:tblInd w:w="0" w:type="dxa"/>
        <w:tblCellMar>
          <w:top w:w="0" w:type="dxa"/>
          <w:left w:w="0" w:type="dxa"/>
          <w:bottom w:w="0" w:type="dxa"/>
          <w:right w:w="0" w:type="dxa"/>
        </w:tblCellMar>
      </w:tblPr>
      <w:tblGrid>
        <w:gridCol w:w="2123"/>
        <w:gridCol w:w="211"/>
        <w:gridCol w:w="133"/>
        <w:gridCol w:w="1159"/>
        <w:gridCol w:w="211"/>
        <w:gridCol w:w="1166"/>
        <w:gridCol w:w="299"/>
        <w:gridCol w:w="133"/>
        <w:gridCol w:w="1159"/>
        <w:gridCol w:w="211"/>
        <w:gridCol w:w="1166"/>
        <w:gridCol w:w="193"/>
      </w:tblGrid>
      <w:tr>
        <w:trPr/>
        <w:tc>
          <w:tcPr>
            <w:tcW w:w="2123"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Rating(1)</w:t>
            </w:r>
          </w:p>
        </w:tc>
        <w:tc>
          <w:tcPr>
            <w:tcW w:w="211" w:type="dxa"/>
            <w:tcBorders/>
            <w:shd w:fill="auto" w:val="clear"/>
            <w:vAlign w:val="bottom"/>
          </w:tcPr>
          <w:p>
            <w:pPr>
              <w:pStyle w:val="TableContents"/>
              <w:spacing w:before="0" w:after="0"/>
              <w:ind w:left="0" w:right="0" w:hanging="0"/>
              <w:jc w:val="center"/>
              <w:rPr/>
            </w:pPr>
            <w:r>
              <w:rPr/>
              <w:t> </w:t>
            </w:r>
          </w:p>
        </w:tc>
        <w:tc>
          <w:tcPr>
            <w:tcW w:w="2669"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2014</w:t>
            </w:r>
          </w:p>
        </w:tc>
        <w:tc>
          <w:tcPr>
            <w:tcW w:w="299" w:type="dxa"/>
            <w:tcBorders/>
            <w:shd w:fill="auto" w:val="clear"/>
            <w:vAlign w:val="bottom"/>
          </w:tcPr>
          <w:p>
            <w:pPr>
              <w:pStyle w:val="TableContents"/>
              <w:spacing w:before="0" w:after="0"/>
              <w:ind w:left="0" w:right="0" w:hanging="0"/>
              <w:jc w:val="center"/>
              <w:rPr/>
            </w:pPr>
            <w:r>
              <w:rPr/>
              <w:t> </w:t>
            </w:r>
          </w:p>
        </w:tc>
        <w:tc>
          <w:tcPr>
            <w:tcW w:w="2669"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93" w:type="dxa"/>
            <w:tcBorders/>
            <w:shd w:fill="auto" w:val="clear"/>
            <w:vAlign w:val="bottom"/>
          </w:tcPr>
          <w:p>
            <w:pPr>
              <w:pStyle w:val="TableContents"/>
              <w:spacing w:before="0" w:after="0"/>
              <w:ind w:left="0" w:right="0" w:hanging="0"/>
              <w:jc w:val="center"/>
              <w:rPr/>
            </w:pPr>
            <w:r>
              <w:rPr/>
              <w:t> </w:t>
            </w:r>
          </w:p>
        </w:tc>
      </w:tr>
      <w:tr>
        <w:trPr/>
        <w:tc>
          <w:tcPr>
            <w:tcW w:w="212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211" w:type="dxa"/>
            <w:tcBorders/>
            <w:shd w:fill="auto" w:val="clear"/>
            <w:vAlign w:val="bottom"/>
          </w:tcPr>
          <w:p>
            <w:pPr>
              <w:pStyle w:val="TableContents"/>
              <w:spacing w:before="0" w:after="0"/>
              <w:ind w:left="0" w:right="0" w:hanging="0"/>
              <w:jc w:val="center"/>
              <w:rPr/>
            </w:pPr>
            <w:r>
              <w:rPr/>
              <w:t> </w:t>
            </w:r>
          </w:p>
        </w:tc>
        <w:tc>
          <w:tcPr>
            <w:tcW w:w="12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w:t>
            </w:r>
          </w:p>
        </w:tc>
        <w:tc>
          <w:tcPr>
            <w:tcW w:w="299" w:type="dxa"/>
            <w:tcBorders/>
            <w:shd w:fill="auto" w:val="clear"/>
            <w:vAlign w:val="bottom"/>
          </w:tcPr>
          <w:p>
            <w:pPr>
              <w:pStyle w:val="TableContents"/>
              <w:spacing w:before="0" w:after="0"/>
              <w:ind w:left="0" w:right="0" w:hanging="0"/>
              <w:jc w:val="center"/>
              <w:rPr/>
            </w:pPr>
            <w:r>
              <w:rPr/>
              <w:t> </w:t>
            </w:r>
          </w:p>
        </w:tc>
        <w:tc>
          <w:tcPr>
            <w:tcW w:w="12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6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w:t>
            </w:r>
          </w:p>
        </w:tc>
        <w:tc>
          <w:tcPr>
            <w:tcW w:w="193" w:type="dxa"/>
            <w:tcBorders/>
            <w:shd w:fill="auto" w:val="clear"/>
            <w:vAlign w:val="bottom"/>
          </w:tcPr>
          <w:p>
            <w:pPr>
              <w:pStyle w:val="TableContents"/>
              <w:spacing w:before="0" w:after="0"/>
              <w:ind w:left="0" w:right="0" w:hanging="0"/>
              <w:jc w:val="center"/>
              <w:rPr/>
            </w:pPr>
            <w:r>
              <w:rPr/>
              <w:t> </w:t>
            </w:r>
          </w:p>
        </w:tc>
      </w:tr>
      <w:tr>
        <w:trPr/>
        <w:tc>
          <w:tcPr>
            <w:tcW w:w="21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Aaa </w:t>
            </w:r>
          </w:p>
        </w:tc>
        <w:tc>
          <w:tcPr>
            <w:tcW w:w="21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430,061</w:t>
            </w:r>
          </w:p>
        </w:tc>
        <w:tc>
          <w:tcPr>
            <w:tcW w:w="211" w:type="dxa"/>
            <w:tcBorders/>
            <w:shd w:fill="CCEEFF" w:val="clear"/>
            <w:vAlign w:val="bottom"/>
          </w:tcPr>
          <w:p>
            <w:pPr>
              <w:pStyle w:val="TableContents"/>
              <w:spacing w:before="0" w:after="0"/>
              <w:ind w:left="0" w:right="0" w:hanging="0"/>
              <w:rPr/>
            </w:pPr>
            <w:r>
              <w:rPr/>
              <w:t> </w:t>
            </w:r>
          </w:p>
        </w:tc>
        <w:tc>
          <w:tcPr>
            <w:tcW w:w="11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47.9</w:t>
            </w:r>
          </w:p>
        </w:tc>
        <w:tc>
          <w:tcPr>
            <w:tcW w:w="2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147,862</w:t>
            </w:r>
          </w:p>
        </w:tc>
        <w:tc>
          <w:tcPr>
            <w:tcW w:w="211" w:type="dxa"/>
            <w:tcBorders/>
            <w:shd w:fill="CCEEFF" w:val="clear"/>
            <w:vAlign w:val="bottom"/>
          </w:tcPr>
          <w:p>
            <w:pPr>
              <w:pStyle w:val="TableContents"/>
              <w:spacing w:before="0" w:after="0"/>
              <w:ind w:left="0" w:right="0" w:hanging="0"/>
              <w:rPr/>
            </w:pPr>
            <w:r>
              <w:rPr/>
              <w:t> </w:t>
            </w:r>
          </w:p>
        </w:tc>
        <w:tc>
          <w:tcPr>
            <w:tcW w:w="11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Aa1 </w:t>
            </w:r>
          </w:p>
        </w:tc>
        <w:tc>
          <w:tcPr>
            <w:tcW w:w="211"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37,616</w:t>
            </w:r>
          </w:p>
        </w:tc>
        <w:tc>
          <w:tcPr>
            <w:tcW w:w="211" w:type="dxa"/>
            <w:tcBorders/>
            <w:shd w:fill="auto" w:val="clear"/>
            <w:vAlign w:val="bottom"/>
          </w:tcPr>
          <w:p>
            <w:pPr>
              <w:pStyle w:val="TableContents"/>
              <w:spacing w:before="0" w:after="0"/>
              <w:ind w:left="0" w:right="0" w:hanging="0"/>
              <w:rPr/>
            </w:pPr>
            <w:r>
              <w:rPr/>
              <w:t> </w:t>
            </w:r>
          </w:p>
        </w:tc>
        <w:tc>
          <w:tcPr>
            <w:tcW w:w="11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99"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21,570</w:t>
            </w:r>
          </w:p>
        </w:tc>
        <w:tc>
          <w:tcPr>
            <w:tcW w:w="211" w:type="dxa"/>
            <w:tcBorders/>
            <w:shd w:fill="auto" w:val="clear"/>
            <w:vAlign w:val="bottom"/>
          </w:tcPr>
          <w:p>
            <w:pPr>
              <w:pStyle w:val="TableContents"/>
              <w:spacing w:before="0" w:after="0"/>
              <w:ind w:left="0" w:right="0" w:hanging="0"/>
              <w:rPr/>
            </w:pPr>
            <w:r>
              <w:rPr/>
              <w:t> </w:t>
            </w:r>
          </w:p>
        </w:tc>
        <w:tc>
          <w:tcPr>
            <w:tcW w:w="11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93" w:type="dxa"/>
            <w:tcBorders/>
            <w:shd w:fill="auto" w:val="clear"/>
            <w:vAlign w:val="bottom"/>
          </w:tcPr>
          <w:p>
            <w:pPr>
              <w:pStyle w:val="TableContents"/>
              <w:spacing w:before="0" w:after="0"/>
              <w:ind w:left="0" w:right="0" w:hanging="0"/>
              <w:rPr/>
            </w:pPr>
            <w:r>
              <w:rPr/>
              <w:t> </w:t>
            </w:r>
          </w:p>
        </w:tc>
      </w:tr>
      <w:tr>
        <w:trPr/>
        <w:tc>
          <w:tcPr>
            <w:tcW w:w="21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Aa2 </w:t>
            </w:r>
          </w:p>
        </w:tc>
        <w:tc>
          <w:tcPr>
            <w:tcW w:w="211"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47,346</w:t>
            </w:r>
          </w:p>
        </w:tc>
        <w:tc>
          <w:tcPr>
            <w:tcW w:w="211" w:type="dxa"/>
            <w:tcBorders/>
            <w:shd w:fill="CCEEFF" w:val="clear"/>
            <w:vAlign w:val="bottom"/>
          </w:tcPr>
          <w:p>
            <w:pPr>
              <w:pStyle w:val="TableContents"/>
              <w:spacing w:before="0" w:after="0"/>
              <w:ind w:left="0" w:right="0" w:hanging="0"/>
              <w:rPr/>
            </w:pPr>
            <w:r>
              <w:rPr/>
              <w:t> </w:t>
            </w:r>
          </w:p>
        </w:tc>
        <w:tc>
          <w:tcPr>
            <w:tcW w:w="11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99"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15,464</w:t>
            </w:r>
          </w:p>
        </w:tc>
        <w:tc>
          <w:tcPr>
            <w:tcW w:w="211" w:type="dxa"/>
            <w:tcBorders/>
            <w:shd w:fill="CCEEFF" w:val="clear"/>
            <w:vAlign w:val="bottom"/>
          </w:tcPr>
          <w:p>
            <w:pPr>
              <w:pStyle w:val="TableContents"/>
              <w:spacing w:before="0" w:after="0"/>
              <w:ind w:left="0" w:right="0" w:hanging="0"/>
              <w:rPr/>
            </w:pPr>
            <w:r>
              <w:rPr/>
              <w:t> </w:t>
            </w:r>
          </w:p>
        </w:tc>
        <w:tc>
          <w:tcPr>
            <w:tcW w:w="11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93" w:type="dxa"/>
            <w:tcBorders/>
            <w:shd w:fill="CCEEFF" w:val="clear"/>
            <w:vAlign w:val="bottom"/>
          </w:tcPr>
          <w:p>
            <w:pPr>
              <w:pStyle w:val="TableContents"/>
              <w:spacing w:before="0" w:after="0"/>
              <w:ind w:left="0" w:right="0" w:hanging="0"/>
              <w:rPr/>
            </w:pPr>
            <w:r>
              <w:rPr/>
              <w:t> </w:t>
            </w:r>
          </w:p>
        </w:tc>
      </w:tr>
      <w:tr>
        <w:trPr/>
        <w:tc>
          <w:tcPr>
            <w:tcW w:w="21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Aa3 </w:t>
            </w:r>
          </w:p>
        </w:tc>
        <w:tc>
          <w:tcPr>
            <w:tcW w:w="211"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45,671</w:t>
            </w:r>
          </w:p>
        </w:tc>
        <w:tc>
          <w:tcPr>
            <w:tcW w:w="211" w:type="dxa"/>
            <w:tcBorders/>
            <w:shd w:fill="auto" w:val="clear"/>
            <w:vAlign w:val="bottom"/>
          </w:tcPr>
          <w:p>
            <w:pPr>
              <w:pStyle w:val="TableContents"/>
              <w:spacing w:before="0" w:after="0"/>
              <w:ind w:left="0" w:right="0" w:hanging="0"/>
              <w:rPr/>
            </w:pPr>
            <w:r>
              <w:rPr/>
              <w:t> </w:t>
            </w:r>
          </w:p>
        </w:tc>
        <w:tc>
          <w:tcPr>
            <w:tcW w:w="11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99"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11,902</w:t>
            </w:r>
          </w:p>
        </w:tc>
        <w:tc>
          <w:tcPr>
            <w:tcW w:w="211" w:type="dxa"/>
            <w:tcBorders/>
            <w:shd w:fill="auto" w:val="clear"/>
            <w:vAlign w:val="bottom"/>
          </w:tcPr>
          <w:p>
            <w:pPr>
              <w:pStyle w:val="TableContents"/>
              <w:spacing w:before="0" w:after="0"/>
              <w:ind w:left="0" w:right="0" w:hanging="0"/>
              <w:rPr/>
            </w:pPr>
            <w:r>
              <w:rPr/>
              <w:t> </w:t>
            </w:r>
          </w:p>
        </w:tc>
        <w:tc>
          <w:tcPr>
            <w:tcW w:w="11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93" w:type="dxa"/>
            <w:tcBorders/>
            <w:shd w:fill="auto" w:val="clear"/>
            <w:vAlign w:val="bottom"/>
          </w:tcPr>
          <w:p>
            <w:pPr>
              <w:pStyle w:val="TableContents"/>
              <w:spacing w:before="0" w:after="0"/>
              <w:ind w:left="0" w:right="0" w:hanging="0"/>
              <w:rPr/>
            </w:pPr>
            <w:r>
              <w:rPr/>
              <w:t> </w:t>
            </w:r>
          </w:p>
        </w:tc>
      </w:tr>
      <w:tr>
        <w:trPr/>
        <w:tc>
          <w:tcPr>
            <w:tcW w:w="21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A1 </w:t>
            </w:r>
          </w:p>
        </w:tc>
        <w:tc>
          <w:tcPr>
            <w:tcW w:w="211"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72,101</w:t>
            </w:r>
          </w:p>
        </w:tc>
        <w:tc>
          <w:tcPr>
            <w:tcW w:w="211" w:type="dxa"/>
            <w:tcBorders/>
            <w:shd w:fill="CCEEFF" w:val="clear"/>
            <w:vAlign w:val="bottom"/>
          </w:tcPr>
          <w:p>
            <w:pPr>
              <w:pStyle w:val="TableContents"/>
              <w:spacing w:before="0" w:after="0"/>
              <w:ind w:left="0" w:right="0" w:hanging="0"/>
              <w:rPr/>
            </w:pPr>
            <w:r>
              <w:rPr/>
              <w:t> </w:t>
            </w:r>
          </w:p>
        </w:tc>
        <w:tc>
          <w:tcPr>
            <w:tcW w:w="11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99"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26,541</w:t>
            </w:r>
          </w:p>
        </w:tc>
        <w:tc>
          <w:tcPr>
            <w:tcW w:w="211" w:type="dxa"/>
            <w:tcBorders/>
            <w:shd w:fill="CCEEFF" w:val="clear"/>
            <w:vAlign w:val="bottom"/>
          </w:tcPr>
          <w:p>
            <w:pPr>
              <w:pStyle w:val="TableContents"/>
              <w:spacing w:before="0" w:after="0"/>
              <w:ind w:left="0" w:right="0" w:hanging="0"/>
              <w:rPr/>
            </w:pPr>
            <w:r>
              <w:rPr/>
              <w:t> </w:t>
            </w:r>
          </w:p>
        </w:tc>
        <w:tc>
          <w:tcPr>
            <w:tcW w:w="11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93" w:type="dxa"/>
            <w:tcBorders/>
            <w:shd w:fill="CCEEFF" w:val="clear"/>
            <w:vAlign w:val="bottom"/>
          </w:tcPr>
          <w:p>
            <w:pPr>
              <w:pStyle w:val="TableContents"/>
              <w:spacing w:before="0" w:after="0"/>
              <w:ind w:left="0" w:right="0" w:hanging="0"/>
              <w:rPr/>
            </w:pPr>
            <w:r>
              <w:rPr/>
              <w:t> </w:t>
            </w:r>
          </w:p>
        </w:tc>
      </w:tr>
      <w:tr>
        <w:trPr/>
        <w:tc>
          <w:tcPr>
            <w:tcW w:w="21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A2 </w:t>
            </w:r>
          </w:p>
        </w:tc>
        <w:tc>
          <w:tcPr>
            <w:tcW w:w="211"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57,396</w:t>
            </w:r>
          </w:p>
        </w:tc>
        <w:tc>
          <w:tcPr>
            <w:tcW w:w="211" w:type="dxa"/>
            <w:tcBorders/>
            <w:shd w:fill="auto" w:val="clear"/>
            <w:vAlign w:val="bottom"/>
          </w:tcPr>
          <w:p>
            <w:pPr>
              <w:pStyle w:val="TableContents"/>
              <w:spacing w:before="0" w:after="0"/>
              <w:ind w:left="0" w:right="0" w:hanging="0"/>
              <w:rPr/>
            </w:pPr>
            <w:r>
              <w:rPr/>
              <w:t> </w:t>
            </w:r>
          </w:p>
        </w:tc>
        <w:tc>
          <w:tcPr>
            <w:tcW w:w="11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99"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17,045</w:t>
            </w:r>
          </w:p>
        </w:tc>
        <w:tc>
          <w:tcPr>
            <w:tcW w:w="211" w:type="dxa"/>
            <w:tcBorders/>
            <w:shd w:fill="auto" w:val="clear"/>
            <w:vAlign w:val="bottom"/>
          </w:tcPr>
          <w:p>
            <w:pPr>
              <w:pStyle w:val="TableContents"/>
              <w:spacing w:before="0" w:after="0"/>
              <w:ind w:left="0" w:right="0" w:hanging="0"/>
              <w:rPr/>
            </w:pPr>
            <w:r>
              <w:rPr/>
              <w:t> </w:t>
            </w:r>
          </w:p>
        </w:tc>
        <w:tc>
          <w:tcPr>
            <w:tcW w:w="11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93" w:type="dxa"/>
            <w:tcBorders/>
            <w:shd w:fill="auto" w:val="clear"/>
            <w:vAlign w:val="bottom"/>
          </w:tcPr>
          <w:p>
            <w:pPr>
              <w:pStyle w:val="TableContents"/>
              <w:spacing w:before="0" w:after="0"/>
              <w:ind w:left="0" w:right="0" w:hanging="0"/>
              <w:rPr/>
            </w:pPr>
            <w:r>
              <w:rPr/>
              <w:t> </w:t>
            </w:r>
          </w:p>
        </w:tc>
      </w:tr>
      <w:tr>
        <w:trPr/>
        <w:tc>
          <w:tcPr>
            <w:tcW w:w="21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A3 </w:t>
            </w:r>
          </w:p>
        </w:tc>
        <w:tc>
          <w:tcPr>
            <w:tcW w:w="211"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64,087</w:t>
            </w:r>
          </w:p>
        </w:tc>
        <w:tc>
          <w:tcPr>
            <w:tcW w:w="211" w:type="dxa"/>
            <w:tcBorders/>
            <w:shd w:fill="CCEEFF" w:val="clear"/>
            <w:vAlign w:val="bottom"/>
          </w:tcPr>
          <w:p>
            <w:pPr>
              <w:pStyle w:val="TableContents"/>
              <w:spacing w:before="0" w:after="0"/>
              <w:ind w:left="0" w:right="0" w:hanging="0"/>
              <w:rPr/>
            </w:pPr>
            <w:r>
              <w:rPr/>
              <w:t> </w:t>
            </w:r>
          </w:p>
        </w:tc>
        <w:tc>
          <w:tcPr>
            <w:tcW w:w="11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99"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29,886</w:t>
            </w:r>
          </w:p>
        </w:tc>
        <w:tc>
          <w:tcPr>
            <w:tcW w:w="211" w:type="dxa"/>
            <w:tcBorders/>
            <w:shd w:fill="CCEEFF" w:val="clear"/>
            <w:vAlign w:val="bottom"/>
          </w:tcPr>
          <w:p>
            <w:pPr>
              <w:pStyle w:val="TableContents"/>
              <w:spacing w:before="0" w:after="0"/>
              <w:ind w:left="0" w:right="0" w:hanging="0"/>
              <w:rPr/>
            </w:pPr>
            <w:r>
              <w:rPr/>
              <w:t> </w:t>
            </w:r>
          </w:p>
        </w:tc>
        <w:tc>
          <w:tcPr>
            <w:tcW w:w="11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93" w:type="dxa"/>
            <w:tcBorders/>
            <w:shd w:fill="CCEEFF" w:val="clear"/>
            <w:vAlign w:val="bottom"/>
          </w:tcPr>
          <w:p>
            <w:pPr>
              <w:pStyle w:val="TableContents"/>
              <w:spacing w:before="0" w:after="0"/>
              <w:ind w:left="0" w:right="0" w:hanging="0"/>
              <w:rPr/>
            </w:pPr>
            <w:r>
              <w:rPr/>
              <w:t> </w:t>
            </w:r>
          </w:p>
        </w:tc>
      </w:tr>
      <w:tr>
        <w:trPr/>
        <w:tc>
          <w:tcPr>
            <w:tcW w:w="21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Baa1 </w:t>
            </w:r>
          </w:p>
        </w:tc>
        <w:tc>
          <w:tcPr>
            <w:tcW w:w="211"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59,219</w:t>
            </w:r>
          </w:p>
        </w:tc>
        <w:tc>
          <w:tcPr>
            <w:tcW w:w="211" w:type="dxa"/>
            <w:tcBorders/>
            <w:shd w:fill="auto" w:val="clear"/>
            <w:vAlign w:val="bottom"/>
          </w:tcPr>
          <w:p>
            <w:pPr>
              <w:pStyle w:val="TableContents"/>
              <w:spacing w:before="0" w:after="0"/>
              <w:ind w:left="0" w:right="0" w:hanging="0"/>
              <w:rPr/>
            </w:pPr>
            <w:r>
              <w:rPr/>
              <w:t> </w:t>
            </w:r>
          </w:p>
        </w:tc>
        <w:tc>
          <w:tcPr>
            <w:tcW w:w="11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99"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24,441</w:t>
            </w:r>
          </w:p>
        </w:tc>
        <w:tc>
          <w:tcPr>
            <w:tcW w:w="211" w:type="dxa"/>
            <w:tcBorders/>
            <w:shd w:fill="auto" w:val="clear"/>
            <w:vAlign w:val="bottom"/>
          </w:tcPr>
          <w:p>
            <w:pPr>
              <w:pStyle w:val="TableContents"/>
              <w:spacing w:before="0" w:after="0"/>
              <w:ind w:left="0" w:right="0" w:hanging="0"/>
              <w:rPr/>
            </w:pPr>
            <w:r>
              <w:rPr/>
              <w:t> </w:t>
            </w:r>
          </w:p>
        </w:tc>
        <w:tc>
          <w:tcPr>
            <w:tcW w:w="11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93" w:type="dxa"/>
            <w:tcBorders/>
            <w:shd w:fill="auto" w:val="clear"/>
            <w:vAlign w:val="bottom"/>
          </w:tcPr>
          <w:p>
            <w:pPr>
              <w:pStyle w:val="TableContents"/>
              <w:spacing w:before="0" w:after="0"/>
              <w:ind w:left="0" w:right="0" w:hanging="0"/>
              <w:rPr/>
            </w:pPr>
            <w:r>
              <w:rPr/>
              <w:t> </w:t>
            </w:r>
          </w:p>
        </w:tc>
      </w:tr>
      <w:tr>
        <w:trPr/>
        <w:tc>
          <w:tcPr>
            <w:tcW w:w="21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Baa2 </w:t>
            </w:r>
          </w:p>
        </w:tc>
        <w:tc>
          <w:tcPr>
            <w:tcW w:w="211"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71,666</w:t>
            </w:r>
          </w:p>
        </w:tc>
        <w:tc>
          <w:tcPr>
            <w:tcW w:w="211" w:type="dxa"/>
            <w:tcBorders/>
            <w:shd w:fill="CCEEFF" w:val="clear"/>
            <w:vAlign w:val="bottom"/>
          </w:tcPr>
          <w:p>
            <w:pPr>
              <w:pStyle w:val="TableContents"/>
              <w:spacing w:before="0" w:after="0"/>
              <w:ind w:left="0" w:right="0" w:hanging="0"/>
              <w:rPr/>
            </w:pPr>
            <w:r>
              <w:rPr/>
              <w:t> </w:t>
            </w:r>
          </w:p>
        </w:tc>
        <w:tc>
          <w:tcPr>
            <w:tcW w:w="11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99"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30,782</w:t>
            </w:r>
          </w:p>
        </w:tc>
        <w:tc>
          <w:tcPr>
            <w:tcW w:w="211" w:type="dxa"/>
            <w:tcBorders/>
            <w:shd w:fill="CCEEFF" w:val="clear"/>
            <w:vAlign w:val="bottom"/>
          </w:tcPr>
          <w:p>
            <w:pPr>
              <w:pStyle w:val="TableContents"/>
              <w:spacing w:before="0" w:after="0"/>
              <w:ind w:left="0" w:right="0" w:hanging="0"/>
              <w:rPr/>
            </w:pPr>
            <w:r>
              <w:rPr/>
              <w:t> </w:t>
            </w:r>
          </w:p>
        </w:tc>
        <w:tc>
          <w:tcPr>
            <w:tcW w:w="11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93" w:type="dxa"/>
            <w:tcBorders/>
            <w:shd w:fill="CCEEFF" w:val="clear"/>
            <w:vAlign w:val="bottom"/>
          </w:tcPr>
          <w:p>
            <w:pPr>
              <w:pStyle w:val="TableContents"/>
              <w:spacing w:before="0" w:after="0"/>
              <w:ind w:left="0" w:right="0" w:hanging="0"/>
              <w:rPr/>
            </w:pPr>
            <w:r>
              <w:rPr/>
              <w:t> </w:t>
            </w:r>
          </w:p>
        </w:tc>
      </w:tr>
      <w:tr>
        <w:trPr/>
        <w:tc>
          <w:tcPr>
            <w:tcW w:w="21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Baa3 </w:t>
            </w:r>
          </w:p>
        </w:tc>
        <w:tc>
          <w:tcPr>
            <w:tcW w:w="211"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11,988</w:t>
            </w:r>
          </w:p>
        </w:tc>
        <w:tc>
          <w:tcPr>
            <w:tcW w:w="211" w:type="dxa"/>
            <w:tcBorders/>
            <w:shd w:fill="auto" w:val="clear"/>
            <w:vAlign w:val="bottom"/>
          </w:tcPr>
          <w:p>
            <w:pPr>
              <w:pStyle w:val="TableContents"/>
              <w:spacing w:before="0" w:after="0"/>
              <w:ind w:left="0" w:right="0" w:hanging="0"/>
              <w:rPr/>
            </w:pPr>
            <w:r>
              <w:rPr/>
              <w:t> </w:t>
            </w:r>
          </w:p>
        </w:tc>
        <w:tc>
          <w:tcPr>
            <w:tcW w:w="11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99"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7,062</w:t>
            </w:r>
          </w:p>
        </w:tc>
        <w:tc>
          <w:tcPr>
            <w:tcW w:w="211" w:type="dxa"/>
            <w:tcBorders/>
            <w:shd w:fill="auto" w:val="clear"/>
            <w:vAlign w:val="bottom"/>
          </w:tcPr>
          <w:p>
            <w:pPr>
              <w:pStyle w:val="TableContents"/>
              <w:spacing w:before="0" w:after="0"/>
              <w:ind w:left="0" w:right="0" w:hanging="0"/>
              <w:rPr/>
            </w:pPr>
            <w:r>
              <w:rPr/>
              <w:t> </w:t>
            </w:r>
          </w:p>
        </w:tc>
        <w:tc>
          <w:tcPr>
            <w:tcW w:w="11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93" w:type="dxa"/>
            <w:tcBorders/>
            <w:shd w:fill="auto" w:val="clear"/>
            <w:vAlign w:val="bottom"/>
          </w:tcPr>
          <w:p>
            <w:pPr>
              <w:pStyle w:val="TableContents"/>
              <w:spacing w:before="0" w:after="0"/>
              <w:ind w:left="0" w:right="0" w:hanging="0"/>
              <w:rPr/>
            </w:pPr>
            <w:r>
              <w:rPr/>
              <w:t> </w:t>
            </w:r>
          </w:p>
        </w:tc>
      </w:tr>
      <w:tr>
        <w:trPr/>
        <w:tc>
          <w:tcPr>
            <w:tcW w:w="21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Below Baa3</w:t>
            </w:r>
          </w:p>
        </w:tc>
        <w:tc>
          <w:tcPr>
            <w:tcW w:w="211" w:type="dxa"/>
            <w:tcBorders/>
            <w:shd w:fill="CCEEFF" w:val="clear"/>
            <w:vAlign w:val="bottom"/>
          </w:tcPr>
          <w:p>
            <w:pPr>
              <w:pStyle w:val="TableContents"/>
              <w:spacing w:before="0" w:after="0"/>
              <w:ind w:left="0" w:right="0" w:hanging="0"/>
              <w:rPr/>
            </w:pPr>
            <w:r>
              <w:rPr/>
              <w:t> </w:t>
            </w:r>
          </w:p>
        </w:tc>
        <w:tc>
          <w:tcPr>
            <w:tcW w:w="12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116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99" w:type="dxa"/>
            <w:tcBorders/>
            <w:shd w:fill="CCEEFF" w:val="clear"/>
            <w:vAlign w:val="bottom"/>
          </w:tcPr>
          <w:p>
            <w:pPr>
              <w:pStyle w:val="TableContents"/>
              <w:spacing w:before="0" w:after="0"/>
              <w:ind w:left="0" w:right="0" w:hanging="0"/>
              <w:rPr/>
            </w:pPr>
            <w:r>
              <w:rPr/>
              <w:t> </w:t>
            </w:r>
          </w:p>
        </w:tc>
        <w:tc>
          <w:tcPr>
            <w:tcW w:w="12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116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r>
      <w:tr>
        <w:trPr/>
        <w:tc>
          <w:tcPr>
            <w:tcW w:w="2123" w:type="dxa"/>
            <w:tcBorders/>
            <w:shd w:fill="auto" w:val="clear"/>
          </w:tcPr>
          <w:p>
            <w:pPr>
              <w:pStyle w:val="TableContents"/>
              <w:spacing w:before="0" w:after="0"/>
              <w:ind w:left="0" w:right="0" w:hanging="0"/>
              <w:rPr/>
            </w:pPr>
            <w:r>
              <w:rPr>
                <w:rFonts w:ascii="Times New Roman" w:hAnsi="Times New Roman"/>
                <w:b/>
                <w:sz w:val="17"/>
              </w:rPr>
              <w:t>Total Investments</w:t>
            </w:r>
            <w:r>
              <w:rPr/>
              <w:t xml:space="preserve"> </w:t>
            </w:r>
          </w:p>
        </w:tc>
        <w:tc>
          <w:tcPr>
            <w:tcW w:w="211"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897,151</w:t>
            </w:r>
          </w:p>
        </w:tc>
        <w:tc>
          <w:tcPr>
            <w:tcW w:w="211" w:type="dxa"/>
            <w:tcBorders/>
            <w:shd w:fill="auto" w:val="clear"/>
            <w:vAlign w:val="bottom"/>
          </w:tcPr>
          <w:p>
            <w:pPr>
              <w:pStyle w:val="TableContents"/>
              <w:spacing w:before="0" w:after="0"/>
              <w:ind w:left="0" w:right="0" w:hanging="0"/>
              <w:rPr/>
            </w:pPr>
            <w:r>
              <w:rPr/>
              <w:t> </w:t>
            </w:r>
          </w:p>
        </w:tc>
        <w:tc>
          <w:tcPr>
            <w:tcW w:w="11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100.0</w:t>
            </w:r>
          </w:p>
        </w:tc>
        <w:tc>
          <w:tcPr>
            <w:tcW w:w="29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332,555</w:t>
            </w:r>
          </w:p>
        </w:tc>
        <w:tc>
          <w:tcPr>
            <w:tcW w:w="211" w:type="dxa"/>
            <w:tcBorders/>
            <w:shd w:fill="auto" w:val="clear"/>
            <w:vAlign w:val="bottom"/>
          </w:tcPr>
          <w:p>
            <w:pPr>
              <w:pStyle w:val="TableContents"/>
              <w:spacing w:before="0" w:after="0"/>
              <w:ind w:left="0" w:right="0" w:hanging="0"/>
              <w:rPr/>
            </w:pPr>
            <w:r>
              <w:rPr/>
              <w:t> </w:t>
            </w:r>
          </w:p>
        </w:tc>
        <w:tc>
          <w:tcPr>
            <w:tcW w:w="11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100.0</w:t>
            </w:r>
          </w:p>
        </w:tc>
        <w:tc>
          <w:tcPr>
            <w:tcW w:w="19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Based on ratings issued by Moodys, if available. S&amp;P rating utilized if Moodys not available.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Investment Portfolio by Effective Duration</w:t>
      </w:r>
    </w:p>
    <w:p>
      <w:pPr>
        <w:pStyle w:val="TextBody"/>
        <w:spacing w:before="0" w:after="0"/>
        <w:ind w:left="0" w:right="0" w:hanging="0"/>
        <w:jc w:val="center"/>
        <w:rPr/>
      </w:pPr>
      <w:r>
        <w:rPr/>
        <w:t> </w:t>
      </w:r>
    </w:p>
    <w:tbl>
      <w:tblPr>
        <w:tblW w:w="3650" w:type="pct"/>
        <w:jc w:val="left"/>
        <w:tblInd w:w="0" w:type="dxa"/>
        <w:tblCellMar>
          <w:top w:w="0" w:type="dxa"/>
          <w:left w:w="0" w:type="dxa"/>
          <w:bottom w:w="0" w:type="dxa"/>
          <w:right w:w="0" w:type="dxa"/>
        </w:tblCellMar>
      </w:tblPr>
      <w:tblGrid>
        <w:gridCol w:w="1947"/>
        <w:gridCol w:w="181"/>
        <w:gridCol w:w="128"/>
        <w:gridCol w:w="1093"/>
        <w:gridCol w:w="181"/>
        <w:gridCol w:w="1024"/>
        <w:gridCol w:w="321"/>
        <w:gridCol w:w="174"/>
        <w:gridCol w:w="1003"/>
        <w:gridCol w:w="181"/>
        <w:gridCol w:w="1024"/>
        <w:gridCol w:w="192"/>
      </w:tblGrid>
      <w:tr>
        <w:trPr/>
        <w:tc>
          <w:tcPr>
            <w:tcW w:w="1947"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Effective Duration</w:t>
            </w:r>
          </w:p>
        </w:tc>
        <w:tc>
          <w:tcPr>
            <w:tcW w:w="181" w:type="dxa"/>
            <w:tcBorders/>
            <w:shd w:fill="auto" w:val="clear"/>
            <w:vAlign w:val="bottom"/>
          </w:tcPr>
          <w:p>
            <w:pPr>
              <w:pStyle w:val="TableContents"/>
              <w:spacing w:before="0" w:after="0"/>
              <w:ind w:left="0" w:right="0" w:hanging="0"/>
              <w:jc w:val="center"/>
              <w:rPr/>
            </w:pPr>
            <w:r>
              <w:rPr/>
              <w:t> </w:t>
            </w:r>
          </w:p>
        </w:tc>
        <w:tc>
          <w:tcPr>
            <w:tcW w:w="242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2014</w:t>
            </w:r>
          </w:p>
        </w:tc>
        <w:tc>
          <w:tcPr>
            <w:tcW w:w="321" w:type="dxa"/>
            <w:tcBorders/>
            <w:shd w:fill="auto" w:val="clear"/>
            <w:vAlign w:val="bottom"/>
          </w:tcPr>
          <w:p>
            <w:pPr>
              <w:pStyle w:val="TableContents"/>
              <w:spacing w:before="0" w:after="0"/>
              <w:ind w:left="0" w:right="0" w:hanging="0"/>
              <w:jc w:val="center"/>
              <w:rPr/>
            </w:pPr>
            <w:r>
              <w:rPr/>
              <w:t> </w:t>
            </w:r>
          </w:p>
        </w:tc>
        <w:tc>
          <w:tcPr>
            <w:tcW w:w="238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92" w:type="dxa"/>
            <w:tcBorders/>
            <w:shd w:fill="auto" w:val="clear"/>
            <w:vAlign w:val="bottom"/>
          </w:tcPr>
          <w:p>
            <w:pPr>
              <w:pStyle w:val="TableContents"/>
              <w:spacing w:before="0" w:after="0"/>
              <w:ind w:left="0" w:right="0" w:hanging="0"/>
              <w:jc w:val="center"/>
              <w:rPr/>
            </w:pPr>
            <w:r>
              <w:rPr/>
              <w:t> </w:t>
            </w:r>
          </w:p>
        </w:tc>
      </w:tr>
      <w:tr>
        <w:trPr/>
        <w:tc>
          <w:tcPr>
            <w:tcW w:w="194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181" w:type="dxa"/>
            <w:tcBorders/>
            <w:shd w:fill="auto" w:val="clear"/>
            <w:vAlign w:val="bottom"/>
          </w:tcPr>
          <w:p>
            <w:pPr>
              <w:pStyle w:val="TableContents"/>
              <w:spacing w:before="0" w:after="0"/>
              <w:ind w:left="0" w:right="0" w:hanging="0"/>
              <w:jc w:val="center"/>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w:t>
            </w:r>
          </w:p>
        </w:tc>
        <w:tc>
          <w:tcPr>
            <w:tcW w:w="321" w:type="dxa"/>
            <w:tcBorders/>
            <w:shd w:fill="auto" w:val="clear"/>
            <w:vAlign w:val="bottom"/>
          </w:tcPr>
          <w:p>
            <w:pPr>
              <w:pStyle w:val="TableContents"/>
              <w:spacing w:before="0" w:after="0"/>
              <w:ind w:left="0" w:right="0" w:hanging="0"/>
              <w:jc w:val="center"/>
              <w:rPr/>
            </w:pPr>
            <w:r>
              <w:rPr/>
              <w:t> </w:t>
            </w:r>
          </w:p>
        </w:tc>
        <w:tc>
          <w:tcPr>
            <w:tcW w:w="11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w:t>
            </w:r>
          </w:p>
        </w:tc>
        <w:tc>
          <w:tcPr>
            <w:tcW w:w="192" w:type="dxa"/>
            <w:tcBorders/>
            <w:shd w:fill="auto" w:val="clear"/>
            <w:vAlign w:val="bottom"/>
          </w:tcPr>
          <w:p>
            <w:pPr>
              <w:pStyle w:val="TableContents"/>
              <w:spacing w:before="0" w:after="0"/>
              <w:ind w:left="0" w:right="0" w:hanging="0"/>
              <w:jc w:val="center"/>
              <w:rPr/>
            </w:pPr>
            <w:r>
              <w:rPr/>
              <w:t> </w:t>
            </w:r>
          </w:p>
        </w:tc>
      </w:tr>
      <w:tr>
        <w:trPr/>
        <w:tc>
          <w:tcPr>
            <w:tcW w:w="19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&lt; 1 Year </w:t>
            </w:r>
          </w:p>
        </w:tc>
        <w:tc>
          <w:tcPr>
            <w:tcW w:w="181"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230,179</w:t>
            </w:r>
          </w:p>
        </w:tc>
        <w:tc>
          <w:tcPr>
            <w:tcW w:w="181" w:type="dxa"/>
            <w:tcBorders/>
            <w:shd w:fill="CCEEFF" w:val="clear"/>
            <w:vAlign w:val="bottom"/>
          </w:tcPr>
          <w:p>
            <w:pPr>
              <w:pStyle w:val="TableContents"/>
              <w:spacing w:before="0" w:after="0"/>
              <w:ind w:left="0" w:right="0" w:hanging="0"/>
              <w:rPr/>
            </w:pPr>
            <w:r>
              <w:rPr/>
              <w:t> </w:t>
            </w:r>
          </w:p>
        </w:tc>
        <w:tc>
          <w:tcPr>
            <w:tcW w:w="10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321" w:type="dxa"/>
            <w:tcBorders/>
            <w:shd w:fill="CCEEFF" w:val="clear"/>
            <w:vAlign w:val="bottom"/>
          </w:tcPr>
          <w:p>
            <w:pPr>
              <w:pStyle w:val="TableContents"/>
              <w:spacing w:before="0" w:after="0"/>
              <w:ind w:left="0" w:right="0" w:hanging="0"/>
              <w:rPr/>
            </w:pPr>
            <w:r>
              <w:rPr/>
              <w:t> </w:t>
            </w:r>
          </w:p>
        </w:tc>
        <w:tc>
          <w:tcPr>
            <w:tcW w:w="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65,092</w:t>
            </w:r>
          </w:p>
        </w:tc>
        <w:tc>
          <w:tcPr>
            <w:tcW w:w="181" w:type="dxa"/>
            <w:tcBorders/>
            <w:shd w:fill="CCEEFF" w:val="clear"/>
            <w:vAlign w:val="bottom"/>
          </w:tcPr>
          <w:p>
            <w:pPr>
              <w:pStyle w:val="TableContents"/>
              <w:spacing w:before="0" w:after="0"/>
              <w:ind w:left="0" w:right="0" w:hanging="0"/>
              <w:rPr/>
            </w:pPr>
            <w:r>
              <w:rPr/>
              <w:t> </w:t>
            </w:r>
          </w:p>
        </w:tc>
        <w:tc>
          <w:tcPr>
            <w:tcW w:w="10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9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1 to &lt; 2 Years </w:t>
            </w:r>
          </w:p>
        </w:tc>
        <w:tc>
          <w:tcPr>
            <w:tcW w:w="181" w:type="dxa"/>
            <w:tcBorders/>
            <w:shd w:fill="auto" w:val="clear"/>
            <w:vAlign w:val="bottom"/>
          </w:tcPr>
          <w:p>
            <w:pPr>
              <w:pStyle w:val="TableContents"/>
              <w:spacing w:before="0" w:after="0"/>
              <w:ind w:left="0" w:right="0" w:hanging="0"/>
              <w:rPr/>
            </w:pPr>
            <w:r>
              <w:rPr/>
              <w:t> </w:t>
            </w:r>
          </w:p>
        </w:tc>
        <w:tc>
          <w:tcPr>
            <w:tcW w:w="12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70,118</w:t>
            </w:r>
          </w:p>
        </w:tc>
        <w:tc>
          <w:tcPr>
            <w:tcW w:w="181" w:type="dxa"/>
            <w:tcBorders/>
            <w:shd w:fill="auto" w:val="clear"/>
            <w:vAlign w:val="bottom"/>
          </w:tcPr>
          <w:p>
            <w:pPr>
              <w:pStyle w:val="TableContents"/>
              <w:spacing w:before="0" w:after="0"/>
              <w:ind w:left="0" w:right="0" w:hanging="0"/>
              <w:rPr/>
            </w:pPr>
            <w:r>
              <w:rPr/>
              <w:t> </w:t>
            </w:r>
          </w:p>
        </w:tc>
        <w:tc>
          <w:tcPr>
            <w:tcW w:w="10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321" w:type="dxa"/>
            <w:tcBorders/>
            <w:shd w:fill="auto" w:val="clear"/>
            <w:vAlign w:val="bottom"/>
          </w:tcPr>
          <w:p>
            <w:pPr>
              <w:pStyle w:val="TableContents"/>
              <w:spacing w:before="0" w:after="0"/>
              <w:ind w:left="0" w:right="0" w:hanging="0"/>
              <w:rPr/>
            </w:pPr>
            <w:r>
              <w:rPr/>
              <w:t> </w:t>
            </w:r>
          </w:p>
        </w:tc>
        <w:tc>
          <w:tcPr>
            <w:tcW w:w="11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19,093</w:t>
            </w:r>
          </w:p>
        </w:tc>
        <w:tc>
          <w:tcPr>
            <w:tcW w:w="181" w:type="dxa"/>
            <w:tcBorders/>
            <w:shd w:fill="auto" w:val="clear"/>
            <w:vAlign w:val="bottom"/>
          </w:tcPr>
          <w:p>
            <w:pPr>
              <w:pStyle w:val="TableContents"/>
              <w:spacing w:before="0" w:after="0"/>
              <w:ind w:left="0" w:right="0" w:hanging="0"/>
              <w:rPr/>
            </w:pPr>
            <w:r>
              <w:rPr/>
              <w:t> </w:t>
            </w:r>
          </w:p>
        </w:tc>
        <w:tc>
          <w:tcPr>
            <w:tcW w:w="10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92" w:type="dxa"/>
            <w:tcBorders/>
            <w:shd w:fill="auto" w:val="clear"/>
            <w:vAlign w:val="bottom"/>
          </w:tcPr>
          <w:p>
            <w:pPr>
              <w:pStyle w:val="TableContents"/>
              <w:spacing w:before="0" w:after="0"/>
              <w:ind w:left="0" w:right="0" w:hanging="0"/>
              <w:rPr/>
            </w:pPr>
            <w:r>
              <w:rPr/>
              <w:t> </w:t>
            </w:r>
          </w:p>
        </w:tc>
      </w:tr>
      <w:tr>
        <w:trPr/>
        <w:tc>
          <w:tcPr>
            <w:tcW w:w="19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2 to &lt; 3 Years </w:t>
            </w:r>
          </w:p>
        </w:tc>
        <w:tc>
          <w:tcPr>
            <w:tcW w:w="181" w:type="dxa"/>
            <w:tcBorders/>
            <w:shd w:fill="CCEEFF" w:val="clear"/>
            <w:vAlign w:val="bottom"/>
          </w:tcPr>
          <w:p>
            <w:pPr>
              <w:pStyle w:val="TableContents"/>
              <w:spacing w:before="0" w:after="0"/>
              <w:ind w:left="0" w:right="0" w:hanging="0"/>
              <w:rPr/>
            </w:pPr>
            <w:r>
              <w:rPr/>
              <w:t> </w:t>
            </w:r>
          </w:p>
        </w:tc>
        <w:tc>
          <w:tcPr>
            <w:tcW w:w="12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132,382</w:t>
            </w:r>
          </w:p>
        </w:tc>
        <w:tc>
          <w:tcPr>
            <w:tcW w:w="181" w:type="dxa"/>
            <w:tcBorders/>
            <w:shd w:fill="CCEEFF" w:val="clear"/>
            <w:vAlign w:val="bottom"/>
          </w:tcPr>
          <w:p>
            <w:pPr>
              <w:pStyle w:val="TableContents"/>
              <w:spacing w:before="0" w:after="0"/>
              <w:ind w:left="0" w:right="0" w:hanging="0"/>
              <w:rPr/>
            </w:pPr>
            <w:r>
              <w:rPr/>
              <w:t> </w:t>
            </w:r>
          </w:p>
        </w:tc>
        <w:tc>
          <w:tcPr>
            <w:tcW w:w="10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321" w:type="dxa"/>
            <w:tcBorders/>
            <w:shd w:fill="CCEEFF" w:val="clear"/>
            <w:vAlign w:val="bottom"/>
          </w:tcPr>
          <w:p>
            <w:pPr>
              <w:pStyle w:val="TableContents"/>
              <w:spacing w:before="0" w:after="0"/>
              <w:ind w:left="0" w:right="0" w:hanging="0"/>
              <w:rPr/>
            </w:pPr>
            <w:r>
              <w:rPr/>
              <w:t> </w:t>
            </w:r>
          </w:p>
        </w:tc>
        <w:tc>
          <w:tcPr>
            <w:tcW w:w="11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74,335</w:t>
            </w:r>
          </w:p>
        </w:tc>
        <w:tc>
          <w:tcPr>
            <w:tcW w:w="181" w:type="dxa"/>
            <w:tcBorders/>
            <w:shd w:fill="CCEEFF" w:val="clear"/>
            <w:vAlign w:val="bottom"/>
          </w:tcPr>
          <w:p>
            <w:pPr>
              <w:pStyle w:val="TableContents"/>
              <w:spacing w:before="0" w:after="0"/>
              <w:ind w:left="0" w:right="0" w:hanging="0"/>
              <w:rPr/>
            </w:pPr>
            <w:r>
              <w:rPr/>
              <w:t> </w:t>
            </w:r>
          </w:p>
        </w:tc>
        <w:tc>
          <w:tcPr>
            <w:tcW w:w="10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92" w:type="dxa"/>
            <w:tcBorders/>
            <w:shd w:fill="CCEEFF" w:val="clear"/>
            <w:vAlign w:val="bottom"/>
          </w:tcPr>
          <w:p>
            <w:pPr>
              <w:pStyle w:val="TableContents"/>
              <w:spacing w:before="0" w:after="0"/>
              <w:ind w:left="0" w:right="0" w:hanging="0"/>
              <w:rPr/>
            </w:pPr>
            <w:r>
              <w:rPr/>
              <w:t> </w:t>
            </w:r>
          </w:p>
        </w:tc>
      </w:tr>
      <w:tr>
        <w:trPr/>
        <w:tc>
          <w:tcPr>
            <w:tcW w:w="19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3 to &lt; 4 Years </w:t>
            </w:r>
          </w:p>
        </w:tc>
        <w:tc>
          <w:tcPr>
            <w:tcW w:w="181" w:type="dxa"/>
            <w:tcBorders/>
            <w:shd w:fill="auto" w:val="clear"/>
            <w:vAlign w:val="bottom"/>
          </w:tcPr>
          <w:p>
            <w:pPr>
              <w:pStyle w:val="TableContents"/>
              <w:spacing w:before="0" w:after="0"/>
              <w:ind w:left="0" w:right="0" w:hanging="0"/>
              <w:rPr/>
            </w:pPr>
            <w:r>
              <w:rPr/>
              <w:t> </w:t>
            </w:r>
          </w:p>
        </w:tc>
        <w:tc>
          <w:tcPr>
            <w:tcW w:w="12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125,722</w:t>
            </w:r>
          </w:p>
        </w:tc>
        <w:tc>
          <w:tcPr>
            <w:tcW w:w="181" w:type="dxa"/>
            <w:tcBorders/>
            <w:shd w:fill="auto" w:val="clear"/>
            <w:vAlign w:val="bottom"/>
          </w:tcPr>
          <w:p>
            <w:pPr>
              <w:pStyle w:val="TableContents"/>
              <w:spacing w:before="0" w:after="0"/>
              <w:ind w:left="0" w:right="0" w:hanging="0"/>
              <w:rPr/>
            </w:pPr>
            <w:r>
              <w:rPr/>
              <w:t> </w:t>
            </w:r>
          </w:p>
        </w:tc>
        <w:tc>
          <w:tcPr>
            <w:tcW w:w="10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321" w:type="dxa"/>
            <w:tcBorders/>
            <w:shd w:fill="auto" w:val="clear"/>
            <w:vAlign w:val="bottom"/>
          </w:tcPr>
          <w:p>
            <w:pPr>
              <w:pStyle w:val="TableContents"/>
              <w:spacing w:before="0" w:after="0"/>
              <w:ind w:left="0" w:right="0" w:hanging="0"/>
              <w:rPr/>
            </w:pPr>
            <w:r>
              <w:rPr/>
              <w:t> </w:t>
            </w:r>
          </w:p>
        </w:tc>
        <w:tc>
          <w:tcPr>
            <w:tcW w:w="11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63,214</w:t>
            </w:r>
          </w:p>
        </w:tc>
        <w:tc>
          <w:tcPr>
            <w:tcW w:w="181" w:type="dxa"/>
            <w:tcBorders/>
            <w:shd w:fill="auto" w:val="clear"/>
            <w:vAlign w:val="bottom"/>
          </w:tcPr>
          <w:p>
            <w:pPr>
              <w:pStyle w:val="TableContents"/>
              <w:spacing w:before="0" w:after="0"/>
              <w:ind w:left="0" w:right="0" w:hanging="0"/>
              <w:rPr/>
            </w:pPr>
            <w:r>
              <w:rPr/>
              <w:t> </w:t>
            </w:r>
          </w:p>
        </w:tc>
        <w:tc>
          <w:tcPr>
            <w:tcW w:w="10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92" w:type="dxa"/>
            <w:tcBorders/>
            <w:shd w:fill="auto" w:val="clear"/>
            <w:vAlign w:val="bottom"/>
          </w:tcPr>
          <w:p>
            <w:pPr>
              <w:pStyle w:val="TableContents"/>
              <w:spacing w:before="0" w:after="0"/>
              <w:ind w:left="0" w:right="0" w:hanging="0"/>
              <w:rPr/>
            </w:pPr>
            <w:r>
              <w:rPr/>
              <w:t> </w:t>
            </w:r>
          </w:p>
        </w:tc>
      </w:tr>
      <w:tr>
        <w:trPr/>
        <w:tc>
          <w:tcPr>
            <w:tcW w:w="19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4 to &lt; 5 Years </w:t>
            </w:r>
          </w:p>
        </w:tc>
        <w:tc>
          <w:tcPr>
            <w:tcW w:w="181" w:type="dxa"/>
            <w:tcBorders/>
            <w:shd w:fill="CCEEFF" w:val="clear"/>
            <w:vAlign w:val="bottom"/>
          </w:tcPr>
          <w:p>
            <w:pPr>
              <w:pStyle w:val="TableContents"/>
              <w:spacing w:before="0" w:after="0"/>
              <w:ind w:left="0" w:right="0" w:hanging="0"/>
              <w:rPr/>
            </w:pPr>
            <w:r>
              <w:rPr/>
              <w:t> </w:t>
            </w:r>
          </w:p>
        </w:tc>
        <w:tc>
          <w:tcPr>
            <w:tcW w:w="12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67,250</w:t>
            </w:r>
          </w:p>
        </w:tc>
        <w:tc>
          <w:tcPr>
            <w:tcW w:w="181" w:type="dxa"/>
            <w:tcBorders/>
            <w:shd w:fill="CCEEFF" w:val="clear"/>
            <w:vAlign w:val="bottom"/>
          </w:tcPr>
          <w:p>
            <w:pPr>
              <w:pStyle w:val="TableContents"/>
              <w:spacing w:before="0" w:after="0"/>
              <w:ind w:left="0" w:right="0" w:hanging="0"/>
              <w:rPr/>
            </w:pPr>
            <w:r>
              <w:rPr/>
              <w:t> </w:t>
            </w:r>
          </w:p>
        </w:tc>
        <w:tc>
          <w:tcPr>
            <w:tcW w:w="10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321" w:type="dxa"/>
            <w:tcBorders/>
            <w:shd w:fill="CCEEFF" w:val="clear"/>
            <w:vAlign w:val="bottom"/>
          </w:tcPr>
          <w:p>
            <w:pPr>
              <w:pStyle w:val="TableContents"/>
              <w:spacing w:before="0" w:after="0"/>
              <w:ind w:left="0" w:right="0" w:hanging="0"/>
              <w:rPr/>
            </w:pPr>
            <w:r>
              <w:rPr/>
              <w:t> </w:t>
            </w:r>
          </w:p>
        </w:tc>
        <w:tc>
          <w:tcPr>
            <w:tcW w:w="11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66,230</w:t>
            </w:r>
          </w:p>
        </w:tc>
        <w:tc>
          <w:tcPr>
            <w:tcW w:w="181" w:type="dxa"/>
            <w:tcBorders/>
            <w:shd w:fill="CCEEFF" w:val="clear"/>
            <w:vAlign w:val="bottom"/>
          </w:tcPr>
          <w:p>
            <w:pPr>
              <w:pStyle w:val="TableContents"/>
              <w:spacing w:before="0" w:after="0"/>
              <w:ind w:left="0" w:right="0" w:hanging="0"/>
              <w:rPr/>
            </w:pPr>
            <w:r>
              <w:rPr/>
              <w:t> </w:t>
            </w:r>
          </w:p>
        </w:tc>
        <w:tc>
          <w:tcPr>
            <w:tcW w:w="10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192" w:type="dxa"/>
            <w:tcBorders/>
            <w:shd w:fill="CCEEFF" w:val="clear"/>
            <w:vAlign w:val="bottom"/>
          </w:tcPr>
          <w:p>
            <w:pPr>
              <w:pStyle w:val="TableContents"/>
              <w:spacing w:before="0" w:after="0"/>
              <w:ind w:left="0" w:right="0" w:hanging="0"/>
              <w:rPr/>
            </w:pPr>
            <w:r>
              <w:rPr/>
              <w:t> </w:t>
            </w:r>
          </w:p>
        </w:tc>
      </w:tr>
      <w:tr>
        <w:trPr/>
        <w:tc>
          <w:tcPr>
            <w:tcW w:w="19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5 or more Years </w:t>
            </w:r>
          </w:p>
        </w:tc>
        <w:tc>
          <w:tcPr>
            <w:tcW w:w="181" w:type="dxa"/>
            <w:tcBorders/>
            <w:shd w:fill="auto" w:val="clear"/>
            <w:vAlign w:val="bottom"/>
          </w:tcPr>
          <w:p>
            <w:pPr>
              <w:pStyle w:val="TableContents"/>
              <w:spacing w:before="0" w:after="0"/>
              <w:ind w:left="0" w:right="0" w:hanging="0"/>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271,500</w:t>
            </w:r>
          </w:p>
        </w:tc>
        <w:tc>
          <w:tcPr>
            <w:tcW w:w="181" w:type="dxa"/>
            <w:tcBorders/>
            <w:shd w:fill="auto" w:val="clear"/>
            <w:vAlign w:val="bottom"/>
          </w:tcPr>
          <w:p>
            <w:pPr>
              <w:pStyle w:val="TableContents"/>
              <w:spacing w:before="0" w:after="0"/>
              <w:ind w:left="0" w:right="0" w:hanging="0"/>
              <w:rPr/>
            </w:pPr>
            <w:r>
              <w:rPr/>
              <w:t> </w:t>
            </w:r>
          </w:p>
        </w:tc>
        <w:tc>
          <w:tcPr>
            <w:tcW w:w="102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w:t>
            </w:r>
          </w:p>
        </w:tc>
        <w:tc>
          <w:tcPr>
            <w:tcW w:w="321" w:type="dxa"/>
            <w:tcBorders/>
            <w:shd w:fill="auto" w:val="clear"/>
            <w:vAlign w:val="bottom"/>
          </w:tcPr>
          <w:p>
            <w:pPr>
              <w:pStyle w:val="TableContents"/>
              <w:spacing w:before="0" w:after="0"/>
              <w:ind w:left="0" w:right="0" w:hanging="0"/>
              <w:rPr/>
            </w:pPr>
            <w:r>
              <w:rPr/>
              <w:t> </w:t>
            </w:r>
          </w:p>
        </w:tc>
        <w:tc>
          <w:tcPr>
            <w:tcW w:w="11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44,591</w:t>
            </w:r>
          </w:p>
        </w:tc>
        <w:tc>
          <w:tcPr>
            <w:tcW w:w="181" w:type="dxa"/>
            <w:tcBorders/>
            <w:shd w:fill="auto" w:val="clear"/>
            <w:vAlign w:val="bottom"/>
          </w:tcPr>
          <w:p>
            <w:pPr>
              <w:pStyle w:val="TableContents"/>
              <w:spacing w:before="0" w:after="0"/>
              <w:ind w:left="0" w:right="0" w:hanging="0"/>
              <w:rPr/>
            </w:pPr>
            <w:r>
              <w:rPr/>
              <w:t> </w:t>
            </w:r>
          </w:p>
        </w:tc>
        <w:tc>
          <w:tcPr>
            <w:tcW w:w="102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92" w:type="dxa"/>
            <w:tcBorders/>
            <w:shd w:fill="auto" w:val="clear"/>
            <w:vAlign w:val="bottom"/>
          </w:tcPr>
          <w:p>
            <w:pPr>
              <w:pStyle w:val="TableContents"/>
              <w:spacing w:before="0" w:after="0"/>
              <w:ind w:left="0" w:right="0" w:hanging="0"/>
              <w:rPr/>
            </w:pPr>
            <w:r>
              <w:rPr/>
              <w:t> </w:t>
            </w:r>
          </w:p>
        </w:tc>
      </w:tr>
      <w:tr>
        <w:trPr/>
        <w:tc>
          <w:tcPr>
            <w:tcW w:w="1947" w:type="dxa"/>
            <w:tcBorders/>
            <w:shd w:fill="CCEEFF" w:val="clear"/>
          </w:tcPr>
          <w:p>
            <w:pPr>
              <w:pStyle w:val="TableContents"/>
              <w:spacing w:before="0" w:after="0"/>
              <w:ind w:left="0" w:right="0" w:hanging="0"/>
              <w:rPr/>
            </w:pPr>
            <w:r>
              <w:rPr>
                <w:rFonts w:ascii="Times New Roman" w:hAnsi="Times New Roman"/>
                <w:b/>
                <w:sz w:val="17"/>
              </w:rPr>
              <w:t>Total Investments</w:t>
            </w:r>
            <w:r>
              <w:rPr/>
              <w:t xml:space="preserve"> </w:t>
            </w:r>
          </w:p>
        </w:tc>
        <w:tc>
          <w:tcPr>
            <w:tcW w:w="181" w:type="dxa"/>
            <w:tcBorders/>
            <w:shd w:fill="CCEEFF" w:val="clear"/>
            <w:vAlign w:val="bottom"/>
          </w:tcPr>
          <w:p>
            <w:pPr>
              <w:pStyle w:val="TableContents"/>
              <w:spacing w:before="0" w:after="0"/>
              <w:ind w:left="0" w:right="0" w:hanging="0"/>
              <w:rPr/>
            </w:pPr>
            <w:r>
              <w:rPr/>
              <w:t> </w:t>
            </w:r>
          </w:p>
        </w:tc>
        <w:tc>
          <w:tcPr>
            <w:tcW w:w="1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897,151</w:t>
            </w:r>
          </w:p>
        </w:tc>
        <w:tc>
          <w:tcPr>
            <w:tcW w:w="181" w:type="dxa"/>
            <w:tcBorders/>
            <w:shd w:fill="CCEEFF" w:val="clear"/>
            <w:vAlign w:val="bottom"/>
          </w:tcPr>
          <w:p>
            <w:pPr>
              <w:pStyle w:val="TableContents"/>
              <w:spacing w:before="0" w:after="0"/>
              <w:ind w:left="0" w:right="0" w:hanging="0"/>
              <w:rPr/>
            </w:pPr>
            <w:r>
              <w:rPr/>
              <w:t> </w:t>
            </w:r>
          </w:p>
        </w:tc>
        <w:tc>
          <w:tcPr>
            <w:tcW w:w="102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100.0</w:t>
            </w:r>
          </w:p>
        </w:tc>
        <w:tc>
          <w:tcPr>
            <w:tcW w:w="32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0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332,555</w:t>
            </w:r>
          </w:p>
        </w:tc>
        <w:tc>
          <w:tcPr>
            <w:tcW w:w="181" w:type="dxa"/>
            <w:tcBorders/>
            <w:shd w:fill="CCEEFF" w:val="clear"/>
            <w:vAlign w:val="bottom"/>
          </w:tcPr>
          <w:p>
            <w:pPr>
              <w:pStyle w:val="TableContents"/>
              <w:spacing w:before="0" w:after="0"/>
              <w:ind w:left="0" w:right="0" w:hanging="0"/>
              <w:rPr/>
            </w:pPr>
            <w:r>
              <w:rPr/>
              <w:t> </w:t>
            </w:r>
          </w:p>
        </w:tc>
        <w:tc>
          <w:tcPr>
            <w:tcW w:w="102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100.0</w:t>
            </w:r>
          </w:p>
        </w:tc>
        <w:tc>
          <w:tcPr>
            <w:tcW w:w="19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45" w:name="PB_32_141810_2897"/>
      <w:bookmarkEnd w:id="4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Top Ten Portfolio Holdings</w:t>
      </w:r>
    </w:p>
    <w:p>
      <w:pPr>
        <w:pStyle w:val="TextBody"/>
        <w:spacing w:before="0" w:after="0"/>
        <w:ind w:left="0" w:right="0" w:hanging="0"/>
        <w:jc w:val="center"/>
        <w:rPr/>
      </w:pPr>
      <w:r>
        <w:rPr/>
        <w:t> </w:t>
      </w:r>
    </w:p>
    <w:tbl>
      <w:tblPr>
        <w:tblW w:w="4900" w:type="pct"/>
        <w:jc w:val="left"/>
        <w:tblInd w:w="0" w:type="dxa"/>
        <w:tblCellMar>
          <w:top w:w="0" w:type="dxa"/>
          <w:left w:w="0" w:type="dxa"/>
          <w:bottom w:w="0" w:type="dxa"/>
          <w:right w:w="0" w:type="dxa"/>
        </w:tblCellMar>
      </w:tblPr>
      <w:tblGrid>
        <w:gridCol w:w="1918"/>
        <w:gridCol w:w="179"/>
        <w:gridCol w:w="2307"/>
        <w:gridCol w:w="179"/>
        <w:gridCol w:w="138"/>
        <w:gridCol w:w="892"/>
        <w:gridCol w:w="307"/>
        <w:gridCol w:w="137"/>
        <w:gridCol w:w="885"/>
        <w:gridCol w:w="179"/>
        <w:gridCol w:w="173"/>
        <w:gridCol w:w="901"/>
        <w:gridCol w:w="190"/>
        <w:gridCol w:w="997"/>
        <w:gridCol w:w="618"/>
      </w:tblGrid>
      <w:tr>
        <w:trPr/>
        <w:tc>
          <w:tcPr>
            <w:tcW w:w="1918"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jc w:val="center"/>
              <w:rPr/>
            </w:pPr>
            <w:r>
              <w:rPr/>
              <w:t> </w:t>
            </w:r>
          </w:p>
        </w:tc>
        <w:tc>
          <w:tcPr>
            <w:tcW w:w="7285" w:type="dxa"/>
            <w:gridSpan w:val="1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2014</w:t>
            </w:r>
          </w:p>
        </w:tc>
        <w:tc>
          <w:tcPr>
            <w:tcW w:w="618" w:type="dxa"/>
            <w:tcBorders/>
            <w:shd w:fill="auto" w:val="clear"/>
            <w:vAlign w:val="bottom"/>
          </w:tcPr>
          <w:p>
            <w:pPr>
              <w:pStyle w:val="TableContents"/>
              <w:spacing w:before="0" w:after="0"/>
              <w:ind w:left="0" w:right="0" w:hanging="0"/>
              <w:jc w:val="center"/>
              <w:rPr/>
            </w:pPr>
            <w:r>
              <w:rPr/>
              <w:t> </w:t>
            </w:r>
          </w:p>
        </w:tc>
      </w:tr>
      <w:tr>
        <w:trPr/>
        <w:tc>
          <w:tcPr>
            <w:tcW w:w="191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Rank</w:t>
              <w:br/>
              <w:t>($ in thousands)</w:t>
            </w:r>
          </w:p>
        </w:tc>
        <w:tc>
          <w:tcPr>
            <w:tcW w:w="179" w:type="dxa"/>
            <w:tcBorders/>
            <w:shd w:fill="auto" w:val="clear"/>
            <w:vAlign w:val="bottom"/>
          </w:tcPr>
          <w:p>
            <w:pPr>
              <w:pStyle w:val="TableContents"/>
              <w:spacing w:before="0" w:after="0"/>
              <w:ind w:left="0" w:right="0" w:hanging="0"/>
              <w:jc w:val="center"/>
              <w:rPr/>
            </w:pPr>
            <w:r>
              <w:rPr/>
              <w:t> </w:t>
            </w:r>
          </w:p>
        </w:tc>
        <w:tc>
          <w:tcPr>
            <w:tcW w:w="230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Security</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3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3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Amortized</w:t>
              <w:br/>
              <w:t>Cost</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7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Unrealized</w:t>
              <w:br/>
              <w:t>Gain (Loss)(1)</w:t>
            </w:r>
          </w:p>
        </w:tc>
        <w:tc>
          <w:tcPr>
            <w:tcW w:w="19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Credit</w:t>
              <w:br/>
              <w:t>Rating(2)</w:t>
            </w:r>
          </w:p>
        </w:tc>
        <w:tc>
          <w:tcPr>
            <w:tcW w:w="618" w:type="dxa"/>
            <w:tcBorders/>
            <w:shd w:fill="auto" w:val="clear"/>
            <w:vAlign w:val="bottom"/>
          </w:tcPr>
          <w:p>
            <w:pPr>
              <w:pStyle w:val="TableContents"/>
              <w:spacing w:before="0" w:after="0"/>
              <w:ind w:left="0" w:right="0" w:hanging="0"/>
              <w:jc w:val="center"/>
              <w:rPr/>
            </w:pPr>
            <w:r>
              <w:rPr/>
              <w:t> </w:t>
            </w:r>
          </w:p>
        </w:tc>
      </w:tr>
      <w:tr>
        <w:trPr/>
        <w:tc>
          <w:tcPr>
            <w:tcW w:w="191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1 </w:t>
            </w:r>
          </w:p>
        </w:tc>
        <w:tc>
          <w:tcPr>
            <w:tcW w:w="179" w:type="dxa"/>
            <w:tcBorders/>
            <w:shd w:fill="CCEEFF" w:val="clear"/>
            <w:vAlign w:val="bottom"/>
          </w:tcPr>
          <w:p>
            <w:pPr>
              <w:pStyle w:val="TableContents"/>
              <w:spacing w:before="0" w:after="0"/>
              <w:ind w:left="0" w:right="0" w:hanging="0"/>
              <w:rPr/>
            </w:pPr>
            <w:r>
              <w:rPr/>
              <w:t> </w:t>
            </w:r>
          </w:p>
        </w:tc>
        <w:tc>
          <w:tcPr>
            <w:tcW w:w="23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 T-Note 2.375% 8/15/24</w:t>
            </w:r>
          </w:p>
        </w:tc>
        <w:tc>
          <w:tcPr>
            <w:tcW w:w="179"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16,803</w:t>
            </w:r>
          </w:p>
        </w:tc>
        <w:tc>
          <w:tcPr>
            <w:tcW w:w="307"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16,918</w:t>
            </w:r>
          </w:p>
        </w:tc>
        <w:tc>
          <w:tcPr>
            <w:tcW w:w="179" w:type="dxa"/>
            <w:tcBorders/>
            <w:shd w:fill="CCEEFF" w:val="clear"/>
            <w:vAlign w:val="bottom"/>
          </w:tcPr>
          <w:p>
            <w:pPr>
              <w:pStyle w:val="TableContents"/>
              <w:spacing w:before="0" w:after="0"/>
              <w:ind w:left="0" w:right="0" w:hanging="0"/>
              <w:rPr/>
            </w:pPr>
            <w:r>
              <w:rPr/>
              <w:t> </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618" w:type="dxa"/>
            <w:tcBorders/>
            <w:shd w:fill="CCEEFF" w:val="clear"/>
            <w:vAlign w:val="bottom"/>
          </w:tcPr>
          <w:p>
            <w:pPr>
              <w:pStyle w:val="TableContents"/>
              <w:spacing w:before="0" w:after="0"/>
              <w:ind w:left="0" w:right="0" w:hanging="0"/>
              <w:rPr/>
            </w:pPr>
            <w:r>
              <w:rPr/>
              <w:t> </w:t>
            </w:r>
          </w:p>
        </w:tc>
      </w:tr>
      <w:tr>
        <w:trPr/>
        <w:tc>
          <w:tcPr>
            <w:tcW w:w="19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2 </w:t>
            </w:r>
          </w:p>
        </w:tc>
        <w:tc>
          <w:tcPr>
            <w:tcW w:w="179" w:type="dxa"/>
            <w:tcBorders/>
            <w:shd w:fill="auto" w:val="clear"/>
            <w:vAlign w:val="bottom"/>
          </w:tcPr>
          <w:p>
            <w:pPr>
              <w:pStyle w:val="TableContents"/>
              <w:spacing w:before="0" w:after="0"/>
              <w:ind w:left="0" w:right="0" w:hanging="0"/>
              <w:rPr/>
            </w:pPr>
            <w:r>
              <w:rPr/>
              <w:t> </w:t>
            </w:r>
          </w:p>
        </w:tc>
        <w:tc>
          <w:tcPr>
            <w:tcW w:w="23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 T-Note 2.125% 1/31/21</w:t>
            </w:r>
          </w:p>
        </w:tc>
        <w:tc>
          <w:tcPr>
            <w:tcW w:w="179"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8,699</w:t>
            </w:r>
          </w:p>
        </w:tc>
        <w:tc>
          <w:tcPr>
            <w:tcW w:w="307" w:type="dxa"/>
            <w:tcBorders/>
            <w:shd w:fill="auto" w:val="clear"/>
            <w:vAlign w:val="bottom"/>
          </w:tcPr>
          <w:p>
            <w:pPr>
              <w:pStyle w:val="TableContents"/>
              <w:spacing w:before="0" w:after="0"/>
              <w:ind w:left="0" w:right="0" w:hanging="0"/>
              <w:rPr/>
            </w:pPr>
            <w:r>
              <w:rPr/>
              <w:t> </w:t>
            </w:r>
          </w:p>
        </w:tc>
        <w:tc>
          <w:tcPr>
            <w:tcW w:w="10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8,717</w:t>
            </w:r>
          </w:p>
        </w:tc>
        <w:tc>
          <w:tcPr>
            <w:tcW w:w="179" w:type="dxa"/>
            <w:tcBorders/>
            <w:shd w:fill="auto" w:val="clear"/>
            <w:vAlign w:val="bottom"/>
          </w:tcPr>
          <w:p>
            <w:pPr>
              <w:pStyle w:val="TableContents"/>
              <w:spacing w:before="0" w:after="0"/>
              <w:ind w:left="0" w:right="0" w:hanging="0"/>
              <w:rPr/>
            </w:pPr>
            <w:r>
              <w:rPr/>
              <w:t> </w:t>
            </w:r>
          </w:p>
        </w:tc>
        <w:tc>
          <w:tcPr>
            <w:tcW w:w="10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618" w:type="dxa"/>
            <w:tcBorders/>
            <w:shd w:fill="auto" w:val="clear"/>
            <w:vAlign w:val="bottom"/>
          </w:tcPr>
          <w:p>
            <w:pPr>
              <w:pStyle w:val="TableContents"/>
              <w:spacing w:before="0" w:after="0"/>
              <w:ind w:left="0" w:right="0" w:hanging="0"/>
              <w:rPr/>
            </w:pPr>
            <w:r>
              <w:rPr/>
              <w:t> </w:t>
            </w:r>
          </w:p>
        </w:tc>
      </w:tr>
      <w:tr>
        <w:trPr/>
        <w:tc>
          <w:tcPr>
            <w:tcW w:w="191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3 </w:t>
            </w:r>
          </w:p>
        </w:tc>
        <w:tc>
          <w:tcPr>
            <w:tcW w:w="179" w:type="dxa"/>
            <w:tcBorders/>
            <w:shd w:fill="CCEEFF" w:val="clear"/>
            <w:vAlign w:val="bottom"/>
          </w:tcPr>
          <w:p>
            <w:pPr>
              <w:pStyle w:val="TableContents"/>
              <w:spacing w:before="0" w:after="0"/>
              <w:ind w:left="0" w:right="0" w:hanging="0"/>
              <w:rPr/>
            </w:pPr>
            <w:r>
              <w:rPr/>
              <w:t> </w:t>
            </w:r>
          </w:p>
        </w:tc>
        <w:tc>
          <w:tcPr>
            <w:tcW w:w="23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 T-Note 2.000% 8/31/21</w:t>
            </w:r>
          </w:p>
        </w:tc>
        <w:tc>
          <w:tcPr>
            <w:tcW w:w="179"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6,906</w:t>
            </w:r>
          </w:p>
        </w:tc>
        <w:tc>
          <w:tcPr>
            <w:tcW w:w="307"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6,963</w:t>
            </w:r>
          </w:p>
        </w:tc>
        <w:tc>
          <w:tcPr>
            <w:tcW w:w="179" w:type="dxa"/>
            <w:tcBorders/>
            <w:shd w:fill="CCEEFF" w:val="clear"/>
            <w:vAlign w:val="bottom"/>
          </w:tcPr>
          <w:p>
            <w:pPr>
              <w:pStyle w:val="TableContents"/>
              <w:spacing w:before="0" w:after="0"/>
              <w:ind w:left="0" w:right="0" w:hanging="0"/>
              <w:rPr/>
            </w:pPr>
            <w:r>
              <w:rPr/>
              <w:t> </w:t>
            </w:r>
          </w:p>
        </w:tc>
        <w:tc>
          <w:tcPr>
            <w:tcW w:w="10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618" w:type="dxa"/>
            <w:tcBorders/>
            <w:shd w:fill="CCEEFF" w:val="clear"/>
            <w:vAlign w:val="bottom"/>
          </w:tcPr>
          <w:p>
            <w:pPr>
              <w:pStyle w:val="TableContents"/>
              <w:spacing w:before="0" w:after="0"/>
              <w:ind w:left="0" w:right="0" w:hanging="0"/>
              <w:rPr/>
            </w:pPr>
            <w:r>
              <w:rPr/>
              <w:t> </w:t>
            </w:r>
          </w:p>
        </w:tc>
      </w:tr>
      <w:tr>
        <w:trPr/>
        <w:tc>
          <w:tcPr>
            <w:tcW w:w="19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4 </w:t>
            </w:r>
          </w:p>
        </w:tc>
        <w:tc>
          <w:tcPr>
            <w:tcW w:w="179" w:type="dxa"/>
            <w:tcBorders/>
            <w:shd w:fill="auto" w:val="clear"/>
            <w:vAlign w:val="bottom"/>
          </w:tcPr>
          <w:p>
            <w:pPr>
              <w:pStyle w:val="TableContents"/>
              <w:spacing w:before="0" w:after="0"/>
              <w:ind w:left="0" w:right="0" w:hanging="0"/>
              <w:rPr/>
            </w:pPr>
            <w:r>
              <w:rPr/>
              <w:t> </w:t>
            </w:r>
          </w:p>
        </w:tc>
        <w:tc>
          <w:tcPr>
            <w:tcW w:w="23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Freddie Mac 4.0% 30 Yr MBS</w:t>
            </w:r>
          </w:p>
        </w:tc>
        <w:tc>
          <w:tcPr>
            <w:tcW w:w="179"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6,855</w:t>
            </w:r>
          </w:p>
        </w:tc>
        <w:tc>
          <w:tcPr>
            <w:tcW w:w="307" w:type="dxa"/>
            <w:tcBorders/>
            <w:shd w:fill="auto" w:val="clear"/>
            <w:vAlign w:val="bottom"/>
          </w:tcPr>
          <w:p>
            <w:pPr>
              <w:pStyle w:val="TableContents"/>
              <w:spacing w:before="0" w:after="0"/>
              <w:ind w:left="0" w:right="0" w:hanging="0"/>
              <w:rPr/>
            </w:pPr>
            <w:r>
              <w:rPr/>
              <w:t> </w:t>
            </w:r>
          </w:p>
        </w:tc>
        <w:tc>
          <w:tcPr>
            <w:tcW w:w="10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6,744</w:t>
            </w:r>
          </w:p>
        </w:tc>
        <w:tc>
          <w:tcPr>
            <w:tcW w:w="179" w:type="dxa"/>
            <w:tcBorders/>
            <w:shd w:fill="auto" w:val="clear"/>
            <w:vAlign w:val="bottom"/>
          </w:tcPr>
          <w:p>
            <w:pPr>
              <w:pStyle w:val="TableContents"/>
              <w:spacing w:before="0" w:after="0"/>
              <w:ind w:left="0" w:right="0" w:hanging="0"/>
              <w:rPr/>
            </w:pPr>
            <w:r>
              <w:rPr/>
              <w:t> </w:t>
            </w:r>
          </w:p>
        </w:tc>
        <w:tc>
          <w:tcPr>
            <w:tcW w:w="10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90" w:type="dxa"/>
            <w:tcBorders/>
            <w:shd w:fill="auto" w:val="clear"/>
            <w:vAlign w:val="bottom"/>
          </w:tcPr>
          <w:p>
            <w:pPr>
              <w:pStyle w:val="TableContents"/>
              <w:spacing w:before="0" w:after="0"/>
              <w:ind w:left="0" w:right="0" w:hanging="0"/>
              <w:rPr/>
            </w:pPr>
            <w:r>
              <w:rPr/>
              <w:t> </w:t>
            </w:r>
          </w:p>
        </w:tc>
        <w:tc>
          <w:tcPr>
            <w:tcW w:w="99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618" w:type="dxa"/>
            <w:tcBorders/>
            <w:shd w:fill="auto" w:val="clear"/>
            <w:vAlign w:val="bottom"/>
          </w:tcPr>
          <w:p>
            <w:pPr>
              <w:pStyle w:val="TableContents"/>
              <w:spacing w:before="0" w:after="0"/>
              <w:ind w:left="0" w:right="0" w:hanging="0"/>
              <w:rPr/>
            </w:pPr>
            <w:r>
              <w:rPr/>
              <w:t> </w:t>
            </w:r>
          </w:p>
        </w:tc>
      </w:tr>
      <w:tr>
        <w:trPr/>
        <w:tc>
          <w:tcPr>
            <w:tcW w:w="191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5 </w:t>
            </w:r>
          </w:p>
        </w:tc>
        <w:tc>
          <w:tcPr>
            <w:tcW w:w="179" w:type="dxa"/>
            <w:tcBorders/>
            <w:shd w:fill="CCEEFF" w:val="clear"/>
            <w:vAlign w:val="bottom"/>
          </w:tcPr>
          <w:p>
            <w:pPr>
              <w:pStyle w:val="TableContents"/>
              <w:spacing w:before="0" w:after="0"/>
              <w:ind w:left="0" w:right="0" w:hanging="0"/>
              <w:rPr/>
            </w:pPr>
            <w:r>
              <w:rPr/>
              <w:t> </w:t>
            </w:r>
          </w:p>
        </w:tc>
        <w:tc>
          <w:tcPr>
            <w:tcW w:w="23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 T-Note 2.625% 12/31/14</w:t>
            </w:r>
          </w:p>
        </w:tc>
        <w:tc>
          <w:tcPr>
            <w:tcW w:w="179"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5,334</w:t>
            </w:r>
          </w:p>
        </w:tc>
        <w:tc>
          <w:tcPr>
            <w:tcW w:w="307"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5,313</w:t>
            </w:r>
          </w:p>
        </w:tc>
        <w:tc>
          <w:tcPr>
            <w:tcW w:w="179" w:type="dxa"/>
            <w:tcBorders/>
            <w:shd w:fill="CCEEFF" w:val="clear"/>
            <w:vAlign w:val="bottom"/>
          </w:tcPr>
          <w:p>
            <w:pPr>
              <w:pStyle w:val="TableContents"/>
              <w:spacing w:before="0" w:after="0"/>
              <w:ind w:left="0" w:right="0" w:hanging="0"/>
              <w:rPr/>
            </w:pPr>
            <w:r>
              <w:rPr/>
              <w:t> </w:t>
            </w:r>
          </w:p>
        </w:tc>
        <w:tc>
          <w:tcPr>
            <w:tcW w:w="10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90" w:type="dxa"/>
            <w:tcBorders/>
            <w:shd w:fill="CCEEFF" w:val="clear"/>
            <w:vAlign w:val="bottom"/>
          </w:tcPr>
          <w:p>
            <w:pPr>
              <w:pStyle w:val="TableContents"/>
              <w:spacing w:before="0" w:after="0"/>
              <w:ind w:left="0" w:right="0" w:hanging="0"/>
              <w:rPr/>
            </w:pPr>
            <w:r>
              <w:rPr/>
              <w:t> </w:t>
            </w:r>
          </w:p>
        </w:tc>
        <w:tc>
          <w:tcPr>
            <w:tcW w:w="99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618" w:type="dxa"/>
            <w:tcBorders/>
            <w:shd w:fill="CCEEFF" w:val="clear"/>
            <w:vAlign w:val="bottom"/>
          </w:tcPr>
          <w:p>
            <w:pPr>
              <w:pStyle w:val="TableContents"/>
              <w:spacing w:before="0" w:after="0"/>
              <w:ind w:left="0" w:right="0" w:hanging="0"/>
              <w:rPr/>
            </w:pPr>
            <w:r>
              <w:rPr/>
              <w:t> </w:t>
            </w:r>
          </w:p>
        </w:tc>
      </w:tr>
      <w:tr>
        <w:trPr/>
        <w:tc>
          <w:tcPr>
            <w:tcW w:w="19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6 </w:t>
            </w:r>
          </w:p>
        </w:tc>
        <w:tc>
          <w:tcPr>
            <w:tcW w:w="179" w:type="dxa"/>
            <w:tcBorders/>
            <w:shd w:fill="auto" w:val="clear"/>
            <w:vAlign w:val="bottom"/>
          </w:tcPr>
          <w:p>
            <w:pPr>
              <w:pStyle w:val="TableContents"/>
              <w:spacing w:before="0" w:after="0"/>
              <w:ind w:left="0" w:right="0" w:hanging="0"/>
              <w:rPr/>
            </w:pPr>
            <w:r>
              <w:rPr/>
              <w:t> </w:t>
            </w:r>
          </w:p>
        </w:tc>
        <w:tc>
          <w:tcPr>
            <w:tcW w:w="23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Ally Master Owner Trust ABS 2014-1 A1</w:t>
            </w:r>
          </w:p>
        </w:tc>
        <w:tc>
          <w:tcPr>
            <w:tcW w:w="179"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5,066</w:t>
            </w:r>
          </w:p>
        </w:tc>
        <w:tc>
          <w:tcPr>
            <w:tcW w:w="307" w:type="dxa"/>
            <w:tcBorders/>
            <w:shd w:fill="auto" w:val="clear"/>
            <w:vAlign w:val="bottom"/>
          </w:tcPr>
          <w:p>
            <w:pPr>
              <w:pStyle w:val="TableContents"/>
              <w:spacing w:before="0" w:after="0"/>
              <w:ind w:left="0" w:right="0" w:hanging="0"/>
              <w:rPr/>
            </w:pPr>
            <w:r>
              <w:rPr/>
              <w:t> </w:t>
            </w:r>
          </w:p>
        </w:tc>
        <w:tc>
          <w:tcPr>
            <w:tcW w:w="10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5,062</w:t>
            </w:r>
          </w:p>
        </w:tc>
        <w:tc>
          <w:tcPr>
            <w:tcW w:w="179" w:type="dxa"/>
            <w:tcBorders/>
            <w:shd w:fill="auto" w:val="clear"/>
            <w:vAlign w:val="bottom"/>
          </w:tcPr>
          <w:p>
            <w:pPr>
              <w:pStyle w:val="TableContents"/>
              <w:spacing w:before="0" w:after="0"/>
              <w:ind w:left="0" w:right="0" w:hanging="0"/>
              <w:rPr/>
            </w:pPr>
            <w:r>
              <w:rPr/>
              <w:t> </w:t>
            </w:r>
          </w:p>
        </w:tc>
        <w:tc>
          <w:tcPr>
            <w:tcW w:w="10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0" w:type="dxa"/>
            <w:tcBorders/>
            <w:shd w:fill="auto" w:val="clear"/>
            <w:vAlign w:val="bottom"/>
          </w:tcPr>
          <w:p>
            <w:pPr>
              <w:pStyle w:val="TableContents"/>
              <w:spacing w:before="0" w:after="0"/>
              <w:ind w:left="0" w:right="0" w:hanging="0"/>
              <w:rPr/>
            </w:pPr>
            <w:r>
              <w:rPr/>
              <w:t> </w:t>
            </w:r>
          </w:p>
        </w:tc>
        <w:tc>
          <w:tcPr>
            <w:tcW w:w="99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618" w:type="dxa"/>
            <w:tcBorders/>
            <w:shd w:fill="auto" w:val="clear"/>
            <w:vAlign w:val="bottom"/>
          </w:tcPr>
          <w:p>
            <w:pPr>
              <w:pStyle w:val="TableContents"/>
              <w:spacing w:before="0" w:after="0"/>
              <w:ind w:left="0" w:right="0" w:hanging="0"/>
              <w:rPr/>
            </w:pPr>
            <w:r>
              <w:rPr/>
              <w:t> </w:t>
            </w:r>
          </w:p>
        </w:tc>
      </w:tr>
      <w:tr>
        <w:trPr/>
        <w:tc>
          <w:tcPr>
            <w:tcW w:w="191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7 </w:t>
            </w:r>
          </w:p>
        </w:tc>
        <w:tc>
          <w:tcPr>
            <w:tcW w:w="179" w:type="dxa"/>
            <w:tcBorders/>
            <w:shd w:fill="CCEEFF" w:val="clear"/>
            <w:vAlign w:val="bottom"/>
          </w:tcPr>
          <w:p>
            <w:pPr>
              <w:pStyle w:val="TableContents"/>
              <w:spacing w:before="0" w:after="0"/>
              <w:ind w:left="0" w:right="0" w:hanging="0"/>
              <w:rPr/>
            </w:pPr>
            <w:r>
              <w:rPr/>
              <w:t> </w:t>
            </w:r>
          </w:p>
        </w:tc>
        <w:tc>
          <w:tcPr>
            <w:tcW w:w="23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Bear Stearns Commercial Mortgage Securities Trust CMBS 2007-T26 A4</w:t>
            </w:r>
          </w:p>
        </w:tc>
        <w:tc>
          <w:tcPr>
            <w:tcW w:w="179"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4,591</w:t>
            </w:r>
          </w:p>
        </w:tc>
        <w:tc>
          <w:tcPr>
            <w:tcW w:w="307"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4,744</w:t>
            </w:r>
          </w:p>
        </w:tc>
        <w:tc>
          <w:tcPr>
            <w:tcW w:w="179" w:type="dxa"/>
            <w:tcBorders/>
            <w:shd w:fill="CCEEFF" w:val="clear"/>
            <w:vAlign w:val="bottom"/>
          </w:tcPr>
          <w:p>
            <w:pPr>
              <w:pStyle w:val="TableContents"/>
              <w:spacing w:before="0" w:after="0"/>
              <w:ind w:left="0" w:right="0" w:hanging="0"/>
              <w:rPr/>
            </w:pPr>
            <w:r>
              <w:rPr/>
              <w:t> </w:t>
            </w:r>
          </w:p>
        </w:tc>
        <w:tc>
          <w:tcPr>
            <w:tcW w:w="10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618" w:type="dxa"/>
            <w:tcBorders/>
            <w:shd w:fill="CCEEFF" w:val="clear"/>
            <w:vAlign w:val="bottom"/>
          </w:tcPr>
          <w:p>
            <w:pPr>
              <w:pStyle w:val="TableContents"/>
              <w:spacing w:before="0" w:after="0"/>
              <w:ind w:left="0" w:right="0" w:hanging="0"/>
              <w:rPr/>
            </w:pPr>
            <w:r>
              <w:rPr/>
              <w:t> </w:t>
            </w:r>
          </w:p>
        </w:tc>
      </w:tr>
      <w:tr>
        <w:trPr/>
        <w:tc>
          <w:tcPr>
            <w:tcW w:w="19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8 </w:t>
            </w:r>
          </w:p>
        </w:tc>
        <w:tc>
          <w:tcPr>
            <w:tcW w:w="179" w:type="dxa"/>
            <w:tcBorders/>
            <w:shd w:fill="auto" w:val="clear"/>
            <w:vAlign w:val="bottom"/>
          </w:tcPr>
          <w:p>
            <w:pPr>
              <w:pStyle w:val="TableContents"/>
              <w:spacing w:before="0" w:after="0"/>
              <w:ind w:left="0" w:right="0" w:hanging="0"/>
              <w:rPr/>
            </w:pPr>
            <w:r>
              <w:rPr/>
              <w:t> </w:t>
            </w:r>
          </w:p>
        </w:tc>
        <w:tc>
          <w:tcPr>
            <w:tcW w:w="23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Freddie Mac 3.0% 30 Yr MBS</w:t>
            </w:r>
          </w:p>
        </w:tc>
        <w:tc>
          <w:tcPr>
            <w:tcW w:w="179"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4,343</w:t>
            </w:r>
          </w:p>
        </w:tc>
        <w:tc>
          <w:tcPr>
            <w:tcW w:w="307" w:type="dxa"/>
            <w:tcBorders/>
            <w:shd w:fill="auto" w:val="clear"/>
            <w:vAlign w:val="bottom"/>
          </w:tcPr>
          <w:p>
            <w:pPr>
              <w:pStyle w:val="TableContents"/>
              <w:spacing w:before="0" w:after="0"/>
              <w:ind w:left="0" w:right="0" w:hanging="0"/>
              <w:rPr/>
            </w:pPr>
            <w:r>
              <w:rPr/>
              <w:t> </w:t>
            </w:r>
          </w:p>
        </w:tc>
        <w:tc>
          <w:tcPr>
            <w:tcW w:w="10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4,245</w:t>
            </w:r>
          </w:p>
        </w:tc>
        <w:tc>
          <w:tcPr>
            <w:tcW w:w="179" w:type="dxa"/>
            <w:tcBorders/>
            <w:shd w:fill="auto" w:val="clear"/>
            <w:vAlign w:val="bottom"/>
          </w:tcPr>
          <w:p>
            <w:pPr>
              <w:pStyle w:val="TableContents"/>
              <w:spacing w:before="0" w:after="0"/>
              <w:ind w:left="0" w:right="0" w:hanging="0"/>
              <w:rPr/>
            </w:pPr>
            <w:r>
              <w:rPr/>
              <w:t> </w:t>
            </w:r>
          </w:p>
        </w:tc>
        <w:tc>
          <w:tcPr>
            <w:tcW w:w="10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90" w:type="dxa"/>
            <w:tcBorders/>
            <w:shd w:fill="auto" w:val="clear"/>
            <w:vAlign w:val="bottom"/>
          </w:tcPr>
          <w:p>
            <w:pPr>
              <w:pStyle w:val="TableContents"/>
              <w:spacing w:before="0" w:after="0"/>
              <w:ind w:left="0" w:right="0" w:hanging="0"/>
              <w:rPr/>
            </w:pPr>
            <w:r>
              <w:rPr/>
              <w:t> </w:t>
            </w:r>
          </w:p>
        </w:tc>
        <w:tc>
          <w:tcPr>
            <w:tcW w:w="99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618" w:type="dxa"/>
            <w:tcBorders/>
            <w:shd w:fill="auto" w:val="clear"/>
            <w:vAlign w:val="bottom"/>
          </w:tcPr>
          <w:p>
            <w:pPr>
              <w:pStyle w:val="TableContents"/>
              <w:spacing w:before="0" w:after="0"/>
              <w:ind w:left="0" w:right="0" w:hanging="0"/>
              <w:rPr/>
            </w:pPr>
            <w:r>
              <w:rPr/>
              <w:t> </w:t>
            </w:r>
          </w:p>
        </w:tc>
      </w:tr>
      <w:tr>
        <w:trPr/>
        <w:tc>
          <w:tcPr>
            <w:tcW w:w="191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9 </w:t>
            </w:r>
          </w:p>
        </w:tc>
        <w:tc>
          <w:tcPr>
            <w:tcW w:w="179" w:type="dxa"/>
            <w:tcBorders/>
            <w:shd w:fill="CCEEFF" w:val="clear"/>
            <w:vAlign w:val="bottom"/>
          </w:tcPr>
          <w:p>
            <w:pPr>
              <w:pStyle w:val="TableContents"/>
              <w:spacing w:before="0" w:after="0"/>
              <w:ind w:left="0" w:right="0" w:hanging="0"/>
              <w:rPr/>
            </w:pPr>
            <w:r>
              <w:rPr/>
              <w:t> </w:t>
            </w:r>
          </w:p>
        </w:tc>
        <w:tc>
          <w:tcPr>
            <w:tcW w:w="23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SLM Corp ABS 2004-5A A5</w:t>
            </w:r>
          </w:p>
        </w:tc>
        <w:tc>
          <w:tcPr>
            <w:tcW w:w="179"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4,020</w:t>
            </w:r>
          </w:p>
        </w:tc>
        <w:tc>
          <w:tcPr>
            <w:tcW w:w="307" w:type="dxa"/>
            <w:tcBorders/>
            <w:shd w:fill="CCEEFF" w:val="clear"/>
            <w:vAlign w:val="bottom"/>
          </w:tcPr>
          <w:p>
            <w:pPr>
              <w:pStyle w:val="TableContents"/>
              <w:spacing w:before="0" w:after="0"/>
              <w:ind w:left="0" w:right="0" w:hanging="0"/>
              <w:rPr/>
            </w:pPr>
            <w:r>
              <w:rPr/>
              <w:t> </w:t>
            </w:r>
          </w:p>
        </w:tc>
        <w:tc>
          <w:tcPr>
            <w:tcW w:w="10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4,021</w:t>
            </w:r>
          </w:p>
        </w:tc>
        <w:tc>
          <w:tcPr>
            <w:tcW w:w="179" w:type="dxa"/>
            <w:tcBorders/>
            <w:shd w:fill="CCEEFF" w:val="clear"/>
            <w:vAlign w:val="bottom"/>
          </w:tcPr>
          <w:p>
            <w:pPr>
              <w:pStyle w:val="TableContents"/>
              <w:spacing w:before="0" w:after="0"/>
              <w:ind w:left="0" w:right="0" w:hanging="0"/>
              <w:rPr/>
            </w:pPr>
            <w:r>
              <w:rPr/>
              <w:t> </w:t>
            </w:r>
          </w:p>
        </w:tc>
        <w:tc>
          <w:tcPr>
            <w:tcW w:w="10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618" w:type="dxa"/>
            <w:tcBorders/>
            <w:shd w:fill="CCEEFF" w:val="clear"/>
            <w:vAlign w:val="bottom"/>
          </w:tcPr>
          <w:p>
            <w:pPr>
              <w:pStyle w:val="TableContents"/>
              <w:spacing w:before="0" w:after="0"/>
              <w:ind w:left="0" w:right="0" w:hanging="0"/>
              <w:rPr/>
            </w:pPr>
            <w:r>
              <w:rPr/>
              <w:t> </w:t>
            </w:r>
          </w:p>
        </w:tc>
      </w:tr>
      <w:tr>
        <w:trPr/>
        <w:tc>
          <w:tcPr>
            <w:tcW w:w="19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10 </w:t>
            </w:r>
          </w:p>
        </w:tc>
        <w:tc>
          <w:tcPr>
            <w:tcW w:w="179" w:type="dxa"/>
            <w:tcBorders/>
            <w:shd w:fill="auto" w:val="clear"/>
            <w:vAlign w:val="bottom"/>
          </w:tcPr>
          <w:p>
            <w:pPr>
              <w:pStyle w:val="TableContents"/>
              <w:spacing w:before="0" w:after="0"/>
              <w:ind w:left="0" w:right="0" w:hanging="0"/>
              <w:rPr/>
            </w:pPr>
            <w:r>
              <w:rPr/>
              <w:t> </w:t>
            </w:r>
          </w:p>
        </w:tc>
        <w:tc>
          <w:tcPr>
            <w:tcW w:w="23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GS Mortgage Securities Trust CMBS 2007-GG10 A4</w:t>
            </w:r>
          </w:p>
        </w:tc>
        <w:tc>
          <w:tcPr>
            <w:tcW w:w="179" w:type="dxa"/>
            <w:tcBorders/>
            <w:shd w:fill="auto" w:val="clear"/>
            <w:vAlign w:val="bottom"/>
          </w:tcPr>
          <w:p>
            <w:pPr>
              <w:pStyle w:val="TableContents"/>
              <w:spacing w:before="0" w:after="0"/>
              <w:ind w:left="0" w:right="0" w:hanging="0"/>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3,962</w:t>
            </w:r>
          </w:p>
        </w:tc>
        <w:tc>
          <w:tcPr>
            <w:tcW w:w="307" w:type="dxa"/>
            <w:tcBorders/>
            <w:shd w:fill="auto" w:val="clear"/>
            <w:vAlign w:val="bottom"/>
          </w:tcPr>
          <w:p>
            <w:pPr>
              <w:pStyle w:val="TableContents"/>
              <w:spacing w:before="0" w:after="0"/>
              <w:ind w:left="0" w:right="0" w:hanging="0"/>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4,098</w:t>
            </w:r>
          </w:p>
        </w:tc>
        <w:tc>
          <w:tcPr>
            <w:tcW w:w="179" w:type="dxa"/>
            <w:tcBorders/>
            <w:shd w:fill="auto" w:val="clear"/>
            <w:vAlign w:val="bottom"/>
          </w:tcPr>
          <w:p>
            <w:pPr>
              <w:pStyle w:val="TableContents"/>
              <w:spacing w:before="0" w:after="0"/>
              <w:ind w:left="0" w:right="0" w:hanging="0"/>
              <w:rPr/>
            </w:pPr>
            <w:r>
              <w:rPr/>
              <w:t> </w:t>
            </w:r>
          </w:p>
        </w:tc>
        <w:tc>
          <w:tcPr>
            <w:tcW w:w="10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A3</w:t>
            </w:r>
          </w:p>
        </w:tc>
        <w:tc>
          <w:tcPr>
            <w:tcW w:w="618" w:type="dxa"/>
            <w:tcBorders/>
            <w:shd w:fill="auto" w:val="clear"/>
            <w:vAlign w:val="bottom"/>
          </w:tcPr>
          <w:p>
            <w:pPr>
              <w:pStyle w:val="TableContents"/>
              <w:spacing w:before="0" w:after="0"/>
              <w:ind w:left="0" w:right="0" w:hanging="0"/>
              <w:rPr/>
            </w:pPr>
            <w:r>
              <w:rPr/>
              <w:t> </w:t>
            </w:r>
          </w:p>
        </w:tc>
      </w:tr>
      <w:tr>
        <w:trPr/>
        <w:tc>
          <w:tcPr>
            <w:tcW w:w="191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179" w:type="dxa"/>
            <w:tcBorders/>
            <w:shd w:fill="CCEEFF" w:val="clear"/>
            <w:vAlign w:val="bottom"/>
          </w:tcPr>
          <w:p>
            <w:pPr>
              <w:pStyle w:val="TableContents"/>
              <w:spacing w:before="0" w:after="0"/>
              <w:ind w:left="0" w:right="0" w:hanging="0"/>
              <w:rPr/>
            </w:pPr>
            <w:r>
              <w:rPr/>
              <w:t> </w:t>
            </w:r>
          </w:p>
        </w:tc>
        <w:tc>
          <w:tcPr>
            <w:tcW w:w="2307" w:type="dxa"/>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66,579</w:t>
            </w:r>
          </w:p>
        </w:tc>
        <w:tc>
          <w:tcPr>
            <w:tcW w:w="307"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66,825</w:t>
            </w:r>
          </w:p>
        </w:tc>
        <w:tc>
          <w:tcPr>
            <w:tcW w:w="179" w:type="dxa"/>
            <w:tcBorders/>
            <w:shd w:fill="CCEEFF" w:val="clear"/>
            <w:vAlign w:val="bottom"/>
          </w:tcPr>
          <w:p>
            <w:pPr>
              <w:pStyle w:val="TableContents"/>
              <w:spacing w:before="0" w:after="0"/>
              <w:ind w:left="0" w:right="0" w:hanging="0"/>
              <w:rPr/>
            </w:pPr>
            <w:r>
              <w:rPr/>
              <w:t> </w:t>
            </w:r>
          </w:p>
        </w:tc>
        <w:tc>
          <w:tcPr>
            <w:tcW w:w="17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shd w:fill="CCEEFF" w:val="clear"/>
            <w:vAlign w:val="bottom"/>
          </w:tcPr>
          <w:p>
            <w:pPr>
              <w:pStyle w:val="TableContents"/>
              <w:spacing w:before="0" w:after="0"/>
              <w:ind w:left="0" w:right="0" w:hanging="0"/>
              <w:jc w:val="right"/>
              <w:rPr/>
            </w:pPr>
            <w:r>
              <w:rPr/>
              <w:t> </w:t>
            </w:r>
          </w:p>
        </w:tc>
        <w:tc>
          <w:tcPr>
            <w:tcW w:w="618" w:type="dxa"/>
            <w:tcBorders/>
            <w:shd w:fill="CCEEFF" w:val="clear"/>
            <w:vAlign w:val="bottom"/>
          </w:tcPr>
          <w:p>
            <w:pPr>
              <w:pStyle w:val="TableContents"/>
              <w:spacing w:before="0" w:after="0"/>
              <w:ind w:left="0" w:right="0" w:hanging="0"/>
              <w:rPr/>
            </w:pPr>
            <w:r>
              <w:rPr/>
              <w:t> </w:t>
            </w:r>
          </w:p>
        </w:tc>
      </w:tr>
      <w:tr>
        <w:trPr/>
        <w:tc>
          <w:tcPr>
            <w:tcW w:w="1918" w:type="dxa"/>
            <w:tcBorders/>
            <w:shd w:fill="auto" w:val="clear"/>
          </w:tcPr>
          <w:p>
            <w:pPr>
              <w:pStyle w:val="TableContents"/>
              <w:spacing w:before="0" w:after="0"/>
              <w:ind w:left="0" w:right="0" w:hanging="0"/>
              <w:rPr/>
            </w:pPr>
            <w:r>
              <w:rPr>
                <w:rFonts w:ascii="Times New Roman" w:hAnsi="Times New Roman"/>
                <w:b/>
                <w:sz w:val="17"/>
              </w:rPr>
              <w:t>Percent of Investment Portfolio</w:t>
            </w:r>
            <w:r>
              <w:rPr/>
              <w:t xml:space="preserve"> </w:t>
            </w:r>
          </w:p>
        </w:tc>
        <w:tc>
          <w:tcPr>
            <w:tcW w:w="179" w:type="dxa"/>
            <w:tcBorders/>
            <w:shd w:fill="auto" w:val="clear"/>
            <w:vAlign w:val="bottom"/>
          </w:tcPr>
          <w:p>
            <w:pPr>
              <w:pStyle w:val="TableContents"/>
              <w:spacing w:before="0" w:after="0"/>
              <w:ind w:left="0" w:right="0" w:hanging="0"/>
              <w:rPr/>
            </w:pPr>
            <w:r>
              <w:rPr/>
              <w:t> </w:t>
            </w:r>
          </w:p>
        </w:tc>
        <w:tc>
          <w:tcPr>
            <w:tcW w:w="2307" w:type="dxa"/>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03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3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2" w:type="dxa"/>
            <w:gridSpan w:val="2"/>
            <w:tcBorders/>
            <w:shd w:fill="auto" w:val="clear"/>
            <w:vAlign w:val="bottom"/>
          </w:tcPr>
          <w:p>
            <w:pPr>
              <w:pStyle w:val="TableContents"/>
              <w:spacing w:before="0" w:after="0"/>
              <w:ind w:left="0" w:right="0" w:hanging="0"/>
              <w:jc w:val="right"/>
              <w:rPr/>
            </w:pPr>
            <w:r>
              <w:rPr/>
              <w:t> </w:t>
            </w:r>
          </w:p>
        </w:tc>
        <w:tc>
          <w:tcPr>
            <w:tcW w:w="179" w:type="dxa"/>
            <w:tcBorders/>
            <w:shd w:fill="auto" w:val="clear"/>
            <w:vAlign w:val="bottom"/>
          </w:tcPr>
          <w:p>
            <w:pPr>
              <w:pStyle w:val="TableContents"/>
              <w:spacing w:before="0" w:after="0"/>
              <w:ind w:left="0" w:right="0" w:hanging="0"/>
              <w:rPr/>
            </w:pPr>
            <w:r>
              <w:rPr/>
              <w:t> </w:t>
            </w:r>
          </w:p>
        </w:tc>
        <w:tc>
          <w:tcPr>
            <w:tcW w:w="1074"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997" w:type="dxa"/>
            <w:tcBorders/>
            <w:shd w:fill="auto" w:val="clear"/>
            <w:vAlign w:val="bottom"/>
          </w:tcPr>
          <w:p>
            <w:pPr>
              <w:pStyle w:val="TableContents"/>
              <w:spacing w:before="0" w:after="0"/>
              <w:ind w:left="0" w:right="0" w:hanging="0"/>
              <w:jc w:val="right"/>
              <w:rPr/>
            </w:pPr>
            <w:r>
              <w:rPr/>
              <w:t> </w:t>
            </w:r>
          </w:p>
        </w:tc>
        <w:tc>
          <w:tcPr>
            <w:tcW w:w="61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As of September 30, 2014, for securities in unrealized loss positions, management believes decline in fair values is principally associated with the changes in the interest rate environment subsequent to their purchase and there are no other-than-temporary impairments. Also, see Note 2 to our condensed consolidated financial statements, which summarizes the aggregate amount of gross unrealized losses by asset class in which the fair value of investments has been less than cost for more than 12 months and less than 12 months.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ratings issued by Moodys, if available. S&amp;P rating utilized if Moodys not available.</w:t>
      </w:r>
    </w:p>
    <w:p>
      <w:pPr>
        <w:pStyle w:val="TextBody"/>
        <w:spacing w:before="0" w:after="0"/>
        <w:ind w:left="0" w:right="0" w:hanging="0"/>
        <w:rPr/>
      </w:pPr>
      <w:r>
        <w:rPr/>
        <w:t> </w:t>
      </w:r>
    </w:p>
    <w:tbl>
      <w:tblPr>
        <w:tblW w:w="3800" w:type="pct"/>
        <w:jc w:val="left"/>
        <w:tblInd w:w="0" w:type="dxa"/>
        <w:tblCellMar>
          <w:top w:w="0" w:type="dxa"/>
          <w:left w:w="0" w:type="dxa"/>
          <w:bottom w:w="0" w:type="dxa"/>
          <w:right w:w="0" w:type="dxa"/>
        </w:tblCellMar>
      </w:tblPr>
      <w:tblGrid>
        <w:gridCol w:w="2891"/>
        <w:gridCol w:w="228"/>
        <w:gridCol w:w="2645"/>
        <w:gridCol w:w="228"/>
        <w:gridCol w:w="140"/>
        <w:gridCol w:w="1430"/>
        <w:gridCol w:w="193"/>
      </w:tblGrid>
      <w:tr>
        <w:trPr/>
        <w:tc>
          <w:tcPr>
            <w:tcW w:w="2891"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Rank</w:t>
            </w:r>
          </w:p>
        </w:tc>
        <w:tc>
          <w:tcPr>
            <w:tcW w:w="228" w:type="dxa"/>
            <w:tcBorders/>
            <w:shd w:fill="auto" w:val="clear"/>
            <w:vAlign w:val="bottom"/>
          </w:tcPr>
          <w:p>
            <w:pPr>
              <w:pStyle w:val="TableContents"/>
              <w:spacing w:before="0" w:after="0"/>
              <w:ind w:left="0" w:right="0" w:hanging="0"/>
              <w:jc w:val="center"/>
              <w:rPr/>
            </w:pPr>
            <w:r>
              <w:rPr/>
              <w:t> </w:t>
            </w:r>
          </w:p>
        </w:tc>
        <w:tc>
          <w:tcPr>
            <w:tcW w:w="444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93" w:type="dxa"/>
            <w:tcBorders/>
            <w:shd w:fill="auto" w:val="clear"/>
            <w:vAlign w:val="bottom"/>
          </w:tcPr>
          <w:p>
            <w:pPr>
              <w:pStyle w:val="TableContents"/>
              <w:spacing w:before="0" w:after="0"/>
              <w:ind w:left="0" w:right="0" w:hanging="0"/>
              <w:jc w:val="center"/>
              <w:rPr/>
            </w:pPr>
            <w:r>
              <w:rPr/>
              <w:t> </w:t>
            </w:r>
          </w:p>
        </w:tc>
      </w:tr>
      <w:tr>
        <w:trPr/>
        <w:tc>
          <w:tcPr>
            <w:tcW w:w="289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228" w:type="dxa"/>
            <w:tcBorders/>
            <w:shd w:fill="auto" w:val="clear"/>
            <w:vAlign w:val="bottom"/>
          </w:tcPr>
          <w:p>
            <w:pPr>
              <w:pStyle w:val="TableContents"/>
              <w:spacing w:before="0" w:after="0"/>
              <w:ind w:left="0" w:right="0" w:hanging="0"/>
              <w:jc w:val="center"/>
              <w:rPr/>
            </w:pPr>
            <w:r>
              <w:rPr/>
              <w:t> </w:t>
            </w:r>
          </w:p>
        </w:tc>
        <w:tc>
          <w:tcPr>
            <w:tcW w:w="26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Security</w:t>
            </w:r>
          </w:p>
        </w:tc>
        <w:tc>
          <w:tcPr>
            <w:tcW w:w="228" w:type="dxa"/>
            <w:tcBorders/>
            <w:shd w:fill="auto" w:val="clear"/>
            <w:vAlign w:val="bottom"/>
          </w:tcPr>
          <w:p>
            <w:pPr>
              <w:pStyle w:val="TableContents"/>
              <w:spacing w:before="0" w:after="0"/>
              <w:ind w:left="0" w:right="0" w:hanging="0"/>
              <w:jc w:val="center"/>
              <w:rPr/>
            </w:pPr>
            <w:r>
              <w:rPr/>
              <w:t> </w:t>
            </w:r>
          </w:p>
        </w:tc>
        <w:tc>
          <w:tcPr>
            <w:tcW w:w="15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93" w:type="dxa"/>
            <w:tcBorders/>
            <w:shd w:fill="auto" w:val="clear"/>
            <w:vAlign w:val="bottom"/>
          </w:tcPr>
          <w:p>
            <w:pPr>
              <w:pStyle w:val="TableContents"/>
              <w:spacing w:before="0" w:after="0"/>
              <w:ind w:left="0" w:right="0" w:hanging="0"/>
              <w:jc w:val="center"/>
              <w:rPr/>
            </w:pPr>
            <w:r>
              <w:rPr/>
              <w:t> </w:t>
            </w:r>
          </w:p>
        </w:tc>
      </w:tr>
      <w:tr>
        <w:trPr/>
        <w:tc>
          <w:tcPr>
            <w:tcW w:w="28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1 </w:t>
            </w:r>
          </w:p>
        </w:tc>
        <w:tc>
          <w:tcPr>
            <w:tcW w:w="228" w:type="dxa"/>
            <w:tcBorders/>
            <w:shd w:fill="CCEEFF" w:val="clear"/>
            <w:vAlign w:val="bottom"/>
          </w:tcPr>
          <w:p>
            <w:pPr>
              <w:pStyle w:val="TableContents"/>
              <w:spacing w:before="0" w:after="0"/>
              <w:ind w:left="0" w:right="0" w:hanging="0"/>
              <w:rPr/>
            </w:pPr>
            <w:r>
              <w:rPr/>
              <w:t> </w:t>
            </w:r>
          </w:p>
        </w:tc>
        <w:tc>
          <w:tcPr>
            <w:tcW w:w="26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 T-Note 2% 4/30/2016</w:t>
            </w:r>
          </w:p>
        </w:tc>
        <w:tc>
          <w:tcPr>
            <w:tcW w:w="228"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6,621</w:t>
            </w:r>
          </w:p>
        </w:tc>
        <w:tc>
          <w:tcPr>
            <w:tcW w:w="193" w:type="dxa"/>
            <w:tcBorders/>
            <w:shd w:fill="CCEEFF" w:val="clear"/>
            <w:vAlign w:val="bottom"/>
          </w:tcPr>
          <w:p>
            <w:pPr>
              <w:pStyle w:val="TableContents"/>
              <w:spacing w:before="0" w:after="0"/>
              <w:ind w:left="0" w:right="0" w:hanging="0"/>
              <w:rPr/>
            </w:pPr>
            <w:r>
              <w:rPr/>
              <w:t> </w:t>
            </w:r>
          </w:p>
        </w:tc>
      </w:tr>
      <w:tr>
        <w:trPr/>
        <w:tc>
          <w:tcPr>
            <w:tcW w:w="28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2 </w:t>
            </w:r>
          </w:p>
        </w:tc>
        <w:tc>
          <w:tcPr>
            <w:tcW w:w="228" w:type="dxa"/>
            <w:tcBorders/>
            <w:shd w:fill="auto" w:val="clear"/>
            <w:vAlign w:val="bottom"/>
          </w:tcPr>
          <w:p>
            <w:pPr>
              <w:pStyle w:val="TableContents"/>
              <w:spacing w:before="0" w:after="0"/>
              <w:ind w:left="0" w:right="0" w:hanging="0"/>
              <w:rPr/>
            </w:pPr>
            <w:r>
              <w:rPr/>
              <w:t> </w:t>
            </w:r>
          </w:p>
        </w:tc>
        <w:tc>
          <w:tcPr>
            <w:tcW w:w="26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 T-Note 2.125% 2/29/2016</w:t>
            </w:r>
          </w:p>
        </w:tc>
        <w:tc>
          <w:tcPr>
            <w:tcW w:w="228" w:type="dxa"/>
            <w:tcBorders/>
            <w:shd w:fill="auto" w:val="clear"/>
            <w:vAlign w:val="bottom"/>
          </w:tcPr>
          <w:p>
            <w:pPr>
              <w:pStyle w:val="TableContents"/>
              <w:spacing w:before="0" w:after="0"/>
              <w:ind w:left="0" w:right="0" w:hanging="0"/>
              <w:rPr/>
            </w:pPr>
            <w:r>
              <w:rPr/>
              <w:t> </w:t>
            </w:r>
          </w:p>
        </w:tc>
        <w:tc>
          <w:tcPr>
            <w:tcW w:w="15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6,442</w:t>
            </w:r>
          </w:p>
        </w:tc>
        <w:tc>
          <w:tcPr>
            <w:tcW w:w="193" w:type="dxa"/>
            <w:tcBorders/>
            <w:shd w:fill="auto" w:val="clear"/>
            <w:vAlign w:val="bottom"/>
          </w:tcPr>
          <w:p>
            <w:pPr>
              <w:pStyle w:val="TableContents"/>
              <w:spacing w:before="0" w:after="0"/>
              <w:ind w:left="0" w:right="0" w:hanging="0"/>
              <w:rPr/>
            </w:pPr>
            <w:r>
              <w:rPr/>
              <w:t> </w:t>
            </w:r>
          </w:p>
        </w:tc>
      </w:tr>
      <w:tr>
        <w:trPr/>
        <w:tc>
          <w:tcPr>
            <w:tcW w:w="28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3 </w:t>
            </w:r>
          </w:p>
        </w:tc>
        <w:tc>
          <w:tcPr>
            <w:tcW w:w="228" w:type="dxa"/>
            <w:tcBorders/>
            <w:shd w:fill="CCEEFF" w:val="clear"/>
            <w:vAlign w:val="bottom"/>
          </w:tcPr>
          <w:p>
            <w:pPr>
              <w:pStyle w:val="TableContents"/>
              <w:spacing w:before="0" w:after="0"/>
              <w:ind w:left="0" w:right="0" w:hanging="0"/>
              <w:rPr/>
            </w:pPr>
            <w:r>
              <w:rPr/>
              <w:t> </w:t>
            </w:r>
          </w:p>
        </w:tc>
        <w:tc>
          <w:tcPr>
            <w:tcW w:w="26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 T-Note 2.625% 12/31/2014</w:t>
            </w:r>
          </w:p>
        </w:tc>
        <w:tc>
          <w:tcPr>
            <w:tcW w:w="228" w:type="dxa"/>
            <w:tcBorders/>
            <w:shd w:fill="CCEEFF" w:val="clear"/>
            <w:vAlign w:val="bottom"/>
          </w:tcPr>
          <w:p>
            <w:pPr>
              <w:pStyle w:val="TableContents"/>
              <w:spacing w:before="0" w:after="0"/>
              <w:ind w:left="0" w:right="0" w:hanging="0"/>
              <w:rPr/>
            </w:pPr>
            <w:r>
              <w:rPr/>
              <w:t> </w:t>
            </w:r>
          </w:p>
        </w:tc>
        <w:tc>
          <w:tcPr>
            <w:tcW w:w="15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5,429</w:t>
            </w:r>
          </w:p>
        </w:tc>
        <w:tc>
          <w:tcPr>
            <w:tcW w:w="193" w:type="dxa"/>
            <w:tcBorders/>
            <w:shd w:fill="CCEEFF" w:val="clear"/>
            <w:vAlign w:val="bottom"/>
          </w:tcPr>
          <w:p>
            <w:pPr>
              <w:pStyle w:val="TableContents"/>
              <w:spacing w:before="0" w:after="0"/>
              <w:ind w:left="0" w:right="0" w:hanging="0"/>
              <w:rPr/>
            </w:pPr>
            <w:r>
              <w:rPr/>
              <w:t> </w:t>
            </w:r>
          </w:p>
        </w:tc>
      </w:tr>
      <w:tr>
        <w:trPr/>
        <w:tc>
          <w:tcPr>
            <w:tcW w:w="28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4 </w:t>
            </w:r>
          </w:p>
        </w:tc>
        <w:tc>
          <w:tcPr>
            <w:tcW w:w="228" w:type="dxa"/>
            <w:tcBorders/>
            <w:shd w:fill="auto" w:val="clear"/>
            <w:vAlign w:val="bottom"/>
          </w:tcPr>
          <w:p>
            <w:pPr>
              <w:pStyle w:val="TableContents"/>
              <w:spacing w:before="0" w:after="0"/>
              <w:ind w:left="0" w:right="0" w:hanging="0"/>
              <w:rPr/>
            </w:pPr>
            <w:r>
              <w:rPr/>
              <w:t> </w:t>
            </w:r>
          </w:p>
        </w:tc>
        <w:tc>
          <w:tcPr>
            <w:tcW w:w="26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 T-Note 2.375% 6/30/2018</w:t>
            </w:r>
          </w:p>
        </w:tc>
        <w:tc>
          <w:tcPr>
            <w:tcW w:w="228" w:type="dxa"/>
            <w:tcBorders/>
            <w:shd w:fill="auto" w:val="clear"/>
            <w:vAlign w:val="bottom"/>
          </w:tcPr>
          <w:p>
            <w:pPr>
              <w:pStyle w:val="TableContents"/>
              <w:spacing w:before="0" w:after="0"/>
              <w:ind w:left="0" w:right="0" w:hanging="0"/>
              <w:rPr/>
            </w:pPr>
            <w:r>
              <w:rPr/>
              <w:t> </w:t>
            </w:r>
          </w:p>
        </w:tc>
        <w:tc>
          <w:tcPr>
            <w:tcW w:w="15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4,874</w:t>
            </w:r>
          </w:p>
        </w:tc>
        <w:tc>
          <w:tcPr>
            <w:tcW w:w="193" w:type="dxa"/>
            <w:tcBorders/>
            <w:shd w:fill="auto" w:val="clear"/>
            <w:vAlign w:val="bottom"/>
          </w:tcPr>
          <w:p>
            <w:pPr>
              <w:pStyle w:val="TableContents"/>
              <w:spacing w:before="0" w:after="0"/>
              <w:ind w:left="0" w:right="0" w:hanging="0"/>
              <w:rPr/>
            </w:pPr>
            <w:r>
              <w:rPr/>
              <w:t> </w:t>
            </w:r>
          </w:p>
        </w:tc>
      </w:tr>
      <w:tr>
        <w:trPr/>
        <w:tc>
          <w:tcPr>
            <w:tcW w:w="28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5 </w:t>
            </w:r>
          </w:p>
        </w:tc>
        <w:tc>
          <w:tcPr>
            <w:tcW w:w="228" w:type="dxa"/>
            <w:tcBorders/>
            <w:shd w:fill="CCEEFF" w:val="clear"/>
            <w:vAlign w:val="bottom"/>
          </w:tcPr>
          <w:p>
            <w:pPr>
              <w:pStyle w:val="TableContents"/>
              <w:spacing w:before="0" w:after="0"/>
              <w:ind w:left="0" w:right="0" w:hanging="0"/>
              <w:rPr/>
            </w:pPr>
            <w:r>
              <w:rPr/>
              <w:t> </w:t>
            </w:r>
          </w:p>
        </w:tc>
        <w:tc>
          <w:tcPr>
            <w:tcW w:w="26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 T-Note 1.625% 8/15/2022</w:t>
            </w:r>
          </w:p>
        </w:tc>
        <w:tc>
          <w:tcPr>
            <w:tcW w:w="228" w:type="dxa"/>
            <w:tcBorders/>
            <w:shd w:fill="CCEEFF" w:val="clear"/>
            <w:vAlign w:val="bottom"/>
          </w:tcPr>
          <w:p>
            <w:pPr>
              <w:pStyle w:val="TableContents"/>
              <w:spacing w:before="0" w:after="0"/>
              <w:ind w:left="0" w:right="0" w:hanging="0"/>
              <w:rPr/>
            </w:pPr>
            <w:r>
              <w:rPr/>
              <w:t> </w:t>
            </w:r>
          </w:p>
        </w:tc>
        <w:tc>
          <w:tcPr>
            <w:tcW w:w="15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4,724</w:t>
            </w:r>
          </w:p>
        </w:tc>
        <w:tc>
          <w:tcPr>
            <w:tcW w:w="193" w:type="dxa"/>
            <w:tcBorders/>
            <w:shd w:fill="CCEEFF" w:val="clear"/>
            <w:vAlign w:val="bottom"/>
          </w:tcPr>
          <w:p>
            <w:pPr>
              <w:pStyle w:val="TableContents"/>
              <w:spacing w:before="0" w:after="0"/>
              <w:ind w:left="0" w:right="0" w:hanging="0"/>
              <w:rPr/>
            </w:pPr>
            <w:r>
              <w:rPr/>
              <w:t> </w:t>
            </w:r>
          </w:p>
        </w:tc>
      </w:tr>
      <w:tr>
        <w:trPr/>
        <w:tc>
          <w:tcPr>
            <w:tcW w:w="28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6 </w:t>
            </w:r>
          </w:p>
        </w:tc>
        <w:tc>
          <w:tcPr>
            <w:tcW w:w="228" w:type="dxa"/>
            <w:tcBorders/>
            <w:shd w:fill="auto" w:val="clear"/>
            <w:vAlign w:val="bottom"/>
          </w:tcPr>
          <w:p>
            <w:pPr>
              <w:pStyle w:val="TableContents"/>
              <w:spacing w:before="0" w:after="0"/>
              <w:ind w:left="0" w:right="0" w:hanging="0"/>
              <w:rPr/>
            </w:pPr>
            <w:r>
              <w:rPr/>
              <w:t> </w:t>
            </w:r>
          </w:p>
        </w:tc>
        <w:tc>
          <w:tcPr>
            <w:tcW w:w="26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Goldman Sachs CMBS 2007-1</w:t>
            </w:r>
          </w:p>
        </w:tc>
        <w:tc>
          <w:tcPr>
            <w:tcW w:w="228" w:type="dxa"/>
            <w:tcBorders/>
            <w:shd w:fill="auto" w:val="clear"/>
            <w:vAlign w:val="bottom"/>
          </w:tcPr>
          <w:p>
            <w:pPr>
              <w:pStyle w:val="TableContents"/>
              <w:spacing w:before="0" w:after="0"/>
              <w:ind w:left="0" w:right="0" w:hanging="0"/>
              <w:rPr/>
            </w:pPr>
            <w:r>
              <w:rPr/>
              <w:t> </w:t>
            </w:r>
          </w:p>
        </w:tc>
        <w:tc>
          <w:tcPr>
            <w:tcW w:w="15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4,392</w:t>
            </w:r>
          </w:p>
        </w:tc>
        <w:tc>
          <w:tcPr>
            <w:tcW w:w="193" w:type="dxa"/>
            <w:tcBorders/>
            <w:shd w:fill="auto" w:val="clear"/>
            <w:vAlign w:val="bottom"/>
          </w:tcPr>
          <w:p>
            <w:pPr>
              <w:pStyle w:val="TableContents"/>
              <w:spacing w:before="0" w:after="0"/>
              <w:ind w:left="0" w:right="0" w:hanging="0"/>
              <w:rPr/>
            </w:pPr>
            <w:r>
              <w:rPr/>
              <w:t> </w:t>
            </w:r>
          </w:p>
        </w:tc>
      </w:tr>
      <w:tr>
        <w:trPr/>
        <w:tc>
          <w:tcPr>
            <w:tcW w:w="28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7 </w:t>
            </w:r>
          </w:p>
        </w:tc>
        <w:tc>
          <w:tcPr>
            <w:tcW w:w="228" w:type="dxa"/>
            <w:tcBorders/>
            <w:shd w:fill="CCEEFF" w:val="clear"/>
            <w:vAlign w:val="bottom"/>
          </w:tcPr>
          <w:p>
            <w:pPr>
              <w:pStyle w:val="TableContents"/>
              <w:spacing w:before="0" w:after="0"/>
              <w:ind w:left="0" w:right="0" w:hanging="0"/>
              <w:rPr/>
            </w:pPr>
            <w:r>
              <w:rPr/>
              <w:t> </w:t>
            </w:r>
          </w:p>
        </w:tc>
        <w:tc>
          <w:tcPr>
            <w:tcW w:w="26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 T-Note 1.375% 9/30/2018</w:t>
            </w:r>
          </w:p>
        </w:tc>
        <w:tc>
          <w:tcPr>
            <w:tcW w:w="228" w:type="dxa"/>
            <w:tcBorders/>
            <w:shd w:fill="CCEEFF" w:val="clear"/>
            <w:vAlign w:val="bottom"/>
          </w:tcPr>
          <w:p>
            <w:pPr>
              <w:pStyle w:val="TableContents"/>
              <w:spacing w:before="0" w:after="0"/>
              <w:ind w:left="0" w:right="0" w:hanging="0"/>
              <w:rPr/>
            </w:pPr>
            <w:r>
              <w:rPr/>
              <w:t> </w:t>
            </w:r>
          </w:p>
        </w:tc>
        <w:tc>
          <w:tcPr>
            <w:tcW w:w="15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3,951</w:t>
            </w:r>
          </w:p>
        </w:tc>
        <w:tc>
          <w:tcPr>
            <w:tcW w:w="193" w:type="dxa"/>
            <w:tcBorders/>
            <w:shd w:fill="CCEEFF" w:val="clear"/>
            <w:vAlign w:val="bottom"/>
          </w:tcPr>
          <w:p>
            <w:pPr>
              <w:pStyle w:val="TableContents"/>
              <w:spacing w:before="0" w:after="0"/>
              <w:ind w:left="0" w:right="0" w:hanging="0"/>
              <w:rPr/>
            </w:pPr>
            <w:r>
              <w:rPr/>
              <w:t> </w:t>
            </w:r>
          </w:p>
        </w:tc>
      </w:tr>
      <w:tr>
        <w:trPr/>
        <w:tc>
          <w:tcPr>
            <w:tcW w:w="28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8 </w:t>
            </w:r>
          </w:p>
        </w:tc>
        <w:tc>
          <w:tcPr>
            <w:tcW w:w="228" w:type="dxa"/>
            <w:tcBorders/>
            <w:shd w:fill="auto" w:val="clear"/>
            <w:vAlign w:val="bottom"/>
          </w:tcPr>
          <w:p>
            <w:pPr>
              <w:pStyle w:val="TableContents"/>
              <w:spacing w:before="0" w:after="0"/>
              <w:ind w:left="0" w:right="0" w:hanging="0"/>
              <w:rPr/>
            </w:pPr>
            <w:r>
              <w:rPr/>
              <w:t> </w:t>
            </w:r>
          </w:p>
        </w:tc>
        <w:tc>
          <w:tcPr>
            <w:tcW w:w="26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 T-Note 3.625% 2/15/2021</w:t>
            </w:r>
          </w:p>
        </w:tc>
        <w:tc>
          <w:tcPr>
            <w:tcW w:w="228" w:type="dxa"/>
            <w:tcBorders/>
            <w:shd w:fill="auto" w:val="clear"/>
            <w:vAlign w:val="bottom"/>
          </w:tcPr>
          <w:p>
            <w:pPr>
              <w:pStyle w:val="TableContents"/>
              <w:spacing w:before="0" w:after="0"/>
              <w:ind w:left="0" w:right="0" w:hanging="0"/>
              <w:rPr/>
            </w:pPr>
            <w:r>
              <w:rPr/>
              <w:t> </w:t>
            </w:r>
          </w:p>
        </w:tc>
        <w:tc>
          <w:tcPr>
            <w:tcW w:w="15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3,885</w:t>
            </w:r>
          </w:p>
        </w:tc>
        <w:tc>
          <w:tcPr>
            <w:tcW w:w="193" w:type="dxa"/>
            <w:tcBorders/>
            <w:shd w:fill="auto" w:val="clear"/>
            <w:vAlign w:val="bottom"/>
          </w:tcPr>
          <w:p>
            <w:pPr>
              <w:pStyle w:val="TableContents"/>
              <w:spacing w:before="0" w:after="0"/>
              <w:ind w:left="0" w:right="0" w:hanging="0"/>
              <w:rPr/>
            </w:pPr>
            <w:r>
              <w:rPr/>
              <w:t> </w:t>
            </w:r>
          </w:p>
        </w:tc>
      </w:tr>
      <w:tr>
        <w:trPr/>
        <w:tc>
          <w:tcPr>
            <w:tcW w:w="28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9 </w:t>
            </w:r>
          </w:p>
        </w:tc>
        <w:tc>
          <w:tcPr>
            <w:tcW w:w="228" w:type="dxa"/>
            <w:tcBorders/>
            <w:shd w:fill="CCEEFF" w:val="clear"/>
            <w:vAlign w:val="bottom"/>
          </w:tcPr>
          <w:p>
            <w:pPr>
              <w:pStyle w:val="TableContents"/>
              <w:spacing w:before="0" w:after="0"/>
              <w:ind w:left="0" w:right="0" w:hanging="0"/>
              <w:rPr/>
            </w:pPr>
            <w:r>
              <w:rPr/>
              <w:t> </w:t>
            </w:r>
          </w:p>
        </w:tc>
        <w:tc>
          <w:tcPr>
            <w:tcW w:w="26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Freddie Mac 3.0% 30 Yr MBS</w:t>
            </w:r>
          </w:p>
        </w:tc>
        <w:tc>
          <w:tcPr>
            <w:tcW w:w="228" w:type="dxa"/>
            <w:tcBorders/>
            <w:shd w:fill="CCEEFF" w:val="clear"/>
            <w:vAlign w:val="bottom"/>
          </w:tcPr>
          <w:p>
            <w:pPr>
              <w:pStyle w:val="TableContents"/>
              <w:spacing w:before="0" w:after="0"/>
              <w:ind w:left="0" w:right="0" w:hanging="0"/>
              <w:rPr/>
            </w:pPr>
            <w:r>
              <w:rPr/>
              <w:t> </w:t>
            </w:r>
          </w:p>
        </w:tc>
        <w:tc>
          <w:tcPr>
            <w:tcW w:w="15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3,813</w:t>
            </w:r>
          </w:p>
        </w:tc>
        <w:tc>
          <w:tcPr>
            <w:tcW w:w="193" w:type="dxa"/>
            <w:tcBorders/>
            <w:shd w:fill="CCEEFF" w:val="clear"/>
            <w:vAlign w:val="bottom"/>
          </w:tcPr>
          <w:p>
            <w:pPr>
              <w:pStyle w:val="TableContents"/>
              <w:spacing w:before="0" w:after="0"/>
              <w:ind w:left="0" w:right="0" w:hanging="0"/>
              <w:rPr/>
            </w:pPr>
            <w:r>
              <w:rPr/>
              <w:t> </w:t>
            </w:r>
          </w:p>
        </w:tc>
      </w:tr>
      <w:tr>
        <w:trPr/>
        <w:tc>
          <w:tcPr>
            <w:tcW w:w="28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10 </w:t>
            </w:r>
          </w:p>
        </w:tc>
        <w:tc>
          <w:tcPr>
            <w:tcW w:w="228" w:type="dxa"/>
            <w:tcBorders/>
            <w:shd w:fill="auto" w:val="clear"/>
            <w:vAlign w:val="bottom"/>
          </w:tcPr>
          <w:p>
            <w:pPr>
              <w:pStyle w:val="TableContents"/>
              <w:spacing w:before="0" w:after="0"/>
              <w:ind w:left="0" w:right="0" w:hanging="0"/>
              <w:rPr/>
            </w:pPr>
            <w:r>
              <w:rPr/>
              <w:t> </w:t>
            </w:r>
          </w:p>
        </w:tc>
        <w:tc>
          <w:tcPr>
            <w:tcW w:w="26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Scholar Funding ABS 2013-A</w:t>
            </w:r>
          </w:p>
        </w:tc>
        <w:tc>
          <w:tcPr>
            <w:tcW w:w="228" w:type="dxa"/>
            <w:tcBorders/>
            <w:shd w:fill="auto" w:val="clear"/>
            <w:vAlign w:val="bottom"/>
          </w:tcPr>
          <w:p>
            <w:pPr>
              <w:pStyle w:val="TableContents"/>
              <w:spacing w:before="0" w:after="0"/>
              <w:ind w:left="0" w:right="0" w:hanging="0"/>
              <w:rPr/>
            </w:pPr>
            <w:r>
              <w:rPr/>
              <w:t> </w:t>
            </w:r>
          </w:p>
        </w:tc>
        <w:tc>
          <w:tcPr>
            <w:tcW w:w="15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3,331</w:t>
            </w:r>
          </w:p>
        </w:tc>
        <w:tc>
          <w:tcPr>
            <w:tcW w:w="193" w:type="dxa"/>
            <w:tcBorders/>
            <w:shd w:fill="auto" w:val="clear"/>
            <w:vAlign w:val="bottom"/>
          </w:tcPr>
          <w:p>
            <w:pPr>
              <w:pStyle w:val="TableContents"/>
              <w:spacing w:before="0" w:after="0"/>
              <w:ind w:left="0" w:right="0" w:hanging="0"/>
              <w:rPr/>
            </w:pPr>
            <w:r>
              <w:rPr/>
              <w:t> </w:t>
            </w:r>
          </w:p>
        </w:tc>
      </w:tr>
      <w:tr>
        <w:trPr/>
        <w:tc>
          <w:tcPr>
            <w:tcW w:w="289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28" w:type="dxa"/>
            <w:tcBorders/>
            <w:shd w:fill="CCEEFF" w:val="clear"/>
            <w:vAlign w:val="bottom"/>
          </w:tcPr>
          <w:p>
            <w:pPr>
              <w:pStyle w:val="TableContents"/>
              <w:spacing w:before="0" w:after="0"/>
              <w:ind w:left="0" w:right="0" w:hanging="0"/>
              <w:rPr/>
            </w:pPr>
            <w:r>
              <w:rPr/>
              <w:t> </w:t>
            </w:r>
          </w:p>
        </w:tc>
        <w:tc>
          <w:tcPr>
            <w:tcW w:w="2645" w:type="dxa"/>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47,462</w:t>
            </w:r>
          </w:p>
        </w:tc>
        <w:tc>
          <w:tcPr>
            <w:tcW w:w="193" w:type="dxa"/>
            <w:tcBorders/>
            <w:shd w:fill="CCEEFF" w:val="clear"/>
            <w:vAlign w:val="bottom"/>
          </w:tcPr>
          <w:p>
            <w:pPr>
              <w:pStyle w:val="TableContents"/>
              <w:spacing w:before="0" w:after="0"/>
              <w:ind w:left="0" w:right="0" w:hanging="0"/>
              <w:rPr/>
            </w:pPr>
            <w:r>
              <w:rPr/>
              <w:t> </w:t>
            </w:r>
          </w:p>
        </w:tc>
      </w:tr>
      <w:tr>
        <w:trPr/>
        <w:tc>
          <w:tcPr>
            <w:tcW w:w="2891" w:type="dxa"/>
            <w:tcBorders/>
            <w:shd w:fill="auto" w:val="clear"/>
          </w:tcPr>
          <w:p>
            <w:pPr>
              <w:pStyle w:val="TableContents"/>
              <w:spacing w:before="0" w:after="0"/>
              <w:ind w:left="0" w:right="0" w:hanging="0"/>
              <w:rPr/>
            </w:pPr>
            <w:r>
              <w:rPr>
                <w:rFonts w:ascii="Times New Roman" w:hAnsi="Times New Roman"/>
                <w:b/>
                <w:sz w:val="17"/>
              </w:rPr>
              <w:t>Percent of Investment Portfolio</w:t>
            </w:r>
            <w:r>
              <w:rPr/>
              <w:t xml:space="preserve"> </w:t>
            </w:r>
          </w:p>
        </w:tc>
        <w:tc>
          <w:tcPr>
            <w:tcW w:w="228" w:type="dxa"/>
            <w:tcBorders/>
            <w:shd w:fill="auto" w:val="clear"/>
            <w:vAlign w:val="bottom"/>
          </w:tcPr>
          <w:p>
            <w:pPr>
              <w:pStyle w:val="TableContents"/>
              <w:spacing w:before="0" w:after="0"/>
              <w:ind w:left="0" w:right="0" w:hanging="0"/>
              <w:rPr/>
            </w:pPr>
            <w:r>
              <w:rPr/>
              <w:t> </w:t>
            </w:r>
          </w:p>
        </w:tc>
        <w:tc>
          <w:tcPr>
            <w:tcW w:w="2645" w:type="dxa"/>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157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14.3</w:t>
            </w:r>
          </w:p>
        </w:tc>
        <w:tc>
          <w:tcPr>
            <w:tcW w:w="19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46" w:name="PB_33_142416_3020"/>
      <w:bookmarkEnd w:id="4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includes municipal debt securities for states that represent more than 10% of the total municipal bond position as of September 30, 2014:</w:t>
      </w:r>
    </w:p>
    <w:p>
      <w:pPr>
        <w:pStyle w:val="TextBody"/>
        <w:spacing w:before="0" w:after="0"/>
        <w:ind w:left="0" w:right="0" w:hanging="0"/>
        <w:rPr/>
      </w:pPr>
      <w:r>
        <w:rPr/>
        <w:t> </w:t>
      </w:r>
    </w:p>
    <w:tbl>
      <w:tblPr>
        <w:tblW w:w="4150" w:type="pct"/>
        <w:jc w:val="left"/>
        <w:tblInd w:w="0" w:type="dxa"/>
        <w:tblCellMar>
          <w:top w:w="0" w:type="dxa"/>
          <w:left w:w="0" w:type="dxa"/>
          <w:bottom w:w="28" w:type="dxa"/>
          <w:right w:w="0" w:type="dxa"/>
        </w:tblCellMar>
      </w:tblPr>
      <w:tblGrid>
        <w:gridCol w:w="3862"/>
        <w:gridCol w:w="243"/>
        <w:gridCol w:w="114"/>
        <w:gridCol w:w="1151"/>
        <w:gridCol w:w="243"/>
        <w:gridCol w:w="112"/>
        <w:gridCol w:w="1147"/>
        <w:gridCol w:w="243"/>
        <w:gridCol w:w="1255"/>
        <w:gridCol w:w="100"/>
      </w:tblGrid>
      <w:tr>
        <w:trPr/>
        <w:tc>
          <w:tcPr>
            <w:tcW w:w="386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in thousands)</w:t>
            </w:r>
          </w:p>
        </w:tc>
        <w:tc>
          <w:tcPr>
            <w:tcW w:w="243" w:type="dxa"/>
            <w:tcBorders/>
            <w:shd w:fill="auto" w:val="clear"/>
            <w:tcMar>
              <w:bottom w:w="0" w:type="dxa"/>
            </w:tcMar>
            <w:vAlign w:val="bottom"/>
          </w:tcPr>
          <w:p>
            <w:pPr>
              <w:pStyle w:val="TableContents"/>
              <w:spacing w:before="0" w:after="0"/>
              <w:ind w:left="0" w:right="0" w:hanging="0"/>
              <w:jc w:val="center"/>
              <w:rPr/>
            </w:pPr>
            <w:r>
              <w:rPr/>
              <w:t> </w:t>
            </w:r>
          </w:p>
        </w:tc>
        <w:tc>
          <w:tcPr>
            <w:tcW w:w="1265"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43" w:type="dxa"/>
            <w:tcBorders/>
            <w:shd w:fill="auto" w:val="clear"/>
            <w:tcMar>
              <w:bottom w:w="0" w:type="dxa"/>
            </w:tcMar>
            <w:vAlign w:val="bottom"/>
          </w:tcPr>
          <w:p>
            <w:pPr>
              <w:pStyle w:val="TableContents"/>
              <w:spacing w:before="0" w:after="0"/>
              <w:ind w:left="0" w:right="0" w:hanging="0"/>
              <w:jc w:val="center"/>
              <w:rPr/>
            </w:pPr>
            <w:r>
              <w:rPr/>
              <w:t> </w:t>
            </w:r>
          </w:p>
        </w:tc>
        <w:tc>
          <w:tcPr>
            <w:tcW w:w="125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Amortized</w:t>
              <w:br/>
              <w:t>Cost</w:t>
            </w:r>
          </w:p>
        </w:tc>
        <w:tc>
          <w:tcPr>
            <w:tcW w:w="243" w:type="dxa"/>
            <w:tcBorders/>
            <w:shd w:fill="auto" w:val="clear"/>
            <w:tcMar>
              <w:bottom w:w="0" w:type="dxa"/>
            </w:tcMar>
            <w:vAlign w:val="bottom"/>
          </w:tcPr>
          <w:p>
            <w:pPr>
              <w:pStyle w:val="TableContents"/>
              <w:spacing w:before="0" w:after="0"/>
              <w:ind w:left="0" w:right="0" w:hanging="0"/>
              <w:jc w:val="center"/>
              <w:rPr/>
            </w:pPr>
            <w:r>
              <w:rPr/>
              <w:t> </w:t>
            </w:r>
          </w:p>
        </w:tc>
        <w:tc>
          <w:tcPr>
            <w:tcW w:w="125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Credit</w:t>
              <w:br/>
              <w:t>Rating (1), (2)</w:t>
            </w:r>
          </w:p>
        </w:tc>
        <w:tc>
          <w:tcPr>
            <w:tcW w:w="100" w:type="dxa"/>
            <w:tcBorders/>
            <w:shd w:fill="auto" w:val="clear"/>
            <w:tcMar>
              <w:bottom w:w="0" w:type="dxa"/>
            </w:tcMar>
            <w:vAlign w:val="bottom"/>
          </w:tcPr>
          <w:p>
            <w:pPr>
              <w:pStyle w:val="TableContents"/>
              <w:spacing w:before="0" w:after="0"/>
              <w:ind w:left="0" w:right="0" w:hanging="0"/>
              <w:jc w:val="center"/>
              <w:rPr/>
            </w:pPr>
            <w:r>
              <w:rPr/>
              <w:t> </w:t>
            </w:r>
          </w:p>
        </w:tc>
      </w:tr>
      <w:tr>
        <w:trPr/>
        <w:tc>
          <w:tcPr>
            <w:tcW w:w="38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Texas </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pPr>
            <w:r>
              <w:rPr/>
              <w:t> </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shd w:fill="CCEEFF" w:val="clear"/>
            <w:tcMar>
              <w:bottom w:w="0" w:type="dxa"/>
            </w:tcMar>
            <w:vAlign w:val="bottom"/>
          </w:tcPr>
          <w:p>
            <w:pPr>
              <w:pStyle w:val="TableContents"/>
              <w:spacing w:before="0" w:after="0"/>
              <w:ind w:left="0" w:right="0" w:hanging="0"/>
              <w:jc w:val="right"/>
              <w:rPr/>
            </w:pPr>
            <w:r>
              <w:rPr/>
              <w:t> </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right"/>
              <w:rPr/>
            </w:pPr>
            <w:r>
              <w:rPr/>
              <w:t> </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Dallas/Fort Worth International Airport</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1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2,846</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2,678</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A1</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The University of Texas</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2,487</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2,399</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City of Houston TX</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2,412</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2,374</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Aa2</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Cypress-Fairbanks Independent School District</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2,213</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2,207</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Harris County Cultural Education</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2,003</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2,000</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A1</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Alamo Community College District</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1,792</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1,776</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Houston Texas Combined Utility System</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1,714</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1,644</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Aa2</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Alvin Independent School District</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1,287</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1,291</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Texas Transportation Commission</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1,224</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1,190</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County of Dallas TX</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1,136</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1,132</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Pasadena Independent School District</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1,106</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Tarrant County Cultural Education</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1,097</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1,085</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Aa3</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State of Texas Public Finance Authority</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1,078</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1,073</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County of Rockwall TX</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818</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Aa2</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City of El Paso TX</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606</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576</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Aa1</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North Texas Tollway Authority</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A2</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vAlign w:val="bottom"/>
          </w:tcPr>
          <w:p>
            <w:pPr>
              <w:pStyle w:val="TableContents"/>
              <w:spacing w:before="0" w:after="0"/>
              <w:ind w:left="0" w:right="0" w:hanging="0"/>
              <w:rPr/>
            </w:pPr>
            <w:r>
              <w:rPr/>
              <w:t> </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14"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24,321</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12"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23,833</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pPr>
            <w:r>
              <w:rPr/>
              <w:t> </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vAlign w:val="bottom"/>
          </w:tcPr>
          <w:p>
            <w:pPr>
              <w:pStyle w:val="TableContents"/>
              <w:spacing w:before="0" w:after="0"/>
              <w:ind w:left="0" w:right="0" w:hanging="0"/>
              <w:rPr/>
            </w:pPr>
            <w:r>
              <w:rPr/>
              <w:t> </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pPr>
            <w:r>
              <w:rPr/>
              <w:t> </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shd w:fill="CCEEFF" w:val="clear"/>
            <w:tcMar>
              <w:bottom w:w="0" w:type="dxa"/>
            </w:tcMar>
            <w:vAlign w:val="bottom"/>
          </w:tcPr>
          <w:p>
            <w:pPr>
              <w:pStyle w:val="TableContents"/>
              <w:spacing w:before="0" w:after="0"/>
              <w:ind w:left="0" w:right="0" w:hanging="0"/>
              <w:jc w:val="right"/>
              <w:rPr/>
            </w:pPr>
            <w:r>
              <w:rPr/>
              <w:t> </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pPr>
            <w:r>
              <w:rPr/>
              <w:t> </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New York</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pPr>
            <w:r>
              <w:rPr/>
              <w:t> </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9" w:type="dxa"/>
            <w:gridSpan w:val="2"/>
            <w:tcBorders/>
            <w:shd w:fill="auto" w:val="clear"/>
            <w:tcMar>
              <w:bottom w:w="0" w:type="dxa"/>
            </w:tcMar>
            <w:vAlign w:val="bottom"/>
          </w:tcPr>
          <w:p>
            <w:pPr>
              <w:pStyle w:val="TableContents"/>
              <w:spacing w:before="0" w:after="0"/>
              <w:ind w:left="0" w:right="0" w:hanging="0"/>
              <w:jc w:val="right"/>
              <w:rPr/>
            </w:pPr>
            <w:r>
              <w:rPr/>
              <w:t> </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pPr>
            <w:r>
              <w:rPr/>
              <w:t> </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New York City Transitional Finance Authority</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1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3,871</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3,778</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Aa1</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Port Authority of New York &amp; New Jersey</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3,599</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3,483</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Aa3</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New York State Urban Development</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2,815</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2,743</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Aaa</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Metropolitan Transportation Authority</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2,408</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2,310</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A2</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City of New York NY</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2,335</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2,305</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Aa2</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County of Albany NY</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1,907</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1,881</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Aa3</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New York City Water and Sewer System</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1,696</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1,638</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Aa2</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New York State Dormitory Authority</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1,204</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1,145</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Aa2</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Town of Oyster Bay NY</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6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1,164</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1,144</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Aa2</w:t>
            </w:r>
          </w:p>
        </w:tc>
        <w:tc>
          <w:tcPr>
            <w:tcW w:w="100" w:type="dxa"/>
            <w:tcBorders/>
            <w:shd w:fill="CCEEFF" w:val="clear"/>
            <w:tcMar>
              <w:bottom w:w="0" w:type="dxa"/>
            </w:tcMar>
            <w:vAlign w:val="bottom"/>
          </w:tcPr>
          <w:p>
            <w:pPr>
              <w:pStyle w:val="TableContents"/>
              <w:spacing w:before="0" w:after="0"/>
              <w:ind w:left="0" w:right="0" w:hanging="0"/>
              <w:rPr/>
            </w:pPr>
            <w:r>
              <w:rPr/>
              <w:t> </w:t>
            </w:r>
          </w:p>
        </w:tc>
      </w:tr>
      <w:tr>
        <w:trPr/>
        <w:tc>
          <w:tcPr>
            <w:tcW w:w="386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Triborough Bridge &amp; Tunnel Authority</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65"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792</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9"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768</w:t>
            </w:r>
          </w:p>
        </w:tc>
        <w:tc>
          <w:tcPr>
            <w:tcW w:w="243" w:type="dxa"/>
            <w:tcBorders/>
            <w:shd w:fill="auto" w:val="clear"/>
            <w:tcMar>
              <w:bottom w:w="0" w:type="dxa"/>
            </w:tcMar>
            <w:vAlign w:val="bottom"/>
          </w:tcPr>
          <w:p>
            <w:pPr>
              <w:pStyle w:val="TableContents"/>
              <w:spacing w:before="0" w:after="0"/>
              <w:ind w:left="0" w:right="0" w:hanging="0"/>
              <w:rPr/>
            </w:pPr>
            <w:r>
              <w:rPr/>
              <w:t> </w:t>
            </w:r>
          </w:p>
        </w:tc>
        <w:tc>
          <w:tcPr>
            <w:tcW w:w="125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Aa3</w:t>
            </w:r>
          </w:p>
        </w:tc>
        <w:tc>
          <w:tcPr>
            <w:tcW w:w="100" w:type="dxa"/>
            <w:tcBorders/>
            <w:shd w:fill="auto" w:val="clear"/>
            <w:tcMar>
              <w:bottom w:w="0" w:type="dxa"/>
            </w:tcMar>
            <w:vAlign w:val="bottom"/>
          </w:tcPr>
          <w:p>
            <w:pPr>
              <w:pStyle w:val="TableContents"/>
              <w:spacing w:before="0" w:after="0"/>
              <w:ind w:left="0" w:right="0" w:hanging="0"/>
              <w:rPr/>
            </w:pPr>
            <w:r>
              <w:rPr/>
              <w:t> </w:t>
            </w:r>
          </w:p>
        </w:tc>
      </w:tr>
      <w:tr>
        <w:trPr/>
        <w:tc>
          <w:tcPr>
            <w:tcW w:w="3862" w:type="dxa"/>
            <w:tcBorders/>
            <w:shd w:fill="CCEEFF" w:val="clear"/>
            <w:tcMar>
              <w:bottom w:w="0" w:type="dxa"/>
            </w:tcMar>
            <w:vAlign w:val="bottom"/>
          </w:tcPr>
          <w:p>
            <w:pPr>
              <w:pStyle w:val="TableContents"/>
              <w:spacing w:before="0" w:after="0"/>
              <w:ind w:left="0" w:right="0" w:hanging="0"/>
              <w:rPr/>
            </w:pPr>
            <w:r>
              <w:rPr/>
              <w:t> </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14"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21,791</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12"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21,195</w:t>
            </w:r>
          </w:p>
        </w:tc>
        <w:tc>
          <w:tcPr>
            <w:tcW w:w="243" w:type="dxa"/>
            <w:tcBorders/>
            <w:shd w:fill="CCEEFF" w:val="clear"/>
            <w:tcMar>
              <w:bottom w:w="0" w:type="dxa"/>
            </w:tcMar>
            <w:vAlign w:val="bottom"/>
          </w:tcPr>
          <w:p>
            <w:pPr>
              <w:pStyle w:val="TableContents"/>
              <w:spacing w:before="0" w:after="0"/>
              <w:ind w:left="0" w:right="0" w:hanging="0"/>
              <w:rPr/>
            </w:pPr>
            <w:r>
              <w:rPr/>
              <w:t> </w:t>
            </w:r>
          </w:p>
        </w:tc>
        <w:tc>
          <w:tcPr>
            <w:tcW w:w="1255" w:type="dxa"/>
            <w:tcBorders/>
            <w:shd w:fill="CCEEFF" w:val="clear"/>
            <w:tcMar>
              <w:bottom w:w="0" w:type="dxa"/>
            </w:tcMar>
            <w:vAlign w:val="bottom"/>
          </w:tcPr>
          <w:p>
            <w:pPr>
              <w:pStyle w:val="TableContents"/>
              <w:spacing w:before="0" w:after="0"/>
              <w:ind w:left="0" w:right="0" w:hanging="0"/>
              <w:jc w:val="right"/>
              <w:rPr/>
            </w:pPr>
            <w:r>
              <w:rPr/>
              <w:t> </w:t>
            </w:r>
          </w:p>
        </w:tc>
        <w:tc>
          <w:tcPr>
            <w:tcW w:w="100"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None of the above securities include financial guaranty insurance. Certain securities include state enhancements. The above ratings exclude the effect of such state enhancements.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ratings issued by Moodys if available. S&amp;P rating utilized if Moodys is not available.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Contractual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lease office space for use in our operations under leases accounted for as operating leases.  In May 2014, we amended our existing lease agreement for our office space in North Carolina and extended the lease term to 2025.  As a result, our operating lease obligations increased in total by $10.7 million.  As of September 30, 2014, the increased payments are expected to be due as follows: $0.1 due in less than 1 year, $2.0 million due in 1 to 3 years, $2.0 million due in 3 to 5 years, and $6.6 million due in 5 years and later.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do not have any off-balance sheet arrangements or financing activities with special-purpose entities.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47" w:name="PB_34_142747_7748"/>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Quantitative and Qualitative Disclosures About Market Risk</w:t>
      </w:r>
      <w:bookmarkStart w:id="48" w:name="Item3_QuantitativeAndQualitativeD_140126"/>
      <w:bookmarkEnd w:id="4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 xml:space="preserve">Changes to the level of interest rates.  </w:t>
      </w:r>
      <w:r>
        <w:rPr>
          <w:rFonts w:ascii="Times New Roman" w:hAnsi="Times New Roman"/>
          <w:sz w:val="17"/>
        </w:rPr>
        <w:t>Increasing interest rates may reduce the value of certain fixed-rate bonds held in the investment portfolio. Higher rates may cause variable 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 xml:space="preserve">Changes to the term structure of interest rates.  </w:t>
      </w:r>
      <w:r>
        <w:rPr>
          <w:rFonts w:ascii="Times New Roman" w:hAnsi="Times New Roman"/>
          <w:sz w:val="17"/>
        </w:rPr>
        <w:t>Rising or falling rates typically change by different amounts along the yield curve. These changes may have unforeseen impacts on the value of certain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 xml:space="preserve">Market volatility/changes in the real or perceived credit quality of investments.  </w:t>
      </w:r>
      <w:r>
        <w:rPr>
          <w:rFonts w:ascii="Times New Roman" w:hAnsi="Times New Roman"/>
          <w:sz w:val="17"/>
        </w:rPr>
        <w:t>Deterioration in the quality of investments, identified through changes to our own or third party (e.g., rating agency) assessments, will reduce the value and potentially the liquidity of investments.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 xml:space="preserve">Concentration Risk.  </w:t>
      </w:r>
      <w:r>
        <w:rPr>
          <w:rFonts w:ascii="Times New Roman" w:hAnsi="Times New Roman"/>
          <w:sz w:val="17"/>
        </w:rPr>
        <w:t>If the investment portfolio is highly concentrated in one asset, or in multiple assets whose values are highly correlated, the value of the total portfolio may be greatly affected by the change in value of just one asset or a group of highly correlated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 xml:space="preserve">Prepayment Risk.  </w:t>
      </w:r>
      <w:r>
        <w:rPr>
          <w:rFonts w:ascii="Times New Roman" w:hAnsi="Times New Roman"/>
          <w:sz w:val="17"/>
        </w:rPr>
        <w:t>Bonds may have call provisions that permit debtors to repay prior to maturity when it is to their advantage. This typically occurs when rates fall below the interest rate of the debt.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2014, the effective duration of our investment portfolio, including cash, was 3.5 years, which means that an instantaneous parallel shift (movement up or down) in the yield curve of 100 basis points would result in a change of 3.5% in fair value of our investment portfolio. Excluding cash, our investment portfolio effective duration was 4.0 years, which means that an instantaneous parallel shift (movement up or down) in the yield curve of 100 basis points would result in a change of 4.0% in fair value of our investment portfolio.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49" w:name="PB_35_140144_7056"/>
      <w:bookmarkEnd w:id="4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Controls and Procedures</w:t>
      </w:r>
      <w:bookmarkStart w:id="50" w:name="Item4_ControlsAndProcedures_140209"/>
      <w:bookmarkEnd w:id="50"/>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Controls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the end of the period covered by this Quarterly Report.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Changes in Internal Controls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  OTHER INFORMATION</w:t>
      </w:r>
      <w:bookmarkStart w:id="51" w:name="PartiiOtherInformation_140203"/>
      <w:bookmarkEnd w:id="51"/>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Legal Proceedings</w:t>
      </w:r>
      <w:bookmarkStart w:id="52" w:name="Item1_LegalProceedings_140223"/>
      <w:bookmarkEnd w:id="5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not currently subject to any material legal proceedings.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1A.</w:t>
      </w:r>
      <w:r>
        <w:rPr>
          <w:rFonts w:ascii="Times New Roman" w:hAnsi="Times New Roman"/>
        </w:rPr>
        <w:t xml:space="preserve">                                                </w:t>
      </w:r>
      <w:r>
        <w:rPr>
          <w:rFonts w:ascii="Times New Roman" w:hAnsi="Times New Roman"/>
          <w:b/>
          <w:sz w:val="17"/>
        </w:rPr>
        <w:t>Risk Factors</w:t>
      </w:r>
      <w:bookmarkStart w:id="53" w:name="Item1a_RiskFactors_140225"/>
      <w:bookmarkEnd w:id="5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Risk factors that affect our business and financial results are discussed in Part I, Item 1A. Risk Factors in our Annual Report on Form 10-K for the year ended December 31, 2013.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w:t>
      </w:r>
      <w:r>
        <w:rPr>
          <w:rFonts w:ascii="Times New Roman" w:hAnsi="Times New Roman"/>
        </w:rPr>
        <w:t xml:space="preserve">                                                         </w:t>
      </w:r>
      <w:r>
        <w:rPr>
          <w:rFonts w:ascii="Times New Roman" w:hAnsi="Times New Roman"/>
          <w:b/>
          <w:sz w:val="17"/>
        </w:rPr>
        <w:t>Unregistered Sales of Equity Securities and Use of Proceeds</w:t>
      </w:r>
      <w:bookmarkStart w:id="54" w:name="Item2_UnregisteredSalesOfEquitySe_140229"/>
      <w:bookmarkEnd w:id="54"/>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Repurchases of Securities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sets forth information regarding repurchases of our common shares during the three months ended September 30, 2014. All of the shares represent common shares that were tendered to the Company by employees in connection with the vesting of restricted shares to satisfy tax withholding obligations. We do not consider these transactions to be a share buyback program.</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940"/>
        <w:gridCol w:w="171"/>
        <w:gridCol w:w="1378"/>
        <w:gridCol w:w="171"/>
        <w:gridCol w:w="369"/>
        <w:gridCol w:w="1161"/>
        <w:gridCol w:w="171"/>
        <w:gridCol w:w="1779"/>
        <w:gridCol w:w="171"/>
        <w:gridCol w:w="1779"/>
        <w:gridCol w:w="115"/>
      </w:tblGrid>
      <w:tr>
        <w:trPr/>
        <w:tc>
          <w:tcPr>
            <w:tcW w:w="2940"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Period</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137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br/>
              <w:t>Number of</w:t>
              <w:br/>
              <w:t>Shares</w:t>
              <w:br/>
              <w:t>Purchased</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1530"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Price</w:t>
              <w:br/>
              <w:t>Paid Per Share</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177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 Number of</w:t>
              <w:br/>
              <w:t>Shares Purchased</w:t>
              <w:br/>
              <w:t>as Part of Publicly</w:t>
              <w:br/>
              <w:t>Announced Plans</w:t>
              <w:br/>
              <w:t>or Programs</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177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Maximum Number</w:t>
              <w:br/>
              <w:t>of Shares that</w:t>
              <w:br/>
              <w:t>May Yet Be</w:t>
              <w:br/>
              <w:t>Purchased Under</w:t>
              <w:br/>
              <w:t>the Plans or</w:t>
              <w:br/>
              <w:t>Programs</w:t>
            </w:r>
          </w:p>
        </w:tc>
        <w:tc>
          <w:tcPr>
            <w:tcW w:w="115" w:type="dxa"/>
            <w:tcBorders/>
            <w:shd w:fill="auto" w:val="clear"/>
            <w:tcMar>
              <w:bottom w:w="0" w:type="dxa"/>
            </w:tcMar>
            <w:vAlign w:val="bottom"/>
          </w:tcPr>
          <w:p>
            <w:pPr>
              <w:pStyle w:val="TableContents"/>
              <w:spacing w:before="0" w:after="0"/>
              <w:ind w:left="0" w:right="0" w:hanging="0"/>
              <w:jc w:val="center"/>
              <w:rPr/>
            </w:pPr>
            <w:r>
              <w:rPr/>
              <w:t> </w:t>
            </w:r>
          </w:p>
        </w:tc>
      </w:tr>
      <w:tr>
        <w:trPr/>
        <w:tc>
          <w:tcPr>
            <w:tcW w:w="294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July 1 - July 31, 2014 </w:t>
            </w:r>
          </w:p>
        </w:tc>
        <w:tc>
          <w:tcPr>
            <w:tcW w:w="171" w:type="dxa"/>
            <w:tcBorders/>
            <w:shd w:fill="CCEEFF" w:val="clear"/>
            <w:tcMar>
              <w:bottom w:w="0" w:type="dxa"/>
            </w:tcMar>
            <w:vAlign w:val="bottom"/>
          </w:tcPr>
          <w:p>
            <w:pPr>
              <w:pStyle w:val="TableContents"/>
              <w:spacing w:before="0" w:after="0"/>
              <w:ind w:left="0" w:right="0" w:hanging="0"/>
              <w:rPr/>
            </w:pPr>
            <w:r>
              <w:rPr/>
              <w:t> </w:t>
            </w:r>
          </w:p>
        </w:tc>
        <w:tc>
          <w:tcPr>
            <w:tcW w:w="137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tcMar>
              <w:bottom w:w="0" w:type="dxa"/>
            </w:tcMar>
            <w:vAlign w:val="bottom"/>
          </w:tcPr>
          <w:p>
            <w:pPr>
              <w:pStyle w:val="TableContents"/>
              <w:spacing w:before="0" w:after="0"/>
              <w:ind w:left="0" w:right="0" w:hanging="0"/>
              <w:rPr/>
            </w:pPr>
            <w:r>
              <w:rPr/>
              <w:t> </w:t>
            </w:r>
          </w:p>
        </w:tc>
        <w:tc>
          <w:tcPr>
            <w:tcW w:w="36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1"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tcMar>
              <w:bottom w:w="0" w:type="dxa"/>
            </w:tcMar>
            <w:vAlign w:val="bottom"/>
          </w:tcPr>
          <w:p>
            <w:pPr>
              <w:pStyle w:val="TableContents"/>
              <w:spacing w:before="0" w:after="0"/>
              <w:ind w:left="0" w:right="0" w:hanging="0"/>
              <w:rPr/>
            </w:pPr>
            <w:r>
              <w:rPr/>
              <w:t> </w:t>
            </w:r>
          </w:p>
        </w:tc>
        <w:tc>
          <w:tcPr>
            <w:tcW w:w="177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tcMar>
              <w:bottom w:w="0" w:type="dxa"/>
            </w:tcMar>
            <w:vAlign w:val="bottom"/>
          </w:tcPr>
          <w:p>
            <w:pPr>
              <w:pStyle w:val="TableContents"/>
              <w:spacing w:before="0" w:after="0"/>
              <w:ind w:left="0" w:right="0" w:hanging="0"/>
              <w:rPr/>
            </w:pPr>
            <w:r>
              <w:rPr/>
              <w:t> </w:t>
            </w:r>
          </w:p>
        </w:tc>
        <w:tc>
          <w:tcPr>
            <w:tcW w:w="177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294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August 1 - August 31, 2014 </w:t>
            </w:r>
          </w:p>
        </w:tc>
        <w:tc>
          <w:tcPr>
            <w:tcW w:w="171" w:type="dxa"/>
            <w:tcBorders/>
            <w:shd w:fill="auto" w:val="clear"/>
            <w:tcMar>
              <w:bottom w:w="0" w:type="dxa"/>
            </w:tcMar>
            <w:vAlign w:val="bottom"/>
          </w:tcPr>
          <w:p>
            <w:pPr>
              <w:pStyle w:val="TableContents"/>
              <w:spacing w:before="0" w:after="0"/>
              <w:ind w:left="0" w:right="0" w:hanging="0"/>
              <w:rPr/>
            </w:pPr>
            <w:r>
              <w:rPr/>
              <w:t> </w:t>
            </w:r>
          </w:p>
        </w:tc>
        <w:tc>
          <w:tcPr>
            <w:tcW w:w="1378"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631</w:t>
            </w:r>
          </w:p>
        </w:tc>
        <w:tc>
          <w:tcPr>
            <w:tcW w:w="171" w:type="dxa"/>
            <w:tcBorders/>
            <w:shd w:fill="auto" w:val="clear"/>
            <w:tcMar>
              <w:bottom w:w="0" w:type="dxa"/>
            </w:tcMar>
            <w:vAlign w:val="bottom"/>
          </w:tcPr>
          <w:p>
            <w:pPr>
              <w:pStyle w:val="TableContents"/>
              <w:spacing w:before="0" w:after="0"/>
              <w:ind w:left="0" w:right="0" w:hanging="0"/>
              <w:rPr/>
            </w:pPr>
            <w:r>
              <w:rPr/>
              <w:t> </w:t>
            </w:r>
          </w:p>
        </w:tc>
        <w:tc>
          <w:tcPr>
            <w:tcW w:w="153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20.72</w:t>
            </w:r>
          </w:p>
        </w:tc>
        <w:tc>
          <w:tcPr>
            <w:tcW w:w="171" w:type="dxa"/>
            <w:tcBorders/>
            <w:shd w:fill="auto" w:val="clear"/>
            <w:tcMar>
              <w:bottom w:w="0" w:type="dxa"/>
            </w:tcMar>
            <w:vAlign w:val="bottom"/>
          </w:tcPr>
          <w:p>
            <w:pPr>
              <w:pStyle w:val="TableContents"/>
              <w:spacing w:before="0" w:after="0"/>
              <w:ind w:left="0" w:right="0" w:hanging="0"/>
              <w:rPr/>
            </w:pPr>
            <w:r>
              <w:rPr/>
              <w:t> </w:t>
            </w:r>
          </w:p>
        </w:tc>
        <w:tc>
          <w:tcPr>
            <w:tcW w:w="177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tcMar>
              <w:bottom w:w="0" w:type="dxa"/>
            </w:tcMar>
            <w:vAlign w:val="bottom"/>
          </w:tcPr>
          <w:p>
            <w:pPr>
              <w:pStyle w:val="TableContents"/>
              <w:spacing w:before="0" w:after="0"/>
              <w:ind w:left="0" w:right="0" w:hanging="0"/>
              <w:rPr/>
            </w:pPr>
            <w:r>
              <w:rPr/>
              <w:t> </w:t>
            </w:r>
          </w:p>
        </w:tc>
        <w:tc>
          <w:tcPr>
            <w:tcW w:w="177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294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September 1 - September 30, 2014 </w:t>
            </w:r>
          </w:p>
        </w:tc>
        <w:tc>
          <w:tcPr>
            <w:tcW w:w="171" w:type="dxa"/>
            <w:tcBorders/>
            <w:shd w:fill="CCEEFF" w:val="clear"/>
            <w:tcMar>
              <w:bottom w:w="0" w:type="dxa"/>
            </w:tcMar>
            <w:vAlign w:val="bottom"/>
          </w:tcPr>
          <w:p>
            <w:pPr>
              <w:pStyle w:val="TableContents"/>
              <w:spacing w:before="0" w:after="0"/>
              <w:ind w:left="0" w:right="0" w:hanging="0"/>
              <w:rPr/>
            </w:pPr>
            <w:r>
              <w:rPr/>
              <w:t> </w:t>
            </w:r>
          </w:p>
        </w:tc>
        <w:tc>
          <w:tcPr>
            <w:tcW w:w="1378"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1,054</w:t>
            </w:r>
          </w:p>
        </w:tc>
        <w:tc>
          <w:tcPr>
            <w:tcW w:w="171" w:type="dxa"/>
            <w:tcBorders/>
            <w:shd w:fill="CCEEFF" w:val="clear"/>
            <w:tcMar>
              <w:bottom w:w="0" w:type="dxa"/>
            </w:tcMar>
            <w:vAlign w:val="bottom"/>
          </w:tcPr>
          <w:p>
            <w:pPr>
              <w:pStyle w:val="TableContents"/>
              <w:spacing w:before="0" w:after="0"/>
              <w:ind w:left="0" w:right="0" w:hanging="0"/>
              <w:rPr/>
            </w:pPr>
            <w:r>
              <w:rPr/>
              <w:t> </w:t>
            </w:r>
          </w:p>
        </w:tc>
        <w:tc>
          <w:tcPr>
            <w:tcW w:w="153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21.51</w:t>
            </w:r>
          </w:p>
        </w:tc>
        <w:tc>
          <w:tcPr>
            <w:tcW w:w="171" w:type="dxa"/>
            <w:tcBorders/>
            <w:shd w:fill="CCEEFF" w:val="clear"/>
            <w:tcMar>
              <w:bottom w:w="0" w:type="dxa"/>
            </w:tcMar>
            <w:vAlign w:val="bottom"/>
          </w:tcPr>
          <w:p>
            <w:pPr>
              <w:pStyle w:val="TableContents"/>
              <w:spacing w:before="0" w:after="0"/>
              <w:ind w:left="0" w:right="0" w:hanging="0"/>
              <w:rPr/>
            </w:pPr>
            <w:r>
              <w:rPr/>
              <w:t> </w:t>
            </w:r>
          </w:p>
        </w:tc>
        <w:tc>
          <w:tcPr>
            <w:tcW w:w="1779"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tcMar>
              <w:bottom w:w="0" w:type="dxa"/>
            </w:tcMar>
            <w:vAlign w:val="bottom"/>
          </w:tcPr>
          <w:p>
            <w:pPr>
              <w:pStyle w:val="TableContents"/>
              <w:spacing w:before="0" w:after="0"/>
              <w:ind w:left="0" w:right="0" w:hanging="0"/>
              <w:rPr/>
            </w:pPr>
            <w:r>
              <w:rPr/>
              <w:t> </w:t>
            </w:r>
          </w:p>
        </w:tc>
        <w:tc>
          <w:tcPr>
            <w:tcW w:w="1779"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294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171" w:type="dxa"/>
            <w:tcBorders/>
            <w:shd w:fill="auto" w:val="clear"/>
            <w:tcMar>
              <w:bottom w:w="0" w:type="dxa"/>
            </w:tcMar>
            <w:vAlign w:val="bottom"/>
          </w:tcPr>
          <w:p>
            <w:pPr>
              <w:pStyle w:val="TableContents"/>
              <w:spacing w:before="0" w:after="0"/>
              <w:ind w:left="0" w:right="0" w:hanging="0"/>
              <w:rPr/>
            </w:pPr>
            <w:r>
              <w:rPr/>
              <w:t> </w:t>
            </w:r>
          </w:p>
        </w:tc>
        <w:tc>
          <w:tcPr>
            <w:tcW w:w="1378" w:type="dxa"/>
            <w:tcBorders>
              <w:bottom w:val="double" w:sz="6"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1,685</w:t>
            </w:r>
          </w:p>
        </w:tc>
        <w:tc>
          <w:tcPr>
            <w:tcW w:w="171" w:type="dxa"/>
            <w:tcBorders/>
            <w:shd w:fill="auto" w:val="clear"/>
            <w:tcMar>
              <w:bottom w:w="0" w:type="dxa"/>
            </w:tcMar>
            <w:vAlign w:val="bottom"/>
          </w:tcPr>
          <w:p>
            <w:pPr>
              <w:pStyle w:val="TableContents"/>
              <w:spacing w:before="0" w:after="0"/>
              <w:ind w:left="0" w:right="0" w:hanging="0"/>
              <w:rPr/>
            </w:pPr>
            <w:r>
              <w:rPr/>
              <w:t> </w:t>
            </w:r>
          </w:p>
        </w:tc>
        <w:tc>
          <w:tcPr>
            <w:tcW w:w="1530" w:type="dxa"/>
            <w:gridSpan w:val="2"/>
            <w:tcBorders/>
            <w:shd w:fill="auto" w:val="clear"/>
            <w:tcMar>
              <w:bottom w:w="0" w:type="dxa"/>
            </w:tcMar>
            <w:vAlign w:val="bottom"/>
          </w:tcPr>
          <w:p>
            <w:pPr>
              <w:pStyle w:val="TableContents"/>
              <w:spacing w:before="0" w:after="0"/>
              <w:ind w:left="0" w:right="0" w:hanging="0"/>
              <w:jc w:val="right"/>
              <w:rPr/>
            </w:pPr>
            <w:r>
              <w:rPr/>
              <w:t> </w:t>
            </w:r>
          </w:p>
        </w:tc>
        <w:tc>
          <w:tcPr>
            <w:tcW w:w="171" w:type="dxa"/>
            <w:tcBorders/>
            <w:shd w:fill="auto" w:val="clear"/>
            <w:tcMar>
              <w:bottom w:w="0" w:type="dxa"/>
            </w:tcMar>
            <w:vAlign w:val="bottom"/>
          </w:tcPr>
          <w:p>
            <w:pPr>
              <w:pStyle w:val="TableContents"/>
              <w:spacing w:before="0" w:after="0"/>
              <w:ind w:left="0" w:right="0" w:hanging="0"/>
              <w:rPr/>
            </w:pPr>
            <w:r>
              <w:rPr/>
              <w:t> </w:t>
            </w:r>
          </w:p>
        </w:tc>
        <w:tc>
          <w:tcPr>
            <w:tcW w:w="1779" w:type="dxa"/>
            <w:tcBorders>
              <w:bottom w:val="double" w:sz="6"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tcMar>
              <w:bottom w:w="0" w:type="dxa"/>
            </w:tcMar>
            <w:vAlign w:val="bottom"/>
          </w:tcPr>
          <w:p>
            <w:pPr>
              <w:pStyle w:val="TableContents"/>
              <w:spacing w:before="0" w:after="0"/>
              <w:ind w:left="0" w:right="0" w:hanging="0"/>
              <w:rPr/>
            </w:pPr>
            <w:r>
              <w:rPr/>
              <w:t> </w:t>
            </w:r>
          </w:p>
        </w:tc>
        <w:tc>
          <w:tcPr>
            <w:tcW w:w="1779" w:type="dxa"/>
            <w:tcBorders>
              <w:bottom w:val="double" w:sz="6"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2940"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1378"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369" w:type="dxa"/>
            <w:tcBorders/>
            <w:shd w:fill="auto" w:val="clear"/>
            <w:tcMar>
              <w:bottom w:w="0" w:type="dxa"/>
            </w:tcMar>
            <w:vAlign w:val="center"/>
          </w:tcPr>
          <w:p>
            <w:pPr>
              <w:pStyle w:val="TableContents"/>
              <w:spacing w:before="0" w:after="283"/>
              <w:rPr>
                <w:sz w:val="4"/>
                <w:szCs w:val="4"/>
              </w:rPr>
            </w:pPr>
            <w:r>
              <w:rPr>
                <w:sz w:val="4"/>
                <w:szCs w:val="4"/>
              </w:rPr>
            </w:r>
          </w:p>
        </w:tc>
        <w:tc>
          <w:tcPr>
            <w:tcW w:w="1161"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1779"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1779" w:type="dxa"/>
            <w:tcBorders/>
            <w:shd w:fill="auto" w:val="clear"/>
            <w:tcMar>
              <w:bottom w:w="0" w:type="dxa"/>
            </w:tcMar>
            <w:vAlign w:val="center"/>
          </w:tcPr>
          <w:p>
            <w:pPr>
              <w:pStyle w:val="TableContents"/>
              <w:spacing w:before="0" w:after="283"/>
              <w:rPr>
                <w:sz w:val="4"/>
                <w:szCs w:val="4"/>
              </w:rPr>
            </w:pPr>
            <w:r>
              <w:rPr>
                <w:sz w:val="4"/>
                <w:szCs w:val="4"/>
              </w:rPr>
            </w:r>
          </w:p>
        </w:tc>
        <w:tc>
          <w:tcPr>
            <w:tcW w:w="115"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Use of Proceeds from Initial Public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On November 5, 2013, we completed an initial public offering of an aggregate of 22,666,635 Common Shares at a price of $17.00 per share for an aggregate offering price of $385,332,795. On that date, we issued and sold 19,956,517 shares, including 2,956,517 shares pursuant to the underwriters exercise of their option to purchase additional shares, and certain of our shareholders sold an additional 2,710,118 shares, and the offering terminated. Goldman, Sachs &amp; Co., J.P. Morgan Securities LLC, and Barclays Capital Inc. served as joint representatives of the several underwriters for the offering. As a result of the initial public offering, we raised approximately $313.7 million in net proceeds, after deducting underwriting discounts and commissions of approximately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55" w:name="PB_36_140449_5335"/>
      <w:bookmarkEnd w:id="5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$21.5 million and estimated expenses in connection with the offering of approximately $4 million. We did not receive any proceeds from the sale of shares by the selling shareholders. No payments were made by us to our directors, officers or any of their associates, persons owning 10% or more of our Common Shares, or their associates, or our affiliates, except for approximately $11.7 million that was paid in the aggregate in underwriting discounts and commissions to Goldman, Sachs &amp; Co. and J.P. Morgan Securities LLC, affiliates of which owned more than 11% and 8%, respectively, of our outstanding capital immediately prior to our initial public offering. We believe that the services performed by Goldman, Sachs &amp; Co. and J.P. Morgan Securities LLC in connection with the above offering were provided on terms no more or less favorable than those with unrelated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2014, we have contributed in the aggregate approximately $277 million (including approximately $127 million during the three months ended September 30, 2014) of our net proceeds from the offering to our U.S. insurance subsidiaries and Essent Re as capital investments. The remaining portion of the net proceeds has been utilized as temporary investments in cash and marketable securities. There has been no material change in the planned use of proceeds from our initial public offering as described in our final prospectus filed with the SEC pursuant to Rule 424(b).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5.</w:t>
      </w:r>
      <w:r>
        <w:rPr>
          <w:rFonts w:ascii="Times New Roman" w:hAnsi="Times New Roman"/>
        </w:rPr>
        <w:t xml:space="preserve">                                                         </w:t>
      </w:r>
      <w:r>
        <w:rPr>
          <w:rFonts w:ascii="Times New Roman" w:hAnsi="Times New Roman"/>
          <w:b/>
          <w:sz w:val="17"/>
        </w:rPr>
        <w:t>Other Information</w:t>
      </w:r>
      <w:bookmarkStart w:id="56" w:name="Item5_OtherInformation_031156"/>
      <w:bookmarkEnd w:id="5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November 11, 2014, Adolfo F. Marzol, our executive vice president, announced that he will retire effective March 31, 2015.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6.</w:t>
      </w:r>
      <w:r>
        <w:rPr>
          <w:rFonts w:ascii="Times New Roman" w:hAnsi="Times New Roman"/>
        </w:rPr>
        <w:t xml:space="preserve">                                                         </w:t>
      </w:r>
      <w:r>
        <w:rPr>
          <w:rFonts w:ascii="Times New Roman" w:hAnsi="Times New Roman"/>
          <w:b/>
          <w:sz w:val="17"/>
        </w:rPr>
        <w:t>Exhibits</w:t>
      </w:r>
      <w:bookmarkStart w:id="57" w:name="Item6_Exhibits_140233"/>
      <w:bookmarkEnd w:id="57"/>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Exhibits: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24"/>
        <w:gridCol w:w="205"/>
        <w:gridCol w:w="9176"/>
      </w:tblGrid>
      <w:tr>
        <w:trPr/>
        <w:tc>
          <w:tcPr>
            <w:tcW w:w="824"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w:t>
              <w:br/>
              <w:t>No.</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917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r>
      <w:tr>
        <w:trPr/>
        <w:tc>
          <w:tcPr>
            <w:tcW w:w="8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917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Registration Rights Agreement, dated as of November 11, 2014, among Essent Group Ltd. and the shareholders parties thereto</w:t>
            </w:r>
          </w:p>
        </w:tc>
      </w:tr>
      <w:tr>
        <w:trPr/>
        <w:tc>
          <w:tcPr>
            <w:tcW w:w="8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31.1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917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Certification of Chief Executive Officer required by Rule 13a-14(a) or Rule 15d-14(a) of the Securities Exchange Act of 1934, as adopted pursuant to Section 302 of the Sarbanes-Oxley Act of 2002</w:t>
            </w:r>
          </w:p>
        </w:tc>
      </w:tr>
      <w:tr>
        <w:trPr/>
        <w:tc>
          <w:tcPr>
            <w:tcW w:w="8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31.2</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917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Certification of Chief Financial Officer required by Rule 13a-14(a) or Rule 15d-14(a) of the Securities Exchange Act of 1934, as adopted pursuant to Section 302 of the Sarbanes-Oxley Act of 2002</w:t>
            </w:r>
          </w:p>
        </w:tc>
      </w:tr>
      <w:tr>
        <w:trPr/>
        <w:tc>
          <w:tcPr>
            <w:tcW w:w="8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32.1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917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Certification of Chief Executive Officer and Chief Financial Officer pursuant to 18 U.S.C. 1350, as adopted pursuant to Section 906 of the Sarbanes-Oxley Act of 2002</w:t>
            </w:r>
          </w:p>
        </w:tc>
      </w:tr>
      <w:tr>
        <w:trPr/>
        <w:tc>
          <w:tcPr>
            <w:tcW w:w="8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917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The following financial information from this Quarterly Report on Form 10-Q for the quarter ended September 30, 2014, formatted in XBRL (Extensible Business Reporting Language) and filed electronically herewith: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 tagged as blocks of text.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822"/>
        <w:gridCol w:w="204"/>
        <w:gridCol w:w="9179"/>
      </w:tblGrid>
      <w:tr>
        <w:trPr/>
        <w:tc>
          <w:tcPr>
            <w:tcW w:w="8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4" w:type="dxa"/>
            <w:tcBorders/>
            <w:shd w:fill="auto" w:val="clear"/>
            <w:vAlign w:val="bottom"/>
          </w:tcPr>
          <w:p>
            <w:pPr>
              <w:pStyle w:val="TableContents"/>
              <w:spacing w:before="0" w:after="0"/>
              <w:ind w:left="0" w:right="0" w:hanging="0"/>
              <w:rPr/>
            </w:pPr>
            <w:r>
              <w:rPr/>
              <w:t> </w:t>
            </w:r>
          </w:p>
        </w:tc>
        <w:tc>
          <w:tcPr>
            <w:tcW w:w="91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Pursuant to applicable securities laws and regulations, this interactive data file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those sections.</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58" w:name="PB_37_140635_5796"/>
      <w:bookmarkEnd w:id="5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bookmarkStart w:id="59" w:name="Signatures_140239"/>
      <w:bookmarkEnd w:id="59"/>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 on the date indicated.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ESSENT GROUP LTD.</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14, 2014</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MARK A. CASALE</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Mark A. Casale</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President, Chief Executive Officer and Chairman</w:t>
              <w:br/>
              <w:t>(Principal Executive Officer)</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14, 2014</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LAWRENCE E. MCALEE</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Lawrence E. McAlee</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Senior Vice President and Chief Financial Officer</w:t>
              <w:br/>
              <w:t>(Principal Financial Officer)</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14, 2014</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DAVID B. WEINSTOCK</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B. Weinstock</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Vice President and Chief Accounting Officer </w:t>
              <w:br/>
              <w:t>(Principal Accounting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60" w:name="PB_38_140914_7056"/>
      <w:bookmarkEnd w:id="6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bookmarkStart w:id="61" w:name="Exhibitindex_140246"/>
      <w:bookmarkEnd w:id="61"/>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824"/>
        <w:gridCol w:w="205"/>
        <w:gridCol w:w="9176"/>
      </w:tblGrid>
      <w:tr>
        <w:trPr/>
        <w:tc>
          <w:tcPr>
            <w:tcW w:w="824"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w:t>
              <w:br/>
              <w:t>No.</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917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r>
      <w:tr>
        <w:trPr/>
        <w:tc>
          <w:tcPr>
            <w:tcW w:w="8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917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Registration Rights Agreement, dated as of November 11, 2014, among Essent Group Ltd. and the shareholders parties thereto.</w:t>
            </w:r>
          </w:p>
        </w:tc>
      </w:tr>
      <w:tr>
        <w:trPr/>
        <w:tc>
          <w:tcPr>
            <w:tcW w:w="8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31.1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917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Certification of Chief Executive Officer required by Rule 13a-14(a) or Rule 15d-14(a) of the Securities Exchange Act of 1934, as adopted pursuant to Section 302 of the Sarbanes-Oxley Act of 2002</w:t>
            </w:r>
          </w:p>
        </w:tc>
      </w:tr>
      <w:tr>
        <w:trPr/>
        <w:tc>
          <w:tcPr>
            <w:tcW w:w="8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31.2</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917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Certification of Chief Financial Officer required by Rule 13a-14(a) or Rule 15d-14(a) of the Securities Exchange Act of 1934, as adopted pursuant to Section 302 of the Sarbanes-Oxley Act of 2002</w:t>
            </w:r>
          </w:p>
        </w:tc>
      </w:tr>
      <w:tr>
        <w:trPr/>
        <w:tc>
          <w:tcPr>
            <w:tcW w:w="8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32.1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917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Certification of Chief Executive Officer and Chief Financial Officer pursuant to 18 U.S.C. 1350, as adopted pursuant to Section 906 of the Sarbanes-Oxley Act of 2002</w:t>
            </w:r>
          </w:p>
        </w:tc>
      </w:tr>
      <w:tr>
        <w:trPr/>
        <w:tc>
          <w:tcPr>
            <w:tcW w:w="82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9176"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The following financial information from this Quarterly Report on Form 10-Q for the quarter ended September 30, 2014, formatted in XBRL (Extensible Business Reporting Language) and filed electronically herewith: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 tagged as blocks of text.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822"/>
        <w:gridCol w:w="204"/>
        <w:gridCol w:w="9179"/>
      </w:tblGrid>
      <w:tr>
        <w:trPr/>
        <w:tc>
          <w:tcPr>
            <w:tcW w:w="82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4" w:type="dxa"/>
            <w:tcBorders/>
            <w:shd w:fill="auto" w:val="clear"/>
            <w:vAlign w:val="bottom"/>
          </w:tcPr>
          <w:p>
            <w:pPr>
              <w:pStyle w:val="TableContents"/>
              <w:spacing w:before="0" w:after="0"/>
              <w:ind w:left="0" w:right="0" w:hanging="0"/>
              <w:rPr/>
            </w:pPr>
            <w:r>
              <w:rPr/>
              <w:t> </w:t>
            </w:r>
          </w:p>
        </w:tc>
        <w:tc>
          <w:tcPr>
            <w:tcW w:w="91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Pursuant to applicable securities laws and regulations, this interactive data file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those sections.</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62" w:name="PB_39_141003_5335"/>
      <w:bookmarkEnd w:id="62"/>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63" w:name="a14-19645_1ex4d1.htm"/>
      <w:bookmarkStart w:id="64" w:name="ksa1419645_1ex4d1"/>
      <w:bookmarkEnd w:id="63"/>
      <w:bookmarkEnd w:id="64"/>
      <w:r>
        <w:rPr>
          <w:rFonts w:ascii="Times New Roman" w:hAnsi="Times New Roman"/>
          <w:b/>
          <w:sz w:val="17"/>
        </w:rPr>
        <w:t>Exhibit 4.1</w:t>
      </w:r>
    </w:p>
    <w:p>
      <w:pPr>
        <w:pStyle w:val="TextBody"/>
        <w:spacing w:before="0" w:after="0"/>
        <w:ind w:left="0" w:right="0" w:hanging="0"/>
        <w:jc w:val="center"/>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ESSENT GROUP LTD.</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THIRD AMENDED AND RESTATED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REGISTRATION RIGHTS AGREEMENT</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Dated as of November 11, 2014</w:t>
      </w:r>
    </w:p>
    <w:p>
      <w:pPr>
        <w:pStyle w:val="TextBody"/>
        <w:spacing w:before="0" w:after="0"/>
        <w:ind w:left="0" w:right="0" w:hanging="0"/>
        <w:jc w:val="center"/>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THIRD AMENDED AND RESTATED</w:t>
      </w:r>
    </w:p>
    <w:p>
      <w:pPr>
        <w:pStyle w:val="TextBody"/>
        <w:spacing w:before="0" w:after="0"/>
        <w:ind w:left="0" w:right="0" w:hanging="0"/>
        <w:jc w:val="center"/>
        <w:rPr>
          <w:rFonts w:ascii="Times New Roman" w:hAnsi="Times New Roman"/>
          <w:b/>
          <w:sz w:val="17"/>
        </w:rPr>
      </w:pPr>
      <w:r>
        <w:rPr>
          <w:rFonts w:ascii="Times New Roman" w:hAnsi="Times New Roman"/>
          <w:b/>
          <w:sz w:val="17"/>
        </w:rPr>
        <w:t>REGISTRATION RIGHTS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THIRD AMENDED AND RESTATED REGISTRATION RIGHTS AGREEMENT (this </w:t>
      </w:r>
      <w:r>
        <w:rPr>
          <w:rFonts w:ascii="Times New Roman" w:hAnsi="Times New Roman"/>
          <w:b/>
          <w:i/>
          <w:sz w:val="17"/>
        </w:rPr>
        <w:t>Agreement</w:t>
      </w:r>
      <w:r>
        <w:rPr>
          <w:rFonts w:ascii="Times New Roman" w:hAnsi="Times New Roman"/>
          <w:sz w:val="17"/>
        </w:rPr>
        <w:t>), dated as of November 11, 2014, by and among Essent Group Ltd., a limited liability company organized under the laws of Bermuda (the </w:t>
      </w:r>
      <w:r>
        <w:rPr>
          <w:rFonts w:ascii="Times New Roman" w:hAnsi="Times New Roman"/>
          <w:b/>
          <w:i/>
          <w:sz w:val="17"/>
        </w:rPr>
        <w:t>Company</w:t>
      </w:r>
      <w:r>
        <w:rPr>
          <w:rFonts w:ascii="Times New Roman" w:hAnsi="Times New Roman"/>
          <w:sz w:val="17"/>
        </w:rPr>
        <w:t xml:space="preserve">) and the Persons (as defined below) set forth on </w:t>
      </w:r>
      <w:r>
        <w:rPr>
          <w:rFonts w:ascii="Times New Roman" w:hAnsi="Times New Roman"/>
          <w:sz w:val="17"/>
          <w:u w:val="single"/>
        </w:rPr>
        <w:t>Exhibit A</w:t>
      </w:r>
      <w:r>
        <w:rPr>
          <w:rFonts w:ascii="Times New Roman" w:hAnsi="Times New Roman"/>
          <w:sz w:val="17"/>
        </w:rPr>
        <w:t xml:space="preserve"> attached hereto (the </w:t>
      </w:r>
      <w:r>
        <w:rPr>
          <w:rFonts w:ascii="Times New Roman" w:hAnsi="Times New Roman"/>
          <w:b/>
          <w:i/>
          <w:sz w:val="17"/>
        </w:rPr>
        <w:t>Shareholders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RECITALS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Company and the Shareholders are parties to the second amended and restated registration rights agreement, dated as of October 3, 2013 (the </w:t>
      </w:r>
      <w:r>
        <w:rPr>
          <w:rFonts w:ascii="Times New Roman" w:hAnsi="Times New Roman"/>
          <w:b/>
          <w:i/>
          <w:sz w:val="17"/>
        </w:rPr>
        <w:t>Existing Registration Rights Agreement</w:t>
      </w:r>
      <w:r>
        <w:rPr>
          <w:rFonts w:ascii="Times New Roman" w:hAnsi="Times New Roman"/>
          <w:sz w:val="17"/>
        </w:rPr>
        <w:t>), pursuant to which the Company granted certain registration rights to the Shareholders;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Company and the Shareholders desire to amend and restate the Existing Registration Rights Agreement in its entirety as set forth 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NOW, THEREFORE, in consideration of the mutual promises and covenants hereinafter set forth, the parties hereto hereby agree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w:t>
      </w:r>
      <w:r>
        <w:rPr>
          <w:rFonts w:ascii="Times New Roman" w:hAnsi="Times New Roman"/>
        </w:rPr>
        <w:t xml:space="preserve">                                           </w:t>
      </w:r>
      <w:r>
        <w:rPr>
          <w:rFonts w:ascii="Times New Roman" w:hAnsi="Times New Roman"/>
          <w:sz w:val="17"/>
          <w:u w:val="single"/>
        </w:rPr>
        <w:t>Certain Definitions</w:t>
      </w:r>
      <w:r>
        <w:rPr>
          <w:rFonts w:ascii="Times New Roman" w:hAnsi="Times New Roman"/>
          <w:sz w:val="17"/>
        </w:rPr>
        <w:t>.  As used in this Agreement, the following terms shall have the following respective meanings; other terms are defined in the text of this Agreement and shall have the respective meanings ascribed to them therein: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w:t>
      </w:r>
      <w:r>
        <w:rPr>
          <w:rFonts w:ascii="Times New Roman" w:hAnsi="Times New Roman"/>
        </w:rPr>
        <w:t xml:space="preserve">                               </w:t>
      </w:r>
      <w:r>
        <w:rPr>
          <w:rFonts w:ascii="Times New Roman" w:hAnsi="Times New Roman"/>
          <w:sz w:val="17"/>
        </w:rPr>
        <w:t></w:t>
      </w:r>
      <w:r>
        <w:rPr>
          <w:rFonts w:ascii="Times New Roman" w:hAnsi="Times New Roman"/>
          <w:b/>
          <w:i/>
          <w:sz w:val="17"/>
        </w:rPr>
        <w:t>Affiliate</w:t>
      </w:r>
      <w:r>
        <w:rPr>
          <w:rFonts w:ascii="Times New Roman" w:hAnsi="Times New Roman"/>
          <w:sz w:val="17"/>
        </w:rPr>
        <w:t xml:space="preserve"> means, with respect to the Company or any other specified Person, any Person directly or indirectly controlling, controlled by or under direct or indirect common control with the Company or other specified Person (including, for purposes of Section 3 of the Shareholders Agreement, in the case of any Shareholder, or any investment fund or account under common investment management); </w:t>
      </w:r>
      <w:r>
        <w:rPr>
          <w:rFonts w:ascii="Times New Roman" w:hAnsi="Times New Roman"/>
          <w:sz w:val="17"/>
          <w:u w:val="single"/>
        </w:rPr>
        <w:t>provided</w:t>
      </w:r>
      <w:r>
        <w:rPr>
          <w:rFonts w:ascii="Times New Roman" w:hAnsi="Times New Roman"/>
          <w:sz w:val="17"/>
        </w:rPr>
        <w:t>, that no Shareholder shall be deemed to be an Affiliate of the Company unless such Shareholder owns more than fifty percent (50%) of the outstanding voting securities of the Company or has the ability, by contract or otherwise, to designate a majority of the members of the Companys board of directors.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1.2</w:t>
      </w:r>
      <w:r>
        <w:rPr>
          <w:rFonts w:ascii="Times New Roman" w:hAnsi="Times New Roman"/>
        </w:rPr>
        <w:t xml:space="preserve">                               </w:t>
      </w:r>
      <w:r>
        <w:rPr>
          <w:rFonts w:ascii="Times New Roman" w:hAnsi="Times New Roman"/>
          <w:sz w:val="17"/>
        </w:rPr>
        <w:t></w:t>
      </w:r>
      <w:r>
        <w:rPr>
          <w:rFonts w:ascii="Times New Roman" w:hAnsi="Times New Roman"/>
          <w:b/>
          <w:i/>
          <w:sz w:val="17"/>
        </w:rPr>
        <w:t>Bye-laws</w:t>
      </w:r>
      <w:r>
        <w:rPr>
          <w:rFonts w:ascii="Times New Roman" w:hAnsi="Times New Roman"/>
          <w:sz w:val="17"/>
        </w:rPr>
        <w:t> means the Bye-laws of the Company, as amended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1.3</w:t>
      </w:r>
      <w:r>
        <w:rPr>
          <w:rFonts w:ascii="Times New Roman" w:hAnsi="Times New Roman"/>
        </w:rPr>
        <w:t xml:space="preserve">                               </w:t>
      </w:r>
      <w:r>
        <w:rPr>
          <w:rFonts w:ascii="Times New Roman" w:hAnsi="Times New Roman"/>
          <w:sz w:val="17"/>
        </w:rPr>
        <w:t></w:t>
      </w:r>
      <w:r>
        <w:rPr>
          <w:rFonts w:ascii="Times New Roman" w:hAnsi="Times New Roman"/>
          <w:b/>
          <w:i/>
          <w:sz w:val="17"/>
        </w:rPr>
        <w:t>Class A Common Shares</w:t>
      </w:r>
      <w:r>
        <w:rPr>
          <w:rFonts w:ascii="Times New Roman" w:hAnsi="Times New Roman"/>
          <w:sz w:val="17"/>
        </w:rPr>
        <w:t> means the Class A Common Shares as defined in the Companys Second Amended and Restated Bye-laws.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1.4</w:t>
      </w:r>
      <w:r>
        <w:rPr>
          <w:rFonts w:ascii="Times New Roman" w:hAnsi="Times New Roman"/>
        </w:rPr>
        <w:t xml:space="preserve">                               </w:t>
      </w:r>
      <w:r>
        <w:rPr>
          <w:rFonts w:ascii="Times New Roman" w:hAnsi="Times New Roman"/>
          <w:sz w:val="17"/>
        </w:rPr>
        <w:t></w:t>
      </w:r>
      <w:r>
        <w:rPr>
          <w:rFonts w:ascii="Times New Roman" w:hAnsi="Times New Roman"/>
          <w:b/>
          <w:i/>
          <w:sz w:val="17"/>
        </w:rPr>
        <w:t>Class A Registrable Shares</w:t>
      </w:r>
      <w:r>
        <w:rPr>
          <w:rFonts w:ascii="Times New Roman" w:hAnsi="Times New Roman"/>
          <w:sz w:val="17"/>
        </w:rPr>
        <w:t xml:space="preserve"> means (a) the Common Shares into which each Class A Common Share held by any Shareholder (whether now owned or hereafter acquired) has been converted or is then convertible and (b) any other Common Shares of the Company issued in respect of the shares described in clause (a) above because of share splits, share dividends, reclassifications, recapitalizations, reorganizations or other similar events; </w:t>
      </w:r>
      <w:r>
        <w:rPr>
          <w:rFonts w:ascii="Times New Roman" w:hAnsi="Times New Roman"/>
          <w:sz w:val="17"/>
          <w:u w:val="single"/>
        </w:rPr>
        <w:t>provided</w:t>
      </w:r>
      <w:r>
        <w:rPr>
          <w:rFonts w:ascii="Times New Roman" w:hAnsi="Times New Roman"/>
          <w:sz w:val="17"/>
        </w:rPr>
        <w:t>, however, that Common Shares that are Class A Registrable Shares shall cease to be Class A Registrable Shares (x) upon any sale by the holders thereof pursuant to a Registration Statement or Rule 144 under the Securities Act (other than any sale under Rule 144 to 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65" w:name="PB_2_082026_7056"/>
      <w:bookmarkEnd w:id="6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Affiliate), or (y) upon any sale in any manner to a Person which, by virtue of Section 16 hereof, is not entitled to the rights provided by this Agreement.  Wherever reference is made in this Agreement to a request or consent of holders of a certain percentage of Class A Registrable Shares, the determination of such percentage shall include Common Shares issued or issuable upon conversion of the Class A Common Shares even if such conversion has not yet been effected.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1.5</w:t>
      </w:r>
      <w:r>
        <w:rPr>
          <w:rFonts w:ascii="Times New Roman" w:hAnsi="Times New Roman"/>
        </w:rPr>
        <w:t xml:space="preserve">                               </w:t>
      </w:r>
      <w:r>
        <w:rPr>
          <w:rFonts w:ascii="Times New Roman" w:hAnsi="Times New Roman"/>
          <w:sz w:val="17"/>
        </w:rPr>
        <w:t></w:t>
      </w:r>
      <w:r>
        <w:rPr>
          <w:rFonts w:ascii="Times New Roman" w:hAnsi="Times New Roman"/>
          <w:b/>
          <w:i/>
          <w:sz w:val="17"/>
        </w:rPr>
        <w:t>Class B-2 Common Shares</w:t>
      </w:r>
      <w:r>
        <w:rPr>
          <w:rFonts w:ascii="Times New Roman" w:hAnsi="Times New Roman"/>
          <w:sz w:val="17"/>
        </w:rPr>
        <w:t> means the Class B-2 Common Shares as defined in the Companys Second Amended and Restated Bye-laws.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1.6</w:t>
      </w:r>
      <w:r>
        <w:rPr>
          <w:rFonts w:ascii="Times New Roman" w:hAnsi="Times New Roman"/>
        </w:rPr>
        <w:t xml:space="preserve">                               </w:t>
      </w:r>
      <w:r>
        <w:rPr>
          <w:rFonts w:ascii="Times New Roman" w:hAnsi="Times New Roman"/>
          <w:sz w:val="17"/>
        </w:rPr>
        <w:t></w:t>
      </w:r>
      <w:r>
        <w:rPr>
          <w:rFonts w:ascii="Times New Roman" w:hAnsi="Times New Roman"/>
          <w:b/>
          <w:i/>
          <w:sz w:val="17"/>
        </w:rPr>
        <w:t>Commission</w:t>
      </w:r>
      <w:r>
        <w:rPr>
          <w:rFonts w:ascii="Times New Roman" w:hAnsi="Times New Roman"/>
          <w:sz w:val="17"/>
        </w:rPr>
        <w:t> means the United States Securities and Exchange Commission, or any other federal agency at the time administering the Securities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w:t>
      </w:r>
      <w:r>
        <w:rPr>
          <w:rFonts w:ascii="Times New Roman" w:hAnsi="Times New Roman"/>
        </w:rPr>
        <w:t xml:space="preserve">                               </w:t>
      </w:r>
      <w:r>
        <w:rPr>
          <w:rFonts w:ascii="Times New Roman" w:hAnsi="Times New Roman"/>
          <w:sz w:val="17"/>
        </w:rPr>
        <w:t></w:t>
      </w:r>
      <w:r>
        <w:rPr>
          <w:rFonts w:ascii="Times New Roman" w:hAnsi="Times New Roman"/>
          <w:b/>
          <w:i/>
          <w:sz w:val="17"/>
        </w:rPr>
        <w:t>Common Shares</w:t>
      </w:r>
      <w:r>
        <w:rPr>
          <w:rFonts w:ascii="Times New Roman" w:hAnsi="Times New Roman"/>
          <w:sz w:val="17"/>
        </w:rPr>
        <w:t> means the Class B-1 Common Shares as defined in the Companys Second Amended and Restated Bye-laws or, to the extent the Bye-laws provide for a single class of common shares, the Common Shares as defined in the Bye-Laws.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1.8</w:t>
      </w:r>
      <w:r>
        <w:rPr>
          <w:rFonts w:ascii="Times New Roman" w:hAnsi="Times New Roman"/>
        </w:rPr>
        <w:t xml:space="preserve">                               </w:t>
      </w:r>
      <w:r>
        <w:rPr>
          <w:rFonts w:ascii="Times New Roman" w:hAnsi="Times New Roman"/>
          <w:sz w:val="17"/>
        </w:rPr>
        <w:t></w:t>
      </w:r>
      <w:r>
        <w:rPr>
          <w:rFonts w:ascii="Times New Roman" w:hAnsi="Times New Roman"/>
          <w:b/>
          <w:i/>
          <w:sz w:val="17"/>
        </w:rPr>
        <w:t>Defaulting Investor</w:t>
      </w:r>
      <w:r>
        <w:rPr>
          <w:rFonts w:ascii="Times New Roman" w:hAnsi="Times New Roman"/>
          <w:sz w:val="17"/>
        </w:rPr>
        <w:t xml:space="preserve"> except as otherwise provided in the Subscription Agreement, means any Shareholder that has at any time declined or otherwise failed to fund its </w:t>
      </w:r>
      <w:r>
        <w:rPr>
          <w:rFonts w:ascii="Times New Roman" w:hAnsi="Times New Roman"/>
          <w:i/>
          <w:sz w:val="17"/>
        </w:rPr>
        <w:t>pro rata</w:t>
      </w:r>
      <w:r>
        <w:rPr>
          <w:rFonts w:ascii="Times New Roman" w:hAnsi="Times New Roman"/>
          <w:sz w:val="17"/>
        </w:rPr>
        <w:t xml:space="preserve"> portion of any Draw in accordance with the terms and conditions set forth in the Subscription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1.9</w:t>
      </w:r>
      <w:r>
        <w:rPr>
          <w:rFonts w:ascii="Times New Roman" w:hAnsi="Times New Roman"/>
        </w:rPr>
        <w:t xml:space="preserve">                               </w:t>
      </w:r>
      <w:r>
        <w:rPr>
          <w:rFonts w:ascii="Times New Roman" w:hAnsi="Times New Roman"/>
          <w:sz w:val="17"/>
        </w:rPr>
        <w:t></w:t>
      </w:r>
      <w:r>
        <w:rPr>
          <w:rFonts w:ascii="Times New Roman" w:hAnsi="Times New Roman"/>
          <w:b/>
          <w:i/>
          <w:sz w:val="17"/>
        </w:rPr>
        <w:t>Draw</w:t>
      </w:r>
      <w:r>
        <w:rPr>
          <w:rFonts w:ascii="Times New Roman" w:hAnsi="Times New Roman"/>
          <w:sz w:val="17"/>
        </w:rPr>
        <w:t> shall have the meaning ascribed to such term in the Subscription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1.10</w:t>
      </w:r>
      <w:r>
        <w:rPr>
          <w:rFonts w:ascii="Times New Roman" w:hAnsi="Times New Roman"/>
        </w:rPr>
        <w:t xml:space="preserve">                        </w:t>
      </w:r>
      <w:r>
        <w:rPr>
          <w:rFonts w:ascii="Times New Roman" w:hAnsi="Times New Roman"/>
          <w:sz w:val="17"/>
        </w:rPr>
        <w:t></w:t>
      </w:r>
      <w:r>
        <w:rPr>
          <w:rFonts w:ascii="Times New Roman" w:hAnsi="Times New Roman"/>
          <w:b/>
          <w:i/>
          <w:sz w:val="17"/>
        </w:rPr>
        <w:t>Exchange Act</w:t>
      </w:r>
      <w:r>
        <w:rPr>
          <w:rFonts w:ascii="Times New Roman" w:hAnsi="Times New Roman"/>
          <w:sz w:val="17"/>
        </w:rPr>
        <w:t> means the United States Securities Exchange Act of 1934, as amended.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1.11</w:t>
      </w:r>
      <w:r>
        <w:rPr>
          <w:rFonts w:ascii="Times New Roman" w:hAnsi="Times New Roman"/>
        </w:rPr>
        <w:t xml:space="preserve">                        </w:t>
      </w:r>
      <w:r>
        <w:rPr>
          <w:rFonts w:ascii="Times New Roman" w:hAnsi="Times New Roman"/>
          <w:sz w:val="17"/>
        </w:rPr>
        <w:t></w:t>
      </w:r>
      <w:r>
        <w:rPr>
          <w:rFonts w:ascii="Times New Roman" w:hAnsi="Times New Roman"/>
          <w:b/>
          <w:i/>
          <w:sz w:val="17"/>
        </w:rPr>
        <w:t>GS</w:t>
      </w:r>
      <w:r>
        <w:rPr>
          <w:rFonts w:ascii="Times New Roman" w:hAnsi="Times New Roman"/>
          <w:sz w:val="17"/>
        </w:rPr>
        <w:t> means The Goldman Sachs Group, Inc., together with any Affiliates to which it transfers Company securities from time to time in accordance with Section 3 of the Shareholders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1.12</w:t>
      </w:r>
      <w:r>
        <w:rPr>
          <w:rFonts w:ascii="Times New Roman" w:hAnsi="Times New Roman"/>
        </w:rPr>
        <w:t xml:space="preserve">                        </w:t>
      </w:r>
      <w:r>
        <w:rPr>
          <w:rFonts w:ascii="Times New Roman" w:hAnsi="Times New Roman"/>
          <w:sz w:val="17"/>
        </w:rPr>
        <w:t></w:t>
      </w:r>
      <w:r>
        <w:rPr>
          <w:rFonts w:ascii="Times New Roman" w:hAnsi="Times New Roman"/>
          <w:b/>
          <w:i/>
          <w:sz w:val="17"/>
        </w:rPr>
        <w:t>Initiating Shareholders</w:t>
      </w:r>
      <w:r>
        <w:rPr>
          <w:rFonts w:ascii="Times New Roman" w:hAnsi="Times New Roman"/>
          <w:sz w:val="17"/>
        </w:rPr>
        <w:t> means, in each case so long as they are not a Defaulting Investor, (a) on up to three (3) separate occasions, Pine Brook or its successors or permitted assigns, (b) on up to three (3) separate occasions, GS or its successors or permitted assigns, (c) in each case on up to one (1) occasion, each other Shareholder or their respective successors or permitted assigns and (d) on up to three (3) separate occasions, the Shareholders (other than any Defaulting Investors) holding at least fifteen percent (15%) of the then issued and outstanding Class A Registrable Shares (without taking into account any Class A Registrable Shares held by Defaulting Investors). For the avoidance of doubt, each occasion set forth herein may be used for either a registration requested under Section 3.1 or a Shelf Takedown (as defined below) requested under Section 3.3, but each Shareholder shall only have the number of occasions set forth above in the aggregate for demands under both Section 3.1 and Section 3.3.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1.13</w:t>
      </w:r>
      <w:r>
        <w:rPr>
          <w:rFonts w:ascii="Times New Roman" w:hAnsi="Times New Roman"/>
        </w:rPr>
        <w:t xml:space="preserve">                        </w:t>
      </w:r>
      <w:r>
        <w:rPr>
          <w:rFonts w:ascii="Times New Roman" w:hAnsi="Times New Roman"/>
          <w:sz w:val="17"/>
        </w:rPr>
        <w:t></w:t>
      </w:r>
      <w:r>
        <w:rPr>
          <w:rFonts w:ascii="Times New Roman" w:hAnsi="Times New Roman"/>
          <w:b/>
          <w:i/>
          <w:sz w:val="17"/>
        </w:rPr>
        <w:t>Institutional Investors</w:t>
      </w:r>
      <w:r>
        <w:rPr>
          <w:rFonts w:ascii="Times New Roman" w:hAnsi="Times New Roman"/>
          <w:sz w:val="17"/>
        </w:rPr>
        <w:t> means each of Pine Brook, GS, Valorina LLC, CWA Re, Aldermanbury Investments Limited, RenaissanceRe Ventures Ltd., PPF Holdings II Ltd., Ithan Creek Master Investors (Cayman) L.P., Ithan Creek Master Investment Partnership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66" w:name="PB_3_082043_5335"/>
      <w:bookmarkEnd w:id="6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(Cayman) II, L.P., HSBC Equity Partners USA, L.P. and HSBC Private Equity Partners II USA LP, and, in each case, their permitted successors and assigns.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1.14</w:t>
      </w:r>
      <w:r>
        <w:rPr>
          <w:rFonts w:ascii="Times New Roman" w:hAnsi="Times New Roman"/>
        </w:rPr>
        <w:t xml:space="preserve">                        </w:t>
      </w:r>
      <w:r>
        <w:rPr>
          <w:rFonts w:ascii="Times New Roman" w:hAnsi="Times New Roman"/>
          <w:sz w:val="17"/>
        </w:rPr>
        <w:t></w:t>
      </w:r>
      <w:r>
        <w:rPr>
          <w:rFonts w:ascii="Times New Roman" w:hAnsi="Times New Roman"/>
          <w:b/>
          <w:i/>
          <w:sz w:val="17"/>
        </w:rPr>
        <w:t>Major Investor</w:t>
      </w:r>
      <w:r>
        <w:rPr>
          <w:rFonts w:ascii="Times New Roman" w:hAnsi="Times New Roman"/>
          <w:sz w:val="17"/>
        </w:rPr>
        <w:t> means, subject to Section 3(b) of the Shareholders Agreement, for so long as they continue to hold Company securities and are not a Defaulting Investor, each of Pine Brook and 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1.15</w:t>
      </w:r>
      <w:r>
        <w:rPr>
          <w:rFonts w:ascii="Times New Roman" w:hAnsi="Times New Roman"/>
        </w:rPr>
        <w:t xml:space="preserve">                        </w:t>
      </w:r>
      <w:r>
        <w:rPr>
          <w:rFonts w:ascii="Times New Roman" w:hAnsi="Times New Roman"/>
          <w:sz w:val="17"/>
        </w:rPr>
        <w:t></w:t>
      </w:r>
      <w:r>
        <w:rPr>
          <w:rFonts w:ascii="Times New Roman" w:hAnsi="Times New Roman"/>
          <w:b/>
          <w:i/>
          <w:sz w:val="17"/>
        </w:rPr>
        <w:t>Member</w:t>
      </w:r>
      <w:r>
        <w:rPr>
          <w:rFonts w:ascii="Times New Roman" w:hAnsi="Times New Roman"/>
          <w:sz w:val="17"/>
        </w:rPr>
        <w:t> shall have the meaning ascribed to such term in the Bye-laws.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1.16</w:t>
      </w:r>
      <w:r>
        <w:rPr>
          <w:rFonts w:ascii="Times New Roman" w:hAnsi="Times New Roman"/>
        </w:rPr>
        <w:t xml:space="preserve">                        </w:t>
      </w:r>
      <w:r>
        <w:rPr>
          <w:rFonts w:ascii="Times New Roman" w:hAnsi="Times New Roman"/>
          <w:sz w:val="17"/>
        </w:rPr>
        <w:t></w:t>
      </w:r>
      <w:r>
        <w:rPr>
          <w:rFonts w:ascii="Times New Roman" w:hAnsi="Times New Roman"/>
          <w:b/>
          <w:i/>
          <w:sz w:val="17"/>
        </w:rPr>
        <w:t>Other Registrable Shares</w:t>
      </w:r>
      <w:r>
        <w:rPr>
          <w:rFonts w:ascii="Times New Roman" w:hAnsi="Times New Roman"/>
          <w:sz w:val="17"/>
        </w:rPr>
        <w:t xml:space="preserve"> means any Common Shares held by any Shareholder as of the consummation of the Companys initial public offering of its equity securities other than Class A Registrable Shares; </w:t>
      </w:r>
      <w:r>
        <w:rPr>
          <w:rFonts w:ascii="Times New Roman" w:hAnsi="Times New Roman"/>
          <w:sz w:val="17"/>
          <w:u w:val="single"/>
        </w:rPr>
        <w:t>provided</w:t>
      </w:r>
      <w:r>
        <w:rPr>
          <w:rFonts w:ascii="Times New Roman" w:hAnsi="Times New Roman"/>
          <w:sz w:val="17"/>
        </w:rPr>
        <w:t>, however, that Common Shares that are Other Registrable Shares shall cease to be Other Registrable Shares (x) upon any sale by the holders thereof pursuant to a Registration Statement or Rule 144 under the Securities Act (other than any sale under Rule 144 to an Affiliate), or (y) upon any sale in any manner to a Person which, by virtue of Section 16 hereof, is not entitled to the rights provided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1.17</w:t>
      </w:r>
      <w:r>
        <w:rPr>
          <w:rFonts w:ascii="Times New Roman" w:hAnsi="Times New Roman"/>
        </w:rPr>
        <w:t xml:space="preserve">                        </w:t>
      </w:r>
      <w:r>
        <w:rPr>
          <w:rFonts w:ascii="Times New Roman" w:hAnsi="Times New Roman"/>
          <w:sz w:val="17"/>
        </w:rPr>
        <w:t></w:t>
      </w:r>
      <w:r>
        <w:rPr>
          <w:rFonts w:ascii="Times New Roman" w:hAnsi="Times New Roman"/>
          <w:b/>
          <w:i/>
          <w:sz w:val="17"/>
        </w:rPr>
        <w:t>Person</w:t>
      </w:r>
      <w:r>
        <w:rPr>
          <w:rFonts w:ascii="Times New Roman" w:hAnsi="Times New Roman"/>
          <w:sz w:val="17"/>
        </w:rPr>
        <w:t> means an individual, partnership, corporation, limited liability company, association, trust, joint venture, unincorporated organization or other entity and any government, governmental department or agency or political subdivision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1.18</w:t>
      </w:r>
      <w:r>
        <w:rPr>
          <w:rFonts w:ascii="Times New Roman" w:hAnsi="Times New Roman"/>
        </w:rPr>
        <w:t xml:space="preserve">                        </w:t>
      </w:r>
      <w:r>
        <w:rPr>
          <w:rFonts w:ascii="Times New Roman" w:hAnsi="Times New Roman"/>
          <w:sz w:val="17"/>
        </w:rPr>
        <w:t></w:t>
      </w:r>
      <w:r>
        <w:rPr>
          <w:rFonts w:ascii="Times New Roman" w:hAnsi="Times New Roman"/>
          <w:b/>
          <w:i/>
          <w:sz w:val="17"/>
        </w:rPr>
        <w:t>Pine Brook</w:t>
      </w:r>
      <w:r>
        <w:rPr>
          <w:rFonts w:ascii="Times New Roman" w:hAnsi="Times New Roman"/>
          <w:sz w:val="17"/>
        </w:rPr>
        <w:t> means Essent Intermediate, L.P., together with any Affiliates to which it transfers Company securities from time to time in accordance with Section 3 of the Shareholders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1.19</w:t>
      </w:r>
      <w:r>
        <w:rPr>
          <w:rFonts w:ascii="Times New Roman" w:hAnsi="Times New Roman"/>
        </w:rPr>
        <w:t xml:space="preserve">                        </w:t>
      </w:r>
      <w:r>
        <w:rPr>
          <w:rFonts w:ascii="Times New Roman" w:hAnsi="Times New Roman"/>
          <w:sz w:val="17"/>
        </w:rPr>
        <w:t></w:t>
      </w:r>
      <w:r>
        <w:rPr>
          <w:rFonts w:ascii="Times New Roman" w:hAnsi="Times New Roman"/>
          <w:b/>
          <w:i/>
          <w:sz w:val="17"/>
        </w:rPr>
        <w:t>Registrable Shares</w:t>
      </w:r>
      <w:r>
        <w:rPr>
          <w:rFonts w:ascii="Times New Roman" w:hAnsi="Times New Roman"/>
          <w:sz w:val="17"/>
        </w:rPr>
        <w:t> means the Class A Registrable Shares and the Other Registrable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1.20</w:t>
      </w:r>
      <w:r>
        <w:rPr>
          <w:rFonts w:ascii="Times New Roman" w:hAnsi="Times New Roman"/>
        </w:rPr>
        <w:t xml:space="preserve">                        </w:t>
      </w:r>
      <w:r>
        <w:rPr>
          <w:rFonts w:ascii="Times New Roman" w:hAnsi="Times New Roman"/>
          <w:sz w:val="17"/>
        </w:rPr>
        <w:t></w:t>
      </w:r>
      <w:r>
        <w:rPr>
          <w:rFonts w:ascii="Times New Roman" w:hAnsi="Times New Roman"/>
          <w:b/>
          <w:i/>
          <w:sz w:val="17"/>
        </w:rPr>
        <w:t>Registration Statement</w:t>
      </w:r>
      <w:r>
        <w:rPr>
          <w:rFonts w:ascii="Times New Roman" w:hAnsi="Times New Roman"/>
          <w:sz w:val="17"/>
        </w:rPr>
        <w:t> means a registration statement filed by the Company with the Commission for a public offering and sale of securities of the Company (other than a registration statement on Form S-8 or Form S-4, or their successors).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1.21</w:t>
      </w:r>
      <w:r>
        <w:rPr>
          <w:rFonts w:ascii="Times New Roman" w:hAnsi="Times New Roman"/>
        </w:rPr>
        <w:t xml:space="preserve">                        </w:t>
      </w:r>
      <w:r>
        <w:rPr>
          <w:rFonts w:ascii="Times New Roman" w:hAnsi="Times New Roman"/>
          <w:sz w:val="17"/>
        </w:rPr>
        <w:t></w:t>
      </w:r>
      <w:r>
        <w:rPr>
          <w:rFonts w:ascii="Times New Roman" w:hAnsi="Times New Roman"/>
          <w:b/>
          <w:i/>
          <w:sz w:val="17"/>
        </w:rPr>
        <w:t>Reinsurance Draw</w:t>
      </w:r>
      <w:r>
        <w:rPr>
          <w:rFonts w:ascii="Times New Roman" w:hAnsi="Times New Roman"/>
          <w:sz w:val="17"/>
        </w:rPr>
        <w:t> shall have the meaning ascribed to such term in the Subscription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1.22</w:t>
      </w:r>
      <w:r>
        <w:rPr>
          <w:rFonts w:ascii="Times New Roman" w:hAnsi="Times New Roman"/>
        </w:rPr>
        <w:t xml:space="preserve">                        </w:t>
      </w:r>
      <w:r>
        <w:rPr>
          <w:rFonts w:ascii="Times New Roman" w:hAnsi="Times New Roman"/>
          <w:sz w:val="17"/>
        </w:rPr>
        <w:t></w:t>
      </w:r>
      <w:r>
        <w:rPr>
          <w:rFonts w:ascii="Times New Roman" w:hAnsi="Times New Roman"/>
          <w:b/>
          <w:i/>
          <w:sz w:val="17"/>
        </w:rPr>
        <w:t>Required Holders</w:t>
      </w:r>
      <w:r>
        <w:rPr>
          <w:rFonts w:ascii="Times New Roman" w:hAnsi="Times New Roman"/>
          <w:sz w:val="17"/>
        </w:rPr>
        <w:t> means, at any time, (i) Shareholders holding at least sixty-six and two-thirds percent (66 2/3%) of the Common Shares issued or issuable upon conversion of the Class A Common Shares and (ii) each of the Major Investors (excluding any Major Investor that is a Defaulting Investor).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1.23</w:t>
      </w:r>
      <w:r>
        <w:rPr>
          <w:rFonts w:ascii="Times New Roman" w:hAnsi="Times New Roman"/>
        </w:rPr>
        <w:t xml:space="preserve">                        </w:t>
      </w:r>
      <w:r>
        <w:rPr>
          <w:rFonts w:ascii="Times New Roman" w:hAnsi="Times New Roman"/>
          <w:sz w:val="17"/>
        </w:rPr>
        <w:t></w:t>
      </w:r>
      <w:r>
        <w:rPr>
          <w:rFonts w:ascii="Times New Roman" w:hAnsi="Times New Roman"/>
          <w:b/>
          <w:i/>
          <w:sz w:val="17"/>
        </w:rPr>
        <w:t>Securities Act</w:t>
      </w:r>
      <w:r>
        <w:rPr>
          <w:rFonts w:ascii="Times New Roman" w:hAnsi="Times New Roman"/>
          <w:sz w:val="17"/>
        </w:rPr>
        <w:t> means the United Stated Securities Act of 1933, as amended.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1.24</w:t>
      </w:r>
      <w:r>
        <w:rPr>
          <w:rFonts w:ascii="Times New Roman" w:hAnsi="Times New Roman"/>
        </w:rPr>
        <w:t xml:space="preserve">                        </w:t>
      </w:r>
      <w:r>
        <w:rPr>
          <w:rFonts w:ascii="Times New Roman" w:hAnsi="Times New Roman"/>
          <w:sz w:val="17"/>
        </w:rPr>
        <w:t></w:t>
      </w:r>
      <w:r>
        <w:rPr>
          <w:rFonts w:ascii="Times New Roman" w:hAnsi="Times New Roman"/>
          <w:b/>
          <w:i/>
          <w:sz w:val="17"/>
        </w:rPr>
        <w:t>Shareholders Agreement</w:t>
      </w:r>
      <w:r>
        <w:rPr>
          <w:rFonts w:ascii="Times New Roman" w:hAnsi="Times New Roman"/>
          <w:sz w:val="17"/>
        </w:rPr>
        <w:t> means the Shareholders Agreement, dated as of February 6, 2009, among the Company and the shareholders listed on Exhibit A thereto, as amended from time to time.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67" w:name="PB_4_082053_5796"/>
      <w:bookmarkEnd w:id="6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1.25</w:t>
      </w:r>
      <w:r>
        <w:rPr>
          <w:rFonts w:ascii="Times New Roman" w:hAnsi="Times New Roman"/>
        </w:rPr>
        <w:t xml:space="preserve">                        </w:t>
      </w:r>
      <w:r>
        <w:rPr>
          <w:rFonts w:ascii="Times New Roman" w:hAnsi="Times New Roman"/>
          <w:sz w:val="17"/>
        </w:rPr>
        <w:t></w:t>
      </w:r>
      <w:r>
        <w:rPr>
          <w:rFonts w:ascii="Times New Roman" w:hAnsi="Times New Roman"/>
          <w:b/>
          <w:i/>
          <w:sz w:val="17"/>
        </w:rPr>
        <w:t>Subscription Agreement</w:t>
      </w:r>
      <w:r>
        <w:rPr>
          <w:rFonts w:ascii="Times New Roman" w:hAnsi="Times New Roman"/>
          <w:sz w:val="17"/>
        </w:rPr>
        <w:t> means the Amended and Restated Subscription Agreement, dated March 25, 2010, among the Company and the shareholders listed on Schedule A thereto, as amended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1.26</w:t>
      </w:r>
      <w:r>
        <w:rPr>
          <w:rFonts w:ascii="Times New Roman" w:hAnsi="Times New Roman"/>
        </w:rPr>
        <w:t xml:space="preserve">                        </w:t>
      </w:r>
      <w:r>
        <w:rPr>
          <w:rFonts w:ascii="Times New Roman" w:hAnsi="Times New Roman"/>
          <w:sz w:val="17"/>
        </w:rPr>
        <w:t>To the extent Commonwealth Annuity and Life Reinsurance Company Limited (</w:t>
      </w:r>
      <w:r>
        <w:rPr>
          <w:rFonts w:ascii="Times New Roman" w:hAnsi="Times New Roman"/>
          <w:b/>
          <w:i/>
          <w:sz w:val="17"/>
        </w:rPr>
        <w:t>CWA Re</w:t>
      </w:r>
      <w:r>
        <w:rPr>
          <w:rFonts w:ascii="Times New Roman" w:hAnsi="Times New Roman"/>
          <w:sz w:val="17"/>
        </w:rPr>
        <w:t>) has become a Major Investor pursuant to Section 3(b) of the Shareholders Agreement, references herein to GS shall be deemed to instead refer to CWA 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w:t>
      </w:r>
      <w:r>
        <w:rPr>
          <w:rFonts w:ascii="Times New Roman" w:hAnsi="Times New Roman"/>
        </w:rPr>
        <w:t xml:space="preserve">                                           </w:t>
      </w:r>
      <w:r>
        <w:rPr>
          <w:rFonts w:ascii="Times New Roman" w:hAnsi="Times New Roman"/>
          <w:sz w:val="17"/>
          <w:u w:val="single"/>
        </w:rPr>
        <w:t>Legend</w:t>
      </w:r>
      <w:r>
        <w:rPr>
          <w:rFonts w:ascii="Times New Roman" w:hAnsi="Times New Roman"/>
          <w:sz w:val="17"/>
        </w:rPr>
        <w:t>.  In addition to the legends required by any other agreement to which the holder of such certificate is a party, each certificate representing the Registrable Shares shall bear a legend substantially in the following form: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SECURITIES REPRESENTED BY THIS CERTIFICATE ARE SUBJECT TO THE TERMS AND CONDITIONS OF A CERTAIN REGISTRATION RIGHTS AGREEMENT, AS AMENDED FROM TIME TO TIME, BY AND AMONG THE SHAREHOLDER, THE COMPANY AND CERTAIN OTHER SHAREHOLDERS, A COPY OF WHICH IS AVAILABLE FOR EXAMINATION AT THE REGISTERED OFFICE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w:t>
      </w:r>
      <w:r>
        <w:rPr>
          <w:rFonts w:ascii="Times New Roman" w:hAnsi="Times New Roman"/>
        </w:rPr>
        <w:t xml:space="preserve">                                           </w:t>
      </w:r>
      <w:r>
        <w:rPr>
          <w:rFonts w:ascii="Times New Roman" w:hAnsi="Times New Roman"/>
          <w:sz w:val="17"/>
          <w:u w:val="single"/>
        </w:rPr>
        <w:t>Required Registrations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3.1</w:t>
      </w:r>
      <w:r>
        <w:rPr>
          <w:rFonts w:ascii="Times New Roman" w:hAnsi="Times New Roman"/>
        </w:rPr>
        <w:t xml:space="preserve">                               </w:t>
      </w:r>
      <w:r>
        <w:rPr>
          <w:rFonts w:ascii="Times New Roman" w:hAnsi="Times New Roman"/>
          <w:sz w:val="17"/>
        </w:rPr>
        <w:t>At any time after six (6) months after the consummation of the Companys initial public offering of its equity securities, the Initiating Shareholders may request in writing, on up to that number of separate occasions provided in the definition of Initiating Shareholders, that the Company effect a registration on Form S-1 (or any successor form) of Class A Registrable Shares owned by one or more Shareholders.  If the Initiating Shareholders intend to distribute the Class A Registrable Shares by means of an underwriting, they shall so advise the Company in their request.  In the event such registration is underwritten, the right of other Shareholders to participate in such registration shall be conditioned on such Shareholders participation in such underwriting on the same terms and conditions.  Upon receipt of any such request from the Initiating Shareholders, the Company shall promptly give written notice of such proposed registration to all other Shareholders.  Such other Shareholders (other than any Shareholder that has at any time defaulted on its obligations in respect of a Reinsurance Draw) shall have the right, by giving written notice to the Company within thirty (30) days after the Company provides its notice, to elect to have included in such registration such of their Class A Registrable Shares as such Shareholders may request in such notice of election.  All Shareholders proposing to distribute their Class A Registrable Shares through such underwriting shall enter into an underwriting agreement in customary form with an underwriter or underwriters that is mutually agreeable to the Company and the Shareholders holding a majority-in-interest of the Class A Registrable Shares that the Shareholders requested for inclusion in such registration.  The Company shall, at its own expense and as expeditiously as possible, use its best efforts to effect the registration, on Form S-1 (or any successor form), of all Class A Registrable Shares that the Company has been requested to so register.  If the underwriter advises the holders of Registrable Shares requesting registration hereunder that, in its good faith view, marketing factors require a limitation of the number of shares to be underwritten, then the Company shall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68" w:name="PB_5_082106_2897"/>
      <w:bookmarkEnd w:id="6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exclude from such registration (a) first, securities held by any Person who does not have any contractual rights to cause the Company to register such securities (including, without limitation, any Shareholder that has at any time defaulted on its obligations in respect of a Reinsurance Draw), (b) second, securities held by any Person with such contractual rights other than those granted under this Agreement, (c) third, shares held by any Defaulting Investors </w:t>
      </w:r>
      <w:r>
        <w:rPr>
          <w:rFonts w:ascii="Times New Roman" w:hAnsi="Times New Roman"/>
          <w:i/>
          <w:sz w:val="17"/>
        </w:rPr>
        <w:t>pro rata</w:t>
      </w:r>
      <w:r>
        <w:rPr>
          <w:rFonts w:ascii="Times New Roman" w:hAnsi="Times New Roman"/>
          <w:sz w:val="17"/>
        </w:rPr>
        <w:t xml:space="preserve"> among such Defaulting Investors on the basis of the respective number of Class A Registrable Shares owned by such holders requesting to be included in such registration, (d) fourth, shares held by the holders of Class A Registrable Shares who are Institutional Investors (other than any Defaulting Investors) </w:t>
      </w:r>
      <w:r>
        <w:rPr>
          <w:rFonts w:ascii="Times New Roman" w:hAnsi="Times New Roman"/>
          <w:i/>
          <w:sz w:val="17"/>
        </w:rPr>
        <w:t>pro rata</w:t>
      </w:r>
      <w:r>
        <w:rPr>
          <w:rFonts w:ascii="Times New Roman" w:hAnsi="Times New Roman"/>
          <w:sz w:val="17"/>
        </w:rPr>
        <w:t xml:space="preserve"> among such holders on the basis of the respective number of Class A Registrable Shares owned by such holders requesting to be included in such registration, and (e) fifth, shares held by the holders of Class A Registrable Shares who are not Institutional Investors </w:t>
      </w:r>
      <w:r>
        <w:rPr>
          <w:rFonts w:ascii="Times New Roman" w:hAnsi="Times New Roman"/>
          <w:i/>
          <w:sz w:val="17"/>
        </w:rPr>
        <w:t xml:space="preserve">pro rata </w:t>
      </w:r>
      <w:r>
        <w:rPr>
          <w:rFonts w:ascii="Times New Roman" w:hAnsi="Times New Roman"/>
          <w:sz w:val="17"/>
        </w:rPr>
        <w:t>among such holders on the basis of the respective number of Class A Registrable Shares requested by them to be included in such registration.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Notwithstanding the foregoing, the Company shall not be obligated to file a Registration Statement relating to any registration request under this Section 3.1 (i) unless the aggregate gross proceeds of the Registrable Shares to be sold in such offering is reasonably expected to be at least $50 million and (ii) within a period of ninety (90) days (or such lesser period as the managing underwriters in an underwritten offering may permit) after the effective date of any other Registration Statement relating to any registration requested under this Section 3.1 or Section 4.1.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any Registration Statement requested pursuant to this Section 3.1 does not become effective or, after any Registration Statement requested pursuant to this Section 3.1 becomes effective, less than fifty percent (50%) of the Class A Registrable Shares requested to be included in such registration have been sold thereunder, the request for such registration shall not be included as one of the registrations or Shelf Takedowns (as defined below) that may be requested pursuant to this Section 3.1 or Section 3.3 and shall be at the sole expense of the Company (other than, for the avoidance of doubt, applicable underwriting discounts and commissions).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3.2</w:t>
      </w:r>
      <w:r>
        <w:rPr>
          <w:rFonts w:ascii="Times New Roman" w:hAnsi="Times New Roman"/>
        </w:rPr>
        <w:t xml:space="preserve">                               </w:t>
      </w:r>
      <w:r>
        <w:rPr>
          <w:rFonts w:ascii="Times New Roman" w:hAnsi="Times New Roman"/>
          <w:sz w:val="17"/>
        </w:rPr>
        <w:t>The Company shall prepare and file a Registration Statement on Form S-3 (or any successor form relating to secondary offerings, hereinafter, </w:t>
      </w:r>
      <w:r>
        <w:rPr>
          <w:rFonts w:ascii="Times New Roman" w:hAnsi="Times New Roman"/>
          <w:b/>
          <w:i/>
          <w:sz w:val="17"/>
        </w:rPr>
        <w:t>Shelf Registration Statement</w:t>
      </w:r>
      <w:r>
        <w:rPr>
          <w:rFonts w:ascii="Times New Roman" w:hAnsi="Times New Roman"/>
          <w:sz w:val="17"/>
        </w:rPr>
        <w:t>) covering the resale of all of the Registrable Shares that are not then registered on an effective Registration Statement, subject to the limitations of the Shelf Registration Statement, on or prior to June 30, 2015.  The Company shall, as expeditiously as possible, use its best efforts to effect the registration on the Shelf Registration Statement of all such Registrable Shares and maintain the effectiveness of such Shelf Registration Statement until all applicable Registrable Shares have been sold as permitted by Rule 415 of the Securities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3.3</w:t>
      </w:r>
      <w:r>
        <w:rPr>
          <w:rFonts w:ascii="Times New Roman" w:hAnsi="Times New Roman"/>
        </w:rPr>
        <w:t xml:space="preserve">                               </w:t>
      </w:r>
      <w:r>
        <w:rPr>
          <w:rFonts w:ascii="Times New Roman" w:hAnsi="Times New Roman"/>
          <w:sz w:val="17"/>
        </w:rPr>
        <w:t>Subject to Section 3.4, the Initiating Shareholders shall have the right, on up to that number of separate occasions provided in the definition of Initiating Shareholders, to request that an underwritten offering be effected off the Shelf Registration Statement at any time (each such offering, a </w:t>
      </w:r>
      <w:r>
        <w:rPr>
          <w:rFonts w:ascii="Times New Roman" w:hAnsi="Times New Roman"/>
          <w:sz w:val="17"/>
          <w:u w:val="single"/>
        </w:rPr>
        <w:t>Shelf Takedown</w:t>
      </w:r>
      <w:r>
        <w:rPr>
          <w:rFonts w:ascii="Times New Roman" w:hAnsi="Times New Roman"/>
          <w:sz w:val="17"/>
        </w:rPr>
        <w:t>). Promptly (but in any event within five (5) Business Days) after receipt of a request that a Shelf Takedown be effected, the Company will deliver written notice thereof to each other Shareholder, and each such Shareholder may elect to participate in the Shelf Takedown by delivering to the Company a written request to so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9" w:name="PB_6_082114_3020"/>
      <w:bookmarkEnd w:id="6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participate within three (3) Business Days after such notice is received by any such Shareholder. All Shareholders proposing to distribute their Class A Registrable Shares through such Shelf Takedown shall enter into an underwriting agreement in customary form with an underwriter or underwriters that is mutually agreeable to the Company and the Shareholders holding a majority-in-interest of the Class A Registrable Shares that the Shareholders requested for inclusion in such Shelf Takedown.  For the avoidance of doubt, each applicable Shareholder participating in such a Shelf Takedown shall be responsible for paying the underwriting discounts and commissions applicable to such Shareholders Registrable Shares sold by the underwriters in such Shelf Takedown. If the underwriter advises the holders of Registrable Shares requesting the Shelf Takedown hereunder that, in its good faith view, marketing factors require a limitation of the number of shares to be underwritten, then the Company shall exclude from such Shelf Takedown (a) first, securities held by any Person who does not have any contractual rights to cause the Company to register such securities (including, without limitation, any Shareholder that has at any time defaulted on its obligations in respect of a Reinsurance Draw), (b) second, securities held by any Person with such contractual rights other than those granted under this Agreement, (c) third, shares held by any Defaulting Investors </w:t>
      </w:r>
      <w:r>
        <w:rPr>
          <w:rFonts w:ascii="Times New Roman" w:hAnsi="Times New Roman"/>
          <w:i/>
          <w:sz w:val="17"/>
        </w:rPr>
        <w:t>pro rata</w:t>
      </w:r>
      <w:r>
        <w:rPr>
          <w:rFonts w:ascii="Times New Roman" w:hAnsi="Times New Roman"/>
          <w:sz w:val="17"/>
        </w:rPr>
        <w:t xml:space="preserve"> among such Defaulting Investors on the basis of the respective number of Class A Registrable Shares owned by such holders requesting to be included in such Shelf Takedown, (d) fourth, shares held by the holders of Class A Registrable Shares who are Institutional Investors (other than any Defaulting Investors) </w:t>
      </w:r>
      <w:r>
        <w:rPr>
          <w:rFonts w:ascii="Times New Roman" w:hAnsi="Times New Roman"/>
          <w:i/>
          <w:sz w:val="17"/>
        </w:rPr>
        <w:t>pro rata</w:t>
      </w:r>
      <w:r>
        <w:rPr>
          <w:rFonts w:ascii="Times New Roman" w:hAnsi="Times New Roman"/>
          <w:sz w:val="17"/>
        </w:rPr>
        <w:t xml:space="preserve"> among such holders on the basis of the respective number of Class A Registrable Shares owned by such holders requesting to be included in such Shelf Takedown, and (e) fifth, shares held by the holders of Class A Registrable Shares who are not Institutional Investors </w:t>
      </w:r>
      <w:r>
        <w:rPr>
          <w:rFonts w:ascii="Times New Roman" w:hAnsi="Times New Roman"/>
          <w:i/>
          <w:sz w:val="17"/>
        </w:rPr>
        <w:t xml:space="preserve">pro rata </w:t>
      </w:r>
      <w:r>
        <w:rPr>
          <w:rFonts w:ascii="Times New Roman" w:hAnsi="Times New Roman"/>
          <w:sz w:val="17"/>
        </w:rPr>
        <w:t>among such holders on the basis of the respective number of Class A Registrable Shares requested by them to be included in such Shelf Takedown.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Notwithstanding the foregoing, in no event shall the Company be obligated to effect: (i) a Shelf Takedown pursuant to this Section 3.3 (y) unless the aggregate gross proceeds of the Registrable Shares to be sold in such offering is reasonably expected to be at least $50 million or (z) within a period of ninety (90) days (or such lesser period as the managing underwriters in an underwritten offering may permit) after the effective date of any registration statement relating to any registration effected pursuant to Section 3.1; or (ii) more than four (4) Shelf Takedowns pursuant to this Section 3.3 in any twelve-month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any Shelf Takedown requested pursuant to this Section 3.3 is not effected or less than fifty percent (50%) of the Class A Registrable Shares requested to be included in such Shelf Takedown have been sold thereunder, the request for such Shelf Takedown shall not be included as one of the registrations or Shelf Takedowns that may be requested pursuant to Section 3.1 or this Section 3.3 and shall be at the sole expense of the Company (other than, for the avoidance of doubt, applicable underwriting discounts and commissions).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3.4</w:t>
      </w:r>
      <w:r>
        <w:rPr>
          <w:rFonts w:ascii="Times New Roman" w:hAnsi="Times New Roman"/>
        </w:rPr>
        <w:t xml:space="preserve">                               </w:t>
      </w:r>
      <w:r>
        <w:rPr>
          <w:rFonts w:ascii="Times New Roman" w:hAnsi="Times New Roman"/>
          <w:sz w:val="17"/>
        </w:rPr>
        <w:t xml:space="preserve">If at the time of any request to register Class A Registrable Shares pursuant to this Section 3, (a) the Company has not delayed any other registration pursuant to this Section 3 for any period of time during the preceding twelve (12) month period and (b) the Company is engaged, or has fixed plans to engage within thirty (30) days of the time of such request, in a registered public offering as to which the Shareholders may include Class A Registrable Shares pursuant to Section 4, the Company may delay any such requested registration for up to ninety (90) days from the effective date of such offering; </w:t>
      </w:r>
      <w:r>
        <w:rPr>
          <w:rFonts w:ascii="Times New Roman" w:hAnsi="Times New Roman"/>
          <w:sz w:val="17"/>
          <w:u w:val="single"/>
        </w:rPr>
        <w:t>provided</w:t>
      </w:r>
      <w:r>
        <w:rPr>
          <w:rFonts w:ascii="Times New Roman" w:hAnsi="Times New Roman"/>
          <w:sz w:val="17"/>
        </w:rPr>
        <w:t>, that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0" w:name="PB_7_082121_7748"/>
      <w:bookmarkEnd w:id="7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such right to delay a request may be exercised by the Company not more than once in any twelve (12) month period.  Notwithstanding anything to the contrary contained in this Agreement, the Company shall be entitled, from time to time, to delay the filing or postpone the effectiveness of a Registration Statement or require holders to suspend the use of the prospectus for sales of Registrable Shares under a Registration Statement for a reasonable period of time (a </w:t>
      </w:r>
      <w:r>
        <w:rPr>
          <w:rFonts w:ascii="Times New Roman" w:hAnsi="Times New Roman"/>
          <w:b/>
          <w:i/>
          <w:sz w:val="17"/>
        </w:rPr>
        <w:t>Blackout Period</w:t>
      </w:r>
      <w:r>
        <w:rPr>
          <w:rFonts w:ascii="Times New Roman" w:hAnsi="Times New Roman"/>
          <w:sz w:val="17"/>
        </w:rPr>
        <w:t>), which shall not exceed (i) two occasions during any twelve (12)-month period or (ii) sixty (60) days in the aggregate during any twelve (12)-month period, if the Company shall determine in good faith and in its reasonable judgment, after consultation with counsel, that it is required to disclose in the Registration Statement material, non-public information that would otherwise not be required to be disclosed and that the Company has a bona fide business purpose for preserving as confidential. Any Blackout Period shall terminate upon the earlier of: (i) such time as the public disclosure of such information is made or determined to no longer be necessary; or (ii) after sixty (60) days.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4.</w:t>
      </w:r>
      <w:r>
        <w:rPr>
          <w:rFonts w:ascii="Times New Roman" w:hAnsi="Times New Roman"/>
        </w:rPr>
        <w:t xml:space="preserve">                                           </w:t>
      </w:r>
      <w:r>
        <w:rPr>
          <w:rFonts w:ascii="Times New Roman" w:hAnsi="Times New Roman"/>
          <w:sz w:val="17"/>
          <w:u w:val="single"/>
        </w:rPr>
        <w:t>Company Registration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4.1</w:t>
      </w:r>
      <w:r>
        <w:rPr>
          <w:rFonts w:ascii="Times New Roman" w:hAnsi="Times New Roman"/>
        </w:rPr>
        <w:t xml:space="preserve">                               </w:t>
      </w:r>
      <w:r>
        <w:rPr>
          <w:rFonts w:ascii="Times New Roman" w:hAnsi="Times New Roman"/>
          <w:sz w:val="17"/>
        </w:rPr>
        <w:t xml:space="preserve">Subject to Section 4.2, whenever the Company proposes to file a Registration Statement at any time and from time to time, it will, prior to such filing, promptly give written notice to all Shareholders of its intention to do so and, if the Company receives the written request of any Shareholder holding Registrable Shares (other than any Shareholder that has at any time defaulted on its obligations in respect of a Reinsurance Draw) within three (3) days after the Company provides such notice, the Company shall use its reasonable best efforts to cause all Registrable Shares that the Company has been requested by such Shareholder or Shareholders to be registered under the Securities Act to the extent necessary to permit their sale or other disposition; </w:t>
      </w:r>
      <w:r>
        <w:rPr>
          <w:rFonts w:ascii="Times New Roman" w:hAnsi="Times New Roman"/>
          <w:sz w:val="17"/>
          <w:u w:val="single"/>
        </w:rPr>
        <w:t>provided</w:t>
      </w:r>
      <w:r>
        <w:rPr>
          <w:rFonts w:ascii="Times New Roman" w:hAnsi="Times New Roman"/>
          <w:sz w:val="17"/>
        </w:rPr>
        <w:t>, however, that (a) the rights set forth in this Section 4 shall not apply to Registration Statements to be filed pursuant to Section 3 hereof and (b) the Company shall have the right to postpone or withdraw any registration effected pursuant to this Section 4 without obligation to any Shareholder.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4.2</w:t>
      </w:r>
      <w:r>
        <w:rPr>
          <w:rFonts w:ascii="Times New Roman" w:hAnsi="Times New Roman"/>
        </w:rPr>
        <w:t xml:space="preserve">                               </w:t>
      </w:r>
      <w:r>
        <w:rPr>
          <w:rFonts w:ascii="Times New Roman" w:hAnsi="Times New Roman"/>
          <w:sz w:val="17"/>
        </w:rPr>
        <w:t xml:space="preserve">In connection with any offering under this Section 4 involving an underwriting, the Company shall not be required to include any Registrable Shares in such underwriting unless the holders thereof accept the terms of the underwriting as reasonably agreed upon between the Company and the underwriters selected by it.  If the underwriter advises the holders of Registrable Shares requesting registration hereunder that, in its good faith view, marketing factors require a limitation of the number of shares to be underwritten, then the Company shall exclude from such registration (a) first, securities held by any Person who does not have any contractual rights to cause the Company to register such securities (including, without limitation, any Shareholder that has at any time defaulted on its obligations in respect of a Reinsurance Draw), (b) second, securities held by any Person with such contractual rights other than those granted under this Agreement, (c) third, shares held by the holders of Other Registrable Shares </w:t>
      </w:r>
      <w:r>
        <w:rPr>
          <w:rFonts w:ascii="Times New Roman" w:hAnsi="Times New Roman"/>
          <w:i/>
          <w:sz w:val="17"/>
        </w:rPr>
        <w:t>pro rata</w:t>
      </w:r>
      <w:r>
        <w:rPr>
          <w:rFonts w:ascii="Times New Roman" w:hAnsi="Times New Roman"/>
          <w:sz w:val="17"/>
        </w:rPr>
        <w:t xml:space="preserve"> among such holders on the basis of the respective number of Other Registrable Shares requested by them to be included in such registration, (d) fourth, shares held by any Defaulting Investors </w:t>
      </w:r>
      <w:r>
        <w:rPr>
          <w:rFonts w:ascii="Times New Roman" w:hAnsi="Times New Roman"/>
          <w:i/>
          <w:sz w:val="17"/>
        </w:rPr>
        <w:t>pro rata</w:t>
      </w:r>
      <w:r>
        <w:rPr>
          <w:rFonts w:ascii="Times New Roman" w:hAnsi="Times New Roman"/>
          <w:sz w:val="17"/>
        </w:rPr>
        <w:t xml:space="preserve"> among such Defaulting Investors on the basis of the respective number of Class A Registrable Shares owned by such holders requesting to be included in such registration, (e) fifth, shares held by the holders of Class A Registrable Shares who are Institutional Investors (other than any Defaulting Investors) </w:t>
      </w:r>
      <w:r>
        <w:rPr>
          <w:rFonts w:ascii="Times New Roman" w:hAnsi="Times New Roman"/>
          <w:i/>
          <w:sz w:val="17"/>
        </w:rPr>
        <w:t>pro rata</w:t>
      </w:r>
      <w:r>
        <w:rPr>
          <w:rFonts w:ascii="Times New Roman" w:hAnsi="Times New Roman"/>
          <w:sz w:val="17"/>
        </w:rPr>
        <w:t xml:space="preserve"> among such holders on the basis of the respective number of Class A Registrable Shares owned by such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71" w:name="PB_8_082130_141"/>
      <w:bookmarkEnd w:id="7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holders requesting to be included in such registration, and (f) sixth, shares held by the holders of Class A Registrable Shares who are not Institutional Investors </w:t>
      </w:r>
      <w:r>
        <w:rPr>
          <w:rFonts w:ascii="Times New Roman" w:hAnsi="Times New Roman"/>
          <w:i/>
          <w:sz w:val="17"/>
        </w:rPr>
        <w:t xml:space="preserve">pro rata </w:t>
      </w:r>
      <w:r>
        <w:rPr>
          <w:rFonts w:ascii="Times New Roman" w:hAnsi="Times New Roman"/>
          <w:sz w:val="17"/>
        </w:rPr>
        <w:t>among such holders on the basis of the respective number of Class A Registrable Shares requested by them to be included in such registration, but in no event shall the amount of Class A Registrable Shares included in the offering pursuant to clauses (e) and (f) be reduced below thirty percent (30%) of the total amount of securities included in such offering unless such offering is the initial public offering of the Companys securities and no other shareholder has included shares in such registration.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5.</w:t>
      </w:r>
      <w:r>
        <w:rPr>
          <w:rFonts w:ascii="Times New Roman" w:hAnsi="Times New Roman"/>
        </w:rPr>
        <w:t xml:space="preserve">                                           </w:t>
      </w:r>
      <w:r>
        <w:rPr>
          <w:rFonts w:ascii="Times New Roman" w:hAnsi="Times New Roman"/>
          <w:sz w:val="17"/>
          <w:u w:val="single"/>
        </w:rPr>
        <w:t>Registration Procedures</w:t>
      </w:r>
      <w:r>
        <w:rPr>
          <w:rFonts w:ascii="Times New Roman" w:hAnsi="Times New Roman"/>
          <w:sz w:val="17"/>
        </w:rPr>
        <w:t>.  If and whenever the Company is required by the provisions of this Agreement to effect the registration of any of the Registrable Shares under the Securities Act, the Company shall: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5.1</w:t>
      </w:r>
      <w:r>
        <w:rPr>
          <w:rFonts w:ascii="Times New Roman" w:hAnsi="Times New Roman"/>
        </w:rPr>
        <w:t xml:space="preserve">                               </w:t>
      </w:r>
      <w:r>
        <w:rPr>
          <w:rFonts w:ascii="Times New Roman" w:hAnsi="Times New Roman"/>
          <w:sz w:val="17"/>
        </w:rPr>
        <w:t>Prepare and file with the Commission a Registration Statement with respect to such Registrable Shares and use its best efforts to cause that Registration Statement to become and remain effective until the completion of the distribution;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5.2</w:t>
      </w:r>
      <w:r>
        <w:rPr>
          <w:rFonts w:ascii="Times New Roman" w:hAnsi="Times New Roman"/>
        </w:rPr>
        <w:t xml:space="preserve">                               </w:t>
      </w:r>
      <w:r>
        <w:rPr>
          <w:rFonts w:ascii="Times New Roman" w:hAnsi="Times New Roman"/>
          <w:sz w:val="17"/>
        </w:rPr>
        <w:t>As expeditiously as reasonably practicable, prepare and file with the Commission any amendments and supplements to the Registration Statement and the prospectus included in the Registration Statement as may be necessary to keep the Registration Statement effective, and comply with the provisions of the Securities Act with respect to the disposition of all securities covered by such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5.3</w:t>
      </w:r>
      <w:r>
        <w:rPr>
          <w:rFonts w:ascii="Times New Roman" w:hAnsi="Times New Roman"/>
        </w:rPr>
        <w:t xml:space="preserve">                               </w:t>
      </w:r>
      <w:r>
        <w:rPr>
          <w:rFonts w:ascii="Times New Roman" w:hAnsi="Times New Roman"/>
          <w:sz w:val="17"/>
        </w:rPr>
        <w:t>As expeditiously as reasonably practicable, furnish to each selling Shareholder, without charge, such reasonable numbers of copies of the Registration Statement, each amendment and supplement thereto, prospectus, including a preliminary prospectus, in conformity with the requirements of the Securities Act, and such other documents as the selling Shareholder may reasonably request in order to facilitate the public sale or other disposition of the Registrable Shares owned by the selling Shareholder;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5.4</w:t>
      </w:r>
      <w:r>
        <w:rPr>
          <w:rFonts w:ascii="Times New Roman" w:hAnsi="Times New Roman"/>
        </w:rPr>
        <w:t xml:space="preserve">                               </w:t>
      </w:r>
      <w:r>
        <w:rPr>
          <w:rFonts w:ascii="Times New Roman" w:hAnsi="Times New Roman"/>
          <w:sz w:val="17"/>
        </w:rPr>
        <w:t xml:space="preserve">As expeditiously as reasonably practicable, use its best efforts to register or qualify the Registrable Shares covered by the Registration Statement under the securities or Blue Sky laws of such states as the selling Shareholders shall reasonably request, and do any and all other acts and things that may be necessary or desirable to enable the selling Shareholders to consummate the public sale or other disposition in such states of the Registrable Shares owned by the selling Shareholder; </w:t>
      </w:r>
      <w:r>
        <w:rPr>
          <w:rFonts w:ascii="Times New Roman" w:hAnsi="Times New Roman"/>
          <w:sz w:val="17"/>
          <w:u w:val="single"/>
        </w:rPr>
        <w:t>provided</w:t>
      </w:r>
      <w:r>
        <w:rPr>
          <w:rFonts w:ascii="Times New Roman" w:hAnsi="Times New Roman"/>
          <w:sz w:val="17"/>
        </w:rPr>
        <w:t>, that the Company shall not be required in connection with this Section 5.4 to qualify as a foreign corporation or execute a general consent to service of process in any jurisdiction where it is not conducting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5.5</w:t>
      </w:r>
      <w:r>
        <w:rPr>
          <w:rFonts w:ascii="Times New Roman" w:hAnsi="Times New Roman"/>
        </w:rPr>
        <w:t xml:space="preserve">                               </w:t>
      </w:r>
      <w:r>
        <w:rPr>
          <w:rFonts w:ascii="Times New Roman" w:hAnsi="Times New Roman"/>
          <w:sz w:val="17"/>
        </w:rPr>
        <w:t xml:space="preserve">In the event of any underwritten public offering, enter into and perform its obligations under an underwriting agreement, in usual and customary form, with the managing underwriter(s) of such offering.  Each Shareholder participating in such underwriting shall also enter into and perform its obligations under such an agreement; </w:t>
      </w:r>
      <w:r>
        <w:rPr>
          <w:rFonts w:ascii="Times New Roman" w:hAnsi="Times New Roman"/>
          <w:sz w:val="17"/>
          <w:u w:val="single"/>
        </w:rPr>
        <w:t>provided</w:t>
      </w:r>
      <w:r>
        <w:rPr>
          <w:rFonts w:ascii="Times New Roman" w:hAnsi="Times New Roman"/>
          <w:sz w:val="17"/>
        </w:rPr>
        <w:t>, that in no event shall any Shareholder be required to make representations regarding the Company or be subject to an indemnity obligation greater than the proceeds it receives in such offering;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72" w:name="PB_9_082147_7608"/>
      <w:bookmarkEnd w:id="7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5.6</w:t>
      </w:r>
      <w:r>
        <w:rPr>
          <w:rFonts w:ascii="Times New Roman" w:hAnsi="Times New Roman"/>
        </w:rPr>
        <w:t xml:space="preserve">                               </w:t>
      </w:r>
      <w:r>
        <w:rPr>
          <w:rFonts w:ascii="Times New Roman" w:hAnsi="Times New Roman"/>
          <w:sz w:val="17"/>
        </w:rPr>
        <w:t>Promptly notify each selling Shareholder of Registrable Shares covered by such Registration Statement, and each underwriter, if any, after it shall receive notice thereof, of the time when such Registration Statement has become effective or such supplement to any prospectus forming a part of such Registration Statement has been filed;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5.7</w:t>
      </w:r>
      <w:r>
        <w:rPr>
          <w:rFonts w:ascii="Times New Roman" w:hAnsi="Times New Roman"/>
        </w:rPr>
        <w:t xml:space="preserve">                               </w:t>
      </w:r>
      <w:r>
        <w:rPr>
          <w:rFonts w:ascii="Times New Roman" w:hAnsi="Times New Roman"/>
          <w:sz w:val="17"/>
        </w:rPr>
        <w:t>Promptly notify each selling Shareholder of Registrable Shares covered by such Registration Statement, and each underwriter, if any, of any request by the Commission for the amending or supplementing of such Registration Statement or prospectus or for additional information;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5.8</w:t>
      </w:r>
      <w:r>
        <w:rPr>
          <w:rFonts w:ascii="Times New Roman" w:hAnsi="Times New Roman"/>
        </w:rPr>
        <w:t xml:space="preserve">                               </w:t>
      </w:r>
      <w:r>
        <w:rPr>
          <w:rFonts w:ascii="Times New Roman" w:hAnsi="Times New Roman"/>
          <w:sz w:val="17"/>
        </w:rPr>
        <w:t>Prepare and promptly file with the Commission, and promptly notify each selling Shareholder of Registrable Shares covered by such Registration Statement, and each underwriter, if any, of such amendment or supplement to such Registration Statement or prospectus, as then in effect, as may be necessary to correct any statements or omissions if, at the time when a prospectus relating to such securities is required to be delivered under the Securities Act, any event has occurred as the result of which any such prospectus or any other prospectus as then in effect would include an untrue statement of a material fact or omit to state any material fact necessary to make the statements therein not misleading in light of the circumstances in which they were made;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5.9</w:t>
      </w:r>
      <w:r>
        <w:rPr>
          <w:rFonts w:ascii="Times New Roman" w:hAnsi="Times New Roman"/>
        </w:rPr>
        <w:t xml:space="preserve">                               </w:t>
      </w:r>
      <w:r>
        <w:rPr>
          <w:rFonts w:ascii="Times New Roman" w:hAnsi="Times New Roman"/>
          <w:sz w:val="17"/>
        </w:rPr>
        <w:t>Promptly notify each selling Shareholder of Registrable Shares covered by such Registration Statement, and each underwriter, if any, after it shall receive notice or obtain knowledge thereof, of the issuance of any stop order by the Commission suspending the effectiveness of such Registration Statement or the initiation or threatening of any proceeding for that purpose and promptly use all reasonable best efforts to prevent the issuance of any stop order or to obtain its withdrawal if such stop order should be issued;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5.10</w:t>
      </w:r>
      <w:r>
        <w:rPr>
          <w:rFonts w:ascii="Times New Roman" w:hAnsi="Times New Roman"/>
        </w:rPr>
        <w:t xml:space="preserve">                        </w:t>
      </w:r>
      <w:r>
        <w:rPr>
          <w:rFonts w:ascii="Times New Roman" w:hAnsi="Times New Roman"/>
          <w:sz w:val="17"/>
        </w:rPr>
        <w:t>At any time when a Registration Statement is effective under the Securities Act, promptly notify each selling Shareholder of Registrable Shares covered by such Registration Statement, and each underwriter, if any, (i)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(ii) if due to such event the Company suspends its obligation to maintain the effectiveness of any Registration Statement or suspends the use of any prospectus or prospectus supplement in connection with any Registration Statement.  The Company shall promptly prepare a supplement or amendment to such prospectus so that it will not contain any untrue statement of a material fact or omit to state any material fact required to be stated therein or necessary to make the statements therein not misleading in the light of the circumstances then existing;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5.11</w:t>
      </w:r>
      <w:r>
        <w:rPr>
          <w:rFonts w:ascii="Times New Roman" w:hAnsi="Times New Roman"/>
        </w:rPr>
        <w:t xml:space="preserve">                        </w:t>
      </w:r>
      <w:r>
        <w:rPr>
          <w:rFonts w:ascii="Times New Roman" w:hAnsi="Times New Roman"/>
          <w:sz w:val="17"/>
        </w:rPr>
        <w:t>Furnish, on the date that such Registrable Shares are delivered to the underwriters for sale, if such securities are being sold through underwriters, (a) an opinion, dated as of such date, of the counsel representing the Company for the purposes of such registration, in form and substance as is customarily given to underwriters in an underwritten public offering, addressed to the underwriters, if any, and to each selling Shareholder of Registrable Shares covered by such Registration Statement and (b) a letter dated as of such date, from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73" w:name="PB_10_082153_8146"/>
      <w:bookmarkEnd w:id="7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independent certified public accountants of the Company, in form and substance as is customarily given by independent certified public accountants to underwriters in an underwritten public offering addressed to the underwriters and to each selling Shareholder of Registrable Shares covered by such Registration Statement;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5.12</w:t>
      </w:r>
      <w:r>
        <w:rPr>
          <w:rFonts w:ascii="Times New Roman" w:hAnsi="Times New Roman"/>
        </w:rPr>
        <w:t xml:space="preserve">                        </w:t>
      </w:r>
      <w:r>
        <w:rPr>
          <w:rFonts w:ascii="Times New Roman" w:hAnsi="Times New Roman"/>
          <w:sz w:val="17"/>
        </w:rPr>
        <w:t>If the Company has delivered preliminary or final prospectuses to the selling Shareholders and after having done so the prospectus is amended to comply with the requirements of the Securities Act, the Company shall promptly notify the selling Shareholders and, if requested, the selling Shareholders shall immediately cease making offers of Registrable Shares and return all prospectuses to the Company.  The Company shall promptly provide the selling Shareholders with revised prospectuses and, following receipt of the revised prospectuses, the selling Shareholders shall be free to resume making offers of the Registrable Shares;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5.13</w:t>
      </w:r>
      <w:r>
        <w:rPr>
          <w:rFonts w:ascii="Times New Roman" w:hAnsi="Times New Roman"/>
        </w:rPr>
        <w:t xml:space="preserve">                        </w:t>
      </w:r>
      <w:r>
        <w:rPr>
          <w:rFonts w:ascii="Times New Roman" w:hAnsi="Times New Roman"/>
          <w:sz w:val="17"/>
        </w:rPr>
        <w:t>Cause all such Registrable Shares to be listed on or included in each securities exchange or quotation system on which similar securities issued by the Company are then listed.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w:t>
      </w:r>
      <w:r>
        <w:rPr>
          <w:rFonts w:ascii="Times New Roman" w:hAnsi="Times New Roman"/>
        </w:rPr>
        <w:t xml:space="preserve">                                           </w:t>
      </w:r>
      <w:r>
        <w:rPr>
          <w:rFonts w:ascii="Times New Roman" w:hAnsi="Times New Roman"/>
          <w:sz w:val="17"/>
          <w:u w:val="single"/>
        </w:rPr>
        <w:t>Allocation of Expenses</w:t>
      </w:r>
      <w:r>
        <w:rPr>
          <w:rFonts w:ascii="Times New Roman" w:hAnsi="Times New Roman"/>
          <w:sz w:val="17"/>
        </w:rPr>
        <w:t xml:space="preserve">.  The Company will pay all Registration Expenses (as defined below) of all registrations under this Agreement; </w:t>
      </w:r>
      <w:r>
        <w:rPr>
          <w:rFonts w:ascii="Times New Roman" w:hAnsi="Times New Roman"/>
          <w:sz w:val="17"/>
          <w:u w:val="single"/>
        </w:rPr>
        <w:t>provided</w:t>
      </w:r>
      <w:r>
        <w:rPr>
          <w:rFonts w:ascii="Times New Roman" w:hAnsi="Times New Roman"/>
          <w:sz w:val="17"/>
        </w:rPr>
        <w:t xml:space="preserve">, however, that if a registration under Section 3.1 or a Shelf Takedown under Section 3.3 is withdrawn at the request of the Shareholders requesting such registration (other than as a result of information concerning the business or financial condition of the Company that is made known in writing to the Shareholders requesting registration after the date on which such registration was requested) and if the requesting Shareholders elect not to have such registration counted as a registration requested under Section 3.1 or a Shelf Takedown requested under Section 3.3, the requesting Shareholders shall pay the Registration Expenses of such registration </w:t>
      </w:r>
      <w:r>
        <w:rPr>
          <w:rFonts w:ascii="Times New Roman" w:hAnsi="Times New Roman"/>
          <w:i/>
          <w:sz w:val="17"/>
        </w:rPr>
        <w:t>pro rata</w:t>
      </w:r>
      <w:r>
        <w:rPr>
          <w:rFonts w:ascii="Times New Roman" w:hAnsi="Times New Roman"/>
          <w:sz w:val="17"/>
        </w:rPr>
        <w:t xml:space="preserve"> in accordance with the number of their Registrable Shares requested to be included in such registration.  The term </w:t>
      </w:r>
      <w:r>
        <w:rPr>
          <w:rFonts w:ascii="Times New Roman" w:hAnsi="Times New Roman"/>
          <w:b/>
          <w:i/>
          <w:sz w:val="17"/>
        </w:rPr>
        <w:t>Registration Expenses</w:t>
      </w:r>
      <w:r>
        <w:rPr>
          <w:rFonts w:ascii="Times New Roman" w:hAnsi="Times New Roman"/>
          <w:sz w:val="17"/>
        </w:rPr>
        <w:t> shall mean all expenses incurred in complying with this Agreement, including, without limitation, all registration and filing fees, exchange listing fees, printing expenses, fees and disbursements of counsel for the Company and the reasonable fees and expenses of one (1) counsel selected by the selling Shareholders to represent the selling Shareholders, state Blue Sky fees and expenses, and the expense of any special audits or cold comfort letters incident to or required by any such registration, but excluding underwriting discounts and selling commissions.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7.</w:t>
      </w:r>
      <w:r>
        <w:rPr>
          <w:rFonts w:ascii="Times New Roman" w:hAnsi="Times New Roman"/>
        </w:rPr>
        <w:t xml:space="preserve">                                           </w:t>
      </w:r>
      <w:r>
        <w:rPr>
          <w:rFonts w:ascii="Times New Roman" w:hAnsi="Times New Roman"/>
          <w:sz w:val="17"/>
          <w:u w:val="single"/>
        </w:rPr>
        <w:t>Indemnification and Contribution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7.1</w:t>
      </w:r>
      <w:r>
        <w:rPr>
          <w:rFonts w:ascii="Times New Roman" w:hAnsi="Times New Roman"/>
        </w:rPr>
        <w:t xml:space="preserve">                               </w:t>
      </w:r>
      <w:r>
        <w:rPr>
          <w:rFonts w:ascii="Times New Roman" w:hAnsi="Times New Roman"/>
          <w:sz w:val="17"/>
        </w:rPr>
        <w:t>In the event of any registration of any of the Registrable Shares under the Securities Act pursuant to this Agreement, the Company will indemnify and hold harmless each selling Shareholder (including each member, manager, partner, officer and director thereof and legal counsel and independent accountant thereto), each underwriter of such seller of such Registrable Shares, and each other Person, if any, who controls such seller or underwriter within the meaning of the Securities Act or the Exchange Act (each, a </w:t>
      </w:r>
      <w:r>
        <w:rPr>
          <w:rFonts w:ascii="Times New Roman" w:hAnsi="Times New Roman"/>
          <w:b/>
          <w:i/>
          <w:sz w:val="17"/>
        </w:rPr>
        <w:t>Shareholder Indemnified Party</w:t>
      </w:r>
      <w:r>
        <w:rPr>
          <w:rFonts w:ascii="Times New Roman" w:hAnsi="Times New Roman"/>
          <w:sz w:val="17"/>
        </w:rPr>
        <w:t>) against any expenses, losses, claims, damages or liabilities, joint or several, to which such Shareholder Indemnified Party may become subject under the Securities Act, the Exchange Act, state securities or Blue Sky laws or otherwise, including any of the foregoing incurred 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74" w:name="PB_11_082327_7056"/>
      <w:bookmarkEnd w:id="7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connection with the settlement of any commenced or threatened litigation, insofar as such expenses, losses, claims, damages or liabilities (or actions in respect thereof) arise out of or are based upon any untrue statement or alleged untrue statement of any material fact contained in (a) any Registration Statement under which such Registrable Shares were registered under the Securities Act, (b) any preliminary prospectus or final prospectus contained in the Registration Statement or (c) any amendment or supplement to such Registration Statement, or arise out of or are based upon the omission or alleged omission to state a material fact required to be stated therein or necessary to make the statements therein not misleading or any violation or alleged violation by the Company of the Securities Act, the Exchange Act, the securities law of any state or other jurisdiction or any rule or regulation promulgated under the Securities Act, the Exchange Act or the securities laws of any state or other jurisdiction or otherwise in connection with the offering covered by such Registration Statement; and the Company will reimburse such Shareholder Indemnified Party for any legal or any other expenses reasonably incurred by such Shareholder Indemnified Party in connection with investigating or defending any such expense, loss, claim, damage, liability or action; </w:t>
      </w:r>
      <w:r>
        <w:rPr>
          <w:rFonts w:ascii="Times New Roman" w:hAnsi="Times New Roman"/>
          <w:sz w:val="17"/>
          <w:u w:val="single"/>
        </w:rPr>
        <w:t>provided</w:t>
      </w:r>
      <w:r>
        <w:rPr>
          <w:rFonts w:ascii="Times New Roman" w:hAnsi="Times New Roman"/>
          <w:sz w:val="17"/>
        </w:rPr>
        <w:t>, however, that the Company will not be liable to any Shareholder Indemnified Party in any such case to the extent that any such loss, claim, damage or liability arises out of or is based upon any untrue statement or omission made in such Registration Statement, final prospectus, or any such amendment or supplement, in reasonable reliance upon and in conformity with information furnished in writing (or not furnished in the case of an omission or alleged omission) to the Company by or on behalf of such Shareholder Indemnified Party specifically for use in the preparation thereof.</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7.2</w:t>
      </w:r>
      <w:r>
        <w:rPr>
          <w:rFonts w:ascii="Times New Roman" w:hAnsi="Times New Roman"/>
        </w:rPr>
        <w:t xml:space="preserve">                               </w:t>
      </w:r>
      <w:r>
        <w:rPr>
          <w:rFonts w:ascii="Times New Roman" w:hAnsi="Times New Roman"/>
          <w:sz w:val="17"/>
        </w:rPr>
        <w:t>In the event of any registration of any of the Registrable Shares under the Securities Act pursuant to this Agreement, each selling Shareholder, severally and not jointly, will indemnify and hold harmless the Company, each of the Companys directors and officers, each underwriter, if any, each Person, if any, who controls the Company or any such underwriter within the meaning of the Securities Act or the Exchange Act, any other seller of Registrable Shares or any such sellers members, managers, partners, officers and directors, and each Person, if any, who controls such seller within the meaning of the Securities Act and the Exchange Act (each, a </w:t>
      </w:r>
      <w:r>
        <w:rPr>
          <w:rFonts w:ascii="Times New Roman" w:hAnsi="Times New Roman"/>
          <w:b/>
          <w:i/>
          <w:sz w:val="17"/>
        </w:rPr>
        <w:t>Company Indemnified Party</w:t>
      </w:r>
      <w:r>
        <w:rPr>
          <w:rFonts w:ascii="Times New Roman" w:hAnsi="Times New Roman"/>
          <w:sz w:val="17"/>
        </w:rPr>
        <w:t>; and together with the Shareholder Indemnified Parties, the </w:t>
      </w:r>
      <w:r>
        <w:rPr>
          <w:rFonts w:ascii="Times New Roman" w:hAnsi="Times New Roman"/>
          <w:b/>
          <w:i/>
          <w:sz w:val="17"/>
        </w:rPr>
        <w:t>Indemnified Parties</w:t>
      </w:r>
      <w:r>
        <w:rPr>
          <w:rFonts w:ascii="Times New Roman" w:hAnsi="Times New Roman"/>
          <w:sz w:val="17"/>
        </w:rPr>
        <w:t>) against any expenses, losses, claims, damages or liabilities, joint or several, to which the Company Indemnified Party may become subject under the Securities Act, Exchange Act, state securities or Blue Sky laws or otherwise, including any of the foregoing incurred in connection with the settlement of any commenced or threatened litigation, insofar as such expenses, losses, claims, damages or liabilities (or actions in respect thereof) arise out of or are based upon any untrue statement or alleged untrue statement of a material fact contained in (a) any Registration Statement under which such Registrable Shares were registered under the Securities Act, (b) any preliminary prospectus or final prospectus contained in the Registration Statement or (c) any amendment or supplement to the Registration Statement, or arise out of or are based upon any omission or alleged omission to state a material fact required to be stated therein or necessary to make the statements therein not misleading, and each such seller of Registrable Shares will reimburse the Company and each Indemnified Party for any legal or any other expenses reasonably incurred by the Company and each such Indemnified Party entitled to indemnification in connection with investigating or defending any such loss, claim, damage, liability or action if (and only if), in any case, the statement or omission was made in reliance upon and in conformity with information furnished to the Company in writing by or on behalf of such seller, specifically for use in connection with the preparation of such Registration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75" w:name="PB_12_082334_5335"/>
      <w:bookmarkEnd w:id="7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Statement, prospectus, amendment or supplement; </w:t>
      </w:r>
      <w:r>
        <w:rPr>
          <w:rFonts w:ascii="Times New Roman" w:hAnsi="Times New Roman"/>
          <w:sz w:val="17"/>
          <w:u w:val="single"/>
        </w:rPr>
        <w:t>provided</w:t>
      </w:r>
      <w:r>
        <w:rPr>
          <w:rFonts w:ascii="Times New Roman" w:hAnsi="Times New Roman"/>
          <w:sz w:val="17"/>
        </w:rPr>
        <w:t>, however, that (i) the obligations of each such Shareholder hereunder shall be limited to an amount equal to the net proceeds received by such Shareholder in connection with such offering of such Registrable Shares and (ii) no such Shareholder will be liable for any amount paid in settlement of any such claim, loss, damage, liability or action if such settlement is effected without the consent of such Shareholder, which consent shall not be unreasonably withheld, conditioned or delayed.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7.3</w:t>
      </w:r>
      <w:r>
        <w:rPr>
          <w:rFonts w:ascii="Times New Roman" w:hAnsi="Times New Roman"/>
        </w:rPr>
        <w:t xml:space="preserve">                               </w:t>
      </w:r>
      <w:r>
        <w:rPr>
          <w:rFonts w:ascii="Times New Roman" w:hAnsi="Times New Roman"/>
          <w:sz w:val="17"/>
        </w:rPr>
        <w:t>Each Indemnified Party entitled to indemnification under this Section 7 shall give notice to the party required to provide indemnification (the </w:t>
      </w:r>
      <w:r>
        <w:rPr>
          <w:rFonts w:ascii="Times New Roman" w:hAnsi="Times New Roman"/>
          <w:b/>
          <w:i/>
          <w:sz w:val="17"/>
        </w:rPr>
        <w:t>Indemnifying Party</w:t>
      </w:r>
      <w:r>
        <w:rPr>
          <w:rFonts w:ascii="Times New Roman" w:hAnsi="Times New Roman"/>
          <w:sz w:val="17"/>
        </w:rPr>
        <w:t xml:space="preserve">) promptly after such Indemnified Party has knowledge of any claim as to which indemnity may be sought, and shall permit the Indemnifying Party to assume the defense of any such claim or any litigation resulting therefrom; </w:t>
      </w:r>
      <w:r>
        <w:rPr>
          <w:rFonts w:ascii="Times New Roman" w:hAnsi="Times New Roman"/>
          <w:sz w:val="17"/>
          <w:u w:val="single"/>
        </w:rPr>
        <w:t>provided</w:t>
      </w:r>
      <w:r>
        <w:rPr>
          <w:rFonts w:ascii="Times New Roman" w:hAnsi="Times New Roman"/>
          <w:sz w:val="17"/>
        </w:rPr>
        <w:t xml:space="preserve">, however, that counsel for the Indemnifying Party, who shall conduct the defense of such claim or litigation, shall be approved by the Indemnified Party, whose approval shall not be unreasonably withheld; and, </w:t>
      </w:r>
      <w:r>
        <w:rPr>
          <w:rFonts w:ascii="Times New Roman" w:hAnsi="Times New Roman"/>
          <w:sz w:val="17"/>
          <w:u w:val="single"/>
        </w:rPr>
        <w:t>provided</w:t>
      </w:r>
      <w:r>
        <w:rPr>
          <w:rFonts w:ascii="Times New Roman" w:hAnsi="Times New Roman"/>
          <w:sz w:val="17"/>
        </w:rPr>
        <w:t xml:space="preserve">, further, that the failure of any Indemnified Party to give notice as provided herein shall not relieve the Indemnifying Party of its obligations under this Agreement, except to the extent that the Indemnifying Partys ability to defend against such claim or litigation is materially impaired as a result of such failure to give notice.  The Indemnified Party may participate in such defense at such partys expense; </w:t>
      </w:r>
      <w:r>
        <w:rPr>
          <w:rFonts w:ascii="Times New Roman" w:hAnsi="Times New Roman"/>
          <w:sz w:val="17"/>
          <w:u w:val="single"/>
        </w:rPr>
        <w:t>provided</w:t>
      </w:r>
      <w:r>
        <w:rPr>
          <w:rFonts w:ascii="Times New Roman" w:hAnsi="Times New Roman"/>
          <w:sz w:val="17"/>
        </w:rPr>
        <w:t>, however, that the Indemnifying Party shall pay such expense if representation of such Indemnified Party by the counsel retained by the Indemnifying Party would be inappropriate due to actual or potential conflicts of interests between the Indemnified Party and any other party represented by such counsel in such proceeding.  No Indemnifying Party in the defense of any such claim or litigation shall, except with the consent of each Indemnified Party, consent to entry of any judgment or enter into any settlement that does not include as an unconditional term thereof the giving by the claimant or plaintiff to such Indemnified Party of a release from all liability in respect of such claim or litigation, and no Indemnified Party shall consent to entry of any judgment or settle such claim or litigation without the prior written consent of the Indemnifying Party.  Each Indemnified Party shall furnish such information regarding itself or the claim in question as an Indemnifying Party may reasonably request in writing and as shall be reasonably required in connection with the defense of such claim and litigation resulting therefrom.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7.4</w:t>
      </w:r>
      <w:r>
        <w:rPr>
          <w:rFonts w:ascii="Times New Roman" w:hAnsi="Times New Roman"/>
        </w:rPr>
        <w:t xml:space="preserve">                               </w:t>
      </w:r>
      <w:r>
        <w:rPr>
          <w:rFonts w:ascii="Times New Roman" w:hAnsi="Times New Roman"/>
          <w:sz w:val="17"/>
        </w:rPr>
        <w:t>In order to provide for just and equitable contribution in circumstances in which the indemnification provided for in this Section 7 is due in accordance with its terms but for any reason is held to be unavailable to an Indemnified Party in respect to any expenses, losses, claims, damages and liabilities referred to herein, then the Indemnifying Party shall, in lieu of indemnifying such Indemnified Party, contribute to the amount paid or payable by such Indemnified Party as a result of such expenses, losses, claims, damages or liabilities to which such party may be subject in proportion as is appropriate to reflect the relative fault of the Indemnifying Party on the one hand and the Indemnified Party on the other in connection with the statements or omissions that resulted in such losses, claims, damages or liabilities, as well as any other relevant equitable considerations.  The relative fault of the Indemnifying Party and the Indemnified Party shall be determined by reference to, among other things, whether the untrue or alleged untrue statement of material fact related to information supplied by the Indemnifying Party or the Indemnified Party and the parties relative intent, knowledge, access to information and opportunity to correct or prevent such statement or omission.  The Company and the Shareholders agree that it would not be just and equitable if contribution pursuant to this Section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76" w:name="PB_13_082342_5796"/>
      <w:bookmarkEnd w:id="7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7 were determined by </w:t>
      </w:r>
      <w:r>
        <w:rPr>
          <w:rFonts w:ascii="Times New Roman" w:hAnsi="Times New Roman"/>
          <w:i/>
          <w:sz w:val="17"/>
        </w:rPr>
        <w:t>pro rata</w:t>
      </w:r>
      <w:r>
        <w:rPr>
          <w:rFonts w:ascii="Times New Roman" w:hAnsi="Times New Roman"/>
          <w:sz w:val="17"/>
        </w:rPr>
        <w:t xml:space="preserve"> allocation or by any other method of allocation that does not take account of the equitable considerations referred to above.  Notwithstanding the provisions of this Section 7.4, (a) in no case shall any one Shareholder be liable or responsible for any amount in excess of the net proceeds received by such Shareholder from the offering of Registrable Shares and (b) the Company shall be liable and responsible for any amount in excess of such proceeds; </w:t>
      </w:r>
      <w:r>
        <w:rPr>
          <w:rFonts w:ascii="Times New Roman" w:hAnsi="Times New Roman"/>
          <w:sz w:val="17"/>
          <w:u w:val="single"/>
        </w:rPr>
        <w:t>provided</w:t>
      </w:r>
      <w:r>
        <w:rPr>
          <w:rFonts w:ascii="Times New Roman" w:hAnsi="Times New Roman"/>
          <w:sz w:val="17"/>
        </w:rPr>
        <w:t>, however, that no Person guilty of fraudulent misrepresentation (within the meaning of Section 11(f) of the Securities Act) shall be entitled to contribution from any Person who was not guilty of such fraudulent misrepresentation.  Any party entitled to contribution will, promptly after receipt of notice of commencement of any action, suit or proceeding against such party or parties under this Section, notify such party or parties from whom such contribution may be sought, but the omission so to notify such party or parties from whom contribution may be sought shall not relieve such party from any other obligation it or they may have thereunder or otherwise under this Section.  No party shall be liable for contribution with respect to any action, suit, proceeding or claim settled without its prior written consent, which consent shall not be unreasonably withheld, conditioned or delayed.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7.5</w:t>
      </w:r>
      <w:r>
        <w:rPr>
          <w:rFonts w:ascii="Times New Roman" w:hAnsi="Times New Roman"/>
        </w:rPr>
        <w:t xml:space="preserve">                               </w:t>
      </w:r>
      <w:r>
        <w:rPr>
          <w:rFonts w:ascii="Times New Roman" w:hAnsi="Times New Roman"/>
          <w:sz w:val="17"/>
        </w:rPr>
        <w:t>The obligations of the Company and the Shareholders under this Section 7 shall survive completion of any offering of Registrable Shares in any Registration Statement and the termination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8.</w:t>
      </w:r>
      <w:r>
        <w:rPr>
          <w:rFonts w:ascii="Times New Roman" w:hAnsi="Times New Roman"/>
        </w:rPr>
        <w:t xml:space="preserve">                                           </w:t>
      </w:r>
      <w:r>
        <w:rPr>
          <w:rFonts w:ascii="Times New Roman" w:hAnsi="Times New Roman"/>
          <w:sz w:val="17"/>
          <w:u w:val="single"/>
        </w:rPr>
        <w:t>Indemnification with Respect to Underwritten Offering</w:t>
      </w:r>
      <w:r>
        <w:rPr>
          <w:rFonts w:ascii="Times New Roman" w:hAnsi="Times New Roman"/>
          <w:sz w:val="17"/>
        </w:rPr>
        <w:t>.  In the event that Registrable Shares are sold pursuant to a Registration Statement in an underwritten offering pursuant to Section 3, the Company agrees to enter into an underwriting agreement containing customary representations and warranties with respect to the business and operations of the issuer of the securities being registered and customary covenants and agreements to be performed by such issuer, including without limitation customary provisions with respect to indemnification by the Company of the underwriters of such offering.  This Section 8 shall also apply to any selling Shareholder that would be deemed to be an underwriter for purposes of the Securities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w:t>
      </w:r>
      <w:r>
        <w:rPr>
          <w:rFonts w:ascii="Times New Roman" w:hAnsi="Times New Roman"/>
        </w:rPr>
        <w:t xml:space="preserve">                                           </w:t>
      </w:r>
      <w:r>
        <w:rPr>
          <w:rFonts w:ascii="Times New Roman" w:hAnsi="Times New Roman"/>
          <w:sz w:val="17"/>
          <w:u w:val="single"/>
        </w:rPr>
        <w:t>Obligations of Holders</w:t>
      </w:r>
      <w:r>
        <w:rPr>
          <w:rFonts w:ascii="Times New Roman" w:hAnsi="Times New Roman"/>
          <w:sz w:val="17"/>
        </w:rPr>
        <w:t>.  As a condition to be included in any Registration Statement, each holder of Registrable Shares included in any registration shall furnish to the Company such information regarding such holder and the distribution proposed by such holder and execute such documents as the Company may reasonably request and as shall be required in connection with any registration, qualification or compliance referred to in this Agreement.  Furthermore, each holder of Registrable Shares agrees that, upon receipt of any notice from the Company of either the commencement of a Blackout Period or the happening of an event pursuant to Sections 5.9 and 5.10 hereof, such holder will immediately discontinue disposition of Registrable Shares pursuant to the Registration Statement covering such Registrable Shares until such holder is advised by the Company that such dispositions may again be made.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10.</w:t>
      </w:r>
      <w:r>
        <w:rPr>
          <w:rFonts w:ascii="Times New Roman" w:hAnsi="Times New Roman"/>
        </w:rPr>
        <w:t xml:space="preserve">                                    </w:t>
      </w:r>
      <w:r>
        <w:rPr>
          <w:rFonts w:ascii="Times New Roman" w:hAnsi="Times New Roman"/>
          <w:sz w:val="17"/>
          <w:u w:val="single"/>
        </w:rPr>
        <w:t>Market Stand-Off Agreement</w:t>
      </w:r>
      <w:r>
        <w:rPr>
          <w:rFonts w:ascii="Times New Roman" w:hAnsi="Times New Roman"/>
          <w:sz w:val="17"/>
        </w:rPr>
        <w:t>.  In connection with any public offering, each Shareholder, if requested by the Company and the underwriters managing such public offering, shall agree not to sell or otherwise transfer or dispose of any Registrable Shares or, solely if such offering is the Companys initial public offering or if such Shareholder is participating in such offering or such Shareholder is a person subject to the reporting requirements of Section 16 of the Exchange Act, other securities of the Company, held by such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77" w:name="PB_14_082353_2897"/>
      <w:bookmarkEnd w:id="7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Shareholder (other than those Registrable Shares included in the public offering) for a specified period of time determined by the Company and the underwriters following the effective date of a Registration Statement; </w:t>
      </w:r>
      <w:r>
        <w:rPr>
          <w:rFonts w:ascii="Times New Roman" w:hAnsi="Times New Roman"/>
          <w:sz w:val="17"/>
          <w:u w:val="single"/>
        </w:rPr>
        <w:t>provided</w:t>
      </w:r>
      <w:r>
        <w:rPr>
          <w:rFonts w:ascii="Times New Roman" w:hAnsi="Times New Roman"/>
          <w:sz w:val="17"/>
        </w:rPr>
        <w:t>, however, that: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such agreement shall not exceed one hundred eighty (180) days from the effective date of such registration in the case of the Companys initial public offering and ninety (90) days from the date of the final prospectus relating to such offering in any other public offering;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all Shareholders holding not less than the number of Common Shares held by such Shareholder (including Common Shares issuable upon the conversion of the Class A Common Shares, Class B-2 Common Shares or other convertible securities, or upon the exercise of options, warrants or other rights) and all officers and directors of the Company enter into similar agreements; </w:t>
      </w:r>
      <w:r>
        <w:rPr>
          <w:rFonts w:ascii="Times New Roman" w:hAnsi="Times New Roman"/>
          <w:sz w:val="17"/>
          <w:u w:val="single"/>
        </w:rPr>
        <w:t>provided</w:t>
      </w:r>
      <w:r>
        <w:rPr>
          <w:rFonts w:ascii="Times New Roman" w:hAnsi="Times New Roman"/>
          <w:sz w:val="17"/>
        </w:rPr>
        <w:t>, however, that all restrictions set forth in this Section 10 on all such Shareholders shall terminate and be of no further force or effect if any Shareholder, officer or director is released from, or otherwise no longer bound by, such restrictions.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Such agreement shall be in writing in a form reasonably satisfactory to the Company and such underwriter.  The Company may impose stop-transfer instructions with respect to the Registrable Shares or other securities subject to the foregoing restriction until the end of the stand-off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11.</w:t>
      </w:r>
      <w:r>
        <w:rPr>
          <w:rFonts w:ascii="Times New Roman" w:hAnsi="Times New Roman"/>
        </w:rPr>
        <w:t xml:space="preserve">                                    </w:t>
      </w:r>
      <w:r>
        <w:rPr>
          <w:rFonts w:ascii="Times New Roman" w:hAnsi="Times New Roman"/>
          <w:sz w:val="17"/>
          <w:u w:val="single"/>
        </w:rPr>
        <w:t>Limitations on Subsequent Registration Rights</w:t>
      </w:r>
      <w:r>
        <w:rPr>
          <w:rFonts w:ascii="Times New Roman" w:hAnsi="Times New Roman"/>
          <w:sz w:val="17"/>
        </w:rPr>
        <w:t>.  The Company shall not, without the prior written consent of the Required Holders, enter into any agreement (other than this Agreement) with any holder or prospective holder of any securities of the Company that would allow such holder or prospective holder either (a) to include securities of the Company in any Registration Statement filed under Section 3 or Section 4, (b) to make a demand registration that could result in such Registration Statement being declared effective prior to twelve (12) months after the Companys initial public offering of its equity securities or (c) to have registration rights that are pari passu with or superior to the rights granted to the Shareholders under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12.</w:t>
      </w:r>
      <w:r>
        <w:rPr>
          <w:rFonts w:ascii="Times New Roman" w:hAnsi="Times New Roman"/>
        </w:rPr>
        <w:t xml:space="preserve">                                    </w:t>
      </w:r>
      <w:r>
        <w:rPr>
          <w:rFonts w:ascii="Times New Roman" w:hAnsi="Times New Roman"/>
          <w:sz w:val="17"/>
          <w:u w:val="single"/>
        </w:rPr>
        <w:t>Rule 144 Requirements</w:t>
      </w:r>
      <w:r>
        <w:rPr>
          <w:rFonts w:ascii="Times New Roman" w:hAnsi="Times New Roman"/>
          <w:sz w:val="17"/>
        </w:rPr>
        <w:t>.  After the earliest of (a) the closing of the sale of securities of the Company pursuant to a Registration Statement, (b) the registration by the Company of a class of securities under Section 12 of the Exchange Act or (c) the issuance by the Company of an offering circular pursuant to Regulation A under the Securities Act, the Company agrees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comply with the requirements of Rule 144(c) under the Securities Act with respect to making and keeping available current public information about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use its best efforts to file with the Commission in a timely manner all reports and other documents required of the Company under the Securities Act and the Exchange Act (at any time after it has become subject to such reporting requirements);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furnish to any holder of Registrable Shares promptly after receipt of a written request (i) a written statement by the Company as to its compliance with the requirements of said Rule 144(c), and the reporting requirements of the Securities Act and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78" w:name="PB_15_082404_3020"/>
      <w:bookmarkEnd w:id="7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Exchange Act (at any time after it has become subject to such reporting requirements), (ii) a copy of the most recent annual or quarterly report of the Company, and (iii) such other reports and documents of the Company as such holder may reasonably request to avail itself of any similar rule or regulation of the Commission allowing it to sell any such securities without registration, including, without limitation, Rules 144 and 144A.</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13.</w:t>
      </w:r>
      <w:r>
        <w:rPr>
          <w:rFonts w:ascii="Times New Roman" w:hAnsi="Times New Roman"/>
        </w:rPr>
        <w:t xml:space="preserve">                                    </w:t>
      </w:r>
      <w:r>
        <w:rPr>
          <w:rFonts w:ascii="Times New Roman" w:hAnsi="Times New Roman"/>
          <w:sz w:val="17"/>
          <w:u w:val="single"/>
        </w:rPr>
        <w:t>Selection of Underwriter</w:t>
      </w:r>
      <w:r>
        <w:rPr>
          <w:rFonts w:ascii="Times New Roman" w:hAnsi="Times New Roman"/>
          <w:sz w:val="17"/>
        </w:rPr>
        <w:t>.  The Company shall have the right to designate the managing underwriter in any underwritten offering, except for any registration effected pursuant to Section 3, which designation shall be subject to the approval of the Shareholders holding a majority of the Registrable Shares that all Shareholders requested to be included in such offering, and which approval shall not be unreasonably withheld, conditioned or delayed.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14.</w:t>
      </w:r>
      <w:r>
        <w:rPr>
          <w:rFonts w:ascii="Times New Roman" w:hAnsi="Times New Roman"/>
        </w:rPr>
        <w:t xml:space="preserve">                                    </w:t>
      </w:r>
      <w:r>
        <w:rPr>
          <w:rFonts w:ascii="Times New Roman" w:hAnsi="Times New Roman"/>
          <w:sz w:val="17"/>
          <w:u w:val="single"/>
        </w:rPr>
        <w:t>Mergers, Etc</w:t>
      </w:r>
      <w:r>
        <w:rPr>
          <w:rFonts w:ascii="Times New Roman" w:hAnsi="Times New Roman"/>
          <w:sz w:val="17"/>
        </w:rPr>
        <w:t xml:space="preserve">.  The Company shall not, directly or indirectly, enter into any merger, amalgamation or reorganization in which the Company shall not be the surviving corporation unless the proposed surviving entity shall, prior to such merger, amalgamation or reorganization, agree in writing to assume the obligations of the Company under this Agreement, and for that purpose references hereunder to Registrable Shares shall be deemed to be references to the securities that the Shareholder would be entitled to receive in exchange for Registrable Shares under the terms of any such merger, amalgamation or reorganization; </w:t>
      </w:r>
      <w:r>
        <w:rPr>
          <w:rFonts w:ascii="Times New Roman" w:hAnsi="Times New Roman"/>
          <w:sz w:val="17"/>
          <w:u w:val="single"/>
        </w:rPr>
        <w:t>provided</w:t>
      </w:r>
      <w:r>
        <w:rPr>
          <w:rFonts w:ascii="Times New Roman" w:hAnsi="Times New Roman"/>
          <w:sz w:val="17"/>
        </w:rPr>
        <w:t>, however, that the provisions of this Agreement shall not apply in the event of any merger, amalgamation or reorganization in which the Company is not the surviving entity if all Shareholders are entitled to receive in exchange for their Registrable Shares consideration consisting solely of (i) cash, (ii) securities of the acquiring corporation that may be immediately sold to the public without registration under the Securities Act or (iii) securities of the acquiring entity that the acquiring entity has agreed to register within ninety (90) days of completion of the transaction for resale to the public pursuant to the Securities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15.</w:t>
      </w:r>
      <w:r>
        <w:rPr>
          <w:rFonts w:ascii="Times New Roman" w:hAnsi="Times New Roman"/>
        </w:rPr>
        <w:t xml:space="preserve">                                    </w:t>
      </w:r>
      <w:r>
        <w:rPr>
          <w:rFonts w:ascii="Times New Roman" w:hAnsi="Times New Roman"/>
          <w:sz w:val="17"/>
          <w:u w:val="single"/>
        </w:rPr>
        <w:t>Successors and Assigns</w:t>
      </w:r>
      <w:r>
        <w:rPr>
          <w:rFonts w:ascii="Times New Roman" w:hAnsi="Times New Roman"/>
          <w:sz w:val="17"/>
        </w:rPr>
        <w:t>.  Except as provided in Section 16, the provisions of this Agreement shall be binding upon, and inure to the benefit of, the respective successors, assigns, heirs, executors and administrators of the parties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16.</w:t>
      </w:r>
      <w:r>
        <w:rPr>
          <w:rFonts w:ascii="Times New Roman" w:hAnsi="Times New Roman"/>
        </w:rPr>
        <w:t xml:space="preserve">                                    </w:t>
      </w:r>
      <w:r>
        <w:rPr>
          <w:rFonts w:ascii="Times New Roman" w:hAnsi="Times New Roman"/>
          <w:sz w:val="17"/>
          <w:u w:val="single"/>
        </w:rPr>
        <w:t>Transfers of Certain Rights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16.1</w:t>
      </w:r>
      <w:r>
        <w:rPr>
          <w:rFonts w:ascii="Times New Roman" w:hAnsi="Times New Roman"/>
        </w:rPr>
        <w:t xml:space="preserve">                        </w:t>
      </w:r>
      <w:r>
        <w:rPr>
          <w:rFonts w:ascii="Times New Roman" w:hAnsi="Times New Roman"/>
          <w:sz w:val="17"/>
          <w:u w:val="single"/>
        </w:rPr>
        <w:t>Transfer of Rights</w:t>
      </w:r>
      <w:r>
        <w:rPr>
          <w:rFonts w:ascii="Times New Roman" w:hAnsi="Times New Roman"/>
          <w:sz w:val="17"/>
        </w:rPr>
        <w:t xml:space="preserve">.  The rights of each Shareholder under this Agreement may be transferred to a transferee or assignee of the Registrable Shares; </w:t>
      </w:r>
      <w:r>
        <w:rPr>
          <w:rFonts w:ascii="Times New Roman" w:hAnsi="Times New Roman"/>
          <w:sz w:val="17"/>
          <w:u w:val="single"/>
        </w:rPr>
        <w:t>provided</w:t>
      </w:r>
      <w:r>
        <w:rPr>
          <w:rFonts w:ascii="Times New Roman" w:hAnsi="Times New Roman"/>
          <w:sz w:val="17"/>
        </w:rPr>
        <w:t>, that the Shareholder shall, within ten (10) business days after such transfer, furnish to the Company written notice of the name and address of such transferee or assignee and the number of Registrable Shares with respect to which such rights are being assigned.  The transferee or assignee of a Shareholders rights and obligations hereunder shall be deemed a Shareholder for purposes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16.2</w:t>
      </w:r>
      <w:r>
        <w:rPr>
          <w:rFonts w:ascii="Times New Roman" w:hAnsi="Times New Roman"/>
        </w:rPr>
        <w:t xml:space="preserve">                        </w:t>
      </w:r>
      <w:r>
        <w:rPr>
          <w:rFonts w:ascii="Times New Roman" w:hAnsi="Times New Roman"/>
          <w:sz w:val="17"/>
          <w:u w:val="single"/>
        </w:rPr>
        <w:t>Joinder</w:t>
      </w:r>
      <w:r>
        <w:rPr>
          <w:rFonts w:ascii="Times New Roman" w:hAnsi="Times New Roman"/>
          <w:sz w:val="17"/>
        </w:rPr>
        <w:t>.  Any transferee of a Shareholders Registrable Shares, and any other Person that acquires Class A Registrable Shares after the date hereof, shall, as a condition to such transfer or acquisition, execute and deliver to the Company a joinder to this Agreement pursuant to which such Person agrees to become a party to this Agreement subject to the obligations applicable to a Shareholder pursuant to the terms set forth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79" w:name="PB_16_082415_7748"/>
      <w:bookmarkEnd w:id="7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16.3</w:t>
      </w:r>
      <w:r>
        <w:rPr>
          <w:rFonts w:ascii="Times New Roman" w:hAnsi="Times New Roman"/>
        </w:rPr>
        <w:t xml:space="preserve">                        </w:t>
      </w:r>
      <w:r>
        <w:rPr>
          <w:rFonts w:ascii="Times New Roman" w:hAnsi="Times New Roman"/>
          <w:sz w:val="17"/>
          <w:u w:val="single"/>
        </w:rPr>
        <w:t>Subsequent Transferees</w:t>
      </w:r>
      <w:r>
        <w:rPr>
          <w:rFonts w:ascii="Times New Roman" w:hAnsi="Times New Roman"/>
          <w:sz w:val="17"/>
        </w:rPr>
        <w:t>.  A transferee to whom rights are transferred pursuant to this Section 16 may not again transfer such rights to any other Person, other than as provided in Sections 16.1 and 16.2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17.</w:t>
      </w:r>
      <w:r>
        <w:rPr>
          <w:rFonts w:ascii="Times New Roman" w:hAnsi="Times New Roman"/>
        </w:rPr>
        <w:t xml:space="preserve">                                    </w:t>
      </w:r>
      <w:r>
        <w:rPr>
          <w:rFonts w:ascii="Times New Roman" w:hAnsi="Times New Roman"/>
          <w:sz w:val="17"/>
          <w:u w:val="single"/>
        </w:rPr>
        <w:t>Miscellaneous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17.1</w:t>
      </w:r>
      <w:r>
        <w:rPr>
          <w:rFonts w:ascii="Times New Roman" w:hAnsi="Times New Roman"/>
        </w:rPr>
        <w:t xml:space="preserve">                        </w:t>
      </w:r>
      <w:r>
        <w:rPr>
          <w:rFonts w:ascii="Times New Roman" w:hAnsi="Times New Roman"/>
          <w:sz w:val="17"/>
          <w:u w:val="single"/>
        </w:rPr>
        <w:t>No Inconsistent Agreements</w:t>
      </w:r>
      <w:r>
        <w:rPr>
          <w:rFonts w:ascii="Times New Roman" w:hAnsi="Times New Roman"/>
          <w:sz w:val="17"/>
        </w:rPr>
        <w:t>.  The Company will not hereafter enter into any agreement with respect to its securities that is inconsistent with, grants any rights equal or superior to, or violates the rights granted to the holders of Registrable Shares in this Agreement without first obtaining the prior written consent of the Shareholders holding at least a majority of the Registrable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17.2</w:t>
      </w:r>
      <w:r>
        <w:rPr>
          <w:rFonts w:ascii="Times New Roman" w:hAnsi="Times New Roman"/>
        </w:rPr>
        <w:t xml:space="preserve">                        </w:t>
      </w:r>
      <w:r>
        <w:rPr>
          <w:rFonts w:ascii="Times New Roman" w:hAnsi="Times New Roman"/>
          <w:sz w:val="17"/>
          <w:u w:val="single"/>
        </w:rPr>
        <w:t>Adjustments Affecting Registrable Shares</w:t>
      </w:r>
      <w:r>
        <w:rPr>
          <w:rFonts w:ascii="Times New Roman" w:hAnsi="Times New Roman"/>
          <w:sz w:val="17"/>
        </w:rPr>
        <w:t>.  The Company will not take any action, or permit any change to occur, with respect to its securities that would adversely affect the ability of the holders of Registrable Shares to include such Registrable Shares in a registration undertaken pursuant to this Agreement or that would adversely affect the marketability of such Registrable Shares in any such registration (including, without limitation, effecting a share split or a combination of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17.3</w:t>
      </w:r>
      <w:r>
        <w:rPr>
          <w:rFonts w:ascii="Times New Roman" w:hAnsi="Times New Roman"/>
        </w:rPr>
        <w:t xml:space="preserve">                        </w:t>
      </w:r>
      <w:r>
        <w:rPr>
          <w:rFonts w:ascii="Times New Roman" w:hAnsi="Times New Roman"/>
          <w:sz w:val="17"/>
          <w:u w:val="single"/>
        </w:rPr>
        <w:t>No Registration of Class A Common Shares or Class B-2 Common Shares</w:t>
      </w:r>
      <w:r>
        <w:rPr>
          <w:rFonts w:ascii="Times New Roman" w:hAnsi="Times New Roman"/>
          <w:sz w:val="17"/>
        </w:rPr>
        <w:t>.  The registration rights contained herein apply only to the Common Shares, and the Company shall never be obligated to register any of the Class A Common Shares or Class B-2 Common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17.4</w:t>
      </w:r>
      <w:r>
        <w:rPr>
          <w:rFonts w:ascii="Times New Roman" w:hAnsi="Times New Roman"/>
        </w:rPr>
        <w:t xml:space="preserve">                        </w:t>
      </w:r>
      <w:r>
        <w:rPr>
          <w:rFonts w:ascii="Times New Roman" w:hAnsi="Times New Roman"/>
          <w:sz w:val="17"/>
          <w:u w:val="single"/>
        </w:rPr>
        <w:t>Amendment</w:t>
      </w:r>
      <w:r>
        <w:rPr>
          <w:rFonts w:ascii="Times New Roman" w:hAnsi="Times New Roman"/>
          <w:sz w:val="17"/>
        </w:rPr>
        <w:t xml:space="preserve">.  Any provision of this Agreement may be amended and the observance thereof may be waived (either generally or in a particular instance and either retroactively or prospectively), only by the written consent of the Company and the Required Holders; </w:t>
      </w:r>
      <w:r>
        <w:rPr>
          <w:rFonts w:ascii="Times New Roman" w:hAnsi="Times New Roman"/>
          <w:sz w:val="17"/>
          <w:u w:val="single"/>
        </w:rPr>
        <w:t>provided</w:t>
      </w:r>
      <w:r>
        <w:rPr>
          <w:rFonts w:ascii="Times New Roman" w:hAnsi="Times New Roman"/>
          <w:sz w:val="17"/>
        </w:rPr>
        <w:t>, however, that (a) no modification or amendment which adversely affects the rights or obligations of any Shareholder under this Agreement or any other Related Document (as defined in the Subscription Agreement) in a manner disproportionate to other holders of the same class or series of shares shall be effective without the written consent of such adversely and disproportionately affected Shareholder and (b) no modification or amendment which increases any Shareholders obligations to make payments to or on behalf of the Company or requires any Shareholder to assume additional liabilities in connection with its ownership of Company securities shall be effective without the written consent of such Shareholder.  Any amendment or waiver effected in accordance with this Section 17.4 shall be binding upon the Company and each of the Shareholders and their respective successors and assigns.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17.5</w:t>
      </w:r>
      <w:r>
        <w:rPr>
          <w:rFonts w:ascii="Times New Roman" w:hAnsi="Times New Roman"/>
        </w:rPr>
        <w:t xml:space="preserve">                        </w:t>
      </w:r>
      <w:r>
        <w:rPr>
          <w:rFonts w:ascii="Times New Roman" w:hAnsi="Times New Roman"/>
          <w:sz w:val="17"/>
          <w:u w:val="single"/>
        </w:rPr>
        <w:t>Specific Performance</w:t>
      </w:r>
      <w:r>
        <w:rPr>
          <w:rFonts w:ascii="Times New Roman" w:hAnsi="Times New Roman"/>
          <w:sz w:val="17"/>
        </w:rPr>
        <w:t>.  In addition to any and all other remedies that may be available at law, in the event of any breach of this Agreement, each Shareholder shall be entitled to specific performance of the agreements and obligations of the Company hereunder and to such other injunctive or other equitable relief as may be granted by a court of competent jurisdiction.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17.6</w:t>
      </w:r>
      <w:r>
        <w:rPr>
          <w:rFonts w:ascii="Times New Roman" w:hAnsi="Times New Roman"/>
        </w:rPr>
        <w:t xml:space="preserve">                        </w:t>
      </w:r>
      <w:r>
        <w:rPr>
          <w:rFonts w:ascii="Times New Roman" w:hAnsi="Times New Roman"/>
          <w:sz w:val="17"/>
          <w:u w:val="single"/>
        </w:rPr>
        <w:t>Remedies Cumulative</w:t>
      </w:r>
      <w:r>
        <w:rPr>
          <w:rFonts w:ascii="Times New Roman" w:hAnsi="Times New Roman"/>
          <w:sz w:val="17"/>
        </w:rPr>
        <w:t>.  No remedy or election hereunder shall be deemed exclusive but shall, wherever possible, be cumulative with all other remedies at law or in equity.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80" w:name="PB_17_082430_141"/>
      <w:bookmarkEnd w:id="8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17.7</w:t>
      </w:r>
      <w:r>
        <w:rPr>
          <w:rFonts w:ascii="Times New Roman" w:hAnsi="Times New Roman"/>
        </w:rPr>
        <w:t xml:space="preserve">                        </w:t>
      </w:r>
      <w:r>
        <w:rPr>
          <w:rFonts w:ascii="Times New Roman" w:hAnsi="Times New Roman"/>
          <w:sz w:val="17"/>
          <w:u w:val="single"/>
        </w:rPr>
        <w:t>No Waiver</w:t>
      </w:r>
      <w:r>
        <w:rPr>
          <w:rFonts w:ascii="Times New Roman" w:hAnsi="Times New Roman"/>
          <w:sz w:val="17"/>
        </w:rPr>
        <w:t>.  No waiver of any provision or consent to any action shall constitute a waiver of any other provision or consent to any other action, whether or not similar.  No waiver or consent shall constitute a continuing waiver or consent or commit a party to provide a waiver in the future except to the extent specifically set forth in writing.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17.8</w:t>
      </w:r>
      <w:r>
        <w:rPr>
          <w:rFonts w:ascii="Times New Roman" w:hAnsi="Times New Roman"/>
        </w:rPr>
        <w:t xml:space="preserve">                        </w:t>
      </w:r>
      <w:r>
        <w:rPr>
          <w:rFonts w:ascii="Times New Roman" w:hAnsi="Times New Roman"/>
          <w:sz w:val="17"/>
          <w:u w:val="single"/>
        </w:rPr>
        <w:t>Jury Trial Waiver</w:t>
      </w:r>
      <w:r>
        <w:rPr>
          <w:rFonts w:ascii="Times New Roman" w:hAnsi="Times New Roman"/>
          <w:sz w:val="17"/>
        </w:rPr>
        <w:t>.  To the fullest extent permitted by law, and as separately bargained-for-consideration, each party hereby waives any right to trial by jury in any action, suit, proceeding or counterclaim of any kind arising out of or relating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17.9</w:t>
      </w:r>
      <w:r>
        <w:rPr>
          <w:rFonts w:ascii="Times New Roman" w:hAnsi="Times New Roman"/>
        </w:rPr>
        <w:t xml:space="preserve">                        </w:t>
      </w:r>
      <w:r>
        <w:rPr>
          <w:rFonts w:ascii="Times New Roman" w:hAnsi="Times New Roman"/>
          <w:b/>
          <w:sz w:val="17"/>
          <w:u w:val="single"/>
        </w:rPr>
        <w:t>GOVERNING LAW</w:t>
      </w:r>
      <w:r>
        <w:rPr>
          <w:rFonts w:ascii="Times New Roman" w:hAnsi="Times New Roman"/>
          <w:b/>
          <w:sz w:val="17"/>
        </w:rPr>
        <w:t>.</w:t>
      </w:r>
      <w:r>
        <w:rPr>
          <w:rFonts w:ascii="Times New Roman" w:hAnsi="Times New Roman"/>
        </w:rPr>
        <w:t xml:space="preserve">                           </w:t>
      </w:r>
      <w:r>
        <w:rPr>
          <w:rFonts w:ascii="Times New Roman" w:hAnsi="Times New Roman"/>
          <w:b/>
          <w:sz w:val="17"/>
        </w:rPr>
        <w:t>THIS AGREEMENT SHALL BE GOVERNED BY, AND CONSTRUED AND INTERPRETED IN ACCORDANCE WITH, THE LAWS OF THE STATE OF NEW YORK, WITHOUT GIVING EFFECT TO PRINCIPLES OF CONFLICTS OF 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17.10</w:t>
      </w:r>
      <w:r>
        <w:rPr>
          <w:rFonts w:ascii="Times New Roman" w:hAnsi="Times New Roman"/>
        </w:rPr>
        <w:t xml:space="preserve">                 </w:t>
      </w:r>
      <w:r>
        <w:rPr>
          <w:rFonts w:ascii="Times New Roman" w:hAnsi="Times New Roman"/>
          <w:sz w:val="17"/>
          <w:u w:val="single"/>
        </w:rPr>
        <w:t>Notices</w:t>
      </w:r>
      <w:r>
        <w:rPr>
          <w:rFonts w:ascii="Times New Roman" w:hAnsi="Times New Roman"/>
          <w:sz w:val="17"/>
        </w:rPr>
        <w:t xml:space="preserve">.  All notices required or permitted hereunder shall be in writing and shall be deemed effectively given: (a) upon personal delivery to the party to be notified; (b) when sent by confirmed facsimile if sent during normal business hours of the recipient; if not,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shall be sent to the Company at the address as set forth on the signature page hereof and to a Shareholder at such Shareholders address as set forth on </w:t>
      </w:r>
      <w:r>
        <w:rPr>
          <w:rFonts w:ascii="Times New Roman" w:hAnsi="Times New Roman"/>
          <w:sz w:val="17"/>
          <w:u w:val="single"/>
        </w:rPr>
        <w:t>Exhibit A</w:t>
      </w:r>
      <w:r>
        <w:rPr>
          <w:rFonts w:ascii="Times New Roman" w:hAnsi="Times New Roman"/>
          <w:sz w:val="17"/>
        </w:rPr>
        <w:t xml:space="preserve"> attached hereto, or at such other address as the Company or such Shareholder may designate by ten (10) days advance written notice to the other parties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17.11</w:t>
      </w:r>
      <w:r>
        <w:rPr>
          <w:rFonts w:ascii="Times New Roman" w:hAnsi="Times New Roman"/>
        </w:rPr>
        <w:t xml:space="preserve">                 </w:t>
      </w:r>
      <w:r>
        <w:rPr>
          <w:rFonts w:ascii="Times New Roman" w:hAnsi="Times New Roman"/>
          <w:sz w:val="17"/>
          <w:u w:val="single"/>
        </w:rPr>
        <w:t>Severability</w:t>
      </w:r>
      <w:r>
        <w:rPr>
          <w:rFonts w:ascii="Times New Roman" w:hAnsi="Times New Roman"/>
          <w:sz w:val="17"/>
        </w:rPr>
        <w:t>.  If any term or provision of this Agreement is determined to be illegal, unenforceable or invalid in whole or in part for any reason, such illegal, unenforceable or invalid provisions or part thereof shall be stricken from this Agreement, and such provision shall not affect the legality, enforceability or validity of the remainder of this Agreement.  If any provision or part thereof of this Agreement is stricken in accordance with the provisions of this Section 17.11, then such stricken provision shall be replaced, to extent possible, with a legal, enforceable and valid provision that is as similar in tenor to the stricken provision as is legally possible.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17.12</w:t>
      </w:r>
      <w:r>
        <w:rPr>
          <w:rFonts w:ascii="Times New Roman" w:hAnsi="Times New Roman"/>
        </w:rPr>
        <w:t xml:space="preserve">                 </w:t>
      </w:r>
      <w:r>
        <w:rPr>
          <w:rFonts w:ascii="Times New Roman" w:hAnsi="Times New Roman"/>
          <w:sz w:val="17"/>
          <w:u w:val="single"/>
        </w:rPr>
        <w:t>Entire Agreement</w:t>
      </w:r>
      <w:r>
        <w:rPr>
          <w:rFonts w:ascii="Times New Roman" w:hAnsi="Times New Roman"/>
          <w:sz w:val="17"/>
        </w:rPr>
        <w:t>.  This Agreement and the exhibits referred to herein constitute the entire agreement among the parties and supersede all prior communications, representations, understandings and agreements of the parties with respect to the subject matter hereof.  All exhibits hereto are incorporated herein by reference.  Nothing in this Agreement, express or implied, is intended to confer upon any third party any rights, remedies, obligations or liabilities under or by reason of this Agreement, except as expressly provided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17.13</w:t>
      </w:r>
      <w:r>
        <w:rPr>
          <w:rFonts w:ascii="Times New Roman" w:hAnsi="Times New Roman"/>
        </w:rPr>
        <w:t xml:space="preserve">                 </w:t>
      </w:r>
      <w:r>
        <w:rPr>
          <w:rFonts w:ascii="Times New Roman" w:hAnsi="Times New Roman"/>
          <w:sz w:val="17"/>
          <w:u w:val="single"/>
        </w:rPr>
        <w:t>Section Headings</w:t>
      </w:r>
      <w:r>
        <w:rPr>
          <w:rFonts w:ascii="Times New Roman" w:hAnsi="Times New Roman"/>
          <w:sz w:val="17"/>
        </w:rPr>
        <w:t>.  The section headings are for the convenience of the parties and in no way alter, modify, amend, limit or restrict the contractual obligations of the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17.14</w:t>
      </w:r>
      <w:r>
        <w:rPr>
          <w:rFonts w:ascii="Times New Roman" w:hAnsi="Times New Roman"/>
        </w:rPr>
        <w:t xml:space="preserve">                 </w:t>
      </w:r>
      <w:r>
        <w:rPr>
          <w:rFonts w:ascii="Times New Roman" w:hAnsi="Times New Roman"/>
          <w:sz w:val="17"/>
          <w:u w:val="single"/>
        </w:rPr>
        <w:t>General Interpretation</w:t>
      </w:r>
      <w:r>
        <w:rPr>
          <w:rFonts w:ascii="Times New Roman" w:hAnsi="Times New Roman"/>
          <w:sz w:val="17"/>
        </w:rPr>
        <w:t>.  The terms of this Agreement have been negotiated by the parties hereto and the language used in this Agreement shall be deemed to be the language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81" w:name="PB_18_082440_7608"/>
      <w:bookmarkEnd w:id="8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chosen by the parties hereto to express their mutual intent.  This Agreement shall be construed without regard to any presumption or rule requiring construction against the party causing such instrument or any portion thereof to be drafted, or in favor of the party receiving a particular benefit under this Agreement.  No rule of strict construction will be applied against any person.  For all purposes of this Agreement, unless otherwise expressly provided or unless the context otherwise requires: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any pronouns used in this Agreement shall include the corresponding masculine, feminine or neutral forms, and the singular form of nouns and pronouns shall include the plural, and vice versa;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words herein, hereto and hereby, and other words of similar import, refer to this Agreement as a whole and not to any particular Section or other subdivision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references to Sections, clauses, other subdivisions and exhibits are references to Sections, clauses, other subdivisions and exhibits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any reference herein to a statute, rule or regulation of any governmental entity (or any provision thereof) shall include such statute, rule or regulation (or provision thereof), including any successor thereto, as it may be amended from time to time;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any reference to the Company shall mean the Company, acting through its authorized officers or its board of directors and shall not, unless otherwise expressly indicated or as required by applicable law, mean the Shareholders or Members or imply any action or approval thereby.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17.15</w:t>
      </w:r>
      <w:r>
        <w:rPr>
          <w:rFonts w:ascii="Times New Roman" w:hAnsi="Times New Roman"/>
        </w:rPr>
        <w:t xml:space="preserve">                 </w:t>
      </w:r>
      <w:r>
        <w:rPr>
          <w:rFonts w:ascii="Times New Roman" w:hAnsi="Times New Roman"/>
          <w:sz w:val="17"/>
          <w:u w:val="single"/>
        </w:rPr>
        <w:t>Counterparts; Facsimile Signatures</w:t>
      </w:r>
      <w:r>
        <w:rPr>
          <w:rFonts w:ascii="Times New Roman" w:hAnsi="Times New Roman"/>
          <w:sz w:val="17"/>
        </w:rPr>
        <w:t>.  This Agreement may be executed in any number of counterparts, each of which shall be deemed to be an original, and all of which together shall constitute one and the same document.  This Agreement may be executed by facsimile or .pdf signatures.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Signature Pages Follow</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82" w:name="PB_19_082451_8146"/>
      <w:bookmarkEnd w:id="8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have executed this Amended and Restated Registration Rights Agreement as of the date first written above.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30"/>
        <w:gridCol w:w="417"/>
        <w:gridCol w:w="417"/>
        <w:gridCol w:w="270"/>
        <w:gridCol w:w="3871"/>
      </w:tblGrid>
      <w:tr>
        <w:trPr/>
        <w:tc>
          <w:tcPr>
            <w:tcW w:w="5230" w:type="dxa"/>
            <w:tcBorders/>
            <w:shd w:fill="auto" w:val="clear"/>
          </w:tcPr>
          <w:p>
            <w:pPr>
              <w:pStyle w:val="TableContents"/>
              <w:spacing w:before="0" w:after="0"/>
              <w:ind w:left="0" w:right="0" w:hanging="0"/>
              <w:rPr/>
            </w:pPr>
            <w:r>
              <w:rPr/>
              <w:t> </w:t>
            </w:r>
          </w:p>
        </w:tc>
        <w:tc>
          <w:tcPr>
            <w:tcW w:w="4975" w:type="dxa"/>
            <w:gridSpan w:val="4"/>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COMPANY:</w:t>
            </w:r>
          </w:p>
        </w:tc>
      </w:tr>
      <w:tr>
        <w:trPr/>
        <w:tc>
          <w:tcPr>
            <w:tcW w:w="5230" w:type="dxa"/>
            <w:tcBorders/>
            <w:shd w:fill="auto" w:val="clear"/>
          </w:tcPr>
          <w:p>
            <w:pPr>
              <w:pStyle w:val="TableContents"/>
              <w:spacing w:before="0" w:after="0"/>
              <w:ind w:left="0" w:right="0" w:hanging="0"/>
              <w:rPr/>
            </w:pPr>
            <w:r>
              <w:rPr/>
              <w:t> </w:t>
            </w:r>
          </w:p>
        </w:tc>
        <w:tc>
          <w:tcPr>
            <w:tcW w:w="4975" w:type="dxa"/>
            <w:gridSpan w:val="4"/>
            <w:tcBorders/>
            <w:shd w:fill="auto" w:val="clear"/>
          </w:tcPr>
          <w:p>
            <w:pPr>
              <w:pStyle w:val="TableContents"/>
              <w:spacing w:before="0" w:after="0"/>
              <w:ind w:left="0" w:right="0" w:hanging="0"/>
              <w:rPr/>
            </w:pPr>
            <w:r>
              <w:rPr/>
              <w:t> </w:t>
            </w:r>
          </w:p>
        </w:tc>
      </w:tr>
      <w:tr>
        <w:trPr/>
        <w:tc>
          <w:tcPr>
            <w:tcW w:w="5230"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558"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ESSENT GROUP LTD.</w:t>
            </w:r>
          </w:p>
        </w:tc>
      </w:tr>
      <w:tr>
        <w:trPr/>
        <w:tc>
          <w:tcPr>
            <w:tcW w:w="5230"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558" w:type="dxa"/>
            <w:gridSpan w:val="3"/>
            <w:tcBorders/>
            <w:shd w:fill="auto" w:val="clear"/>
          </w:tcPr>
          <w:p>
            <w:pPr>
              <w:pStyle w:val="TableContents"/>
              <w:spacing w:before="0" w:after="0"/>
              <w:ind w:left="0" w:right="0" w:hanging="0"/>
              <w:rPr/>
            </w:pPr>
            <w:r>
              <w:rPr/>
              <w:t> </w:t>
            </w:r>
          </w:p>
        </w:tc>
      </w:tr>
      <w:tr>
        <w:trPr/>
        <w:tc>
          <w:tcPr>
            <w:tcW w:w="5230"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141"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Mark A. Casale</w:t>
            </w:r>
          </w:p>
        </w:tc>
      </w:tr>
      <w:tr>
        <w:trPr/>
        <w:tc>
          <w:tcPr>
            <w:tcW w:w="5230"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14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Mark A. Casale</w:t>
            </w:r>
          </w:p>
        </w:tc>
      </w:tr>
      <w:tr>
        <w:trPr/>
        <w:tc>
          <w:tcPr>
            <w:tcW w:w="5230"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14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President and CEO</w:t>
            </w:r>
          </w:p>
        </w:tc>
      </w:tr>
      <w:tr>
        <w:trPr/>
        <w:tc>
          <w:tcPr>
            <w:tcW w:w="5230"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558" w:type="dxa"/>
            <w:gridSpan w:val="3"/>
            <w:tcBorders/>
            <w:shd w:fill="auto" w:val="clear"/>
          </w:tcPr>
          <w:p>
            <w:pPr>
              <w:pStyle w:val="TableContents"/>
              <w:spacing w:before="0" w:after="0"/>
              <w:ind w:left="0" w:right="0" w:hanging="0"/>
              <w:rPr/>
            </w:pPr>
            <w:r>
              <w:rPr/>
              <w:t> </w:t>
            </w:r>
          </w:p>
        </w:tc>
      </w:tr>
      <w:tr>
        <w:trPr/>
        <w:tc>
          <w:tcPr>
            <w:tcW w:w="5230"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687"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Address: </w:t>
            </w:r>
          </w:p>
        </w:tc>
        <w:tc>
          <w:tcPr>
            <w:tcW w:w="38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Clarendon House</w:t>
            </w:r>
          </w:p>
        </w:tc>
      </w:tr>
      <w:tr>
        <w:trPr/>
        <w:tc>
          <w:tcPr>
            <w:tcW w:w="5230"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687" w:type="dxa"/>
            <w:gridSpan w:val="2"/>
            <w:tcBorders/>
            <w:shd w:fill="auto" w:val="clear"/>
          </w:tcPr>
          <w:p>
            <w:pPr>
              <w:pStyle w:val="TableContents"/>
              <w:spacing w:before="0" w:after="0"/>
              <w:ind w:left="0" w:right="0" w:hanging="0"/>
              <w:rPr/>
            </w:pPr>
            <w:r>
              <w:rPr/>
              <w:t> </w:t>
            </w:r>
          </w:p>
        </w:tc>
        <w:tc>
          <w:tcPr>
            <w:tcW w:w="38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 Church Street</w:t>
            </w:r>
          </w:p>
        </w:tc>
      </w:tr>
      <w:tr>
        <w:trPr/>
        <w:tc>
          <w:tcPr>
            <w:tcW w:w="5230"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687" w:type="dxa"/>
            <w:gridSpan w:val="2"/>
            <w:tcBorders/>
            <w:shd w:fill="auto" w:val="clear"/>
          </w:tcPr>
          <w:p>
            <w:pPr>
              <w:pStyle w:val="TableContents"/>
              <w:spacing w:before="0" w:after="0"/>
              <w:ind w:left="0" w:right="0" w:hanging="0"/>
              <w:rPr/>
            </w:pPr>
            <w:r>
              <w:rPr/>
              <w:t> </w:t>
            </w:r>
          </w:p>
        </w:tc>
        <w:tc>
          <w:tcPr>
            <w:tcW w:w="38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Hamilton, HM 11</w:t>
            </w:r>
          </w:p>
        </w:tc>
      </w:tr>
      <w:tr>
        <w:trPr/>
        <w:tc>
          <w:tcPr>
            <w:tcW w:w="5230"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687" w:type="dxa"/>
            <w:gridSpan w:val="2"/>
            <w:tcBorders/>
            <w:shd w:fill="auto" w:val="clear"/>
          </w:tcPr>
          <w:p>
            <w:pPr>
              <w:pStyle w:val="TableContents"/>
              <w:spacing w:before="0" w:after="0"/>
              <w:ind w:left="0" w:right="0" w:hanging="0"/>
              <w:rPr/>
            </w:pPr>
            <w:r>
              <w:rPr/>
              <w:t> </w:t>
            </w:r>
          </w:p>
        </w:tc>
        <w:tc>
          <w:tcPr>
            <w:tcW w:w="38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Bermuda</w:t>
            </w:r>
          </w:p>
        </w:tc>
      </w:tr>
      <w:tr>
        <w:trPr/>
        <w:tc>
          <w:tcPr>
            <w:tcW w:w="5230"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387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 PAGE TO REGISTRATION RIGHTS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3"/>
        <w:gridCol w:w="516"/>
        <w:gridCol w:w="412"/>
        <w:gridCol w:w="4124"/>
      </w:tblGrid>
      <w:tr>
        <w:trPr/>
        <w:tc>
          <w:tcPr>
            <w:tcW w:w="5153" w:type="dxa"/>
            <w:tcBorders/>
            <w:shd w:fill="auto" w:val="clear"/>
          </w:tcPr>
          <w:p>
            <w:pPr>
              <w:pStyle w:val="TableContents"/>
              <w:spacing w:before="0" w:after="0"/>
              <w:ind w:left="0" w:right="0" w:hanging="0"/>
              <w:rPr/>
            </w:pPr>
            <w:r>
              <w:rPr/>
              <w:t> </w:t>
            </w:r>
          </w:p>
        </w:tc>
        <w:tc>
          <w:tcPr>
            <w:tcW w:w="5052"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SHAREHOLDERS:</w:t>
            </w:r>
          </w:p>
        </w:tc>
      </w:tr>
      <w:tr>
        <w:trPr/>
        <w:tc>
          <w:tcPr>
            <w:tcW w:w="5153" w:type="dxa"/>
            <w:tcBorders/>
            <w:shd w:fill="auto" w:val="clear"/>
          </w:tcPr>
          <w:p>
            <w:pPr>
              <w:pStyle w:val="TableContents"/>
              <w:spacing w:before="0" w:after="0"/>
              <w:ind w:left="0" w:right="0" w:hanging="0"/>
              <w:rPr/>
            </w:pPr>
            <w:r>
              <w:rPr/>
              <w:t> </w:t>
            </w:r>
          </w:p>
        </w:tc>
        <w:tc>
          <w:tcPr>
            <w:tcW w:w="5052" w:type="dxa"/>
            <w:gridSpan w:val="3"/>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ESSENT INTERMEDIATE, L.P.</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2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/s/ Robert Glanville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Robert Glanville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EVP</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PINE BROOK ESSENT CO-INVEST, L.P.</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2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/s/ Robert Glanville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Robert Glanville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EVP</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THE GOLDMAN SACHS GROUP, INC.</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2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Manda DAgata</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Manda DAgata</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Assistant Treasurer</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ALDERMANBURY INVESTMENTS LIMITED</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24"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VALORINA LLC</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Quantum Strategic Partners Ltd., its Managing Member</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124" w:type="dxa"/>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124" w:type="dxa"/>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12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Thomas L. OGrady</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Thomas L. OGrady</w:t>
            </w:r>
          </w:p>
        </w:tc>
      </w:tr>
      <w:tr>
        <w:trPr/>
        <w:tc>
          <w:tcPr>
            <w:tcW w:w="5153"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1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Attorney-in-Fact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b/>
          <w:sz w:val="17"/>
        </w:rPr>
        <w:t>SIGNATURE PAGE TO REGISTRATION RIGHTS AGREEMENT</w:t>
      </w:r>
      <w:r>
        <w:rPr>
          <w:rFonts w:ascii="Times New Roman" w:hAnsi="Times New Roman"/>
          <w:sz w:val="17"/>
        </w:rPr>
        <w:t>]</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67"/>
        <w:gridCol w:w="413"/>
        <w:gridCol w:w="180"/>
        <w:gridCol w:w="4445"/>
      </w:tblGrid>
      <w:tr>
        <w:trPr/>
        <w:tc>
          <w:tcPr>
            <w:tcW w:w="5167" w:type="dxa"/>
            <w:tcBorders/>
            <w:shd w:fill="auto" w:val="clear"/>
          </w:tcPr>
          <w:p>
            <w:pPr>
              <w:pStyle w:val="TableContents"/>
              <w:spacing w:before="0" w:after="0"/>
              <w:ind w:left="0" w:right="0" w:hanging="0"/>
              <w:rPr/>
            </w:pPr>
            <w:r>
              <w:rPr/>
              <w:t> </w:t>
            </w:r>
          </w:p>
        </w:tc>
        <w:tc>
          <w:tcPr>
            <w:tcW w:w="5038"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RENAISSANCERE VENTURES LTD.</w:t>
            </w:r>
          </w:p>
        </w:tc>
      </w:tr>
      <w:tr>
        <w:trPr/>
        <w:tc>
          <w:tcPr>
            <w:tcW w:w="5167" w:type="dxa"/>
            <w:tcBorders/>
            <w:shd w:fill="auto" w:val="clear"/>
          </w:tcPr>
          <w:p>
            <w:pPr>
              <w:pStyle w:val="TableContents"/>
              <w:spacing w:before="0" w:after="0"/>
              <w:ind w:left="0" w:right="0" w:hanging="0"/>
              <w:rPr/>
            </w:pPr>
            <w:r>
              <w:rPr/>
              <w:t> </w:t>
            </w:r>
          </w:p>
        </w:tc>
        <w:tc>
          <w:tcPr>
            <w:tcW w:w="5038" w:type="dxa"/>
            <w:gridSpan w:val="3"/>
            <w:tcBorders/>
            <w:shd w:fill="auto" w:val="clear"/>
          </w:tcPr>
          <w:p>
            <w:pPr>
              <w:pStyle w:val="TableContents"/>
              <w:spacing w:before="0" w:after="0"/>
              <w:ind w:left="0" w:right="0" w:hanging="0"/>
              <w:rPr/>
            </w:pPr>
            <w:r>
              <w:rPr/>
              <w:t> </w:t>
            </w:r>
          </w:p>
        </w:tc>
      </w:tr>
      <w:tr>
        <w:trPr/>
        <w:tc>
          <w:tcPr>
            <w:tcW w:w="5167" w:type="dxa"/>
            <w:tcBorders/>
            <w:shd w:fill="auto" w:val="clear"/>
          </w:tcPr>
          <w:p>
            <w:pPr>
              <w:pStyle w:val="TableContents"/>
              <w:spacing w:before="0" w:after="0"/>
              <w:ind w:left="0" w:right="0" w:hanging="0"/>
              <w:rPr/>
            </w:pPr>
            <w:r>
              <w:rPr/>
              <w:t> </w:t>
            </w:r>
          </w:p>
        </w:tc>
        <w:tc>
          <w:tcPr>
            <w:tcW w:w="5038" w:type="dxa"/>
            <w:gridSpan w:val="3"/>
            <w:tcBorders/>
            <w:shd w:fill="auto" w:val="clear"/>
          </w:tcPr>
          <w:p>
            <w:pPr>
              <w:pStyle w:val="TableContents"/>
              <w:spacing w:before="0" w:after="0"/>
              <w:ind w:left="0" w:right="0" w:hanging="0"/>
              <w:rPr/>
            </w:pPr>
            <w:r>
              <w:rPr/>
              <w:t> </w:t>
            </w:r>
          </w:p>
        </w:tc>
      </w:tr>
      <w:tr>
        <w:trPr/>
        <w:tc>
          <w:tcPr>
            <w:tcW w:w="5167"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625"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Aditya K. Dutt</w:t>
            </w:r>
          </w:p>
        </w:tc>
      </w:tr>
      <w:tr>
        <w:trPr/>
        <w:tc>
          <w:tcPr>
            <w:tcW w:w="5167"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pPr>
            <w:r>
              <w:rPr/>
              <w:t> </w:t>
            </w:r>
          </w:p>
        </w:tc>
        <w:tc>
          <w:tcPr>
            <w:tcW w:w="462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Aditya K. Dutt</w:t>
            </w:r>
          </w:p>
        </w:tc>
      </w:tr>
      <w:tr>
        <w:trPr/>
        <w:tc>
          <w:tcPr>
            <w:tcW w:w="5167"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pPr>
            <w:r>
              <w:rPr/>
              <w:t> </w:t>
            </w:r>
          </w:p>
        </w:tc>
        <w:tc>
          <w:tcPr>
            <w:tcW w:w="462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President</w:t>
            </w:r>
          </w:p>
        </w:tc>
      </w:tr>
      <w:tr>
        <w:trPr/>
        <w:tc>
          <w:tcPr>
            <w:tcW w:w="5167" w:type="dxa"/>
            <w:tcBorders/>
            <w:shd w:fill="auto" w:val="clear"/>
          </w:tcPr>
          <w:p>
            <w:pPr>
              <w:pStyle w:val="TableContents"/>
              <w:spacing w:before="0" w:after="0"/>
              <w:ind w:left="0" w:right="0" w:hanging="0"/>
              <w:rPr/>
            </w:pPr>
            <w:r>
              <w:rPr/>
              <w:t> </w:t>
            </w:r>
          </w:p>
        </w:tc>
        <w:tc>
          <w:tcPr>
            <w:tcW w:w="5038" w:type="dxa"/>
            <w:gridSpan w:val="3"/>
            <w:tcBorders/>
            <w:shd w:fill="auto" w:val="clear"/>
          </w:tcPr>
          <w:p>
            <w:pPr>
              <w:pStyle w:val="TableContents"/>
              <w:spacing w:before="0" w:after="0"/>
              <w:ind w:left="0" w:right="0" w:hanging="0"/>
              <w:rPr/>
            </w:pPr>
            <w:r>
              <w:rPr/>
              <w:t> </w:t>
            </w:r>
          </w:p>
        </w:tc>
      </w:tr>
      <w:tr>
        <w:trPr/>
        <w:tc>
          <w:tcPr>
            <w:tcW w:w="5167" w:type="dxa"/>
            <w:tcBorders/>
            <w:shd w:fill="auto" w:val="clear"/>
          </w:tcPr>
          <w:p>
            <w:pPr>
              <w:pStyle w:val="TableContents"/>
              <w:spacing w:before="0" w:after="0"/>
              <w:ind w:left="0" w:right="0" w:hanging="0"/>
              <w:rPr/>
            </w:pPr>
            <w:r>
              <w:rPr/>
              <w:t> </w:t>
            </w:r>
          </w:p>
        </w:tc>
        <w:tc>
          <w:tcPr>
            <w:tcW w:w="5038"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PPF HOLDINGS II LTD.</w:t>
            </w:r>
          </w:p>
        </w:tc>
      </w:tr>
      <w:tr>
        <w:trPr/>
        <w:tc>
          <w:tcPr>
            <w:tcW w:w="5167" w:type="dxa"/>
            <w:tcBorders/>
            <w:shd w:fill="auto" w:val="clear"/>
          </w:tcPr>
          <w:p>
            <w:pPr>
              <w:pStyle w:val="TableContents"/>
              <w:spacing w:before="0" w:after="0"/>
              <w:ind w:left="0" w:right="0" w:hanging="0"/>
              <w:rPr/>
            </w:pPr>
            <w:r>
              <w:rPr/>
              <w:t> </w:t>
            </w:r>
          </w:p>
        </w:tc>
        <w:tc>
          <w:tcPr>
            <w:tcW w:w="59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4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PartnerRe Principal Finance Inc. Its Investment Advisor</w:t>
            </w:r>
          </w:p>
        </w:tc>
      </w:tr>
      <w:tr>
        <w:trPr/>
        <w:tc>
          <w:tcPr>
            <w:tcW w:w="5167" w:type="dxa"/>
            <w:tcBorders/>
            <w:shd w:fill="auto" w:val="clear"/>
          </w:tcPr>
          <w:p>
            <w:pPr>
              <w:pStyle w:val="TableContents"/>
              <w:spacing w:before="0" w:after="0"/>
              <w:ind w:left="0" w:right="0" w:hanging="0"/>
              <w:rPr/>
            </w:pPr>
            <w:r>
              <w:rPr/>
              <w:t> </w:t>
            </w:r>
          </w:p>
        </w:tc>
        <w:tc>
          <w:tcPr>
            <w:tcW w:w="593" w:type="dxa"/>
            <w:gridSpan w:val="2"/>
            <w:tcBorders/>
            <w:shd w:fill="auto" w:val="clear"/>
          </w:tcPr>
          <w:p>
            <w:pPr>
              <w:pStyle w:val="TableContents"/>
              <w:spacing w:before="0" w:after="0"/>
              <w:ind w:left="0" w:right="0" w:hanging="0"/>
              <w:rPr/>
            </w:pPr>
            <w:r>
              <w:rPr/>
              <w:t> </w:t>
            </w:r>
          </w:p>
        </w:tc>
        <w:tc>
          <w:tcPr>
            <w:tcW w:w="4445" w:type="dxa"/>
            <w:tcBorders/>
            <w:shd w:fill="auto" w:val="clear"/>
          </w:tcPr>
          <w:p>
            <w:pPr>
              <w:pStyle w:val="TableContents"/>
              <w:spacing w:before="0" w:after="0"/>
              <w:ind w:left="0" w:right="0" w:hanging="0"/>
              <w:rPr/>
            </w:pPr>
            <w:r>
              <w:rPr/>
              <w:t> </w:t>
            </w:r>
          </w:p>
        </w:tc>
      </w:tr>
      <w:tr>
        <w:trPr/>
        <w:tc>
          <w:tcPr>
            <w:tcW w:w="5167" w:type="dxa"/>
            <w:tcBorders/>
            <w:shd w:fill="auto" w:val="clear"/>
          </w:tcPr>
          <w:p>
            <w:pPr>
              <w:pStyle w:val="TableContents"/>
              <w:spacing w:before="0" w:after="0"/>
              <w:ind w:left="0" w:right="0" w:hanging="0"/>
              <w:rPr/>
            </w:pPr>
            <w:r>
              <w:rPr/>
              <w:t> </w:t>
            </w:r>
          </w:p>
        </w:tc>
        <w:tc>
          <w:tcPr>
            <w:tcW w:w="593" w:type="dxa"/>
            <w:gridSpan w:val="2"/>
            <w:tcBorders/>
            <w:shd w:fill="auto" w:val="clear"/>
          </w:tcPr>
          <w:p>
            <w:pPr>
              <w:pStyle w:val="TableContents"/>
              <w:spacing w:before="0" w:after="0"/>
              <w:ind w:left="0" w:right="0" w:hanging="0"/>
              <w:rPr/>
            </w:pPr>
            <w:r>
              <w:rPr/>
              <w:t> </w:t>
            </w:r>
          </w:p>
        </w:tc>
        <w:tc>
          <w:tcPr>
            <w:tcW w:w="4445" w:type="dxa"/>
            <w:tcBorders/>
            <w:shd w:fill="auto" w:val="clear"/>
          </w:tcPr>
          <w:p>
            <w:pPr>
              <w:pStyle w:val="TableContents"/>
              <w:spacing w:before="0" w:after="0"/>
              <w:ind w:left="0" w:right="0" w:hanging="0"/>
              <w:rPr/>
            </w:pPr>
            <w:r>
              <w:rPr/>
              <w:t> </w:t>
            </w:r>
          </w:p>
        </w:tc>
      </w:tr>
      <w:tr>
        <w:trPr/>
        <w:tc>
          <w:tcPr>
            <w:tcW w:w="5167" w:type="dxa"/>
            <w:tcBorders/>
            <w:shd w:fill="auto" w:val="clear"/>
          </w:tcPr>
          <w:p>
            <w:pPr>
              <w:pStyle w:val="TableContents"/>
              <w:spacing w:before="0" w:after="0"/>
              <w:ind w:left="0" w:right="0" w:hanging="0"/>
              <w:rPr/>
            </w:pPr>
            <w:r>
              <w:rPr/>
              <w:t> </w:t>
            </w:r>
          </w:p>
        </w:tc>
        <w:tc>
          <w:tcPr>
            <w:tcW w:w="59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45"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67" w:type="dxa"/>
            <w:tcBorders/>
            <w:shd w:fill="auto" w:val="clear"/>
          </w:tcPr>
          <w:p>
            <w:pPr>
              <w:pStyle w:val="TableContents"/>
              <w:spacing w:before="0" w:after="0"/>
              <w:ind w:left="0" w:right="0" w:hanging="0"/>
              <w:rPr/>
            </w:pPr>
            <w:r>
              <w:rPr/>
              <w:t> </w:t>
            </w:r>
          </w:p>
        </w:tc>
        <w:tc>
          <w:tcPr>
            <w:tcW w:w="593" w:type="dxa"/>
            <w:gridSpan w:val="2"/>
            <w:tcBorders/>
            <w:shd w:fill="auto" w:val="clear"/>
          </w:tcPr>
          <w:p>
            <w:pPr>
              <w:pStyle w:val="TableContents"/>
              <w:spacing w:before="0" w:after="0"/>
              <w:ind w:left="0" w:right="0" w:hanging="0"/>
              <w:rPr/>
            </w:pPr>
            <w:r>
              <w:rPr/>
              <w:t> </w:t>
            </w:r>
          </w:p>
        </w:tc>
        <w:tc>
          <w:tcPr>
            <w:tcW w:w="44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67" w:type="dxa"/>
            <w:tcBorders/>
            <w:shd w:fill="auto" w:val="clear"/>
          </w:tcPr>
          <w:p>
            <w:pPr>
              <w:pStyle w:val="TableContents"/>
              <w:spacing w:before="0" w:after="0"/>
              <w:ind w:left="0" w:right="0" w:hanging="0"/>
              <w:rPr/>
            </w:pPr>
            <w:r>
              <w:rPr/>
              <w:t> </w:t>
            </w:r>
          </w:p>
        </w:tc>
        <w:tc>
          <w:tcPr>
            <w:tcW w:w="593" w:type="dxa"/>
            <w:gridSpan w:val="2"/>
            <w:tcBorders/>
            <w:shd w:fill="auto" w:val="clear"/>
          </w:tcPr>
          <w:p>
            <w:pPr>
              <w:pStyle w:val="TableContents"/>
              <w:spacing w:before="0" w:after="0"/>
              <w:ind w:left="0" w:right="0" w:hanging="0"/>
              <w:rPr/>
            </w:pPr>
            <w:r>
              <w:rPr/>
              <w:t> </w:t>
            </w:r>
          </w:p>
        </w:tc>
        <w:tc>
          <w:tcPr>
            <w:tcW w:w="44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6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444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b/>
          <w:sz w:val="17"/>
        </w:rPr>
        <w:t>SIGNATURE PAGE TO REGISTRATION RIGHTS AGREEMENT</w:t>
      </w:r>
      <w:r>
        <w:rPr>
          <w:rFonts w:ascii="Times New Roman" w:hAnsi="Times New Roman"/>
          <w:sz w:val="17"/>
        </w:rPr>
        <w:t>]</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5"/>
        <w:gridCol w:w="617"/>
        <w:gridCol w:w="4433"/>
      </w:tblGrid>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HSBC EQUITY PARTNERS USA, L.P.</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HSBC Equity Investors USA, L.P.,</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HSBC Equity GP, LLC,</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HSBC Capital (USA) Inc.,</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Managing Partner</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Graycliff Partners, LP,</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Attorney-in-Fact</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HSBC PRIVATE EQUITY PARTNERS II USA</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LP</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HSBC Private Equity Investors II, L.P.,</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General Partner</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HSBC PEP H GP, LLC,</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General Partner</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HSBC Capital (USA) Inc.,</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Sole Member</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Graycliff Partners, LP,</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Attorney-in-Fact</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5"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b/>
          <w:sz w:val="17"/>
        </w:rPr>
        <w:t>SIGNATURE PAGE TO REGISTRATION RIGHTS AGREEMENT</w:t>
      </w:r>
      <w:r>
        <w:rPr>
          <w:rFonts w:ascii="Times New Roman" w:hAnsi="Times New Roman"/>
          <w:sz w:val="17"/>
        </w:rPr>
        <w:t>]</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5"/>
        <w:gridCol w:w="514"/>
        <w:gridCol w:w="4536"/>
      </w:tblGrid>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ITHAN CREEK MASTER INVESTMENT PARTNERSHIP (CAYMAN) II, L.P.</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Wellington Management Company, LLP, as investment advisor</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ITHAN CREEK MASTER INVESTORS (CAYMAN) L.P.</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Wellington Management Company, LLP, as investment advisor</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COMMONWEALTH ANNUITY AND LIFE REINSURANCE COMPANY LIMITED</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Allan Levine</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Allan Levine</w:t>
            </w:r>
          </w:p>
        </w:tc>
      </w:tr>
      <w:tr>
        <w:trPr/>
        <w:tc>
          <w:tcPr>
            <w:tcW w:w="5155" w:type="dxa"/>
            <w:tcBorders/>
            <w:shd w:fill="auto" w:val="clear"/>
          </w:tcPr>
          <w:p>
            <w:pPr>
              <w:pStyle w:val="TableContents"/>
              <w:spacing w:before="0" w:after="0"/>
              <w:ind w:left="0" w:right="0" w:hanging="0"/>
              <w:rPr/>
            </w:pPr>
            <w:r>
              <w:rPr/>
              <w:t> </w:t>
            </w:r>
          </w:p>
        </w:tc>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Director</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Mark Casale</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Mark Casale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b/>
          <w:sz w:val="17"/>
        </w:rPr>
        <w:t>SIGNATURE PAGE TO REGISTRATION RIGHTS AGREEMENT</w:t>
      </w:r>
      <w:r>
        <w:rPr>
          <w:rFonts w:ascii="Times New Roman" w:hAnsi="Times New Roman"/>
          <w:sz w:val="17"/>
        </w:rPr>
        <w:t>]</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83" w:name="a14-19645_1ex31d1.htm"/>
      <w:bookmarkStart w:id="84" w:name="ksa1419645_1ex31d1"/>
      <w:bookmarkEnd w:id="83"/>
      <w:bookmarkEnd w:id="84"/>
      <w:r>
        <w:rPr>
          <w:rFonts w:ascii="Times New Roman" w:hAnsi="Times New Roman"/>
          <w:b/>
          <w:sz w:val="17"/>
        </w:rPr>
        <w:t>Exhibit 31.1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Mark A. Casale,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 have reviewed this quarterly report on Form 10-Q of Essent Group Ltd.;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registrants other certifying officer(s) and I are responsible for establishing and maintaining disclosure controls and procedures (as defined in Exchange Act Rules 13a-15(e) and 15d-15(e))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14, 2014</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MARK A. CASALE</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Mark A. Casale</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President, Chief Executive Officer and Chairman</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Executive Officer)</w:t>
            </w:r>
          </w:p>
        </w:tc>
        <w:tc>
          <w:tcPr>
            <w:tcW w:w="5103"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85" w:name="a14-19645_1ex31d2.htm"/>
      <w:bookmarkStart w:id="86" w:name="ksa1419645_1ex31d2"/>
      <w:bookmarkEnd w:id="85"/>
      <w:bookmarkEnd w:id="86"/>
      <w:r>
        <w:rPr>
          <w:rFonts w:ascii="Times New Roman" w:hAnsi="Times New Roman"/>
          <w:b/>
          <w:sz w:val="17"/>
        </w:rPr>
        <w:t>Exhibit 31.2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Lawrence E. McAlee,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 have reviewed this quarterly report on Form 10-Q of Essent Group Ltd.;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registrants other certifying officer(s) and I are responsible for establishing and maintaining disclosure controls and procedures (as defined in Exchange Act Rules 13a-15(e) and 15d-15(e))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14, 2014</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LAWRENCE E. MCALEE</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Lawrence E. McAlee</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Senior Vice President and Chief Financial Officer</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Financial Officer)</w:t>
            </w:r>
          </w:p>
        </w:tc>
        <w:tc>
          <w:tcPr>
            <w:tcW w:w="5103"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87" w:name="a14-19645_1ex32d1.htm"/>
      <w:bookmarkStart w:id="88" w:name="ksa1419645_1ex32d1"/>
      <w:bookmarkEnd w:id="87"/>
      <w:bookmarkEnd w:id="88"/>
      <w:r>
        <w:rPr>
          <w:rFonts w:ascii="Times New Roman" w:hAnsi="Times New Roman"/>
          <w:b/>
          <w:sz w:val="17"/>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 CHIEF EXECUTIVE OFFICER AND CHIEF FINANCIAL OFFICER PURSUANT TO 18 U.S.C. SECTION 1350, AS ADOPTED PURSUANT TO SECTION 906 OF THE SARBANES-OXLEY ACT OF 2002</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Quarterly Report on Form 10-Q of the Company for the quarter ended September 30, 2014 (the Report) fully complies with the requirements of Section 13(a) or 15(d) of the Securities Exchange Act of 1934;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November 14, 2014</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MARK A. CASALE</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Mark A. Casale</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President, Chief Executive Officer and Chairman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pPr>
            <w:r>
              <w:rPr/>
              <w:t> </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LAWRENCE E. MCALEE</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Lawrence E. McAlee</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Senior Vice President and Chief Financial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70</Pages>
  <Words>33105</Words>
  <CharactersWithSpaces>212506</CharactersWithSpaces>
  <Paragraphs>8031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