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163830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323215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period ended June 30, 2018</w:t>
      </w:r>
    </w:p>
    <w:p>
      <w:pPr>
        <w:spacing w:after="0" w:line="145" w:lineRule="exact"/>
        <w:rPr>
          <w:sz w:val="24"/>
          <w:szCs w:val="24"/>
          <w:color w:val="auto"/>
        </w:rPr>
      </w:pPr>
    </w:p>
    <w:p>
      <w:pPr>
        <w:ind w:left="740" w:hanging="408"/>
        <w:spacing w:after="0"/>
        <w:tabs>
          <w:tab w:leader="none" w:pos="740" w:val="left"/>
        </w:tabs>
        <w:numPr>
          <w:ilvl w:val="0"/>
          <w:numId w:val="2"/>
        </w:numPr>
        <w:rPr>
          <w:rFonts w:ascii="Arial" w:cs="Arial" w:eastAsia="Arial" w:hAnsi="Arial"/>
          <w:sz w:val="21"/>
          <w:szCs w:val="21"/>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60"/>
          </w:cols>
          <w:pgMar w:left="240" w:top="233" w:right="299" w:bottom="1440" w:gutter="0" w:footer="0" w:header="0"/>
        </w:sectPr>
      </w:pPr>
    </w:p>
    <w:p>
      <w:pPr>
        <w:spacing w:after="0" w:line="132"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140" w:space="580"/>
            <w:col w:w="4640"/>
          </w:cols>
          <w:pgMar w:left="240" w:top="233" w:right="299" w:bottom="1440" w:gutter="0" w:footer="0" w:header="0"/>
          <w:type w:val="continuous"/>
        </w:sectPr>
      </w:pP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189865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tbl>
      <w:tblPr>
        <w:tblLayout w:type="fixed"/>
        <w:tblInd w:w="1780" w:type="dxa"/>
        <w:tblCellMar>
          <w:top w:w="0" w:type="dxa"/>
          <w:left w:w="0" w:type="dxa"/>
          <w:bottom w:w="0" w:type="dxa"/>
          <w:right w:w="0" w:type="dxa"/>
        </w:tblCellMar>
      </w:tblPr>
      <w:tr>
        <w:trPr>
          <w:trHeight w:val="373"/>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6"/>
              </w:rPr>
              <w:t>ESSENT GROUP LTD.</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49"/>
        </w:trPr>
        <w:tc>
          <w:tcPr>
            <w:tcW w:w="14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568"/>
        </w:trPr>
        <w:tc>
          <w:tcPr>
            <w:tcW w:w="2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Bermuda</w:t>
            </w:r>
          </w:p>
        </w:tc>
        <w:tc>
          <w:tcPr>
            <w:tcW w:w="5580" w:type="dxa"/>
            <w:vAlign w:val="bottom"/>
            <w:gridSpan w:val="2"/>
          </w:tcPr>
          <w:p>
            <w:pPr>
              <w:jc w:val="center"/>
              <w:ind w:left="3973"/>
              <w:spacing w:after="0"/>
              <w:rPr>
                <w:sz w:val="20"/>
                <w:szCs w:val="20"/>
                <w:color w:val="auto"/>
              </w:rPr>
            </w:pPr>
            <w:r>
              <w:rPr>
                <w:rFonts w:ascii="Arial" w:cs="Arial" w:eastAsia="Arial" w:hAnsi="Arial"/>
                <w:sz w:val="16"/>
                <w:szCs w:val="16"/>
                <w:b w:val="1"/>
                <w:bCs w:val="1"/>
                <w:color w:val="auto"/>
                <w:w w:val="92"/>
              </w:rPr>
              <w:t>Not Applicable</w:t>
            </w:r>
          </w:p>
        </w:tc>
      </w:tr>
      <w:tr>
        <w:trPr>
          <w:trHeight w:val="253"/>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(State or other jurisdiction of</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3"/>
              </w:rPr>
              <w:t>(I.R.S. Employer</w:t>
            </w:r>
          </w:p>
        </w:tc>
      </w:tr>
      <w:tr>
        <w:trPr>
          <w:trHeight w:val="206"/>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incorporation or organization)</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5"/>
              </w:rPr>
              <w:t>Identification Number)</w:t>
            </w:r>
          </w:p>
        </w:tc>
      </w:tr>
      <w:tr>
        <w:trPr>
          <w:trHeight w:val="249"/>
        </w:trPr>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Clarendon House</w:t>
            </w:r>
          </w:p>
        </w:tc>
      </w:tr>
      <w:tr>
        <w:trPr>
          <w:trHeight w:val="203"/>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2 Church Street</w:t>
            </w:r>
          </w:p>
        </w:tc>
      </w:tr>
      <w:tr>
        <w:trPr>
          <w:trHeight w:val="207"/>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5"/>
              </w:rPr>
              <w:t>Hamilton HM11, Bermuda</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2"/>
              </w:rPr>
              <w:t>(Address of principal executive offices and zip code)</w:t>
            </w:r>
          </w:p>
        </w:tc>
      </w:tr>
      <w:tr>
        <w:trPr>
          <w:trHeight w:val="401"/>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jc w:val="center"/>
              <w:ind w:right="533"/>
              <w:spacing w:after="0"/>
              <w:rPr>
                <w:sz w:val="20"/>
                <w:szCs w:val="20"/>
                <w:color w:val="auto"/>
              </w:rPr>
            </w:pPr>
            <w:r>
              <w:rPr>
                <w:rFonts w:ascii="Arial" w:cs="Arial" w:eastAsia="Arial" w:hAnsi="Arial"/>
                <w:sz w:val="16"/>
                <w:szCs w:val="16"/>
                <w:b w:val="1"/>
                <w:bCs w:val="1"/>
                <w:color w:val="auto"/>
                <w:w w:val="93"/>
              </w:rPr>
              <w:t>(441) 297-9901</w:t>
            </w:r>
          </w:p>
        </w:tc>
        <w:tc>
          <w:tcPr>
            <w:tcW w:w="1260" w:type="dxa"/>
            <w:vAlign w:val="bottom"/>
          </w:tcPr>
          <w:p>
            <w:pPr>
              <w:spacing w:after="0"/>
              <w:rPr>
                <w:sz w:val="24"/>
                <w:szCs w:val="24"/>
                <w:color w:val="auto"/>
              </w:rPr>
            </w:pP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16"/>
                <w:szCs w:val="16"/>
                <w:color w:val="auto"/>
                <w:w w:val="91"/>
              </w:rPr>
              <w:t>(Registrant’s telephone number, including area code)</w:t>
            </w:r>
          </w:p>
        </w:tc>
      </w:tr>
    </w:tbl>
    <w:p>
      <w:pPr>
        <w:spacing w:after="0" w:line="140" w:lineRule="exact"/>
        <w:rPr>
          <w:sz w:val="24"/>
          <w:szCs w:val="24"/>
          <w:color w:val="auto"/>
        </w:rPr>
      </w:pPr>
    </w:p>
    <w:p>
      <w:pPr>
        <w:jc w:val="both"/>
        <w:ind w:right="18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ind w:right="18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ind w:firstLine="55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233" w:right="299" w:bottom="1440" w:gutter="0" w:footer="0" w:header="0"/>
          <w:type w:val="continuous"/>
        </w:sectPr>
      </w:pPr>
    </w:p>
    <w:p>
      <w:pPr>
        <w:spacing w:after="0" w:line="132" w:lineRule="exact"/>
        <w:rPr>
          <w:sz w:val="24"/>
          <w:szCs w:val="24"/>
          <w:color w:val="auto"/>
        </w:rPr>
      </w:pPr>
    </w:p>
    <w:p>
      <w:pPr>
        <w:ind w:left="25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95" w:lineRule="exact"/>
        <w:rPr>
          <w:sz w:val="24"/>
          <w:szCs w:val="24"/>
          <w:color w:val="auto"/>
        </w:rPr>
      </w:pPr>
    </w:p>
    <w:p>
      <w:pPr>
        <w:sectPr>
          <w:pgSz w:w="11900" w:h="16838" w:orient="portrait"/>
          <w:cols w:equalWidth="0" w:num="4">
            <w:col w:w="3940" w:space="700"/>
            <w:col w:w="320" w:space="720"/>
            <w:col w:w="2260" w:space="720"/>
            <w:col w:w="2700"/>
          </w:cols>
          <w:pgMar w:left="240" w:top="233" w:right="299" w:bottom="1440" w:gutter="0" w:footer="0" w:header="0"/>
          <w:type w:val="continuous"/>
        </w:sectPr>
      </w:pPr>
    </w:p>
    <w:p>
      <w:pPr>
        <w:ind w:left="25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109" w:lineRule="exact"/>
        <w:rPr>
          <w:sz w:val="24"/>
          <w:szCs w:val="24"/>
          <w:color w:val="auto"/>
        </w:rPr>
      </w:pPr>
    </w:p>
    <w:p>
      <w:pPr>
        <w:sectPr>
          <w:pgSz w:w="11900" w:h="16838" w:orient="portrait"/>
          <w:cols w:equalWidth="0" w:num="3">
            <w:col w:w="3920" w:space="720"/>
            <w:col w:w="80" w:space="320"/>
            <w:col w:w="6320"/>
          </w:cols>
          <w:pgMar w:left="240" w:top="233" w:right="299"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09" w:lineRule="exact"/>
        <w:rPr>
          <w:sz w:val="24"/>
          <w:szCs w:val="24"/>
          <w:color w:val="auto"/>
        </w:rPr>
      </w:pPr>
    </w:p>
    <w:p>
      <w:pPr>
        <w:sectPr>
          <w:pgSz w:w="11900" w:h="16838" w:orient="portrait"/>
          <w:cols w:equalWidth="0" w:num="2">
            <w:col w:w="7940" w:space="720"/>
            <w:col w:w="2700"/>
          </w:cols>
          <w:pgMar w:left="240" w:top="233" w:right="299"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86" w:lineRule="exact"/>
        <w:rPr>
          <w:sz w:val="24"/>
          <w:szCs w:val="24"/>
          <w:color w:val="auto"/>
        </w:rPr>
      </w:pPr>
    </w:p>
    <w:p>
      <w:pPr>
        <w:sectPr>
          <w:pgSz w:w="11900" w:h="16838" w:orient="portrait"/>
          <w:cols w:equalWidth="0" w:num="2">
            <w:col w:w="7940" w:space="720"/>
            <w:col w:w="2700"/>
          </w:cols>
          <w:pgMar w:left="240" w:top="233" w:right="299" w:bottom="1440" w:gutter="0" w:footer="0" w:header="0"/>
          <w:type w:val="continuous"/>
        </w:sectPr>
      </w:pPr>
    </w:p>
    <w:p>
      <w:pPr>
        <w:ind w:right="80" w:firstLine="55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left="560" w:right="162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August 1, 2018 was 98,127,712.</w:t>
      </w:r>
    </w:p>
    <w:p>
      <w:pPr>
        <w:sectPr>
          <w:pgSz w:w="11900" w:h="16838" w:orient="portrait"/>
          <w:cols w:equalWidth="0" w:num="1">
            <w:col w:w="11360"/>
          </w:cols>
          <w:pgMar w:left="240" w:top="23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58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5"/>
          </w:tcPr>
          <w:p>
            <w:pPr>
              <w:spacing w:after="0"/>
              <w:rPr>
                <w:sz w:val="24"/>
                <w:szCs w:val="24"/>
                <w:color w:val="auto"/>
              </w:rPr>
            </w:pPr>
          </w:p>
        </w:tc>
        <w:tc>
          <w:tcPr>
            <w:tcW w:w="2600" w:type="dxa"/>
            <w:vAlign w:val="bottom"/>
            <w:tcBorders>
              <w:bottom w:val="single" w:sz="8" w:color="0000EE"/>
            </w:tcBorders>
            <w:gridSpan w:val="7"/>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5">
              <w:r>
                <w:rPr>
                  <w:rFonts w:ascii="Arial" w:cs="Arial" w:eastAsia="Arial" w:hAnsi="Arial"/>
                  <w:sz w:val="18"/>
                  <w:szCs w:val="18"/>
                  <w:b w:val="1"/>
                  <w:bCs w:val="1"/>
                  <w:color w:val="0000EE"/>
                  <w:w w:val="91"/>
                </w:rPr>
                <w:t>Item 2.</w:t>
              </w:r>
            </w:hyperlink>
          </w:p>
        </w:tc>
        <w:tc>
          <w:tcPr>
            <w:tcW w:w="1060" w:type="dxa"/>
            <w:vAlign w:val="bottom"/>
            <w:gridSpan w:val="6"/>
          </w:tcPr>
          <w:p>
            <w:pPr>
              <w:spacing w:after="0"/>
              <w:rPr>
                <w:sz w:val="24"/>
                <w:szCs w:val="24"/>
                <w:color w:val="auto"/>
              </w:rPr>
            </w:pPr>
          </w:p>
        </w:tc>
        <w:tc>
          <w:tcPr>
            <w:tcW w:w="68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25">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3.</w:t>
              </w:r>
            </w:hyperlink>
          </w:p>
        </w:tc>
        <w:tc>
          <w:tcPr>
            <w:tcW w:w="1060" w:type="dxa"/>
            <w:vAlign w:val="bottom"/>
            <w:gridSpan w:val="6"/>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4.</w:t>
              </w:r>
            </w:hyperlink>
          </w:p>
        </w:tc>
        <w:tc>
          <w:tcPr>
            <w:tcW w:w="1060" w:type="dxa"/>
            <w:vAlign w:val="bottom"/>
            <w:gridSpan w:val="6"/>
          </w:tcPr>
          <w:p>
            <w:pPr>
              <w:spacing w:after="0"/>
              <w:rPr>
                <w:sz w:val="24"/>
                <w:szCs w:val="24"/>
                <w:color w:val="auto"/>
              </w:rPr>
            </w:pPr>
          </w:p>
        </w:tc>
        <w:tc>
          <w:tcPr>
            <w:tcW w:w="19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8"/>
              </w:rPr>
            </w:pPr>
            <w:hyperlink w:anchor="page44">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5">
              <w:r>
                <w:rPr>
                  <w:rFonts w:ascii="Arial" w:cs="Arial" w:eastAsia="Arial" w:hAnsi="Arial"/>
                  <w:sz w:val="18"/>
                  <w:szCs w:val="18"/>
                  <w:b w:val="1"/>
                  <w:bCs w:val="1"/>
                  <w:color w:val="0000EE"/>
                  <w:w w:val="98"/>
                </w:rPr>
                <w:t>PART II.</w:t>
              </w:r>
            </w:hyperlink>
          </w:p>
        </w:tc>
        <w:tc>
          <w:tcPr>
            <w:tcW w:w="900" w:type="dxa"/>
            <w:vAlign w:val="bottom"/>
            <w:gridSpan w:val="3"/>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5">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3"/>
          </w:tcPr>
          <w:p>
            <w:pPr>
              <w:spacing w:after="0"/>
              <w:rPr>
                <w:sz w:val="24"/>
                <w:szCs w:val="24"/>
                <w:color w:val="auto"/>
              </w:rPr>
            </w:pPr>
          </w:p>
        </w:tc>
        <w:tc>
          <w:tcPr>
            <w:tcW w:w="20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Item 1A.</w:t>
              </w:r>
            </w:hyperlink>
          </w:p>
        </w:tc>
        <w:tc>
          <w:tcPr>
            <w:tcW w:w="9580" w:type="dxa"/>
            <w:vAlign w:val="bottom"/>
            <w:gridSpan w:val="16"/>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5">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4"/>
          </w:tcPr>
          <w:p>
            <w:pPr>
              <w:spacing w:after="0"/>
              <w:rPr>
                <w:sz w:val="24"/>
                <w:szCs w:val="24"/>
                <w:color w:val="auto"/>
              </w:rPr>
            </w:pPr>
          </w:p>
        </w:tc>
        <w:tc>
          <w:tcPr>
            <w:tcW w:w="458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45">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6.</w:t>
              </w:r>
            </w:hyperlink>
          </w:p>
        </w:tc>
        <w:tc>
          <w:tcPr>
            <w:tcW w:w="1060" w:type="dxa"/>
            <w:vAlign w:val="bottom"/>
            <w:gridSpan w:val="6"/>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7">
              <w:r>
                <w:rPr>
                  <w:rFonts w:ascii="Arial" w:cs="Arial" w:eastAsia="Arial" w:hAnsi="Arial"/>
                  <w:sz w:val="18"/>
                  <w:szCs w:val="18"/>
                  <w:b w:val="1"/>
                  <w:bCs w:val="1"/>
                  <w:color w:val="0000EE"/>
                  <w:w w:val="96"/>
                </w:rPr>
                <w:t>SIGNATURES</w:t>
              </w:r>
            </w:hyperlink>
          </w:p>
        </w:tc>
        <w:tc>
          <w:tcPr>
            <w:tcW w:w="4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2017 filed with the Securities and Exchange Commission. These factors include, without limitation, the following:</w:t>
      </w:r>
    </w:p>
    <w:p>
      <w:pPr>
        <w:spacing w:after="0" w:line="192"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on the basis of price, terms and conditions or otherwise,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recently enacted U.S. Federal tax reform on us, our shareholders and our operations;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 available for sale, at fair value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2018 — $2,273,485; 2017 — $1,994,200)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2,229,002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1,992,371</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2018 — $326,984; 2017 — $312,714)</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327,011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312,694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2,556,013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2,305,065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24,664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43,524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29,752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15,354</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$52,200 in 2018 and $50,466 in 2017)</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6,979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252,157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8,730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2,849,431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2,674,368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46,850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283,785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259,672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127,636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3"/>
              </w:rPr>
              <w:t>Credit facility borrowings (at carrying value, less unamortized deferred costs of $1,659 in 2018 and $1,409 in 2017)</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223,341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248,591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14,999</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36,184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745,860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733,932</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and outstanding - 98,128 shares in 2018 and 98,434 shares in 2017</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1,103,448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1,127,137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1,037,899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815,075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2,103,571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1,940,436</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2,849,431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2,674,368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168,404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134,063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333,629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253,360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(9,146)</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156,958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126,563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309,516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244,214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17,835</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173,768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137,606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341,231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265,198</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5,463</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36,428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74,552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72,018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40,859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79,386</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132,909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98,961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185,812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21,154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47,096</w:t>
            </w: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111,755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72,118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222,824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138,716</w:t>
            </w:r>
          </w:p>
        </w:tc>
      </w:tr>
      <w:tr>
        <w:trPr>
          <w:trHeight w:val="271"/>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97,426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91,320</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97,866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93,093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111,755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72,118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222,824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138,716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Change in unrealized (depreciation) appreciation of investments,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net of tax (benefit) expense of ($1,418) and $3,649 in the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2"/>
              </w:rPr>
              <w:t>three months ended June 30, 2018 and 2017 and ($6,611) and</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51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$5,710 in the six months ended June 30, 2018 and 2017</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13,320</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(loss)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13,320</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104,509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80,588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186,828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152,036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2"/>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2"/>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3"/>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January 1, 2017</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b w:val="1"/>
                <w:bCs w:val="1"/>
                <w:color w:val="auto"/>
              </w:rPr>
              <w:t>1,397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918,296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(12,255)</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3"/>
              <w:spacing w:after="0"/>
              <w:rPr>
                <w:sz w:val="20"/>
                <w:szCs w:val="20"/>
                <w:color w:val="auto"/>
              </w:rPr>
            </w:pPr>
            <w:r>
              <w:rPr>
                <w:rFonts w:ascii="Arial" w:cs="Arial" w:eastAsia="Arial" w:hAnsi="Arial"/>
                <w:sz w:val="16"/>
                <w:szCs w:val="16"/>
                <w:b w:val="1"/>
                <w:bCs w:val="1"/>
                <w:color w:val="auto"/>
              </w:rPr>
              <w:t>436,335</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1,343,773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379,747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379,747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8,068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8,068</w:t>
            </w:r>
          </w:p>
        </w:tc>
        <w:tc>
          <w:tcPr>
            <w:tcW w:w="0" w:type="dxa"/>
            <w:vAlign w:val="bottom"/>
          </w:tcPr>
          <w:p>
            <w:pPr>
              <w:spacing w:after="0"/>
              <w:rPr>
                <w:sz w:val="1"/>
                <w:szCs w:val="1"/>
                <w:color w:val="auto"/>
              </w:rPr>
            </w:pPr>
          </w:p>
        </w:tc>
      </w:tr>
      <w:tr>
        <w:trPr>
          <w:trHeight w:val="220"/>
        </w:trPr>
        <w:tc>
          <w:tcPr>
            <w:tcW w:w="3340" w:type="dxa"/>
            <w:vAlign w:val="bottom"/>
            <w:gridSpan w:val="2"/>
          </w:tcPr>
          <w:p>
            <w:pPr>
              <w:ind w:left="40"/>
              <w:spacing w:after="0"/>
              <w:rPr>
                <w:sz w:val="20"/>
                <w:szCs w:val="20"/>
                <w:color w:val="auto"/>
              </w:rPr>
            </w:pPr>
            <w:r>
              <w:rPr>
                <w:rFonts w:ascii="Arial" w:cs="Arial" w:eastAsia="Arial" w:hAnsi="Arial"/>
                <w:sz w:val="16"/>
                <w:szCs w:val="16"/>
                <w:color w:val="auto"/>
                <w:w w:val="93"/>
              </w:rPr>
              <w:t>Issuance of common shares, net of issuance cost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of $1,802</w:t>
            </w:r>
          </w:p>
        </w:tc>
        <w:tc>
          <w:tcPr>
            <w:tcW w:w="240" w:type="dxa"/>
            <w:vAlign w:val="bottom"/>
          </w:tcPr>
          <w:p>
            <w:pPr>
              <w:spacing w:after="0"/>
              <w:rPr>
                <w:sz w:val="17"/>
                <w:szCs w:val="17"/>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197,623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197,698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18,688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18,688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Cumulative effect of ASU 2016-09 adoption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(7,577)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Reclassification of certain income tax effects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resulting from tax reform</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6"/>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1,476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1,127,137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815,075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1,940,436</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222,824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222,824</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(35,996)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(35,996)</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7,432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7,432</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(31,125)</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(31,115)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31,125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June 30, 2018</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1,472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1,103,448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(39,248)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1,037,899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2,103,571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222,824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138,716</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Gain on the sale of investments,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9,288</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premium on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5,833</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Deferred income tax provision</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26,783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32,948</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Accrued investment income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Deferred policy acquisition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federal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(34,085)</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(1,877)</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Reserve for losses and LAE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Unearned premium reserve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24,113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9,146</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accrued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(11,934)</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342,656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144,403</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change in short-term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Purchase of investments available for sale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(505,400)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(396,919)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maturity of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36,318</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Proceeds from sales of investments available for sale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164,355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151,583</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(304,867)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(209,460)</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Credit facility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Credit facility repayments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acquired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Payment of issuance costs for credit facility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(2,565)</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65,196</w:t>
            </w:r>
          </w:p>
        </w:tc>
      </w:tr>
      <w:tr>
        <w:trPr>
          <w:trHeight w:val="237"/>
        </w:trPr>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increase in cash</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43,524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27,531</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24,664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27,670</w:t>
            </w:r>
          </w:p>
        </w:tc>
      </w:tr>
      <w:tr>
        <w:trPr>
          <w:trHeight w:val="20"/>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Income tax payments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(10,400)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(16,700)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payments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r>
      <w:tr>
        <w:trPr>
          <w:trHeight w:val="243"/>
        </w:trPr>
        <w:tc>
          <w:tcPr>
            <w:tcW w:w="7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Noncash Transactions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Repayment of borrowings with term loan proceeds (see Note 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(125,000)</w:t>
            </w:r>
          </w:p>
        </w:tc>
      </w:tr>
    </w:tbl>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60"/>
          </w:cols>
          <w:pgMar w:left="240" w:top="125" w:right="499" w:bottom="1440"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125" w:right="4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A significant portion of our premium revenue relates to master policies with certain lending institutions. For the six months ended June 30, 2018 one lender represented 10% of our total revenue. The loss of this customer could have a significant impact on our revenues and results of operations.</w:t>
      </w:r>
    </w:p>
    <w:p>
      <w:pPr>
        <w:spacing w:after="0" w:line="17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Essent Guaranty reinsures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services to third-party reinsurers.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w:t>
      </w:r>
    </w:p>
    <w:p>
      <w:pPr>
        <w:spacing w:after="0" w:line="178"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2017,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2018 prior to the issuance of these condensed consolidated financial statements.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Within the Condensed Consolidated Statement of Cash Flows for the six months ended June 30, 2017, the financing activities were revised to reflect the repayment of credit facility borrowings with term loan proceeds of $125 million as a non-cash transaction to be consistent with the December 31, 2017 presentation. The term loan proceeds were directly applied at closing to pay down credit facility borrowings. We will similarly revise our September 30, 2017 presentation by this same amount when we issue our September 30, 2018 Form 10-Q. This revision did not impact net cash provided by financing activities or the net increase in cash or any other financial statements or disclosures for the six months ended June 30, 2017 or for the nine months ended September 30,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This update is intended to provide a consistent approach in recognizing revenue. In accordance with the new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 xml:space="preserve">and uncertainty of revenue and cash flows arising from contracts with customers. In December 2016, the FASB clarified that all contracts that are within the scope of Topic 944, </w:t>
      </w:r>
      <w:r>
        <w:rPr>
          <w:rFonts w:ascii="Arial" w:cs="Arial" w:eastAsia="Arial" w:hAnsi="Arial"/>
          <w:sz w:val="17"/>
          <w:szCs w:val="17"/>
          <w:i w:val="1"/>
          <w:iCs w:val="1"/>
          <w:color w:val="auto"/>
        </w:rPr>
        <w:t>Financial Services-Insurance</w:t>
      </w:r>
      <w:r>
        <w:rPr>
          <w:rFonts w:ascii="Arial" w:cs="Arial" w:eastAsia="Arial" w:hAnsi="Arial"/>
          <w:sz w:val="17"/>
          <w:szCs w:val="17"/>
          <w:color w:val="auto"/>
        </w:rPr>
        <w:t>, are excluded from the scope of ASU 2014-09. The Company adopted this ASU effective January 1, 2018. The adoption of this ASU did not have a material effect on the Company's consolidated operating results or financial position.</w:t>
      </w:r>
    </w:p>
    <w:p>
      <w:pPr>
        <w:spacing w:after="0" w:line="179" w:lineRule="exact"/>
        <w:rPr>
          <w:sz w:val="20"/>
          <w:szCs w:val="20"/>
          <w:color w:val="auto"/>
        </w:rPr>
      </w:pPr>
    </w:p>
    <w:p>
      <w:pPr>
        <w:ind w:right="40" w:firstLine="648"/>
        <w:spacing w:after="0" w:line="304"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7"/>
          <w:szCs w:val="17"/>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This update requires certain equity investments (except those accounted for under the equity method of accounting or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consolidation of the investee)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A qualitative assessment for impairment is required for equity investments without readily determinable fair values. This update also requires public entities to use the exit price notion when measuring the fair value of financial instruments for disclosure purposes. In addition, an entity is required to evaluate the need for a valuation allowance on a deferred tax asset related to available-for-sale investment securities in combination with the entity’s other deferred tax assets. The Company adopted this ASU effective January 1, 2018. The adoption of this ASU did not have a material effect on the Company's consolidated operating results or financial position.</w:t>
      </w:r>
    </w:p>
    <w:p>
      <w:pPr>
        <w:spacing w:after="0" w:line="15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The Company expects a gross-up of its consolidated balance sheets as a result of recognizing lease liabilities and right of use assets. The Company is still evaluating the impact the adoption of this ASU will have on the consolidated financial statements.</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Available for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 2018 (In thousands)</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254,439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32,755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510,995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493,004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securities(1)</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484,996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483,697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securities(2)</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668,379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653,774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257,856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257,205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277,009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2,600,469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4,670</w:t>
            </w:r>
          </w:p>
        </w:tc>
        <w:tc>
          <w:tcPr>
            <w:tcW w:w="12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2,556,013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5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3"/>
                <w:szCs w:val="2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462,986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securities(1)</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457,418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9,098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Corporate debt securities(2)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610,516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611,728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78,974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263,808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263,797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2,306,914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20"/>
                <w:szCs w:val="20"/>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Consumer, cyclical</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June 30, 2018,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40" w:type="dxa"/>
            <w:vAlign w:val="bottom"/>
          </w:tcPr>
          <w:p>
            <w:pPr>
              <w:spacing w:after="0"/>
              <w:rPr>
                <w:sz w:val="14"/>
                <w:szCs w:val="14"/>
                <w:color w:val="auto"/>
              </w:rPr>
            </w:pPr>
          </w:p>
        </w:tc>
        <w:tc>
          <w:tcPr>
            <w:tcW w:w="1480" w:type="dxa"/>
            <w:vAlign w:val="bottom"/>
          </w:tcPr>
          <w:p>
            <w:pPr>
              <w:jc w:val="right"/>
              <w:ind w:right="73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51,968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51,950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94,776</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76,179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71,405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29,721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28,073</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254,439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246,204</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32,755</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33,657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32,755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36,266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36,248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87,632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194,975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194,611</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165,784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165,206</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484,996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483,697</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20,810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20,516</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24,703</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68,122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360,593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354,309</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220,975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213,211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18,350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18,132</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668,379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653,774</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510,995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493,004</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88,154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87,637</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257,856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257,205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277,009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277,034</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2,600,469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2,556,013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gross losses</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231</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2018 (In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194,176</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17,097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15,658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464,869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252,919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275,598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517,897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88,857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606,754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(14,821)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42,432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169,257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177,467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1,419,428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401,020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1,820,448</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220,573</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124,171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23,492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147,663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29,842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59,489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59,489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835,553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432,761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1,268,314</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gross unrealized losses on these investment securities are principally associated with the changes in market interest rates and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in each of the three and six months ended June 30, 2018 and 2017.</w:t>
      </w:r>
    </w:p>
    <w:p>
      <w:pPr>
        <w:spacing w:after="0" w:line="154"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The fair value of investments deposited with insurance regulatory authorities to meet statutory requirements was $8.6 million as of June 30, 2018 and December 31, 2017. In connection with its insurance and reinsurance activities, Essent Re is required to maintain assets in trusts for the benefit of its contractual counterparties. The fair value of the investments on deposit in these trusts was $729.0 million at June 30, 2018 and $615.8 million at December 31, 2017. In connection with an excess-of-loss reinsurance agreement (see Note 4), Essent Guaranty is required to maintain assets on deposit for the benefit of the reinsurer. The fair value of the assets on deposit was $3.3 million at June 30,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14,496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18,982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133</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15,794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15,134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17,835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ordinary course of business, our insurance subsidiaries may use reinsurance to provide protection against adverse loss experience and to expand our capital sources. Reinsurance recoverables are recorded as assets,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8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On March 22, 2018, Essent Guaranty entered into a fully collateralized reinsurance agreement with Radnor Re 2018-1 Ltd. ("Radnor Re"), an unaffiliated special purpose insurer domiciled in Bermuda, that provides for up to $424.4 million of aggregate excess-of-loss reinsurance coverage at inception for new defaults on a portfolio of mortgage insurance policies issued between January 1, 2017 and December 31, 2017. For the reinsurance coverage period, Essent Guaranty and its affiliates will retain the first layer of $224.7 million of aggregate losses, and Radnor Re will then provide second layer coverage up to the outstanding reinsurance coverage amount. Essent Guaranty and its affiliates retain losses in excess of the outstanding reinsurance coverage amount. The reinsurance premium due to Radnor Re is calculated by multiplying the outstanding reinsurance coverage amount at the beginning of a period by a coupon rate, which is the sum of one-month LIBOR plus a risk margin, and then subtracting actual investment income collected on the assets in the reinsurance trust during that period. The aggregate excess of loss reinsurance coverage decreases over a ten-year period as the underlying covered mortgages amortize. Essent Guaranty has rights to terminate the reinsurance agreement, which includes an option to terminate after five years from issuance. If the reinsurance agreement is not terminated after five years from issuance, the risk margin component of the reinsurance premium payable to Radnor Re increases by 50%. Radnor Re financed the coverage by issuing mortgage insurance-linked notes in an aggregate amount of $424.4 million to unaffiliated investors. The notes have ten-year legal maturities and are non-recourse to any assets of Essent Guaranty or its affiliates. The proceeds of the notes were deposited into a reinsurance trust for the benefit of Essent Guaranty that will be the source of reinsurance claim payments to Essent Guaranty and principal repayments on the mortgage insurance-linked notes.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Direct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171,989</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134,063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337,508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253,360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Ceded</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47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premiums written</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168,404</w:t>
            </w: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134,063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333,629</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253,360</w:t>
            </w:r>
          </w:p>
        </w:tc>
      </w:tr>
      <w:tr>
        <w:trPr>
          <w:trHeight w:val="31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160,543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126,563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313,395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244,214</w:t>
            </w: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Ceded</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156,958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126,563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309,516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244,214</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amount of monthly reinsurance premium ceded will fluctuate due to changes in one-month LIBOR and changes in money market rates that affect investment income collected on the assets in the reinsurance trust. As the reinsurance premium</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will vary based on changes in these rates, we concluded that the reinsurance agreement contains an embedded derivative that will be accounted for separately like a freestanding derivative. The fair value of this derivative at June 30, 2018 and the change in its fair value from inception of the reinsurance agreement to June 30, 2018 was not material.</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connection with entering the reinsurance agreement with Radnor Re, we concluded that the risk transfer requirements for reinsurance accounting were met as Radnor Re is assuming significant insurance risk and a reasonable possibility of a significant loss. In addition, we assessed whether Radnor Re was a variable interest entity ("VIE") and the appropriate accounting for Radnor Re if it was a VIE.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Radnor Re is a VIE. However, given that Essent Guaranty (1) does not have the unilateral power to direct the activities that most significantly affect Radnor Re’s economic performance and (2) does not have the obligation to absorb losses or the right to receive benefits that could be potentially significant to Radnor Re, Radnor Re is not consolidated in these financial statements.</w:t>
      </w:r>
    </w:p>
    <w:p>
      <w:pPr>
        <w:spacing w:after="0" w:line="17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presents total assets of Radnor Re as well as our maximum exposure to loss associated with Radnor Re, representing the estimated net present value of investment earnings on the assets in the reinsurance trust, each as of June 30, 2018:</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Maximum Exposure to Loss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Total VIE Assets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On - Balance Sheet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Off - Balance Sheet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Total</w:t>
            </w:r>
          </w:p>
        </w:tc>
      </w:tr>
      <w:tr>
        <w:trPr>
          <w:trHeight w:val="27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424,412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18,226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18,226</w:t>
            </w:r>
          </w:p>
        </w:tc>
      </w:tr>
      <w:tr>
        <w:trPr>
          <w:trHeight w:val="257"/>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424,412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18,226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18,226</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six months ended June 30: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12,116</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(6,653)</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and LAE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5,463</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3,710</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3,807</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50,016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29,798</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50,016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29,798</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1,776</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125" w:right="2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six months ended June 30, 2018, $3.7 million was paid for incurred claims and claim adjustment expenses attributable to insured events of prior years. There has been a $9.4 million favorable prior year development during the six months ended June 30, 2018. Reserves remaining as of June 30, 2018 for prior years are $33.7 million as a result of re-estimation of unpaid losses and loss adjustment expenses. For the six months ended June 30, 2017, $3.7 million was paid for incurred claims and claim adjustment expenses attributable to insured events of prior years. There was a $6.7 million favorable prior year development during the six months ended June 30, 2017. Reserves remaining as of June 30, 2017 for prior years were $17.8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6"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During the third quarter of 2017, certain regions of the U.S. experienced hurricanes which have impacted our insured portfolio’s performance. Specifically, on August 26, 2017, Hurricane Harvey made landfall in southeastern Texas and on September 10, 2017, Hurricane Irma made landfall in southern Florida and caused property damage in certain counties. Loans in default identified as hurricane-related defaults totaled 2,288 as of December 31, 2017. During the first half of 2018, the number of hurricane-related defaults declined to 801 as of June 30, 2018 primarily due to hurricane-related loans in default that cured.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June 30, 2018 and December 31, 2017, we applied a lower estimated claim rate to the hurricane-related defaults than the claim rate we apply to other notices in our default inventory. The reserve for losses and LAE on hurricane-related defaults was $11.1 million at June 30, 2018 and December 31, 2017. The impact on our reserves in future periods will be dependent upon the performance of the hurricane-related defaults and our expectations for the amount of ultimate losses on these delinquencies.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Essent Group and its subsidiaries, Essent Irish Intermediate Holdings Limited and Essent US Holdings, Inc. (collectively, the "Borrowers"), are parties to a secured credit facility (the “Credit Facility”) which provides for a revolving credit facility, term loans and an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12). The borrowings under the Credit Facility contractually mature on May 17, 2021. This description is not intended to be complete in all respects and is qualified in its entirety by the terms of the Credit Facility, including its covenants.</w:t>
      </w:r>
    </w:p>
    <w:p>
      <w:pPr>
        <w:spacing w:after="0" w:line="18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May 2, 2018, the Credit Facility was amended to increase the committed capacity by $125 million to $500 million and to increase the uncommitted line by $25 million to $100 million. The revolving component of the Credit Facility was increased from $250 million to $275 million, and the Borrowers issued $100 million of additional term loans, resulting in $225 million of term loans outstanding. The proceeds of $100 million of additional term loans were used to pay down borrowings outstanding under the revolving component of the Credit Facility. The interest rate, contractual maturity and other terms of the Credit Facility are otherwise unchanged from those described above. As of June 30, 2018, the Company was in compliance with the covenants and $225 million had been borrowed under the Credit Facility with a weighted average interest rate of 4.05%. As of December 31, 2017, $250 million had been borrowed with a weighted average interest rate of 3.49%.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related to remedies for each of the six months ended June 30, 2018 and 2017. As of June 30, 2018, management believes any potential claims for indemnification related to contract underwriting services through June 30, 2018 are not material to our consolidated financial position or results of operations.</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2018,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nonvested common share and nonvested common share unit activity for the six months ended June 30, 2018:</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ind w:left="780"/>
              <w:spacing w:after="0"/>
              <w:rPr>
                <w:sz w:val="20"/>
                <w:szCs w:val="20"/>
                <w:color w:val="auto"/>
              </w:rPr>
            </w:pPr>
            <w:r>
              <w:rPr>
                <w:rFonts w:ascii="Arial" w:cs="Arial" w:eastAsia="Arial" w:hAnsi="Arial"/>
                <w:sz w:val="14"/>
                <w:szCs w:val="14"/>
                <w:b w:val="1"/>
                <w:bCs w:val="1"/>
                <w:color w:val="auto"/>
              </w:rPr>
              <w:t>Time-Based</w:t>
            </w:r>
          </w:p>
        </w:tc>
        <w:tc>
          <w:tcPr>
            <w:tcW w:w="2260" w:type="dxa"/>
            <w:vAlign w:val="bottom"/>
            <w:gridSpan w:val="4"/>
            <w:vMerge w:val="restart"/>
          </w:tcPr>
          <w:p>
            <w:pPr>
              <w:jc w:val="right"/>
              <w:ind w:right="67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1,595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482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452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February 2018, certain members of senior management were granted nonvested common shares under the Essent Group Ltd. 2013 Long-Term Incentive Plan ("2013 Plan") that were subject to time-based and performance-based vesting. The time-based share awards granted in February 2018 vest in three equal installments on March 1, 2019, 2020 and 2021. The performance-based share awards granted in February 2018 vest based upon our compounded annual book value per share growth percentage during a three-year performance period that commenced on January 1, 2018 and vest on March 1, 2021. The portion of these nonvested performance-based share awards that will be earned based upon the achievement of compounded annual book value per share growth is as follows: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8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Compounded Annual Book Value</w:t>
            </w:r>
          </w:p>
        </w:tc>
        <w:tc>
          <w:tcPr>
            <w:tcW w:w="1880" w:type="dxa"/>
            <w:vAlign w:val="bottom"/>
          </w:tcPr>
          <w:p>
            <w:pPr>
              <w:jc w:val="right"/>
              <w:ind w:right="295"/>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2380" w:type="dxa"/>
            <w:vAlign w:val="bottom"/>
          </w:tcPr>
          <w:p>
            <w:pPr>
              <w:jc w:val="right"/>
              <w:ind w:right="655"/>
              <w:spacing w:after="0"/>
              <w:rPr>
                <w:sz w:val="20"/>
                <w:szCs w:val="20"/>
                <w:color w:val="auto"/>
              </w:rPr>
            </w:pPr>
            <w:r>
              <w:rPr>
                <w:rFonts w:ascii="Arial" w:cs="Arial" w:eastAsia="Arial" w:hAnsi="Arial"/>
                <w:sz w:val="14"/>
                <w:szCs w:val="14"/>
                <w:b w:val="1"/>
                <w:bCs w:val="1"/>
                <w:color w:val="auto"/>
              </w:rPr>
              <w:t>Per Share Growth</w:t>
            </w:r>
          </w:p>
        </w:tc>
        <w:tc>
          <w:tcPr>
            <w:tcW w:w="1880" w:type="dxa"/>
            <w:vAlign w:val="bottom"/>
          </w:tcPr>
          <w:p>
            <w:pPr>
              <w:jc w:val="right"/>
              <w:ind w:right="455"/>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&lt;15%</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15%</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17%</w:t>
            </w:r>
          </w:p>
        </w:tc>
        <w:tc>
          <w:tcPr>
            <w:tcW w:w="1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Maximum</w:t>
            </w: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≥18%</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2017, in February 2018, time-based share awards and share units were issued to certain employees that vest in three equal installments on March 1, 2019, 2020 and 2021. In May 2018, time-based share units were granted to non-employee directors that vest one year from the date of grant.</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total fair value on the vesting date of nonvested shares or share units that vested was $74.9 million and $21.1 million for the six months ended June 30, 2018 and 2017, respectively. As of June 30, 2018, there was $25.1 million of total unrecognized compensation expense related to nonvested shares or share units outstanding at June 30, 2018 and we expect to recognize the expense over a weighted average period of 2.1 years.</w:t>
      </w:r>
    </w:p>
    <w:p>
      <w:pPr>
        <w:spacing w:after="0" w:line="16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Employees have the option to tender shares to Essent Group to pay the minimum employee statutory withholding taxes associated with shares upon vesting. Common shares tendered by employees to pay employee withholding taxes totaled 711,729 in the six months ended June 30, 2018. The tendered shares were recorded at cost and included in treasury stock. All treasury stock has been cancelled as of June 30,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9,288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4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2,985</w:t>
            </w:r>
          </w:p>
        </w:tc>
      </w:tr>
      <w:tr>
        <w:trPr>
          <w:trHeight w:val="7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437"/>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111,755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222,824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138,716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Less: dividends declared</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111,755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222,824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138,716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2"/>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4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97,426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91,381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97,362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91,320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4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97,866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93,162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97,908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93,093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were 318,556 and 16,497 antidilutive shares for the three months ended June 30, 2018 and 2017, respectively and 242,860 and 89,309 antidilutive shares for the six months ended June 30, 2018 and 2017, respectively.</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June 30, 2018 and 2017, 100% of the dilutive performance-based share awards would be issuable under the terms of the arrangements at each date if June 30 was the end of the contingency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presents the rollforward of accumulated other comprehensive income (loss) for the three and six months ended June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center"/>
              <w:ind w:left="1054"/>
              <w:spacing w:after="0"/>
              <w:rPr>
                <w:sz w:val="20"/>
                <w:szCs w:val="20"/>
                <w:color w:val="auto"/>
              </w:rPr>
            </w:pPr>
            <w:r>
              <w:rPr>
                <w:rFonts w:ascii="Arial" w:cs="Arial" w:eastAsia="Arial" w:hAnsi="Arial"/>
                <w:sz w:val="14"/>
                <w:szCs w:val="14"/>
                <w:b w:val="1"/>
                <w:bCs w:val="1"/>
                <w:color w:val="auto"/>
                <w:w w:val="93"/>
              </w:rPr>
              <w:t>Three Months Ended June 30, 2018</w:t>
            </w:r>
          </w:p>
        </w:tc>
        <w:tc>
          <w:tcPr>
            <w:tcW w:w="1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(32,002)</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holding gains (losses)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holding losses arising during the period</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(6,900)</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Less: Reclassification adjustment for gains included in net income (1)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unrealized losses on investments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(7,246)</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5,208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(39,248)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61"/>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Six Months Ended June 30, 2018</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holding gains (losses)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holding losses arising during the period</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6,445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(35,526)</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Less: Reclassification adjustment for gains included in net income (1)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unrealized losses on investments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6,611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(35,996)</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(35,996)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5,208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(39,248)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16</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center"/>
              <w:ind w:left="1054"/>
              <w:spacing w:after="0"/>
              <w:rPr>
                <w:sz w:val="20"/>
                <w:szCs w:val="20"/>
                <w:color w:val="auto"/>
              </w:rPr>
            </w:pPr>
            <w:r>
              <w:rPr>
                <w:rFonts w:ascii="Arial" w:cs="Arial" w:eastAsia="Arial" w:hAnsi="Arial"/>
                <w:sz w:val="14"/>
                <w:szCs w:val="14"/>
                <w:b w:val="1"/>
                <w:bCs w:val="1"/>
                <w:color w:val="auto"/>
                <w:w w:val="93"/>
              </w:rPr>
              <w:t>Three Months Ended June 30, 2017</w:t>
            </w:r>
          </w:p>
        </w:tc>
        <w:tc>
          <w:tcPr>
            <w:tcW w:w="1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(losses) on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12,663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8,830</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Less: Reclassification adjustment for gains included in net income (1)</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7"/>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12,119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8,470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8,470</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1,065</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61"/>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Six Months Ended June 30, 2017</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(losses) on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20,229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14,107</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Less: Reclassification adjustment for gains included in net income (1)</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37"/>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19,030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13,320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13,320</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1,065</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on our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80" w:hanging="328"/>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78" w:lineRule="exact"/>
        <w:rPr>
          <w:rFonts w:ascii="Arial" w:cs="Arial" w:eastAsia="Arial" w:hAnsi="Arial"/>
          <w:sz w:val="17"/>
          <w:szCs w:val="17"/>
          <w:color w:val="auto"/>
        </w:rPr>
      </w:pPr>
    </w:p>
    <w:p>
      <w:pPr>
        <w:ind w:left="660" w:right="60"/>
        <w:spacing w:after="0" w:line="287" w:lineRule="auto"/>
        <w:rPr>
          <w:rFonts w:ascii="Arial" w:cs="Arial" w:eastAsia="Arial" w:hAnsi="Arial"/>
          <w:sz w:val="17"/>
          <w:szCs w:val="17"/>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246,204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32,755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32,755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493,004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493,004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483,697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483,697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24,703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24,703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653,774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653,774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87,637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257,205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257,205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277,034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277,034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523,238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2,032,775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2,556,013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456,037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465,255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611,728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611,728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79,407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263,797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263,797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491,602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1,813,463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2,305,065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Statutory Accounting</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six months ended June 30:</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2017</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182,784</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124,304</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798,183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613,028</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792,447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572,647</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5,461</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47,495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44,190</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45,985</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39,959</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2018 and 2017,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June 30, 2018 and 2017,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June 30, 2018 and December 31, 2017, Essent Guaranty, our GSE-approved mortgage insurance company, was in compliance with the PMIERs.</w:t>
      </w:r>
    </w:p>
    <w:p>
      <w:pPr>
        <w:spacing w:after="0" w:line="18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six months ended June 30, 2018, Essent Guaranty increased its contingency reserve by $113.7 million and Essent PA increased its contingency reserve by $2.8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six months ended June 30, 2018 or 2017.</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2017, all such requirements were met.</w:t>
      </w:r>
    </w:p>
    <w:p>
      <w:pPr>
        <w:spacing w:after="0" w:line="173"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Essent Re's statutory capital and surplus was $716.4 million as of June 30, 2018 and $662.6 million as of December 31, 2017. Essent Re's statutory net income was $65.0 million and $43.8 million for the six months ended June 30, 2018 and 2017, respectively. Statutory capital and surplus as of June 30, 2018 and December 31, 2017 and statutory net income in the six months ended June 30, 2018 and 2017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2017 as filed with the Securities and Exchange Commission and referred to herein as the “Annual Report,” and our condensed consolidated financial statements and related notes as of and for the three and six months ended June 30, 2018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 Essent Guaranty, Inc. ("Essent Guaranty"), our wholly-owned insurance subsidiary, is licensed to write coverage in all 50 states and the District of Columbia. The financial strength of Essent Guaranty is rated Baa1 with a stable outlook by Moody’s Investor Services (“Moody's”) and BBB+ with a stable outlook by S&amp;P Global Ratings (“S&amp;P”).</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holding company is domiciled in Bermuda and our U.S. insurance business is headquartered in Radnor, Pennsylvania. We operate additional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underwriting and service centers in Winston-Salem, North Carolina and Irvine, California. We have a highly experienced, talented team with 392 employees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2018. We generated new insurance written, or NIW, of approximately $12.9 billion and $22.2 billion for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2018, respectively, compared to approximately $11.4 billion and $19.4 billion for the three and six months ended June 30, 2017, respectively.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2018, we had approximately $122.5 billion of insurance in force. Our top ten customers represented approximately 40.3%, 45.8%, 35.1% and 36.6%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NIW on a flow basis for the six months ended June 30, 2018 and the years ended December 31, 2017, 2016 and 2015, respectively.</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June 30, 2018, Essent Re provided insurance or reinsurance relating to the risk in force on loans in reference pools acquired by Freddie Mac and Fannie Mae covering approximately $592.5 million of risk, including in connection with Freddie Mac's Agency Credit Insurance Structure ("ACIS") and Fannie Mae's Credit Insurance Risk Transfer ("CIRT") programs. Essent Re has also reinsured 25% of Essent Guaranty’s GSE-eligible mortgage insurance NIW originated since July 1, 2014 under a quota share reinsurance agreement. The insurer financial strength rating of Essent Re is BBB+ with a stable outlook by S&amp;P.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18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June 30, 2018, Essent Guaranty, our GSE-approved</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mortgage insurance company, was in compliance with the PMIERs. See additional discussion in “— Liquidity and Capital Resources —Private Mortgage Insurer Eligibility Requirements.”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GSEs have indicated to us that updated PMIERs are expected to be finalized during the third quarter of 2018 and become effective at the end of the first quarter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2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0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4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right="2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Prior to March 2018, we had not ceded any premiums under third-party reinsurance contracts. In March 2018, Essent Guaranty entered into a third-party reinsurance agreement. See Note 4 to our condensed consolidated financial statements.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2018 were non-refundable. Premiums collected on annual policies are recognized as net premiums earned on a straight-line basis over the year of coverage. For the six months ended June 30, 2018, monthly and single premium policies comprised 83.0% and 17.0% of our NIW,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associated with our GSE risk share transactions are based on the level of risk in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83.0% at June 30, 2018. Generally, higher prepayment speeds lead to lower persistency.</w:t>
      </w:r>
    </w:p>
    <w:p>
      <w:pPr>
        <w:spacing w:after="0" w:line="181" w:lineRule="exact"/>
        <w:rPr>
          <w:sz w:val="20"/>
          <w:szCs w:val="20"/>
          <w:color w:val="auto"/>
        </w:rPr>
      </w:pPr>
    </w:p>
    <w:p>
      <w:pPr>
        <w:ind w:right="100" w:firstLine="693"/>
        <w:spacing w:after="0" w:line="257" w:lineRule="auto"/>
        <w:rPr>
          <w:sz w:val="20"/>
          <w:szCs w:val="20"/>
          <w:color w:val="auto"/>
        </w:rPr>
      </w:pPr>
      <w:r>
        <w:rPr>
          <w:rFonts w:ascii="Arial" w:cs="Arial" w:eastAsia="Arial" w:hAnsi="Arial"/>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anticipated, our premium earned with respect to those loans and therefore our profitability declines. Currently, the expected return on single premium policies is less than the expected return on monthly policies.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June 30, 2018.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2018 and provides for one subsequent one-year renewal at Triad’s option.</w:t>
      </w:r>
    </w:p>
    <w:p>
      <w:pPr>
        <w:spacing w:after="0" w:line="15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Other income also includes revenues associated with contract underwriting services and underwriting services to third-party reinsurers. The level of contract underwriting revenue is dependent upon the number of customers who have engaged us for this service and the number of loans underwritten for these customers. Revenue from underwriting services to third-party reinsurers is dependent upon the number of customers who have engaged us for this service and the number of transactions underwritten for these 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73% of our IIF as of June 30, 2018 having been originated since January 1, 2016. As a result, based on historical industry performance, we expect the number of defaults and claims we experience, as well as our provision for losses and loss adjustment expenses, to increase as our portfolio seasons. See “— Mortgage Insurance Earnings and Cash Flow Cycle” below.</w:t>
      </w:r>
    </w:p>
    <w:p>
      <w:pPr>
        <w:spacing w:after="0" w:line="187" w:lineRule="exact"/>
        <w:rPr>
          <w:sz w:val="20"/>
          <w:szCs w:val="20"/>
          <w:color w:val="auto"/>
        </w:rPr>
      </w:pPr>
    </w:p>
    <w:p>
      <w:pPr>
        <w:jc w:val="both"/>
        <w:ind w:right="18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4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believe, based upon our experience and industry data, that claims incidence for mortgage insurance is generally highest in the third through sixth years after loan origination. As of June 30, 2018, 73% of our IIF relates to business written since January 1, 2016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During the third quarter of 2017, certain regions of the U.S. experienced hurricanes which have impacted our insured portfolio’s performance. Specifically, on August 26, 2017, Hurricane Harvey made landfall in southeastern Texas and on September 10, 2017, Hurricane Irma made landfall in southern Florida and caused property damage in certain counties. Loans in default identified as hurricane-related defaults totaled 2,288 as of December 31, 2017. During the first half of 2018, the number of hurricane-related defaults declined to 801 as of June 30, 2018 primarily due to hurricane-related loans in default that cured.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June 30, 2018 and December 31, 2017, we applied a lower estimated claim rate to the hurricane-related defaults than the claim rate we apply to other notices in our default inventory. The impact on our reserves in future periods will be dependent upon the performance of the hurricane-related defaults and our expectations for the amount of ultimate losses on these delinquencies.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 Party Reinsurance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most significant expense is compensation and benefits for our employees, which represented 61% and 62% of other underwriting and operating expenses for the three and six months ended June 30, 2018, respectively, compared to 63% and 64% of other underwriting and operating expenses for the three and six months ended June 30, 2017, respectively.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benefits expense includes base and incentive cash compensation, stock compensation expense, benefits and payroll taxes.</w:t>
      </w:r>
    </w:p>
    <w:p>
      <w:pPr>
        <w:spacing w:after="0" w:line="225"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2018 as compared to 2017.</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Effective July 2014, Essent Re began to reinsure 25% of GSE-eligible new insurance written of Essent Guaranty, an affiliate. Essent Re also provides insurance and reinsurance to Freddie Mac and Fannie Mae.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six months ended June 30, 2018 and 2017 for our U.S. mortgage insurance portfolio. In addition, this table includes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94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115,250,949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87,993,227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110,461,950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83,265,522</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NIW</w:t>
            </w:r>
          </w:p>
        </w:tc>
        <w:tc>
          <w:tcPr>
            <w:tcW w:w="3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12,850,642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11,368,276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22,186,792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19,402,429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Cancellations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(5,600,345)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(3,867,113)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(10,147,496)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(7,173,561)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IIF,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122,501,246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95,494,390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122,501,246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95,494,390</w:t>
            </w:r>
          </w:p>
        </w:tc>
      </w:tr>
      <w:tr>
        <w:trPr>
          <w:trHeight w:val="67"/>
        </w:trPr>
        <w:tc>
          <w:tcPr>
            <w:tcW w:w="4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Average IIF during the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118,658,900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91,477,761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115,878,005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88,552,878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RIF,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30,154,694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23,665,045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30,154,694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23,665,045</w:t>
            </w:r>
          </w:p>
        </w:tc>
      </w:tr>
      <w:tr>
        <w:trPr>
          <w:trHeight w:val="7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4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IIF at June 30, 2018 by vintage: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(through June 30)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21,835,292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40,026,987</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32.7</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27,835,544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22.7</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15,117,741</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12.3</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9,291,291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2013 and prior</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8,394,391</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6.9</w:t>
            </w:r>
          </w:p>
        </w:tc>
      </w:tr>
      <w:tr>
        <w:trPr>
          <w:trHeight w:val="27"/>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122,501,246</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and (5) premiums ceded. For each of the three and six months ended June 30, 2018, our average net premium rate was</w:t>
      </w:r>
    </w:p>
    <w:p>
      <w:pPr>
        <w:ind w:right="120"/>
        <w:spacing w:after="0" w:line="255" w:lineRule="auto"/>
        <w:rPr>
          <w:sz w:val="20"/>
          <w:szCs w:val="20"/>
          <w:color w:val="auto"/>
        </w:rPr>
      </w:pPr>
      <w:r>
        <w:rPr>
          <w:rFonts w:ascii="Arial" w:cs="Arial" w:eastAsia="Arial" w:hAnsi="Arial"/>
          <w:sz w:val="18"/>
          <w:szCs w:val="18"/>
          <w:color w:val="auto"/>
        </w:rPr>
        <w:t>0.51%, as compared to 0.53% for each of the three and six months ended June 30, 2017. In June 2018, we announced a reduction in pricing on our published rates effective for future NIW. This change will have no impact on existing IIF at June 30, 2018; however, we anticipate that the pricing reductions will reduce our average net premium rate in future periods.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June 30, 2018, our combined net risk in force for our U.S. insurance companies was $23.5 billion and our combined statutory capital was $1.7 billion, resulting in a risk-to-capital ratio of 14.0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168,404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134,063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333,629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253,360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(9,146)</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156,958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126,563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309,516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244,214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1,199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173,768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137,606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341,231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265,198</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36,428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35,686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74,552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72,018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losses and expenses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40,859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38,645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86,742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79,386</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98,961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254,489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185,812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21,154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26,843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31,665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47,096</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111,755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72,118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222,824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138,716</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2018 Compared to the Three and Six Months Ended June 30, 2017</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For the three months ended June 30, 2018, we reported net income of $111.8 million, compared to net income of $72.1 million for the three months ended June 30, 2017. For the six months ended June 30, 2018, we reported net income of $222.8 million, compared to net income of $138.7 million for the six months ended June 30, 2017. The increase in our operating results in 2018 over the same periods in 2017 was primarily due to the increase in net premiums earned associated with the growth of our IIF, the increase in net investment income and the decrease in income taxes primarily due to the reduction of the U.S. statutory corporate income tax rate, partially offset by increases in other underwriting and operating expenses and interest expense.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Net premiums earned increased in the three months ended June 30, 2018 by 24%, compared to the three months ended June 30, 2017 primarily due to the increase in our average IIF from $91.5 billion at June 30, 2017 to $118.7 billion at June 30, 2018, partially offset by a decrease in average net premium rate from 0.53% for the three months ended June 30, 2017 to 0.51% for the three months ended June 30, 2018. Net premiums earned increased in the six months ended June 30, 2018 by 27% compared to the six months ended June 30, 2017 due to the increase in our average IIF from $88.6 billion at June 30, 2017 to $115.9 billion at June 30, 2018, partially offset by a decrease in the average net premium rate from 0.53% in the six months ended June 30, 2017 to</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0.51% in the six months ended June 30, 2018. The decrease in the average net premium rate during the three and six months ended June 30, 2018 is primarily due to an increase in premiums ceded under third-party reinsurance agreements and a decrease in premiums earned on the cancellation of non-refundable single premium policies in the respective periods.</w:t>
      </w:r>
    </w:p>
    <w:p>
      <w:pPr>
        <w:spacing w:after="0" w:line="19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Net premiums written increased in the three and six months ended June 30, 2018 by 26% and 32%, respectively, over the three and six months ended June 30, 2017. The increase was due primarily to the increase in average IIF of 30% and 31% for the three and six months ended June 30, 2018, respectively, as compared to the same periods in 2017, partially offset by an increase in premiums ceded in the three and six months ended June 30, 2018.</w:t>
      </w:r>
    </w:p>
    <w:p>
      <w:pPr>
        <w:spacing w:after="0" w:line="147"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In the three months ended June 30, 2018 and 2017, unearned premiums increased by $11.4 million and $7.5 million, respectively. The change in unearned premiums was a result of net premiums written on single premium policies of $31.7 million and $25.6 million, respectively, which was partially offset by $20.3 million and $18.1 million, respectively, of unearned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premium that was recognized in earnings during the periods. In the six months ended June 30, 2018 and 2017, unearned premiums increased by $24.1 million and $9.1 million, respectively. This was a result of net premiums written on single premium policies of $62.9 million and $43.8 million, respectively, which was partially offset by $38.8 million and $34.7 million, respectively, of unearned premium that was recognized in earnings during the periods.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14,496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18,982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133</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15,794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15,134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17,835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increase in net investment income for the three and six months ended June 30, 2018 as compared to the same periods in 2017 was due to the increase in the weighted average balance of our investment portfolio and the increase in the pre-tax investment income yield. The average cash and investment portfolio balance increased to $2.6 billion for the three months ended June 30, 2018 from $1.8 billion for the three months ended June 30, 2017. The average cash and investment portfolio balance was $2.5 billion for the six months ended June 30, 2018 compared to $1.7 billion for the six months ended June 30, 2017. The increase in the average cash and investment portfolio in both periods was primarily due to investing cash flows from operations and proceeds from the public offering of common shares completed in August 2017. The pre-tax investment income yield increased from 2.2% in each of the three and six months ended June 30, 2017 to 2.5% and 2.4% in the three and six months ended June 30, 2018, respectively, primarily due to an increase in the portion of our investment portfolio invested in spread and duration assets and higher yields on new investments. The pre-tax investment income yields are calculated based on amortized cost and exclude investment expenses. See “— Liquidity and Capital Resources” for further details of our investment portfolio.</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Other income includes fees earned for information technology and customer support services provided to Triad, contract underwriting revenues and underwriting services to third-party reinsurers. The increase in other income for the three and six months ended June 30, 2018 as compared to the same periods in 2017, was primarily due to the increase in underwriting services to third-party reinsurers, partially offset by decreases in contract underwriting revenues and Triad service fees associated with the reduction in the number of Triad's mortgage insurance policies in force. The fees earned from Triad will continue to decrease over time as Triad's existing policies are cancelled.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provision for losses and LAE was $1.8 million in each of the three months ended June 30, 2018 and 2017, and $7.1 million and $5.5 million in the six months ended June 30, 2018 and 2017, respectively. The increase in the provision for losses and LAE in the six months ended June 30, 2018 as compared to the same period in 2017 was primarily due to the increase in the number of non-hurricane-related insured loans in default. Loans in default identified as hurricane-related defaults were 801 as of June 30, 2018 as compared to 1,768 as of March 31, 2018 and 2,288 as of December 31, 2017. The following table presents a rollforward of insured loans in default for the periods indicated: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264"/>
        </w:trPr>
        <w:tc>
          <w:tcPr>
            <w:tcW w:w="5700" w:type="dxa"/>
            <w:vAlign w:val="bottom"/>
            <w:gridSpan w:val="2"/>
          </w:tcPr>
          <w:p>
            <w:pPr>
              <w:ind w:left="5360"/>
              <w:spacing w:after="0"/>
              <w:rPr>
                <w:sz w:val="20"/>
                <w:szCs w:val="20"/>
                <w:color w:val="auto"/>
              </w:rPr>
            </w:pPr>
            <w:r>
              <w:rPr>
                <w:rFonts w:ascii="Arial" w:cs="Arial" w:eastAsia="Arial" w:hAnsi="Arial"/>
                <w:sz w:val="14"/>
                <w:szCs w:val="14"/>
                <w:b w:val="1"/>
                <w:bCs w:val="1"/>
                <w:color w:val="auto"/>
              </w:rPr>
              <w:t>2018</w:t>
            </w:r>
          </w:p>
        </w:tc>
        <w:tc>
          <w:tcPr>
            <w:tcW w:w="17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22"/>
                <w:szCs w:val="22"/>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2,305</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(2,572)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(4,842)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(2,177)</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1720" w:type="dxa"/>
            <w:vAlign w:val="bottom"/>
            <w:tcBorders>
              <w:bottom w:val="single" w:sz="8" w:color="CCEEFF"/>
            </w:tcBorders>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3"/>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3,519</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1,776</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increase in the number of defaults at June 30, 2018 compared to June 30, 2017 was primarily due to the hurricane-related defaults remaining in the default inventory, as well as the increase in our IIF and policies in force, along with further seasoning of our insurance portfolio.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As of June 30,</w:t>
            </w:r>
          </w:p>
        </w:tc>
        <w:tc>
          <w:tcPr>
            <w:tcW w:w="112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3"/>
              </w:rPr>
              <w:t>45,773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27,268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Total reserves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w w:val="83"/>
              </w:rPr>
              <w:t>50,016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29,798</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1,776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15.4</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total reserve per default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decrease in the average case reserve per default was primarily due to a lower total reserve per hurricane-related default. Based on prior industry experience, we expect the ultimate number of hurricane-related defaults that result in claims will be less than the default-to-claim experience of non-hurricane-related defaults. Accordingly, when establishing our loss reserves as of June 30, 2018 and December 31, 2017, we applied a lower estimated claim rate to hurricane-related defaults than the claim rate we apply to other notices in our default inventory. The reserve for losses and LAE on hurricane-related defaults was $11.1 million at June 30, 2018, March 31, 2018 and December 31, 2017 representing our best estimate of ultimate claim costs for hurricane-related defaults at each period end. Also contributing to the decrease in the average case reserve per default were changes in the composition (such as mark-to-market loan-to-value ratios, risk in force, and number of months past due) of the underlying loans in default and improvements in economic fundamentals.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49,966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28,142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12,116</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(6,653)</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and LAE during the current period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5,463</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3,710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3,807</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50,016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29,798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50,016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29,798</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As of June 30, 2018</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9,077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84,685</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26,688</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96,627</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8,368</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14,476</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1,640</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1,946</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45,773</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197,734</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3,433</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50,016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As of June 30, 2017</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6,101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49,210</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12,604</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35,365</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6,094</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10,214</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2,469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2,842</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27,268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97,631</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29,798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three months ended June 30, 2018, the provision for losses and LAE was $1.8 million, comprised of $6.6 million of current year losses partially offset by $4.8 million of favorable prior years’ loss development. During the three months ended June 30, 2017, the provision for losses and LAE was $1.8 million, comprised of $5.0 million of current year losses partially offset by $3.3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six months ended June 30, 2018, the provision for losses and LAE was $7.1 million, comprised of $16.5 million of current year losses partially offset by $9.4 million of favorable prior years’ loss development. During the six months ended June 30, 2017, the provision for losses and LAE was $5.5 million, comprised of $12.1 million of current year losses partially offset by $6.7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3000" w:type="dxa"/>
            <w:vAlign w:val="bottom"/>
            <w:gridSpan w:val="4"/>
          </w:tcPr>
          <w:p>
            <w:pPr>
              <w:jc w:val="right"/>
              <w:ind w:right="7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108</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6"/>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3,819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3,687</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675"/>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1"/>
              </w:rPr>
              <w:t>Six Months Ended June 30,</w:t>
            </w:r>
          </w:p>
        </w:tc>
        <w:tc>
          <w:tcPr>
            <w:tcW w:w="760" w:type="dxa"/>
            <w:vAlign w:val="bottom"/>
            <w:tcBorders>
              <w:bottom w:val="single" w:sz="8" w:color="auto"/>
            </w:tcBorders>
          </w:tcPr>
          <w:p>
            <w:pPr>
              <w:spacing w:after="0"/>
              <w:rPr>
                <w:sz w:val="16"/>
                <w:szCs w:val="16"/>
                <w:color w:val="auto"/>
              </w:rPr>
            </w:pPr>
          </w:p>
        </w:tc>
      </w:tr>
      <w:tr>
        <w:trPr>
          <w:trHeight w:val="264"/>
        </w:trPr>
        <w:tc>
          <w:tcPr>
            <w:tcW w:w="3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22,285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22,652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45,850</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45,831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14,143</w:t>
            </w:r>
          </w:p>
        </w:tc>
        <w:tc>
          <w:tcPr>
            <w:tcW w:w="120" w:type="dxa"/>
            <w:vAlign w:val="bottom"/>
          </w:tcPr>
          <w:p>
            <w:pPr>
              <w:spacing w:after="0"/>
              <w:rPr>
                <w:sz w:val="21"/>
                <w:szCs w:val="21"/>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13,034</w:t>
            </w:r>
          </w:p>
        </w:tc>
        <w:tc>
          <w:tcPr>
            <w:tcW w:w="10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28,702</w:t>
            </w:r>
          </w:p>
        </w:tc>
        <w:tc>
          <w:tcPr>
            <w:tcW w:w="80" w:type="dxa"/>
            <w:vAlign w:val="bottom"/>
          </w:tcPr>
          <w:p>
            <w:pPr>
              <w:spacing w:after="0"/>
              <w:rPr>
                <w:sz w:val="21"/>
                <w:szCs w:val="21"/>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26,187</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36</w:t>
            </w: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36,428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35,686</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74,552</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72,018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391</w:t>
            </w:r>
          </w:p>
        </w:tc>
      </w:tr>
      <w:tr>
        <w:trPr>
          <w:trHeight w:val="27"/>
        </w:trPr>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80" w:hanging="328"/>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Compensation and benefits in the three and six months ended June 30, 2018 was comparable to the three and six months ended June 30, 2017 as the number of employees at the end of each period was essentially unchanged. In the six months ended June 30, 2018, a decrease in stock compensation expense associated with the full vesting of grants issued in 2013 and 2014 was largely offset by an increase in payroll taxes associated with the vesting of these grants. Compensation and benefits includes salaries, wages and bonus, stock compensation expense, benefits and payroll taxes.</w:t>
      </w:r>
    </w:p>
    <w:p>
      <w:pPr>
        <w:spacing w:after="0" w:line="154"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For the three and six months ended June 30, 2018, we incurred interest expense of $2.6 million and $5.1 million, respectively, as compared to $1.2 million and $1.9 million for the three and six months ended June 30, 2017, respectively, associated with amounts outstanding under the Credit Facility. For the three and six months ended June 30, 2018, the average amount outstanding under the Credit Facility was $250.9 million and $255.6 million, respectively, as compared to $145.3 million and $123.9 million for the three and six months ended June 30, 2017,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subsidiaries in the United States file a consolidated U.S. Federal income tax return. For interim reporting periods, we use an annual effective tax rate method required under GAAP to calculate the income tax provision. Our income tax expense was $21.2 million and $26.8 million for the three months ended June 30, 2018 and 2017, respectively, and $31.7 million and $47.1 million for the six months ended June 30, 2018 and 2017, respectively. Income tax expense for the three and six months ended June 30, 2018 was calculated using an estimated annual effective tax rate of 16.2%, as compared to 27.0% for the three and six months ended June 30, 2017. Income tax expense was reduced by excess tax benefits associated with the vesting of common shares and common share units of $9.6 million for the six months ended June 30, 2018 and $0.1 million and $3.1 million for the three and six months ended June 30, 2017, respectively. The tax effects associated with the vesting of common shares and common share units are treated as discrete items in the reporting period in which they occur and are not considered in determining the annual effective tax rate. The decrease in the annual effective tax rate for 2018 reflects the reduction of the U.S. statutory corporate income tax rate from 35% to 21% and the expected portion of our consolidated earnings to be generated in Bermuda. Bermuda does not have a corporate income tax.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5620" w:right="3460" w:hanging="5288"/>
        <w:spacing w:after="0" w:line="559"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 31</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June 30, 2018, we had substantial liquidity with cash of $24.7 million, short-term investments of $327.0 million and fixed maturity investments of $2.2 billion. We also had $275 million available capacity under the revolving credit component of our Credit Facility, with $225 million of borrowings outstanding under our Credit Facility. Borrowings under the Credit Facility contractually mature on May 17, 2021. At June 30, 2018, net cash and investments at the holding company were $76.0 million.</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May 2, 2018, we amended the Credit Facility to increase the committed capacity by $125 million to $500 million, including the issuance of $100 million of additional term loans, the proceeds of which were used to pay down borrowings outstanding under the revolving component of the Credit Facility. See Note 6 to our condensed consolidated financial statements.</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June 30, 2018, Essent Guaranty had unassigned surplus of approximately $92.9 million. During the six months ended June 30, 2018, Essent Guaranty paid to its parent, Essent US Holdings, Inc. ("Essent Holdings"), a $40 million dividend which was used to pay down the borrowings remaining under the revolving component of the Credit Facility. Essent Guaranty of PA, Inc. (“Essent PA") had unassigned surplus of approximately $8.5 million as of June 30, 2018. Essent Re is subject to certain dividend restrictions as prescribed by the Bermuda Monetary Authority and under certain agreements with counterparties. In connection with a quota share reinsurance agreement with Essent Guaranty, Essent Re has agreed to maintain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 minimum total equity of $100 million. As of June 30, 2018, Essent Re had total equity of $716.6 million. In connection with its insurance and reinsurance activities, Essent Re is required to maintain assets in trusts for the benefit of its contractual counterparties. See Note 3 to our condensed consolidated financial statements. At June 30, 2018, our insurance subsidiaries were in compliance with these rules, regulations and agreements.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342,656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144,403</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(304,867)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(209,460)</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(56,649)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65,196</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139</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Cash flow provided by operating activities totaled $342.7 million for the six months ended June 30, 2018, as compared to $144.4 million for the six months ended June 30, 2017. The increase in cash flow provided by operating activities of $198.3 million in 2018 was primarily due to increases in premiums collected and net investment income, and a decrease in United States Mortgage Guaranty Tax and Loss Bonds (“T&amp;L Bonds”), partially offset by increases in expenses paid.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Cash flow used in investing activities totaled $304.9 million for the six months ended June 30, 2018, as compared to $209.5 million for the six months ended June 30, 2017. The increase in cash flow used in investing activities primarily related to investing cash flows from operations.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Cash flow used in financing activities totaled $56.6 million for the six months ended June 30, 2018, primarily related to treasury stock acquired from employees to satisfy tax withholding obligations and $25 million of net repayments of borrowings under the Credit Facility. Cash flow provided by financing activities totaled $65.2 million for the six months ended June 30, 2017, primarily related to $75 million of net increased borrowings under the Credit Facility, partially offset by treasury stock acquired from employees to satisfy tax withholding obligations.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During the three months ended March 31, 2018, Essent Holdings made capital contributions to Essent Guaranty of $15 million to support new and existing business. During the three months ended June 30, 2018, Essent Guaranty paid a dividend to Essent Holdings of $40 million which was used to pay down the borrowings remaining under the revolving component of the Credit Facility. During the six months ended June 30, 2017, no capital contributions were made to our U.S. insurance subsidiaries.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March 2018, Essent Guaranty entered into a fully collateralized reinsurance agreement with Radnor Re 2018-1 Ltd. ("Radnor Re"), an unaffiliated special purpose insurer domiciled in Bermuda, that provides for up to $424.4 million of aggregate excess-of-loss reinsurance coverage at inception for new defaults on a portfolio of mortgage insurance policies issued between January 1, 2017 and December 31, 2017. The aggregate excess of loss reinsurance coverage decreases over a ten-year period as the underlying covered mortgages amortize. This reinsurance coverage also reduces net risk in force and PMIERs Minimum Required Assets. See Note 4 to our condensed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June 30, 2018 is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846,113</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838,432</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1,684,545</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23,513,547</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For additional information regarding regulatory capital, see Note 12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Essent Re has entered into risk share insurance and reinsurance transactions with Freddie Mac and Fannie Mae. Essent Re also executed a quota share reinsurance transaction with Essent Guaranty to reinsure 25% of Essent Guaranty’s GSE-eligible NIW effective July 1, 2014. As of June 30, 2018, Essent Re had total stockholders’ equity of $716.6 million and net risk in force of $7.2 billion.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insurer financial strength rating of Essent Guaranty, our principal mortgage insurance subsidiary, is rated Baa1 with a stable outlook by Moody's and BBB+ with a stable outlook by S&amp;P. The insurer financial strength rating of Essent Re is BBB+ with a stable outlook by S&amp;P.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June 30, 2018, Essent Guaranty, our GSE-approved mortgage insurance company, was in compliance with the PMIERs. As of June 30, 2018, Essent Guaranty's Available Assets were $1.74 billion and its Minimum Required Assets were $1.35 billion based on our interpretation of the PMIERs.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As of June 30, 2018, stockholders’ equity was $2.1 billion, compared to $1.9 billion as of December 31, 2017. This increase was primarily due to net income generated in 2018, partially offset by an increase in accumulated other comprehensive loss related to an increase in our unrealized investment losses.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total fair value of our investment portfolio was $2.6 billion as of June 30, 2018 and $2.3 billion as of December 31, 2017. In addition, our total cash was $24.7 million as of June 30, 2018, compared to $43.5 million as of December 31, 2017. The increase in investments was primarily due to investing net cash flows from operations during the six months ended June 30,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8"/>
              </w:rPr>
              <w:t>June 30, 2018</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gridSpan w:val="2"/>
          </w:tcPr>
          <w:p>
            <w:pPr>
              <w:spacing w:after="0"/>
              <w:rPr>
                <w:sz w:val="22"/>
                <w:szCs w:val="22"/>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246,204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227,805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32,755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493,004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456,037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483,697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8"/>
                <w:szCs w:val="18"/>
                <w:color w:val="auto"/>
              </w:rPr>
              <w:t>465,255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24,703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653,774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8"/>
                <w:szCs w:val="18"/>
                <w:color w:val="auto"/>
              </w:rPr>
              <w:t>611,728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79,407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257,205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8"/>
                <w:szCs w:val="18"/>
                <w:color w:val="auto"/>
              </w:rPr>
              <w:t>167,922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277,034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263,797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80" w:type="dxa"/>
            <w:vAlign w:val="bottom"/>
            <w:gridSpan w:val="4"/>
          </w:tcPr>
          <w:p>
            <w:pPr>
              <w:ind w:left="40"/>
              <w:spacing w:after="0"/>
              <w:rPr>
                <w:sz w:val="20"/>
                <w:szCs w:val="20"/>
                <w:color w:val="auto"/>
              </w:rPr>
            </w:pPr>
            <w:r>
              <w:rPr>
                <w:rFonts w:ascii="Arial" w:cs="Arial" w:eastAsia="Arial" w:hAnsi="Arial"/>
                <w:sz w:val="18"/>
                <w:szCs w:val="18"/>
                <w:b w:val="1"/>
                <w:bCs w:val="1"/>
                <w:color w:val="auto"/>
              </w:rPr>
              <w:t>Total Investments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2,556,013</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8"/>
                <w:szCs w:val="18"/>
                <w:b w:val="1"/>
                <w:bCs w:val="1"/>
                <w:color w:val="auto"/>
              </w:rPr>
              <w:t>2,305,065</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(2) The following table summarizes corporate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vMerge w:val="restart"/>
          </w:tcPr>
          <w:p>
            <w:pPr>
              <w:jc w:val="right"/>
              <w:ind w:right="27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 2018</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2017</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1,261,425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1,160,200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133,062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115,237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155,552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123,551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137,257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127,785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5.6</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225,656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205,369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162,277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157,651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6.8</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147,648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148,246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142,040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115,178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117,464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87,869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3.8</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35,452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43,024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38,180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20,955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0.9</w:t>
            </w:r>
          </w:p>
        </w:tc>
      </w:tr>
      <w:tr>
        <w:trPr>
          <w:trHeight w:val="257"/>
        </w:trPr>
        <w:tc>
          <w:tcPr>
            <w:tcW w:w="41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2,556,013</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2,305,065</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21"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b w:val="1"/>
          <w:bCs w:val="1"/>
          <w:color w:val="auto"/>
        </w:rPr>
        <w:t>Investment Portfolio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 2018</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2017</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705,739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628,958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230,410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164,856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7.2</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234,463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280,177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12.2</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177,606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263,799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11.4</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361,508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263,273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846,287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704,002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30.5</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2,556,013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2,305,065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Portfolio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408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Security</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4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0.000% 7/12/2018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49,977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U.S. Treasury 5.250% 11/15/2028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28,073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1.500% 8/15/2026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Freddie Mac 4.000% 7/1/2037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11,386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2.000% 1/15/2021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Fannie Mae 1.500% 6/22/2020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11,070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Freddie Mac 2.500% 10/1/2030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Ginnie Mae 4.000% 7/20/2045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2.250% 11/15/2025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BP Capital Markets PLC 2.112% 9/16/2021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2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168,925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174,745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320" w:type="dxa"/>
            <w:vAlign w:val="bottom"/>
            <w:gridSpan w:val="3"/>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June 30, 2018, for securities in unrealized loss positions, management believes decline in fair values is principally associated with the changes in the interest rate environment subsequent to their purchase. Also, see Note 3 to our condensed consolidated financial statements, which summarizes the aggregate amount of gross unrealized losses by asset class in which the fair value of investments has been less than cost for less than 12 months and for 12 months or more.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right"/>
              <w:ind w:right="2300"/>
              <w:spacing w:after="0"/>
              <w:rPr>
                <w:sz w:val="20"/>
                <w:szCs w:val="20"/>
                <w:color w:val="auto"/>
              </w:rPr>
            </w:pPr>
            <w:r>
              <w:rPr>
                <w:rFonts w:ascii="Arial" w:cs="Arial" w:eastAsia="Arial" w:hAnsi="Arial"/>
                <w:sz w:val="14"/>
                <w:szCs w:val="14"/>
                <w:b w:val="1"/>
                <w:bCs w:val="1"/>
                <w:color w:val="auto"/>
              </w:rPr>
              <w:t>December 31, 2017</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4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29,358</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1.500%</w:t>
            </w:r>
          </w:p>
        </w:tc>
        <w:tc>
          <w:tcPr>
            <w:tcW w:w="1140" w:type="dxa"/>
            <w:vAlign w:val="bottom"/>
          </w:tcPr>
          <w:p>
            <w:pPr>
              <w:ind w:left="20"/>
              <w:spacing w:after="0"/>
              <w:rPr>
                <w:sz w:val="20"/>
                <w:szCs w:val="20"/>
                <w:color w:val="auto"/>
              </w:rPr>
            </w:pPr>
            <w:r>
              <w:rPr>
                <w:rFonts w:ascii="Arial" w:cs="Arial" w:eastAsia="Arial" w:hAnsi="Arial"/>
                <w:sz w:val="18"/>
                <w:szCs w:val="18"/>
                <w:color w:val="auto"/>
              </w:rPr>
              <w:t>8/15/2026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19,067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0.000%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1/4/2018</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Freddie Mac 4.000% 7/1/2037</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12,639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1.500% 6/22/2020</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11,165</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Ginnie Mae 4.000% 7/20/2045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10,964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Freddie Mac 2.500% 10/1/2030</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Ginnie Mae 4.000% 8/20/2045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10,666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Freddie Mac 3.000% 9/1/2046</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2.250%</w:t>
            </w:r>
          </w:p>
        </w:tc>
        <w:tc>
          <w:tcPr>
            <w:tcW w:w="1140" w:type="dxa"/>
            <w:vAlign w:val="bottom"/>
          </w:tcPr>
          <w:p>
            <w:pPr>
              <w:ind w:left="20"/>
              <w:spacing w:after="0"/>
              <w:rPr>
                <w:sz w:val="20"/>
                <w:szCs w:val="20"/>
                <w:color w:val="auto"/>
              </w:rPr>
            </w:pPr>
            <w:r>
              <w:rPr>
                <w:rFonts w:ascii="Arial" w:cs="Arial" w:eastAsia="Arial" w:hAnsi="Arial"/>
                <w:sz w:val="18"/>
                <w:szCs w:val="18"/>
                <w:color w:val="auto"/>
              </w:rPr>
              <w:t>11/15/2025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139,857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37</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include municipal debt securities for states that represent more than 10% of the total municipal bond position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400" w:type="dxa"/>
            <w:vAlign w:val="bottom"/>
          </w:tcPr>
          <w:p>
            <w:pPr>
              <w:jc w:val="right"/>
              <w:ind w:right="451"/>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jc w:val="right"/>
              <w:ind w:right="631"/>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49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State of Texas</w:t>
            </w:r>
          </w:p>
        </w:tc>
        <w:tc>
          <w:tcPr>
            <w:tcW w:w="14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8,784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8,859</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 Texas A&amp;M University System</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City of Houston</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University of Houston System</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 Joya Independent School District</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City of El Paso</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City of Austin</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Harris County Cultural Education</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Texas Municipal Water District</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Carrollton-Farmers Branch Independent School District</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City of Dallas</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Alamo Community College District</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Tarrant Regional Water District</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Fort Worth TX W&amp;S Revenue</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City of College Station</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City of Garland</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Bryan Independent School District</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City of San Antonio</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Spring Independent School District</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City of Corpus Christi</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Harris County Toll Road Authority</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Pharr-San Juan-Alamo Independent School District</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Port Arthur Independent School District</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Harlandale Independent School District</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County of Fort Bend</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Austin-Bergstrom Landhost Enterprises, Inc.</w:t>
            </w: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57,271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57,581</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260"/>
              <w:spacing w:after="0"/>
              <w:rPr>
                <w:sz w:val="20"/>
                <w:szCs w:val="20"/>
                <w:color w:val="auto"/>
              </w:rPr>
            </w:pPr>
            <w:r>
              <w:rPr>
                <w:rFonts w:ascii="Arial" w:cs="Arial" w:eastAsia="Arial" w:hAnsi="Arial"/>
                <w:sz w:val="18"/>
                <w:szCs w:val="18"/>
                <w:color w:val="auto"/>
              </w:rPr>
              <w:t>City of New York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7,824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7,827</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The Dormitory Authority of the State of New York</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7,769</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6040" w:type="dxa"/>
            <w:vAlign w:val="bottom"/>
            <w:gridSpan w:val="2"/>
          </w:tcPr>
          <w:p>
            <w:pPr>
              <w:ind w:left="260"/>
              <w:spacing w:after="0"/>
              <w:rPr>
                <w:sz w:val="20"/>
                <w:szCs w:val="20"/>
                <w:color w:val="auto"/>
              </w:rPr>
            </w:pPr>
            <w:r>
              <w:rPr>
                <w:rFonts w:ascii="Arial" w:cs="Arial" w:eastAsia="Arial" w:hAnsi="Arial"/>
                <w:sz w:val="18"/>
                <w:szCs w:val="18"/>
                <w:color w:val="auto"/>
              </w:rPr>
              <w:t>The Port Authority of New York and New Jersey</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7,660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7,635</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Metropolitan Transportation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6040" w:type="dxa"/>
            <w:vAlign w:val="bottom"/>
            <w:gridSpan w:val="2"/>
          </w:tcPr>
          <w:p>
            <w:pPr>
              <w:ind w:left="260"/>
              <w:spacing w:after="0"/>
              <w:rPr>
                <w:sz w:val="20"/>
                <w:szCs w:val="20"/>
                <w:color w:val="auto"/>
              </w:rPr>
            </w:pPr>
            <w:r>
              <w:rPr>
                <w:rFonts w:ascii="Arial" w:cs="Arial" w:eastAsia="Arial" w:hAnsi="Arial"/>
                <w:sz w:val="18"/>
                <w:szCs w:val="18"/>
                <w:color w:val="auto"/>
              </w:rPr>
              <w:t>New York State Urban Development Corporation</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5,909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5,923</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New York City Transitional Finance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3,509</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6040" w:type="dxa"/>
            <w:vAlign w:val="bottom"/>
            <w:gridSpan w:val="2"/>
          </w:tcPr>
          <w:p>
            <w:pPr>
              <w:ind w:left="260"/>
              <w:spacing w:after="0"/>
              <w:rPr>
                <w:sz w:val="20"/>
                <w:szCs w:val="20"/>
                <w:color w:val="auto"/>
              </w:rPr>
            </w:pPr>
            <w:r>
              <w:rPr>
                <w:rFonts w:ascii="Arial" w:cs="Arial" w:eastAsia="Arial" w:hAnsi="Arial"/>
                <w:sz w:val="18"/>
                <w:szCs w:val="18"/>
                <w:color w:val="auto"/>
              </w:rPr>
              <w:t>TSASC, Inc.</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County of Nassau</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43"/>
        </w:trPr>
        <w:tc>
          <w:tcPr>
            <w:tcW w:w="6040" w:type="dxa"/>
            <w:vAlign w:val="bottom"/>
            <w:gridSpan w:val="2"/>
          </w:tcPr>
          <w:p>
            <w:pPr>
              <w:ind w:left="260"/>
              <w:spacing w:after="0"/>
              <w:rPr>
                <w:sz w:val="20"/>
                <w:szCs w:val="20"/>
                <w:color w:val="auto"/>
              </w:rPr>
            </w:pPr>
            <w:r>
              <w:rPr>
                <w:rFonts w:ascii="Arial" w:cs="Arial" w:eastAsia="Arial" w:hAnsi="Arial"/>
                <w:sz w:val="18"/>
                <w:szCs w:val="18"/>
                <w:color w:val="auto"/>
              </w:rPr>
              <w:t>Public Service Enterprise Group, Inc.</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County of Albany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6040" w:type="dxa"/>
            <w:vAlign w:val="bottom"/>
            <w:gridSpan w:val="2"/>
          </w:tcPr>
          <w:p>
            <w:pPr>
              <w:ind w:left="260"/>
              <w:spacing w:after="0"/>
              <w:rPr>
                <w:sz w:val="20"/>
                <w:szCs w:val="20"/>
                <w:color w:val="auto"/>
              </w:rPr>
            </w:pPr>
            <w:r>
              <w:rPr>
                <w:rFonts w:ascii="Arial" w:cs="Arial" w:eastAsia="Arial" w:hAnsi="Arial"/>
                <w:sz w:val="18"/>
                <w:szCs w:val="18"/>
                <w:color w:val="auto"/>
              </w:rPr>
              <w:t>Town of Oyster Bay</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Syracuse Industrial Development Agency</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Baa1</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49,156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49,093</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Radnor Re 2018-1 Ltd. is a special purpose variable interest entity that is not consolidated in our condensed consolidated financial statements because we do not have the unilateral power to direct those activities that are significant to its economic performance. As of June 30, 2018, our estimated off-balance sheet maximum exposure to loss from Radnor Re was $18.2 million, representing the estimated net present value of investment earnings on the assets in the reinsurance trust. See Note 4 to our condensed consolidated financial statements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filing date of this report, there were no significant changes in our critical accounting policies from those discussed in our 2017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condensed consolidated financial statements for recently issued accounting standards under evaluation.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At June 30, 2018, the effective duration of our investment portfolio, including cash, was 3.5 years, which means that an instantaneous parallel shift (movement up or down) in the yield curve of 100 basis points would result in a change of 3.5% in fair value of our investment portfolio. Excluding cash, our investment portfolio effective duration was 4.0 years, which means that an instantaneous parallel shift (movement up or down) in the yield curve of 100 basis points would result in a change of 4.0% in fair value of our investment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June 30, 2018,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2017.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common shares during the three months ended June 30, 2018.</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5"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800" w:type="dxa"/>
            <w:vAlign w:val="bottom"/>
            <w:gridSpan w:val="4"/>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Arial" w:cs="Arial" w:eastAsia="Arial" w:hAnsi="Arial"/>
                <w:sz w:val="18"/>
                <w:szCs w:val="18"/>
                <w:color w:val="auto"/>
              </w:rPr>
              <w:t>(a)</w:t>
            </w:r>
          </w:p>
        </w:tc>
        <w:tc>
          <w:tcPr>
            <w:tcW w:w="10800" w:type="dxa"/>
            <w:vAlign w:val="bottom"/>
            <w:gridSpan w:val="4"/>
          </w:tcPr>
          <w:p>
            <w:pPr>
              <w:ind w:left="6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45"/>
        </w:trPr>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80" w:type="dxa"/>
            <w:vAlign w:val="bottom"/>
            <w:vMerge w:val="restart"/>
          </w:tcPr>
          <w:p>
            <w:pPr>
              <w:jc w:val="right"/>
              <w:ind w:right="4468"/>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No.</w:t>
            </w:r>
          </w:p>
        </w:tc>
        <w:tc>
          <w:tcPr>
            <w:tcW w:w="5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0" w:type="dxa"/>
            <w:vAlign w:val="bottom"/>
            <w:gridSpan w:val="3"/>
          </w:tcPr>
          <w:p>
            <w:pPr>
              <w:ind w:left="4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620" w:type="dxa"/>
            <w:vAlign w:val="bottom"/>
            <w:gridSpan w:val="3"/>
          </w:tcPr>
          <w:p>
            <w:pPr>
              <w:ind w:left="40"/>
              <w:spacing w:after="0"/>
              <w:rPr>
                <w:rFonts w:ascii="Arial" w:cs="Arial" w:eastAsia="Arial" w:hAnsi="Arial"/>
                <w:sz w:val="18"/>
                <w:szCs w:val="18"/>
                <w:color w:val="0000FF"/>
              </w:rPr>
            </w:pPr>
            <w:hyperlink w:anchor="page49">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620" w:type="dxa"/>
            <w:vAlign w:val="bottom"/>
            <w:gridSpan w:val="3"/>
          </w:tcPr>
          <w:p>
            <w:pPr>
              <w:ind w:left="40"/>
              <w:spacing w:after="0"/>
              <w:rPr>
                <w:rFonts w:ascii="Arial" w:cs="Arial" w:eastAsia="Arial" w:hAnsi="Arial"/>
                <w:sz w:val="18"/>
                <w:szCs w:val="18"/>
                <w:color w:val="0000FF"/>
              </w:rPr>
            </w:pPr>
            <w:hyperlink w:anchor="page50">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62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The following financial information from this Quarterly Report on Form 10-Q for the quarter ended June 30, 2018, formatted in XBRL</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8"/>
              </w:rPr>
              <w:t>(Extensible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284"/>
        </w:trPr>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0" w:type="dxa"/>
            <w:vAlign w:val="bottom"/>
            <w:gridSpan w:val="4"/>
          </w:tcPr>
          <w:p>
            <w:pPr>
              <w:jc w:val="right"/>
              <w:ind w:right="554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August 6, 2018</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August 6, 2018</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August 6, 2018</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125"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380" w:firstLine="8"/>
        <w:spacing w:after="0" w:line="324" w:lineRule="auto"/>
        <w:tabs>
          <w:tab w:leader="none" w:pos="6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2018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2018</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3"/>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lowerLetter"/>
      <w:start w:val="3"/>
    </w:lvl>
  </w:abstractNum>
  <w:abstractNum w:abstractNumId="22">
    <w:nsid w:val="189A769B"/>
    <w:multiLevelType w:val="hybridMultilevel"/>
    <w:lvl w:ilvl="0">
      <w:lvlJc w:val="left"/>
      <w:lvlText w:val="%1."/>
      <w:numFmt w:val="decimal"/>
      <w:start w:val="5"/>
    </w:lvl>
    <w:lvl w:ilvl="1">
      <w:lvlJc w:val="left"/>
      <w:lvlText w:val="(%2)"/>
      <w:numFmt w:val="lowerLetter"/>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3"/>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2"/>
    </w:lvl>
  </w:abstractNum>
  <w:abstractNum w:abstractNumId="27">
    <w:nsid w:val="2901D82"/>
    <w:multiLevelType w:val="hybridMultilevel"/>
    <w:lvl w:ilvl="0">
      <w:lvlJc w:val="left"/>
      <w:lvlText w:val="(%1)"/>
      <w:numFmt w:val="lowerLetter"/>
      <w:start w:val="3"/>
    </w:lvl>
  </w:abstractNum>
  <w:abstractNum w:abstractNumId="28">
    <w:nsid w:val="3A95F874"/>
    <w:multiLevelType w:val="hybridMultilevel"/>
    <w:lvl w:ilvl="0">
      <w:lvlJc w:val="left"/>
      <w:lvlText w:val="%1."/>
      <w:numFmt w:val="decimal"/>
      <w:start w:val="5"/>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2020-01-13T05:10:06Z</dcterms:created>
  <dcterms:modified xsi:type="dcterms:W3CDTF">2020-01-13T05:10:06Z</dcterms:modified>
</cp:coreProperties>
</file>