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period ended September 30, 2017</w:t>
      </w:r>
    </w:p>
    <w:p>
      <w:pPr>
        <w:spacing w:after="0" w:line="145"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360"/>
          </w:cols>
          <w:pgMar w:left="240" w:top="233" w:right="299" w:bottom="1440" w:gutter="0" w:footer="0" w:header="0"/>
        </w:sectPr>
      </w:pPr>
    </w:p>
    <w:p>
      <w:pPr>
        <w:spacing w:after="0" w:line="16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640"/>
          </w:cols>
          <w:pgMar w:left="240" w:top="233" w:right="2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780" w:type="dxa"/>
        <w:tblCellMar>
          <w:top w:w="0" w:type="dxa"/>
          <w:left w:w="0" w:type="dxa"/>
          <w:bottom w:w="0" w:type="dxa"/>
          <w:right w:w="0" w:type="dxa"/>
        </w:tblCellMar>
      </w:tblPr>
      <w:tr>
        <w:trPr>
          <w:trHeight w:val="37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6"/>
              </w:rPr>
              <w:t>ESSENT GROUP LTD.</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49"/>
        </w:trPr>
        <w:tc>
          <w:tcPr>
            <w:tcW w:w="14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568"/>
        </w:trPr>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Bermuda</w:t>
            </w:r>
          </w:p>
        </w:tc>
        <w:tc>
          <w:tcPr>
            <w:tcW w:w="5580" w:type="dxa"/>
            <w:vAlign w:val="bottom"/>
            <w:gridSpan w:val="2"/>
          </w:tcPr>
          <w:p>
            <w:pPr>
              <w:jc w:val="center"/>
              <w:ind w:left="3973"/>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 or other jurisdiction of</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3"/>
              </w:rPr>
              <w:t>(I.R.S. Employer</w:t>
            </w:r>
          </w:p>
        </w:tc>
      </w:tr>
      <w:tr>
        <w:trPr>
          <w:trHeight w:val="206"/>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incorporation or organization)</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5"/>
              </w:rPr>
              <w:t>Identification Number)</w:t>
            </w:r>
          </w:p>
        </w:tc>
      </w:tr>
      <w:tr>
        <w:trPr>
          <w:trHeight w:val="249"/>
        </w:trPr>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Clarendon House</w:t>
            </w: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2 Church Street</w:t>
            </w:r>
          </w:p>
        </w:tc>
      </w:tr>
      <w:tr>
        <w:trPr>
          <w:trHeight w:val="207"/>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5"/>
              </w:rPr>
              <w:t>Hamilton HM11, Bermuda</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2"/>
              </w:rPr>
              <w:t>(Address of principal executive offices and zip code)</w:t>
            </w:r>
          </w:p>
        </w:tc>
      </w:tr>
      <w:tr>
        <w:trPr>
          <w:trHeight w:val="401"/>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(441) 297-9901</w:t>
            </w:r>
          </w:p>
        </w:tc>
        <w:tc>
          <w:tcPr>
            <w:tcW w:w="1260" w:type="dxa"/>
            <w:vAlign w:val="bottom"/>
          </w:tcPr>
          <w:p>
            <w:pPr>
              <w:spacing w:after="0"/>
              <w:rPr>
                <w:sz w:val="24"/>
                <w:szCs w:val="24"/>
                <w:color w:val="auto"/>
              </w:rPr>
            </w:pP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16"/>
                <w:szCs w:val="16"/>
                <w:color w:val="auto"/>
                <w:w w:val="91"/>
              </w:rPr>
              <w:t>(Registrant’s telephone number, including area code)</w:t>
            </w:r>
          </w:p>
        </w:tc>
      </w:tr>
    </w:tbl>
    <w:p>
      <w:pPr>
        <w:spacing w:after="0" w:line="140" w:lineRule="exact"/>
        <w:rPr>
          <w:sz w:val="24"/>
          <w:szCs w:val="24"/>
          <w:color w:val="auto"/>
        </w:rPr>
      </w:pPr>
    </w:p>
    <w:p>
      <w:pPr>
        <w:jc w:val="both"/>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233" w:right="299" w:bottom="1440" w:gutter="0" w:footer="0" w:header="0"/>
          <w:type w:val="continuous"/>
        </w:sectPr>
      </w:pPr>
    </w:p>
    <w:p>
      <w:pPr>
        <w:spacing w:after="0" w:line="132" w:lineRule="exact"/>
        <w:rPr>
          <w:sz w:val="24"/>
          <w:szCs w:val="24"/>
          <w:color w:val="auto"/>
        </w:rPr>
      </w:pPr>
    </w:p>
    <w:p>
      <w:pPr>
        <w:ind w:left="25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3940" w:space="700"/>
            <w:col w:w="320" w:space="720"/>
            <w:col w:w="2260" w:space="720"/>
            <w:col w:w="2700"/>
          </w:cols>
          <w:pgMar w:left="240" w:top="233" w:right="299" w:bottom="1440" w:gutter="0" w:footer="0" w:header="0"/>
          <w:type w:val="continuous"/>
        </w:sectPr>
      </w:pPr>
    </w:p>
    <w:p>
      <w:pPr>
        <w:ind w:left="25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109" w:lineRule="exact"/>
        <w:rPr>
          <w:sz w:val="24"/>
          <w:szCs w:val="24"/>
          <w:color w:val="auto"/>
        </w:rPr>
      </w:pPr>
    </w:p>
    <w:p>
      <w:pPr>
        <w:sectPr>
          <w:pgSz w:w="11900" w:h="16838" w:orient="portrait"/>
          <w:cols w:equalWidth="0" w:num="3">
            <w:col w:w="3920" w:space="720"/>
            <w:col w:w="80" w:space="320"/>
            <w:col w:w="6320"/>
          </w:cols>
          <w:pgMar w:left="240" w:top="233" w:right="2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sectPr>
          <w:pgSz w:w="11900" w:h="16838" w:orient="portrait"/>
          <w:cols w:equalWidth="0" w:num="2">
            <w:col w:w="7940" w:space="720"/>
            <w:col w:w="2700"/>
          </w:cols>
          <w:pgMar w:left="240" w:top="233" w:right="2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86" w:lineRule="exact"/>
        <w:rPr>
          <w:sz w:val="24"/>
          <w:szCs w:val="24"/>
          <w:color w:val="auto"/>
        </w:rPr>
      </w:pPr>
    </w:p>
    <w:p>
      <w:pPr>
        <w:sectPr>
          <w:pgSz w:w="11900" w:h="16838" w:orient="portrait"/>
          <w:cols w:equalWidth="0" w:num="2">
            <w:col w:w="7940" w:space="720"/>
            <w:col w:w="2700"/>
          </w:cols>
          <w:pgMar w:left="240" w:top="233" w:right="299" w:bottom="1440" w:gutter="0" w:footer="0" w:header="0"/>
          <w:type w:val="continuous"/>
        </w:sectPr>
      </w:pPr>
    </w:p>
    <w:p>
      <w:pPr>
        <w:ind w:right="80" w:firstLine="55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560" w:right="162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November 1, 2017 was 98,434,106.</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5"/>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2.</w:t>
              </w:r>
            </w:hyperlink>
          </w:p>
        </w:tc>
        <w:tc>
          <w:tcPr>
            <w:tcW w:w="1060" w:type="dxa"/>
            <w:vAlign w:val="bottom"/>
            <w:gridSpan w:val="6"/>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2">
              <w:r>
                <w:rPr>
                  <w:rFonts w:ascii="Arial" w:cs="Arial" w:eastAsia="Arial" w:hAnsi="Arial"/>
                  <w:sz w:val="18"/>
                  <w:szCs w:val="18"/>
                  <w:b w:val="1"/>
                  <w:bCs w:val="1"/>
                  <w:color w:val="0000EE"/>
                  <w:w w:val="91"/>
                </w:rPr>
                <w:t>Item 3.</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2">
              <w:r>
                <w:rPr>
                  <w:rFonts w:ascii="Arial" w:cs="Arial" w:eastAsia="Arial" w:hAnsi="Arial"/>
                  <w:sz w:val="18"/>
                  <w:szCs w:val="18"/>
                  <w:b w:val="1"/>
                  <w:bCs w:val="1"/>
                  <w:color w:val="0000EE"/>
                  <w:w w:val="91"/>
                </w:rPr>
                <w:t>Item 4.</w:t>
              </w:r>
            </w:hyperlink>
          </w:p>
        </w:tc>
        <w:tc>
          <w:tcPr>
            <w:tcW w:w="1060" w:type="dxa"/>
            <w:vAlign w:val="bottom"/>
            <w:gridSpan w:val="6"/>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3">
              <w:r>
                <w:rPr>
                  <w:rFonts w:ascii="Arial" w:cs="Arial" w:eastAsia="Arial" w:hAnsi="Arial"/>
                  <w:sz w:val="18"/>
                  <w:szCs w:val="18"/>
                  <w:b w:val="1"/>
                  <w:bCs w:val="1"/>
                  <w:color w:val="0000EE"/>
                  <w:w w:val="98"/>
                </w:rPr>
                <w:t>PART II.</w:t>
              </w:r>
            </w:hyperlink>
          </w:p>
        </w:tc>
        <w:tc>
          <w:tcPr>
            <w:tcW w:w="900" w:type="dxa"/>
            <w:vAlign w:val="bottom"/>
            <w:gridSpan w:val="3"/>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4"/>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3">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6.</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SIGNATURES</w:t>
              </w:r>
            </w:hyperlink>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2016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2017 — $1,819,481; 2016 — $1,497,186)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1,826,801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1,482,754</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2017 — $296,509; 2016 — $132,352)</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296,513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132,348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2,123,314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1,615,102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57,741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27,531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21,632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$49,498 in 2017 and $46,543 in 2016)</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8,119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181,272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6,454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2,485,591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1,882,998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245,877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219,616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142,587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6"/>
              </w:rPr>
              <w:t>Credit facility borrowings (at carrying value, less unamortized deferred costs of $1,511 in 2017 and $0 in 2016)</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173,489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33,881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705,021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539,225</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6)</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- 98,423 shares in 2017 and 93,105 shares in 2016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1,122,679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918,296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653,372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436,335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1,780,570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1,343,773</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2,485,591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1,882,998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155,055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115,887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408,415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324,866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(18,951)</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137,940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110,801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382,154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305,915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150,203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121,254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415,401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331,885</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37,035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32,792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109,053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95,589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42,804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107,305</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107,399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83,441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293,211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224,580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64,660</w:t>
            </w: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78,393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59,711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217,109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159,920</w:t>
            </w:r>
          </w:p>
        </w:tc>
      </w:tr>
      <w:tr>
        <w:trPr>
          <w:trHeight w:val="271"/>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90,886</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96,094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92,133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78,393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59,711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217,109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159,920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Change in unrealized appreciation (depreciation) of investments,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8"/>
              </w:rPr>
              <w:t>net of tax expense (benefit) of $752 and ($897) in the three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months ended September 30, 2017 and 2016 and $6,462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$9,866 in the nine months ended September 30, 2017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22,053</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22,053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80,371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57,703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232,407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181,973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2016</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1,390</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904,221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213,729</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1,119,241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222,606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222,606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16,881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16,881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equity transactions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918,296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436,335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1,343,773</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217,109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217,109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
              <w:spacing w:after="0"/>
              <w:rPr>
                <w:sz w:val="20"/>
                <w:szCs w:val="20"/>
                <w:color w:val="auto"/>
              </w:rPr>
            </w:pPr>
            <w:r>
              <w:rPr>
                <w:rFonts w:ascii="Arial" w:cs="Arial" w:eastAsia="Arial" w:hAnsi="Arial"/>
                <w:sz w:val="16"/>
                <w:szCs w:val="16"/>
                <w:color w:val="auto"/>
              </w:rPr>
              <w:t>15,298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Issuance of Common Shares, net of issuance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cost of $1,800</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197,625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197,700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13,980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Cumulative effect of ASU 2016-09 adoption</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7,329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September 30, 2017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1,476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1,122,679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3,043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653,372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1,780,570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217,109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159,920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13,980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11,902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8,073</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49,032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42,811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investment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Deferred policy acquisition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federal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(43,610)</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Reserve for losses and LAE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7,971</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Unearned premium reserve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26,261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18,951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252,021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199,889</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change in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(64,487)</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(567,335)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(451,223)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197,623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244,429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(485,098)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(251,771)</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Issuance of common shares, net of costs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Credit facility borrowings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Credit facility repayments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Treasury stock acquired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 of issuance costs for credit facility</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263,287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43,612</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30,210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24,606</w:t>
            </w:r>
          </w:p>
        </w:tc>
      </w:tr>
      <w:tr>
        <w:trPr>
          <w:trHeight w:val="297"/>
        </w:trPr>
        <w:tc>
          <w:tcPr>
            <w:tcW w:w="7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57,741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16,336</w:t>
            </w:r>
          </w:p>
        </w:tc>
      </w:tr>
      <w:tr>
        <w:trPr>
          <w:trHeight w:val="271"/>
        </w:trPr>
        <w:tc>
          <w:tcPr>
            <w:tcW w:w="7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payments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(22,800)</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Interest payments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2016,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2017 prior to the issuance of these condensed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This update is intended to provide a consistent approach in recognizing revenue. In accordance with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In December 2016, the FASB clarified that all 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Accordingly, this update will not impact the recognition of revenue related to insurance premiums or investments, which represent a significant portion of our total revenues. The adoption of this ASU is not expected to have a material effect on the Company's consolidated operating results or financial position.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86" w:lineRule="exact"/>
        <w:rPr>
          <w:sz w:val="20"/>
          <w:szCs w:val="20"/>
          <w:color w:val="auto"/>
        </w:rPr>
      </w:pPr>
    </w:p>
    <w:p>
      <w:pPr>
        <w:ind w:right="40" w:firstLine="648"/>
        <w:spacing w:after="0" w:line="284"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8"/>
          <w:szCs w:val="18"/>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This update requires certain equity investments (except those accounted for under the equity method of accounting or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consolidation of the investee)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 qualitative assessment for impairment is required for equity investments without readily determinable fair values. This update also requires public entities to use the exit price notion when measuring the fair value of financial instruments for disclosure purposes. In addition, an entity is required to evaluate the need for a valuation allowance on a deferred tax asset related to available-for-sale investment securities in combination with the entity’s other deferred tax assets. The provisions of this update are effective for interim and annual periods beginning after December 15, 2017. The adoption of this ASU is not expected to have a material effect on the Company's consolidated operating results or financial position.</w:t>
      </w:r>
    </w:p>
    <w:p>
      <w:pPr>
        <w:spacing w:after="0" w:line="17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expects a gross-up of its consolidated balance sheets as a result of recognizing lease liabilities and right of use assets. The Company is still evaluating the impact the adoption of this ASU will have on the consolidated financial statements.</w:t>
      </w:r>
    </w:p>
    <w:p>
      <w:pPr>
        <w:spacing w:after="0" w:line="15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This update is intended to simplify several aspects of the accounting for share-based payment award transactions, including the income tax consequences, classification of awards as either equity or liabilities, and classification on the statement of cash flows. The new guidance requires all excess tax benefits and tax deficiencies to be recognized as income tax expense or benefit in the income statement and treated as discrete items in the reporting period. In addition, excess tax benefits are required to be classified along with other income tax cash flows as an operating activity. Further, the new guidance allows for a policy election to account for forfeitures as they occur rather than on an estimated basis. The Company adopted this ASU on January 1, 2017 and recorded a charge of $0.1 million to retained earnings as of that date representing a cumulative-effect adjustment associated with our election to recognize forfeitures as they occur. The classification of excess tax benefits and tax deficiencies as income tax benefit or expense may result in net income volatility in reporting periods subsequent to 2016. Through December 31, 2016, excess tax benefits were recognized in additional paid-in-capital. In the three and nine months ended September 30, 2017, the Company recorded excess tax benefits of $32 thousand and $3.1 million, respectively, as a reduction of income tax expense. The amount of excess tax benefits or tax deficiencies in future periods will vary based on the market value of the Company’s common stock at the vesting dates of nonvested common share and nonvested common share units.</w:t>
      </w:r>
    </w:p>
    <w:p>
      <w:pPr>
        <w:spacing w:after="0" w:line="18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2017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259,579</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428,587</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380,603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389,503</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584,499</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68,113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68,641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149,115</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209,966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209,968</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2,115,990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2,123,314</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334,048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68,430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1,629,538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September 30, 2017,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96,464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96,455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64,464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71,096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68,981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30,141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29,679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262,408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259,579</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33,675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26,294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26,352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102,135</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143,938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149,245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109,244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111,771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380,603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389,503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74,323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74,401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304,703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306,428</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197,319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200,343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579,652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584,499</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432,820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428,587</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68,113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68,641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149,115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209,966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209,968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2,115,990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2,123,314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34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723</w:t>
            </w:r>
          </w:p>
        </w:tc>
      </w:tr>
      <w:tr>
        <w:trPr>
          <w:trHeight w:val="7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7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2017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177,834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196,960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26,708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296,191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58,869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13,497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161,734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18,113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760,235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120,372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880,607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160,018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149,368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47,597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877,394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77,782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955,176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in the three and nine months ended September 30, 2017. We recorded other-than-temporary impairments of $73 thousand and $80 thousand in the three and nine months ended September 30, 2016, respectively, on securities in an unrealized loss position. The impairments resulted from our intent to sell the securities subsequent to the reporting dates.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$8.7 million as of September 30, 2017 and $8.5 million as of December 31, 2016. In connection with its insurance and reinsurance activities, Essent Re is required to maintain assets in trusts for the benefit of its contractual counterparties. The fair value of the investments on deposit in these trusts was $550.2 million at September 30, 2017 and $349.6 million at December 31,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10,982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29,964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21,148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11,312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7,335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30,427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21,250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10,626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6,781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28,461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19,665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Reserve for Losses and Loss Adjustment Expenses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nine months ended September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16,387</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11,660</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3,222</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3,689</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25,731</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31,579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25,731</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1,453</w:t>
            </w:r>
          </w:p>
        </w:tc>
      </w:tr>
    </w:tbl>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nine months ended September 30, 2017, $6.1 million was paid for incurred claims and claim adjustment expenses attributable to insured events of prior years. There has been a $9.5 million favorable prior year development during the nine months ended September 30, 2017. Reserves remaining as of September 30, 2017 for prior years are $12.6 million as a result of re-estimation of unpaid losses and loss adjustment expenses. For the nine months ended September 30, 2016, $3.2 million was paid for incurred claims and claim adjustment expenses attributable to insured events of prior years. There was a $4.7 million favorable prior year development during the nine months ended September 30, 2016. Reserves remaining as of September 30, 2016 for prior years were $9.8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third quarter of 2017, certain regions of the U.S. experienced hurricanes which we believe could have an impact on our insured portfolio’s performance. Specifically, on August 26, 2017, Hurricane Harvey made landfall in southeastern Texas and on September 10, 2017, Hurricane Irma made landfall in southern Florida and caused property damage in certain counties. We expect to experience increased defaults in these areas beginning in the fourth quarter of 2017. As of September 30, 2017, our risk in force ("RIF") in the affected counties is approximately $2.5 billion, or approximately 9.5%, of our total RIF. It is too early to tell how many claims we ultimately may have to pay associated with any defaults in the hurricane impacted areas. There are many factors contributing to the uncertainty surrounding these insured loans. Under our master policy, loan servicers are not required to notify us of a default until the borrower has missed two consecutive minimum payments. Also, the level of damage being reported in these areas varies significantly from region to region. Further,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These events have not materially affected our reserves as of September 30, 2017. Loans in default increased from 2,153 as of September 30, 2017 to 3,051 as of October 31, 2017. Defaulted loans in the hurricane impacted areas represented 733 of the 898 increase in October. As of October 31, 2017, 1,055 loans are in default in the affected counties representing 0.22% of our insured portfolio. The impact on our reserves in future periods will be dependent upon the amount of delinquent notices received from loan servicers and our expectations for the amount of ultimate losses on these delinquencies.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May 17, 2017, Essent Group and its subsidiaries, Essent Irish Intermediate Holdings Limited and Essent US Holdings, Inc. (collectively, the "Borrowers"), entered into an amended and restated four-year, secured credit facility with a committed capacity of $375 million (the “Credit Facility”). The Credit Facility amends and restates the three-year, secured revolving credit facility entered into on April 19, 2016, and provides for (i) an increase in the revolving credit facility from $200 million to $250 million, (ii) the issuance of term loans of $125 million, the proceeds of which were used at closing to pay down borrowings outstanding under the revolving credit facility, and (iii) a $75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12). The $125 million term loans contractually mature on May 17, 2021. This description is not intended to be complete in all respects and is qualified in its entirety by the terms of the Credit Facility, including its covenants. As of September 30, 2017, the Company was in compliance with the covenants and $175 million had been borrowed under the Credit Facility with a weighted average interest rate of 3.24%.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$0.1 million related to remedies for each of the nine months ended September 30, 2017 and 2016. As of September 30, 2017, management believes any potential claims for indemnification related to contract underwriting services through September 30, 2017 are not material to our consolidated financial position or results of operations.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2017,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Capital Stock</w:t>
      </w:r>
    </w:p>
    <w:p>
      <w:pPr>
        <w:spacing w:after="0" w:line="22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authorized share capital consists of 233.3 million shares of a single class of common shares (the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82"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In August 2017, Essent Group completed the sale of 5.0 million Common Shares in a public offering at a price of $39.90 per share. The total net proceeds from this offering were approximately $197.7 million after deducting underwriting discounts, commissions and other offering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nine months ended September 30, 2017:</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260" w:type="dxa"/>
            <w:vAlign w:val="bottom"/>
            <w:gridSpan w:val="4"/>
            <w:vMerge w:val="restart"/>
          </w:tcPr>
          <w:p>
            <w:pPr>
              <w:jc w:val="right"/>
              <w:ind w:right="67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553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2017, certain members of senior management were granted nonvested common shares under the Essent Group Ltd. 2013 Long-Term Incentive Plan ("2013 Plan") that were subject to time-based and performance-based vesting. The time-based share awards granted in February 2017 vest in three equal installments on March 1, 2018, 2019 and 2020. The performance-based share awards granted in February 2017 vest based upon our compounded annual book value per share growth percentage during a three-year performance period that commenced on January 1, 2017 and vest on March 1, 2020. The portion of these nonvested performance-based share awards that will be earned based upon the achievement of compounded annual book value per share growth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&lt;16%</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18%</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≥19%</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In January 2017, time-based share units were issued to all vice president and staff level employees that vest in three equal installments in January 2018, 2019 and 2020. In connection with our incentive program covering bonus awards for performance year 2016, in February 2017, time-based share awards and share units were issued to certain employees that vest in three equal installments on March 1, 2018, 2019 and 2020. In May 2017, time-based share units were granted to non-employee directors that vest one year from the date of grant.</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Amendments to our 2013 Plan were approved by shareholders and effective as of May 3, 2017. These amendments included a reduction in the maximum number of shares and share units available for issuance to 7.5 million under the Amended and Restated 2013 Plan (inclusive of approximately 2.6 million nonvested shares and share units outstanding as of May 3, 2017), down from the approximately 14.7 million shares and share units originally available for issuance under the 2013 Plan.</w:t>
      </w:r>
    </w:p>
    <w:p>
      <w:pPr>
        <w:spacing w:after="0" w:line="18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total fair value on the vesting date of nonvested shares or share units that vested was $21.6 million and $14.8 million for the nine months ended September 30, 2017 and 2016, respectively. As of September 30, 2017, there was $23.1 million of total unrecognized compensation expense related to nonvested shares or share units outstanding at September 30, 2017 and we expect to recognize the expense over a weighted average period of 1.9 years.</w:t>
      </w:r>
    </w:p>
    <w:p>
      <w:pPr>
        <w:spacing w:after="0" w:line="14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216,912 in the nine months ended September 30, 2017. The tendered shares were recorded at cost and included in treasury stock. All treasury stock has been cancelled as of September 30,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11,902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3,828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78,393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217,109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159,920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78,393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217,109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94,185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90,961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92,285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90,886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96,094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92,399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94,104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92,133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There were 956 and 1,574 antidilutive shares for the three months ended September 30, 2017 and 2016, respectively, and 59,534 and 128,569 antidilutive shares for the nine months ended September 30,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September 30, 2017 and 2016, 100% of the dilutive performance-based share awards would be issuable under the terms of the arrangements at each date if September 30 was the end of the contingency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nine months ended September 30,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14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1,978</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Nine Months Ended September 30, 2017</w:t>
            </w:r>
          </w:p>
        </w:tc>
        <w:tc>
          <w:tcPr>
            <w:tcW w:w="14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21,760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15,298</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14</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14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23,962</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losses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losses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Nine Months Ended September 30, 2016</w:t>
            </w:r>
          </w:p>
        </w:tc>
        <w:tc>
          <w:tcPr>
            <w:tcW w:w="14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23,137</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22,053</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31,919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22,053</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6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 debt securities, residential and commercial mortgage securities and asset-backed securities are classified as Level 2 investments.</w:t>
      </w:r>
    </w:p>
    <w:p>
      <w:pPr>
        <w:spacing w:after="0" w:line="178" w:lineRule="exact"/>
        <w:rPr>
          <w:rFonts w:ascii="Arial" w:cs="Arial" w:eastAsia="Arial" w:hAnsi="Arial"/>
          <w:sz w:val="17"/>
          <w:szCs w:val="17"/>
          <w:color w:val="auto"/>
        </w:rPr>
      </w:pPr>
    </w:p>
    <w:p>
      <w:pPr>
        <w:ind w:left="660" w:right="60"/>
        <w:spacing w:after="0" w:line="287" w:lineRule="auto"/>
        <w:rPr>
          <w:rFonts w:ascii="Arial" w:cs="Arial" w:eastAsia="Arial" w:hAnsi="Arial"/>
          <w:sz w:val="17"/>
          <w:szCs w:val="17"/>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residential and commercial mortgage securities, municipal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68" w:lineRule="exact"/>
        <w:rPr>
          <w:rFonts w:ascii="Arial" w:cs="Arial" w:eastAsia="Arial" w:hAnsi="Arial"/>
          <w:sz w:val="17"/>
          <w:szCs w:val="17"/>
          <w:color w:val="auto"/>
        </w:rPr>
      </w:pPr>
    </w:p>
    <w:p>
      <w:pPr>
        <w:ind w:left="660" w:right="4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liabilities — Through June 30, 2016, certain of our Freddie Mac Agency Credit Insurance Structure ("ACIS") contracts were accounted for as derivatives. In determining an exit market, we considered the fact that there is not a principal market for these contracts. In the absence of a principal market, we valued these ACIS contracts in a hypothetical market where market participants, and potential counterparties, included other mortgage guaranty insurers or reinsurers with similar credit quality to us. We believed that in the absence of a principal market, this hypothetical market provides the most relevant information with respect to fair value estimates. These ACIS contracts were classified as Level 3 of the fair value hierarchy. During the quarter ended September 30, 2016, these contracts were amended and are now accounted for as insurance contracts rather than derivatives.</w:t>
      </w:r>
    </w:p>
    <w:p>
      <w:pPr>
        <w:spacing w:after="0" w:line="189" w:lineRule="exact"/>
        <w:rPr>
          <w:rFonts w:ascii="Arial" w:cs="Arial" w:eastAsia="Arial" w:hAnsi="Arial"/>
          <w:sz w:val="18"/>
          <w:szCs w:val="18"/>
          <w:color w:val="auto"/>
        </w:rPr>
      </w:pPr>
    </w:p>
    <w:p>
      <w:pPr>
        <w:ind w:left="660"/>
        <w:spacing w:after="0" w:line="272" w:lineRule="auto"/>
        <w:rPr>
          <w:rFonts w:ascii="Arial" w:cs="Arial" w:eastAsia="Arial" w:hAnsi="Arial"/>
          <w:sz w:val="18"/>
          <w:szCs w:val="18"/>
          <w:color w:val="auto"/>
        </w:rPr>
      </w:pPr>
      <w:r>
        <w:rPr>
          <w:rFonts w:ascii="Arial" w:cs="Arial" w:eastAsia="Arial" w:hAnsi="Arial"/>
          <w:sz w:val="17"/>
          <w:szCs w:val="17"/>
          <w:color w:val="auto"/>
        </w:rPr>
        <w:t>Through June 30, 2016, we determined the fair value of our derivative instruments primarily using internally-generated models. We utilized market observable inputs, such as the performance of the underlying pool of mortgages, mortgage prepayment speeds and pricing spreads on the reference STACR notes issued by Freddie Mac, whenever they were available. There was a high degree of uncertainty about our fair value estimates since our contracts were not traded or exchanged, which made external validation and corroboration of our estimates difficult. Considerable judgment was required to interpret market data to develop the estimates of fair value. Accordingly, the estimates may not have been indicative of amounts we could have realized in a market exchange or negotiated termination. The use of different market assumptions or estimation methodologies may have had a material effect on the estimated fair value amounts.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259,579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259,579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428,587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428,587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389,503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389,503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584,499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584,499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68,641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68,641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149,115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209,968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209,968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469,547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1,653,767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2,123,314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24"/>
                <w:szCs w:val="2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293,978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1,321,124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following table presents changes during the three and nine months ended September 30, 2016 in Level 3 liabilities measured at fair value on a recurring basis, and the net realized and unrealized losses related to the Level 3 liabilities in the condensed consolidated balance sheets at September 30, 2016. During the nine months ended September 30, 2017, and in the year ended December 31, 2016, we had no Level 3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700" w:type="dxa"/>
            <w:vAlign w:val="bottom"/>
          </w:tcPr>
          <w:p>
            <w:pPr>
              <w:jc w:val="right"/>
              <w:ind w:right="27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700" w:type="dxa"/>
            <w:vAlign w:val="bottom"/>
          </w:tcPr>
          <w:p>
            <w:pPr>
              <w:jc w:val="right"/>
              <w:ind w:right="415"/>
              <w:spacing w:after="0"/>
              <w:rPr>
                <w:sz w:val="20"/>
                <w:szCs w:val="20"/>
                <w:color w:val="auto"/>
              </w:rPr>
            </w:pPr>
            <w:r>
              <w:rPr>
                <w:rFonts w:ascii="Arial" w:cs="Arial" w:eastAsia="Arial" w:hAnsi="Arial"/>
                <w:sz w:val="14"/>
                <w:szCs w:val="14"/>
                <w:b w:val="1"/>
                <w:bCs w:val="1"/>
                <w:color w:val="auto"/>
              </w:rPr>
              <w:t>September 30,</w:t>
            </w:r>
          </w:p>
        </w:tc>
      </w:tr>
      <w:tr>
        <w:trPr>
          <w:trHeight w:val="250"/>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Level 3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liabilities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1,232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(gains) included in income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sales, issues and settlements, net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Gross transfers in</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transfers out</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liabilities at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67"/>
        </w:trPr>
        <w:tc>
          <w:tcPr>
            <w:tcW w:w="73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305"/>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w w:val="95"/>
              </w:rPr>
              <w:t>Changes in net unrealized losses (gains) included in income on instruments held at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(1,934)</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Accounting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2016</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194,131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156,138</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684,421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560,746</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623,934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436,082</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10,038</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45,047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46,378</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41,593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34,387</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Net income determined in accordance with statutory accounting practices differs from GAAP. In 2017 and 2016,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reduces the tax provision recorded by Essent Guaranty and Essent PA and, as a result, increases statutory net income and surplus as compared to net income and equity determined in accordance with GAAP.</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At September 30, 2017 and 2016,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September 30, 2017 and December 31, 2016, Essent Guaranty, our GSE-approved mortgage insurance company, was in compliance with the PMIERs.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nine months ended September 30, 2017, Essent Guaranty increased its contingency reserve by $143.1 million and Essent PA increased its contingency reserve by $5.2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nine months ended September 30, 2017 or 2016.</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2016, all such requirements were met.</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Re's statutory capital and surplus was $614.7 million as of September 30, 2017 and $401.1 million as of December 31, 2016. Essent Re's statutory net income was $70.2 million and $35.8 million for the nine months ended September 30, 2017 and 2016, respectively. Statutory capital and surplus as of September 30, 2017 and statutory net income in the nine months ended September 30, 2017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2016 as filed with the Securities and Exchange Commission and referred to herein as the “Annual Report,” and our condensed consolidated financial statements and related notes as of and for the three and nine months ended September 30, 2017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U.S.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16.3% Market Share for the nine months ended September 30, 2017.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Inc. ("Essent Guaranty"), our wholly-owned insurance subsidiary, is rated BBB+ with a stable outlook by S&amp;P Global Ratings (“S&amp;P”). On August 17, 2017, Moody’s Investor Services (“Moody's”) upgraded its rating of Essent Guaranty to Baa1 with a stable outlook.</w:t>
      </w:r>
    </w:p>
    <w:p>
      <w:pPr>
        <w:spacing w:after="0" w:line="17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had master policy relationships with approximately 1,410 customers as of September 30, 2017. Our top ten customers represented approximately 47.6%, 35.1%, 36.6% and 42.6% of our NIW on a flow basis for the nine months ended September 30, 2017 and the years ended December 31, 2016, 2015 and 2014, respectively. Our holding company is domiciled in Bermuda and our U.S. insurance business is headquartered in Radnor, Pennsylvania. We operate additional underwriting and service centers in Winston-Salem, North Carolina and Irvine, California. We have a highly experienced, talented team with 398 employees as of September 30, 2017. We generated new insurance written of approximately $13.2 billion and $32.6 billion for the three and nine months ended September 30, 2017, respectively, compared to approximately $10.3 billion and $24.5 billion for the three and nine months ended September 30, 2016, respectively. As of September 30, 2017, we had approximately $103.9 billion of insurance in force.</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September 30, 2017, Essent Re provided insurance or reinsurance relating to the risk in force on loans in reference pools acquired by Freddie Mac and Fannie Mae covering approximately $501.5 million of risk, including in connection with Freddie Mac's Agency Credit Insurance Structure ("ACIS") and Fannie Mae's Credit Insurance Risk Transfer ("CIRT") programs. Essent Re has also reinsured 25% of Essent Guaranty’s GSE-eligible mortgage insurance NIW originated since July 1, 2014 under a quota share reinsurance agreement. The insurer financial strength rating of Essent Re is BBB+ with a stable outlook by S&amp;P.</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September 30, 2017, Essent Guaranty, our GSE-approved mortgage insurance company, was in compliance with the PMIERs. See additional discussion in “— Liquidity and Capital Resources —Private Mortgage Insurer Eligibility Requirements.” The GSEs indicated in the PMIERs that they intend to update the factors used to calculate the risk-based required asset amount under the PMIERs at least every two years. Based on communication from the GSEs, we believe that the updated PMIERs would not be finalized until the second quarter of 2018 and would be effective no sooner than the fourth quarter of 2018, 180 days after their release.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0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2017 were non-refundable. Premiums collected on annual policies are recognized as net premiums earned on a straight-line basis over the year of coverage. For the nine months ended September 30, 2017, monthly and single premium policies comprised 84.6% and 15.4% of our NIW, respectively.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82.1% at September 30, 2017. Generally, higher prepayment speeds lead to lower persistency.</w:t>
      </w:r>
    </w:p>
    <w:p>
      <w:pPr>
        <w:spacing w:after="0" w:line="18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September 30, 2017.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2018 and provides for one subsequent one-year renewal at Triad’s option.</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Through June 30, 2016, the insurance and certain of the reinsurance policies issued by Essent Re in connection with the ACIS program were previously accounted for as derivatives under U.S. generally accepted accounting principles ("GAAP") with the fair value of these policies reported as an asset or liability and changes in the fair value of these policies reported in earnings. Changes in the fair value of these policies were impacted by changes in market observable factors. These policies were amended in the three months ended September 30, 2016 and are now accounted for as insurance rather than as derivatives. See Note 11 to our condensed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40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78% of our IIF as of September 30, 2017 having been originated since January 1, 2015. As a result, based on historical industry performance, we expect the number of defaults and claims we experience, as well as our provision for losses and loss adjustment expenses, to increase as our portfolio further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September 30, 2017, 78% of our IIF relates to business written since January 1, 2015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During the third quarter of 2017, certain regions of the U.S. experienced hurricanes which we believe could have an impact on our insured portfolio’s performance. Specifically, on August 26, 2017, Hurricane Harvey made landfall in southeastern Texas and on September 10, 2017, Hurricane Irma made landfall in southern Florida and caused property damage in certain counties. We expect to experience increased defaults in these areas beginning in the fourth quarter of 2017. As of September 30, 2017, our risk in force ("RIF") in the affected counties is approximately $2.5 billion, or approximately 9.5%, of our total RIF. It is too early to tell how many claims we ultimately may have to pay associated with any defaults in the hurricane impacted areas. There are many factors contributing to the uncertainty surrounding these insured loans. Under our master policy, loan servicers are not required to notify us of a default until the borrower has missed two consecutive minimum payments. Also, the level of damage being reported in these areas varies significantly from region to region. Further,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These events have not materially affected our reserves as of September 30, 2017. Loans in default increased from 2,153 as of September 30, 2017 to 3,051 as of October 31, 2017. Defaulted loans in the hurricane impacted areas represented 733 of the 898 increase in October. As of October 31, 2017, 1,055 loans are in default in the affected counties representing 0.22% of our insured portfolio. The impact 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reserves in future periods will be dependent upon the amount of delinquent notices received from loan servicers and our expectations for the amount of ultimate losses on these delinquencies.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most significant expense is compensation and benefits for our employees, which represented 63% of other underwriting and operating expenses for each of the three and nine months ended September 30, 2017, compared to 64% and 65% of other underwriting and operating expenses for the three and nine months ended September 30, 2016, respectively. Compensation and benefits expense includes base and incentive cash compensation, stock compensation expense, benefits and payroll taxes. Compensation and benefits expense has steadily increased as we have increased our staffing from 366 employees at January 1, 2016 to 398 at September 30, 2017,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89"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2017 as compared to 2016.</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amended and restated four-year, secured credit facility with a committed capacity of $375 million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nine months ended September 30, 2017 and 2016 for our U.S. mortgage insurance portfolio. In addition, this table includes our risk in force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95,494,390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72,267,099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83,265,522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65,242,453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13,221,038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10,299,161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32,623,467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24,381,007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(4,779,121)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(4,951,887)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(11,952,682)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(12,102,141)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103,936,307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77,614,373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103,936,307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77,614,373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99,790,653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74,996,355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92,353,836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70,473,765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25,807,358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19,289,387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25,807,358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19,289,387</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September 30, 2017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 (through September 30)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31,742,748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31,268,320</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30.1</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18,328,775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11,747,210</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11.3</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7,394,766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2012 and prior</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3,454,488</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3.3</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103,936,307</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 For each of the three and nine months ended September 30, 2017, our average premium rate was 0.53%, as compared to 0.58% and 0.57% for the three and nine months ended September 30, 2016,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2017, our combined net risk in force for our U.S. insurance companies was $20.5 billion and our combined statutory capital was $1.4 billion, resulting in a risk-to-capital ratio of 14.7 to 1. The amount of capital required varies in each jurisdiction in which we operate; however, generally, the maximum permitted risk-to-capital ratio is 25.0 to 1.</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155,055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115,887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408,415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324,866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137,940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110,801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382,154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305,915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1,489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150,203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121,254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415,401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331,885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37,035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109,053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95,589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37,813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122,190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107,305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224,580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29,006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64,660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78,393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217,109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159,920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2017 Compared to the Three and Nine Months Ended September 30,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September 30, 2017, we reported net income of $78.4 million, compared to net income of $59.7 million for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2016. For the nine months ended September 30, 2017, we reported net income of $217.1 million, compared to net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$159.9 million for the nine months ended September 30, 2016. The increase in our operating results in 2017 over the same periods in 2016 was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increase in net premiums earned associated with the growth of our IIF and the increase in net investment income, partially offset by increases in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underwriting and operating expenses, interest expense and income taxes.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Net premiums earned increased in the three months ended September 30, 2017 by 24% compared to the three months ended September 30, 2016 primarily due to the increase in our average IIF from $75.0 billion at September 30, 2016 to $99.8 billion at September 30, 2017, partially offset by a decrease in average premium rate from 0.58% for the three months ended September 30, 2016 to 0.53% for the three months ended September 30, 2017. Net premiums earned increased in the nine months ended September 30, 2017 by 25% compared to the nine months ended September 30, 2016 due to the increase in our average IIF from $70.5 billion at September 30, 2016 to $92.4 billion at September 30, 2017, partially offset by a decrease in the average premium rate from 0.57% in the nine months ended September 30, 2016 to 0.53% in the nine months ended September 30, 2017. The decrease in the average premium rate during the three and nine months ended September 30, 2017 is due primarily to a decrease in premium earned on the cancellation of non-refundable single premium policies.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Net premiums written increased in the three and nine months ended September 30, 2017 by 34% and 26%, respectively, over the three and nine months ended September 30, 2016. The increase in net premiums written was due primarily to the increase in average IIF of 33% and 31% for the three and nine months ended September 30, 2017, respectively, as compared to the same periods in 2016.</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the three months ended September 30, 2017 and 2016, unearned premiums increased by $17.1 million and $5.1 million, respectively. The change in unearned premiums was a result of net premiums written on single premium policies of $36.5 million and $27.7 million, respectively, which was partially offset by $19.4 million and $22.6 million, respectively, of unearned premium that was recognized in earnings during the periods. In the nine months ended September 30, 2017 and 2016, unearned premiums increased by $26.3 million and $19.0 million, respectively. This was a result of net premiums written on single premium policies of $80.3 million and $77.9 million, respectively, which was partially offset by $54.0 million and $58.9 million, respectively, of unearned premium that was recognized in earnings during the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10,982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29,964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21,148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11,312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7,335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30,427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21,250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10,626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6,781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28,461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19,665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increase in net investment income for the three and nine months ended September 30, 2017 as compared to the same periods in 2016 was due to the increase in the weighted average balance of our investment portfolio and the increase in the pre-tax investment income yield. The average cash and investment portfolio balance increased to $2.0 billion for the three months ended September 30, 2017 from $1.5 billion for the three months ended September 30, 2016, primarily as a result of investing cash flows from operations, proceeds from the public offering of common shares completed in August and borrowings under our Credit Facility. The average cash and investment portfolio balance was $1.8 billion for the nine months ended September 30, 2017 compared to $1.4 billion for the nine months ended September 30, 2016. The pre-tax investment income yield increased from 2.0% and 2.1% in the three and nine months ended September 30, 2016 to 2.3% and 2.2% in the three and nine months ended September 30, 2017, primarily due to an increase in the portion of our investment portfolio invested in spread and duration assets. The pre-tax investment income yields are calculated based on amortized cost and exclude investment expenses. See “— Liquidity and Capital Resources” for further details of our investment portfolio.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Other income includes fees earned for information technology and customer support services provided to Triad and contract underwriting revenues. In 2016, other income also included changes in the fair value of the insurance and certain reinsurance policies issued by Essent Re under the ACIS program. These policies were amended in the three months ended September 30, 2016 and are now accounted for as insurance rather than as derivatives. The decrease in other income for the three and nine months ended September 30, 2017 as compared to the same periods in 2016, was primarily due to the $2.0 million favorable valuation adjustment associated with the amendment to the ACIS contracts during the three months ended September 30, 2016.</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provision for losses and LAE was $4.3 million and $5.0 million in the three months ended September 30, 2017 and 2016, respectively, and $9.8 million and $11.7 million in the nine months ended September 30, 2017 and 2016, respectively. The decrease in the provision for losses and LAE in the three and nine months ended September 30, 2017 as compared to the same periods in 2016 was primarily due to an increase in previously identified defaults that cured, partially offset by an increase in the number of insured loans in default. The following table presents a rollforward of insured loans in default for the periods indicated: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70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2017</w:t>
            </w:r>
          </w:p>
        </w:tc>
        <w:tc>
          <w:tcPr>
            <w:tcW w:w="1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1,174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2,538</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8"/>
              </w:rPr>
              <w:t>1,453</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1,453</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increase in the number of defaults at September 30, 2017 compared to September 30, 2016 was primarily due to the increase in our IIF and policies in force, as well as further seasoning of our insurance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As of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3"/>
              </w:rPr>
              <w:t>29,024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23,572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Pr>
          <w:p>
            <w:pPr>
              <w:spacing w:after="0"/>
              <w:rPr>
                <w:sz w:val="21"/>
                <w:szCs w:val="21"/>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1,453</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decrease in the average case reserve per default was primarily due to changes in the composition (such as mark-to-market loan-to-value ratios, risk in force, and number of months past due) of the underlying loans in default and improvements in economic fundamentals.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16,387</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period</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11,660</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3,222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3,689</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31,579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25,731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31,579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25,731</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September 30, 2017</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7,935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68,317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12,948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38,003</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6,105</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10,087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2,036</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2,376</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29,024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118,783</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31,579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September 30, 2016</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6,245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43,000</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10,207</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25,814</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5,351</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8,387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1,878</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23,572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79,079</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25,731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months ended September 30, 2017, the provision for losses and LAE was $4.3 million, comprised of $7.2 million of current year losses partially offset by $2.8 million of favorable prior years’ loss development. During the three months ended September 30, 2016, the provision for losses and LAE was $5.0 million, comprised of $6.8 million of current year losses partially offset by $1.9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nine months ended September 30, 2017, the provision for losses and LAE was $9.8 million, comprised of $19.3 million of current year losses partially offset by $9.5 million of favorable prior years’ loss development. During the nine months ended September 30, 2016, the provision for losses and LAE was $11.7 million, comprised of $16.4 million of current year losses partially offset by $4.7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30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3,590</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675"/>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276"/>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4"/>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6"/>
              </w:rPr>
              <w:t>2017</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23,198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21,041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69,029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61,743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36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13,837</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11,751</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40,024</w:t>
            </w:r>
          </w:p>
        </w:tc>
        <w:tc>
          <w:tcPr>
            <w:tcW w:w="100" w:type="dxa"/>
            <w:vAlign w:val="bottom"/>
          </w:tcPr>
          <w:p>
            <w:pPr>
              <w:spacing w:after="0"/>
              <w:rPr>
                <w:sz w:val="21"/>
                <w:szCs w:val="21"/>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33,846</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35</w:t>
            </w:r>
          </w:p>
        </w:tc>
      </w:tr>
      <w:tr>
        <w:trPr>
          <w:trHeight w:val="27"/>
        </w:trPr>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37,035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32,792</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109,053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95,589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372</w:t>
            </w:r>
          </w:p>
        </w:tc>
      </w:tr>
      <w:tr>
        <w:trPr>
          <w:trHeight w:val="27"/>
        </w:trPr>
        <w:tc>
          <w:tcPr>
            <w:tcW w:w="3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10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the increase in the size of our workforce to 398 at September 30, 2017 from 366 at January 1, 2016 and an increase in stock compensation expense. Additional employees were hired to 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For the three and nine months ended September 30, 2017, we incurred interest expense of $1.5 million and $3.4 million, respectively, and $0.1 million for the three and nine months ended September 30, 2016, associated with amounts outstanding under the Credit Facility. For the three and nine months ended September 30, 2017, the average amount outstanding under the Credit Facility was $164.9 million and $137.6 million, respectively. Essent made its first draw on the Credit Facility of $50.0 million in September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Our subsidiaries in the United States file a consolidated U.S. Federal income tax return. For interim reporting periods, we use an annualized effective tax rate method required under GAAP to calculate the income tax provision. Our income tax expense was $29.0 million for the three months ended September 30, 2017 and $76.1 million for the nine months ended September 30, 2017. Income tax expense for each of the three and nine months ended September 30, 2017 was calculated using an annualized effective tax rate of 27.0% and was reduced by $32 thousand and $3.1 million, respectively, of excess tax benefits associated with the vesting of common shares and common share units during the period as required by ASU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 Share-Based Payment Accounting </w:t>
      </w:r>
      <w:r>
        <w:rPr>
          <w:rFonts w:ascii="Arial" w:cs="Arial" w:eastAsia="Arial" w:hAnsi="Arial"/>
          <w:sz w:val="17"/>
          <w:szCs w:val="17"/>
          <w:color w:val="auto"/>
        </w:rPr>
        <w:t>(Topic 718), adopted on January 1, 2017. Prior to the adoption of ASU 2016-09, excess tax benefits were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additional paid-in-capital. The tax effects associated with the vesting of common shares and common share units are treated as discrete items in the reporting period in which they occur and are not considered in determining the annualized effective tax rate. For the three and nine months ended September 30, 2016, our effective tax rate was 28.4% and 28.8%, respectively. In 2017, we expect the proportion of our consolidated earnings generated in Bermuda to be higher than in 2016 as a result of an increase in the amount of risk in force at Essent Re. In the three and nine months ended September 30, 2016, our effective tax rate reflects the impact of the change in our expectations for the proportion of consolidated earnings to be generated in the United States compared to Bermuda in each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September 30, 2017, we had substantial liquidity with cash of $57.7 million, short-term investments of $296.5 million and fixed maturity investments of $1.8 billion. We also had $200 million available under our Credit Facility, with $175 million of borrowings outstanding under our Credit Facility. Borrowings under the Credit Facility contractually mature on May 17, 2021 and accrue interest at a floating rate tied to a standard short-term borrowing index, selected at the Company’s option, plus an applicable margin and are paid monthly. In August 2017, we completed a public offering of 5.0 million Common Shares resulting in net proceeds of approximately $197.7 million. At September 30, 2017, net cash and investments at the holding company were $128.0 million.</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September 30, 2017, Essent Guaranty had unassigned surplus of approximately $69.1 million and has paid no dividends since its inception. Essent Guaranty of PA, Inc. (“Essent PA") had unassigned surplus of approximately $6.0 million as of September 30, 2017. During the nine months ended September 30, 2017, Essent PA paid to its parent company, Essent US Holdings, Inc., a $5.0 million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September 30, 2017, Essent Re had total equity of $614.8 million. In connection with its insurance and reinsurance activities, Essent Re is required to maintain assets in trusts for the benefit of its contractual counterparties. See Note 3 to our condensed consolidated financial statements. At September 30, 2017, our insurance subsidiaries were in compliance with these rules, regulations and agreements.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252,021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199,889</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(485,098)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(251,771)</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263,287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43,612</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30,210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Cash flow provided by operating activities totaled $252.0 million for the nine months ended September 30, 2017, as compared to $199.9 million for the nine months ended September 30, 2016. The increase in cash flow provided by operating activities of $52.1 million in 2017 was primarily a result of increases in premiums collected and net investment income, partially offset by increases in expenses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Cash flow used in investing activities totaled $485.1 million for the nine months ended September 30, 2017, as compared to $251.8 million for the nine months ended September 30, 2016. The increase in cash flow used in investing activities primarily related to investing cash flows from the business, proceeds from the public offering of common shares in August 2017 and net increased borrowings under the Credit Facility in 2017.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Cash flow provided by financing activities totaled $263.3 million for the nine months ended September 30, 2017, as compared to cash flow provided by financing activities of $43.6 million for the nine months ended September 30, 2016. The increase in cash flow provided by financing activities was primarily related to the completion of a public offering of common shares for $197.7 million in net proceeds, as well as $75 million of net increased borrowings under the Credit Facility. These cash inflows were partially offset by an increase in treasury stock acquired from employees to satisfy tax withholding obligations.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three and nine months ended September 30, 2017, Essent US Holdings, Inc. made capital contributions to Essent Guaranty of $50 million to support new business. During 2016, no capital contributions were made to our U.S. insurance subsidiaries.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September 30, 2017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730,029</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665,527</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1,395,556</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20,481,572</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12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Essent Re has entered into risk share insurance and reinsurance transactions with Freddie Mac and Fannie Mae. Essent Re also executed a quota share reinsurance transaction with Essent Guaranty to reinsure 25% of Essent Guaranty’s GSE-eligible NIW effective July 1, 2014. During the nine months ended September 30, 2017, Essent Group Ltd. made capital contributions to Essent Re of $140.0 million to support new business. As of September 30, 2017, Essent Re had total stockholders’ equity of $614.8 million and net risk in force of $5.8 billion.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rated BBB+ with a stable outlook by S&amp;P. On August 17, 2017, Moody's upgraded its rating of Essent Guaranty to Baa1 with a stable outlook. The insurer financial strength rating of Essent Re is BBB+ with a stable outlook by S&amp;P.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September 30, 2017, Essent Guaranty, our GSE-approved mortgage insurance company, was in compliance with the PMIERs. As of September 30, 2017, Essent Guaranty's Available Assets were $1.44 billion and its Minimum Required Assets were $1.40 billion based on our interpretation of the PMIERs.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September 30, 2017, stockholders’ equity was $1.8 billion compared to $1.3 billion as of December 31, 2016. This increase was primarily due to net income generated in 2017, the completion of a public offering of common shares in August 2017 as well as an increase in accumulated other comprehensive income related to an increase in our unrealized investment gains.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total fair value of our investment portfolio was $2.1 billion as of September 30, 2017 and $1.6 billion as of December 31, 2016. In addition, our total cash was $57.7 million as of September 30, 2017, compared to $27.5 million as of December 31, 2016. The increase in investments was primarily due to investing net cash flows from operations, the proceeds from the public offering of common shares and the net borrowings under the Credit Facility during the nine months ended September 30, 2017.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972"/>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259,579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33,422</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428,587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389,503</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584,499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68,641</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149,115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209,968</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2,123,314</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1,615,102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September 30, 2017</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2016</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1,064,971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780,513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115,271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88,977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102,196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101,772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107,411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89,421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215,371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143,938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142,937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126,113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7.8</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109,945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95,926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120,770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85,864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5.3</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90,965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35,779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24,544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 / Unrated</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17,698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2,123,314</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1,615,102</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21"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September 30, 2017</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2016</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574,583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329,901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153,974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153,184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283,213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156,620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230,043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176,896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223,618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139,115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657,883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659,386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40.8</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2,123,314</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1,615,102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3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5.250% 11/15/2028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29,679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740" w:type="dxa"/>
            <w:vAlign w:val="bottom"/>
          </w:tcPr>
          <w:p>
            <w:pPr>
              <w:ind w:left="20"/>
              <w:spacing w:after="0"/>
              <w:rPr>
                <w:sz w:val="20"/>
                <w:szCs w:val="20"/>
                <w:color w:val="auto"/>
              </w:rPr>
            </w:pPr>
            <w:r>
              <w:rPr>
                <w:rFonts w:ascii="Arial" w:cs="Arial" w:eastAsia="Arial" w:hAnsi="Arial"/>
                <w:sz w:val="18"/>
                <w:szCs w:val="18"/>
                <w:color w:val="auto"/>
              </w:rPr>
              <w:t>10/12/2017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740" w:type="dxa"/>
            <w:vAlign w:val="bottom"/>
          </w:tcPr>
          <w:p>
            <w:pPr>
              <w:ind w:left="20"/>
              <w:spacing w:after="0"/>
              <w:rPr>
                <w:sz w:val="20"/>
                <w:szCs w:val="20"/>
                <w:color w:val="auto"/>
              </w:rPr>
            </w:pPr>
            <w:r>
              <w:rPr>
                <w:rFonts w:ascii="Arial" w:cs="Arial" w:eastAsia="Arial" w:hAnsi="Arial"/>
                <w:sz w:val="18"/>
                <w:szCs w:val="18"/>
                <w:color w:val="auto"/>
              </w:rPr>
              <w:t>10/26/2017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18,338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11/24/2017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Ginnie Mae 4.000% 7/20/2045</w:t>
            </w: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11,833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Ginnie Mae 4.000% 8/20/2045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Freddie Mac 2.500% 10/1/2030</w:t>
            </w: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11,482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Freddie Mac 3.000% 9/1/2046</w:t>
            </w: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157,159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159,823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September 30, 2017, for securities in unrealized loss positions, management believes decline in fair values is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2016</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19,687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18,833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140" w:type="dxa"/>
            <w:vAlign w:val="bottom"/>
          </w:tcPr>
          <w:p>
            <w:pPr>
              <w:ind w:left="20"/>
              <w:spacing w:after="0"/>
              <w:rPr>
                <w:sz w:val="20"/>
                <w:szCs w:val="20"/>
                <w:color w:val="auto"/>
              </w:rPr>
            </w:pPr>
            <w:r>
              <w:rPr>
                <w:rFonts w:ascii="Arial" w:cs="Arial" w:eastAsia="Arial" w:hAnsi="Arial"/>
                <w:sz w:val="18"/>
                <w:szCs w:val="18"/>
                <w:color w:val="auto"/>
              </w:rPr>
              <w:t>1/12/2017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14,998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Ginnie Mae 4.000% 7/20/2045</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13,119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2.500% 10/1/2030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3.000% 7/25/2045</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3.000% 8/1/2046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146,443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36</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municipal debt securities for states that represent more than 10% of the total municipal bond position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7,326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Irving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Carrollton-Farmers Branch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College Station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Garland</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Port Arthur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44,830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43,893</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3" w:lineRule="exact"/>
        <w:rPr>
          <w:sz w:val="20"/>
          <w:szCs w:val="20"/>
          <w:color w:val="auto"/>
        </w:rPr>
      </w:pPr>
    </w:p>
    <w:p>
      <w:pPr>
        <w:ind w:right="80" w:firstLine="648"/>
        <w:spacing w:after="0" w:line="292" w:lineRule="auto"/>
        <w:rPr>
          <w:sz w:val="20"/>
          <w:szCs w:val="20"/>
          <w:color w:val="auto"/>
        </w:rPr>
      </w:pPr>
      <w:r>
        <w:rPr>
          <w:rFonts w:ascii="Arial" w:cs="Arial" w:eastAsia="Arial" w:hAnsi="Arial"/>
          <w:sz w:val="17"/>
          <w:szCs w:val="17"/>
          <w:color w:val="auto"/>
        </w:rPr>
        <w:t>As more fully described in Note 5 to our condensed consolidated financial statements, on May 17, 2017, we entered into an amended and restated four-year, secured credit facility with a committed capacity of $375 million that contractually matures on May 17, 2021. The Credit Facility amends and restates the three-year, secured revolving credit facility entered into on April 19, 2016 that contractually matured on April 19, 2019. As of September 30, 2017, $175 million had been borrowed under the Credit Facility. Aside from this credit facility amendment, there were no material changes to the contractual obligations table included in our Annual Report on Form 10-K for the year ended December 31,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2016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September 30, 2017, the effective duration of our investment portfolio, including cash, was 3.4 years, which means that an instantaneous parallel shift (movement up or down) in the yield curve of 100 basis points would result in a change of 3.4% in fair value of our investment portfolio. Excluding cash, our investment portfolio effective duration was 3.9 years, which means that an instantaneous parallel shift (movement up or down) in the yield curve of 100 basis points would result in a change of 3.9%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2017, the end of the period covered by this Quarterly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2016.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September 30, 2017.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5"/>
              </w:rPr>
              <w:t>Total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2017</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1,868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August 1 - August 31, 2017</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 2017</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1,868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gridSpan w:val="3"/>
          </w:tcPr>
          <w:p>
            <w:pPr>
              <w:ind w:left="4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60" w:type="dxa"/>
            <w:vAlign w:val="bottom"/>
          </w:tcPr>
          <w:p>
            <w:pPr>
              <w:spacing w:after="0"/>
              <w:rPr>
                <w:sz w:val="17"/>
                <w:szCs w:val="17"/>
                <w:color w:val="auto"/>
              </w:rPr>
            </w:pPr>
          </w:p>
        </w:tc>
        <w:tc>
          <w:tcPr>
            <w:tcW w:w="9800" w:type="dxa"/>
            <w:vAlign w:val="bottom"/>
            <w:tcBorders>
              <w:top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1160" w:type="dxa"/>
            <w:vAlign w:val="bottom"/>
            <w:gridSpan w:val="3"/>
          </w:tcPr>
          <w:p>
            <w:pPr>
              <w:ind w:left="40"/>
              <w:spacing w:after="0"/>
              <w:rPr>
                <w:rFonts w:ascii="Arial" w:cs="Arial" w:eastAsia="Arial" w:hAnsi="Arial"/>
                <w:sz w:val="18"/>
                <w:szCs w:val="18"/>
                <w:color w:val="0000FF"/>
              </w:rPr>
            </w:pPr>
            <w:hyperlink w:anchor="page47">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1160" w:type="dxa"/>
            <w:vAlign w:val="bottom"/>
            <w:gridSpan w:val="3"/>
          </w:tcPr>
          <w:p>
            <w:pPr>
              <w:ind w:left="40"/>
              <w:spacing w:after="0"/>
              <w:rPr>
                <w:rFonts w:ascii="Arial" w:cs="Arial" w:eastAsia="Arial" w:hAnsi="Arial"/>
                <w:sz w:val="18"/>
                <w:szCs w:val="18"/>
                <w:color w:val="0000FF"/>
              </w:rPr>
            </w:pPr>
            <w:hyperlink w:anchor="page48">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financial information from this Quarterly Report on Form 10-Q for the quarter ended September 30, 2017, formatted 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125"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7" w:name="page48"/>
    <w:bookmarkEnd w:id="47"/>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140" w:firstLine="8"/>
        <w:spacing w:after="0" w:line="324"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2017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2017</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3"/>
    </w:lvl>
  </w:abstractNum>
  <w:abstractNum w:abstractNumId="23">
    <w:nsid w:val="71F32454"/>
    <w:multiLevelType w:val="hybridMultilevel"/>
    <w:lvl w:ilvl="0">
      <w:lvlJc w:val="left"/>
      <w:lvlText w:val="%1."/>
      <w:numFmt w:val="decimal"/>
      <w:start w:val="5"/>
    </w:lvl>
    <w:lvl w:ilvl="1">
      <w:lvlJc w:val="left"/>
      <w:lvlText w:val="(%2)"/>
      <w:numFmt w:val="lowerLetter"/>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3"/>
    </w:lvl>
  </w:abstractNum>
  <w:abstractNum w:abstractNumId="29">
    <w:nsid w:val="1E7FF521"/>
    <w:multiLevelType w:val="hybridMultilevel"/>
    <w:lvl w:ilvl="0">
      <w:lvlJc w:val="left"/>
      <w:lvlText w:val="%1."/>
      <w:numFmt w:val="decimal"/>
      <w:start w:val="5"/>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2020-01-18T18:49:22Z</dcterms:created>
  <dcterms:modified xsi:type="dcterms:W3CDTF">2020-01-18T18:49:22Z</dcterms:modified>
</cp:coreProperties>
</file>