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167640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324485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6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ended September 30, 2015</w:t>
      </w:r>
    </w:p>
    <w:p>
      <w:pPr>
        <w:spacing w:after="0" w:line="230"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w:t>
      </w:r>
    </w:p>
    <w:p>
      <w:pPr>
        <w:spacing w:after="0" w:line="6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1934</w:t>
      </w:r>
    </w:p>
    <w:p>
      <w:pPr>
        <w:sectPr>
          <w:pgSz w:w="11900" w:h="16838" w:orient="portrait"/>
          <w:cols w:equalWidth="0" w:num="1">
            <w:col w:w="11240"/>
          </w:cols>
          <w:pgMar w:left="240" w:top="233" w:right="419" w:bottom="1440" w:gutter="0" w:footer="0" w:header="0"/>
        </w:sectPr>
      </w:pPr>
    </w:p>
    <w:p>
      <w:pPr>
        <w:spacing w:after="0" w:line="21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00" w:space="620"/>
            <w:col w:w="4420"/>
          </w:cols>
          <w:pgMar w:left="240" w:top="233" w:right="419" w:bottom="1440" w:gutter="0" w:footer="0" w:header="0"/>
          <w:type w:val="continuous"/>
        </w:sectPr>
      </w:pP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194945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tbl>
      <w:tblPr>
        <w:tblLayout w:type="fixed"/>
        <w:tblInd w:w="1660" w:type="dxa"/>
        <w:tblCellMar>
          <w:top w:w="0" w:type="dxa"/>
          <w:left w:w="0" w:type="dxa"/>
          <w:bottom w:w="0" w:type="dxa"/>
          <w:right w:w="0" w:type="dxa"/>
        </w:tblCellMar>
      </w:tblPr>
      <w:tr>
        <w:trPr>
          <w:trHeight w:val="391"/>
        </w:trPr>
        <w:tc>
          <w:tcPr>
            <w:tcW w:w="1600" w:type="dxa"/>
            <w:vAlign w:val="bottom"/>
          </w:tcPr>
          <w:p>
            <w:pPr>
              <w:spacing w:after="0"/>
              <w:rPr>
                <w:sz w:val="24"/>
                <w:szCs w:val="24"/>
                <w:color w:val="auto"/>
              </w:rPr>
            </w:pPr>
          </w:p>
        </w:tc>
        <w:tc>
          <w:tcPr>
            <w:tcW w:w="4480" w:type="dxa"/>
            <w:vAlign w:val="bottom"/>
          </w:tcPr>
          <w:p>
            <w:pPr>
              <w:jc w:val="center"/>
              <w:ind w:left="320"/>
              <w:spacing w:after="0"/>
              <w:rPr>
                <w:sz w:val="20"/>
                <w:szCs w:val="20"/>
                <w:color w:val="auto"/>
              </w:rPr>
            </w:pPr>
            <w:r>
              <w:rPr>
                <w:rFonts w:ascii="Arial" w:cs="Arial" w:eastAsia="Arial" w:hAnsi="Arial"/>
                <w:sz w:val="32"/>
                <w:szCs w:val="32"/>
                <w:b w:val="1"/>
                <w:bCs w:val="1"/>
                <w:color w:val="auto"/>
                <w:w w:val="98"/>
              </w:rPr>
              <w:t>ESSENT GROUP LTD.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600" w:type="dxa"/>
            <w:vAlign w:val="bottom"/>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r>
      <w:tr>
        <w:trPr>
          <w:trHeight w:val="588"/>
        </w:trPr>
        <w:tc>
          <w:tcPr>
            <w:tcW w:w="6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2"/>
              </w:rPr>
              <w:t>Bermuda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Not Applicable</w:t>
            </w:r>
          </w:p>
        </w:tc>
      </w:tr>
      <w:tr>
        <w:trPr>
          <w:trHeight w:val="256"/>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080" w:type="dxa"/>
            <w:vAlign w:val="bottom"/>
            <w:gridSpan w:val="2"/>
          </w:tcPr>
          <w:p>
            <w:pPr>
              <w:jc w:val="center"/>
              <w:ind w:right="3800"/>
              <w:spacing w:after="0"/>
              <w:rPr>
                <w:sz w:val="20"/>
                <w:szCs w:val="20"/>
                <w:color w:val="auto"/>
              </w:rPr>
            </w:pPr>
            <w:r>
              <w:rPr>
                <w:rFonts w:ascii="Arial" w:cs="Arial" w:eastAsia="Arial" w:hAnsi="Arial"/>
                <w:sz w:val="18"/>
                <w:szCs w:val="18"/>
                <w:color w:val="auto"/>
                <w:w w:val="93"/>
              </w:rPr>
              <w:t>incorporation or organization)</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Identification Number)</w:t>
            </w:r>
          </w:p>
        </w:tc>
      </w:tr>
      <w:tr>
        <w:trPr>
          <w:trHeight w:val="252"/>
        </w:trPr>
        <w:tc>
          <w:tcPr>
            <w:tcW w:w="1600" w:type="dxa"/>
            <w:vAlign w:val="bottom"/>
          </w:tcPr>
          <w:p>
            <w:pPr>
              <w:spacing w:after="0"/>
              <w:rPr>
                <w:sz w:val="21"/>
                <w:szCs w:val="21"/>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89"/>
              </w:rPr>
              <w:t>Clarendon House</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1600" w:type="dxa"/>
            <w:vAlign w:val="bottom"/>
          </w:tcPr>
          <w:p>
            <w:pPr>
              <w:spacing w:after="0"/>
              <w:rPr>
                <w:sz w:val="18"/>
                <w:szCs w:val="18"/>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0"/>
              </w:rPr>
              <w:t>2 Church Street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600" w:type="dxa"/>
            <w:vAlign w:val="bottom"/>
          </w:tcPr>
          <w:p>
            <w:pPr>
              <w:spacing w:after="0"/>
              <w:rPr>
                <w:sz w:val="19"/>
                <w:szCs w:val="19"/>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b w:val="1"/>
                <w:bCs w:val="1"/>
                <w:color w:val="auto"/>
                <w:w w:val="94"/>
              </w:rPr>
              <w:t>Hamilton HM11, Bermuda</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1"/>
              </w:rPr>
              <w:t>(Address of principal executive offices and zip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608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0"/>
              </w:rPr>
              <w:t>(441) 297-9901</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Arial" w:cs="Arial" w:eastAsia="Arial" w:hAnsi="Arial"/>
                <w:sz w:val="18"/>
                <w:szCs w:val="18"/>
                <w:color w:val="auto"/>
                <w:w w:val="90"/>
              </w:rPr>
              <w:t>(Registrant’s telephone number, including area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29" w:lineRule="exact"/>
        <w:rPr>
          <w:sz w:val="24"/>
          <w:szCs w:val="24"/>
          <w:color w:val="auto"/>
        </w:rPr>
      </w:pPr>
    </w:p>
    <w:p>
      <w:pPr>
        <w:jc w:val="both"/>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233" w:right="419" w:bottom="1440" w:gutter="0" w:footer="0" w:header="0"/>
          <w:type w:val="continuous"/>
        </w:sectPr>
      </w:pPr>
    </w:p>
    <w:p>
      <w:pPr>
        <w:spacing w:after="0" w:line="157"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7300" w:space="720"/>
            <w:col w:w="3220"/>
          </w:cols>
          <w:pgMar w:left="240" w:top="233" w:right="41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20" w:space="720"/>
            <w:col w:w="3600"/>
          </w:cols>
          <w:pgMar w:left="240" w:top="233" w:right="419" w:bottom="1440" w:gutter="0" w:footer="0" w:header="0"/>
          <w:type w:val="continuous"/>
        </w:sectPr>
      </w:pPr>
    </w:p>
    <w:p>
      <w:pPr>
        <w:spacing w:after="0" w:line="43" w:lineRule="exact"/>
        <w:rPr>
          <w:sz w:val="24"/>
          <w:szCs w:val="24"/>
          <w:color w:val="auto"/>
        </w:rPr>
      </w:pPr>
    </w:p>
    <w:p>
      <w:pPr>
        <w:ind w:left="600" w:right="1500" w:hanging="41"/>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November 2, 2015 was 92,653,075.</w:t>
      </w:r>
    </w:p>
    <w:p>
      <w:pPr>
        <w:sectPr>
          <w:pgSz w:w="11900" w:h="16838" w:orient="portrait"/>
          <w:cols w:equalWidth="0" w:num="1">
            <w:col w:w="11240"/>
          </w:cols>
          <w:pgMar w:left="240" w:top="233"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2">
              <w:r>
                <w:rPr>
                  <w:rFonts w:ascii="Arial" w:cs="Arial" w:eastAsia="Arial" w:hAnsi="Arial"/>
                  <w:sz w:val="18"/>
                  <w:szCs w:val="18"/>
                  <w:b w:val="1"/>
                  <w:bCs w:val="1"/>
                  <w:color w:val="0000EE"/>
                  <w:w w:val="91"/>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3.</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36</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PART II.</w:t>
              </w:r>
            </w:hyperlink>
          </w:p>
        </w:tc>
        <w:tc>
          <w:tcPr>
            <w:tcW w:w="900" w:type="dxa"/>
            <w:vAlign w:val="bottom"/>
            <w:gridSpan w:val="4"/>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1">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37</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6.</w:t>
              </w:r>
            </w:hyperlink>
          </w:p>
        </w:tc>
        <w:tc>
          <w:tcPr>
            <w:tcW w:w="1060" w:type="dxa"/>
            <w:vAlign w:val="bottom"/>
            <w:gridSpan w:val="7"/>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2014 filed with the Securities and Exchange Commission. These factors include, without limitation, the following:</w:t>
      </w:r>
    </w:p>
    <w:p>
      <w:pPr>
        <w:spacing w:after="0" w:line="179"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new insurance written, or NIW, and franchise value due to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scope of recently enacted legislation is uncertain;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2015 — $1,111,701; 2014 — $840,213)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846,925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2015 — $121,599; 2014 — $210,688)</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121,600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210,688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1,057,613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24,411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15,810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$41,646 in 2015 and $39,260 in 2014)</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5,841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2,768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1,411,934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1,181,461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191,989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156,948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payroll and bonuses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liability</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37,092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8,444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335,698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225,723</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 92,653 shares in 2015 and 92,546 shares in 2014</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900,549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893,285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4,667</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169,250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56,398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1,076,236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955,738</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1,411,934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1,181,461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97,478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77,862</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272,134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193,559</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(38,144)</w:t>
            </w:r>
          </w:p>
        </w:tc>
      </w:tr>
      <w:tr>
        <w:trPr>
          <w:trHeight w:val="237"/>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83,694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237,093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155,415</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8,383</w:t>
            </w: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619</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w:t>
            </w:r>
          </w:p>
        </w:tc>
      </w:tr>
      <w:tr>
        <w:trPr>
          <w:trHeight w:val="237"/>
        </w:trPr>
        <w:tc>
          <w:tcPr>
            <w:tcW w:w="60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91,736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255,814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166,725</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91"/>
        </w:trPr>
        <w:tc>
          <w:tcPr>
            <w:tcW w:w="5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3,259</w:t>
            </w: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83,360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71,576</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74,835</w:t>
            </w:r>
          </w:p>
        </w:tc>
      </w:tr>
      <w:tr>
        <w:trPr>
          <w:trHeight w:val="291"/>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91,890</w:t>
            </w: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13,691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51,896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32,259</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59,631</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1"/>
        </w:trPr>
        <w:tc>
          <w:tcPr>
            <w:tcW w:w="5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0.72</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r>
      <w:tr>
        <w:trPr>
          <w:trHeight w:val="28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90,418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90,317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83,263</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84,811</w:t>
            </w:r>
          </w:p>
        </w:tc>
      </w:tr>
      <w:tr>
        <w:trPr>
          <w:trHeight w:val="297"/>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59,631</w:t>
            </w:r>
          </w:p>
        </w:tc>
      </w:tr>
      <w:tr>
        <w:trPr>
          <w:trHeight w:val="28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6040" w:type="dxa"/>
            <w:vAlign w:val="bottom"/>
            <w:gridSpan w:val="2"/>
          </w:tcPr>
          <w:p>
            <w:pPr>
              <w:ind w:left="280"/>
              <w:spacing w:after="0"/>
              <w:rPr>
                <w:sz w:val="20"/>
                <w:szCs w:val="20"/>
                <w:color w:val="auto"/>
              </w:rPr>
            </w:pPr>
            <w:r>
              <w:rPr>
                <w:rFonts w:ascii="Arial" w:cs="Arial" w:eastAsia="Arial" w:hAnsi="Arial"/>
                <w:sz w:val="18"/>
                <w:szCs w:val="18"/>
                <w:color w:val="auto"/>
                <w:w w:val="96"/>
              </w:rPr>
              <w:t>Change in unrealized appreciation (depreciation) of investments, net of tax</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6040" w:type="dxa"/>
            <w:vAlign w:val="bottom"/>
            <w:gridSpan w:val="2"/>
          </w:tcPr>
          <w:p>
            <w:pPr>
              <w:ind w:left="520"/>
              <w:spacing w:after="0"/>
              <w:rPr>
                <w:sz w:val="20"/>
                <w:szCs w:val="20"/>
                <w:color w:val="auto"/>
              </w:rPr>
            </w:pPr>
            <w:r>
              <w:rPr>
                <w:rFonts w:ascii="Arial" w:cs="Arial" w:eastAsia="Arial" w:hAnsi="Arial"/>
                <w:sz w:val="18"/>
                <w:szCs w:val="18"/>
                <w:color w:val="auto"/>
              </w:rPr>
              <w:t>expense (benefit) of $2,013 and ($494) in the three months ended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040" w:type="dxa"/>
            <w:vAlign w:val="bottom"/>
            <w:gridSpan w:val="2"/>
          </w:tcPr>
          <w:p>
            <w:pPr>
              <w:ind w:left="520"/>
              <w:spacing w:after="0"/>
              <w:rPr>
                <w:sz w:val="20"/>
                <w:szCs w:val="20"/>
                <w:color w:val="auto"/>
              </w:rPr>
            </w:pPr>
            <w:r>
              <w:rPr>
                <w:rFonts w:ascii="Arial" w:cs="Arial" w:eastAsia="Arial" w:hAnsi="Arial"/>
                <w:sz w:val="18"/>
                <w:szCs w:val="18"/>
                <w:color w:val="auto"/>
                <w:w w:val="96"/>
              </w:rPr>
              <w:t>September 30, 2015 and 2014 and $121 and $1,971 in the nine months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040" w:type="dxa"/>
            <w:vAlign w:val="bottom"/>
            <w:gridSpan w:val="2"/>
          </w:tcPr>
          <w:p>
            <w:pPr>
              <w:ind w:left="520"/>
              <w:spacing w:after="0"/>
              <w:rPr>
                <w:sz w:val="20"/>
                <w:szCs w:val="20"/>
                <w:color w:val="auto"/>
              </w:rPr>
            </w:pPr>
            <w:r>
              <w:rPr>
                <w:rFonts w:ascii="Arial" w:cs="Arial" w:eastAsia="Arial" w:hAnsi="Arial"/>
                <w:sz w:val="18"/>
                <w:szCs w:val="18"/>
                <w:color w:val="auto"/>
              </w:rPr>
              <w:t>ended September 30, 2015 and 2014</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3,989</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3,989</w:t>
            </w:r>
          </w:p>
        </w:tc>
      </w:tr>
      <w:tr>
        <w:trPr>
          <w:trHeight w:val="257"/>
        </w:trPr>
        <w:tc>
          <w:tcPr>
            <w:tcW w:w="6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45,081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113,232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63,620</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125" w:right="6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Retained</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Earnings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2014</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1,297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754,390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(32,099)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722,141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7"/>
              <w:spacing w:after="0"/>
              <w:rPr>
                <w:sz w:val="20"/>
                <w:szCs w:val="20"/>
                <w:color w:val="auto"/>
              </w:rPr>
            </w:pPr>
            <w:r>
              <w:rPr>
                <w:rFonts w:ascii="Arial" w:cs="Arial" w:eastAsia="Arial" w:hAnsi="Arial"/>
                <w:sz w:val="16"/>
                <w:szCs w:val="16"/>
                <w:color w:val="auto"/>
              </w:rPr>
              <w:t>88,497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88,497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6,114</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w w:val="94"/>
              </w:rPr>
              <w:t>Issuance of common shares net of issuance cost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of $6,761</w:t>
            </w:r>
          </w:p>
        </w:tc>
        <w:tc>
          <w:tcPr>
            <w:tcW w:w="24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126,649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126,739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12,520</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893,285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4,667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b w:val="1"/>
                <w:bCs w:val="1"/>
                <w:color w:val="auto"/>
              </w:rPr>
              <w:t>56,398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955,738</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112,852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112,852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7"/>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Forfeiture of management incentive shares</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9,959</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Excess tax benefits from stock-based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compensation expense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5,135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equity transactions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September 30, 2015</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900,549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5,047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169,250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1,076,236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112,852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59,631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Gain on the sale of investments, net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Amortization of discount on payments due under Asset Purchase Agreement</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9,408</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Amortization of premium on investment securities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4,722</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30,412</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Accrued investment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Deferred policy acquisition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federal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(34,673)</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Reserve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w:t>
            </w:r>
          </w:p>
        </w:tc>
      </w:tr>
      <w:tr>
        <w:trPr>
          <w:trHeight w:val="243"/>
        </w:trPr>
        <w:tc>
          <w:tcPr>
            <w:tcW w:w="7920" w:type="dxa"/>
            <w:vAlign w:val="bottom"/>
            <w:gridSpan w:val="2"/>
          </w:tcPr>
          <w:p>
            <w:pPr>
              <w:ind w:left="500"/>
              <w:spacing w:after="0"/>
              <w:rPr>
                <w:sz w:val="20"/>
                <w:szCs w:val="20"/>
                <w:color w:val="auto"/>
              </w:rPr>
            </w:pPr>
            <w:r>
              <w:rPr>
                <w:rFonts w:ascii="Arial" w:cs="Arial" w:eastAsia="Arial" w:hAnsi="Arial"/>
                <w:sz w:val="18"/>
                <w:szCs w:val="18"/>
                <w:color w:val="auto"/>
              </w:rPr>
              <w:t>Unearned premium reserve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38,145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159,186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101,566</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(92,181)</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 available for sale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(587,878)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(570,341)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maturity of investments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18,832</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Proceeds from sales of investments available for sale</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332,853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88,695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 net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(557,618)</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acquired</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 of offering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r>
      <w:tr>
        <w:trPr>
          <w:trHeight w:val="243"/>
        </w:trPr>
        <w:tc>
          <w:tcPr>
            <w:tcW w:w="7920" w:type="dxa"/>
            <w:vAlign w:val="bottom"/>
            <w:gridSpan w:val="2"/>
          </w:tcPr>
          <w:p>
            <w:pPr>
              <w:ind w:left="280"/>
              <w:spacing w:after="0"/>
              <w:rPr>
                <w:sz w:val="20"/>
                <w:szCs w:val="20"/>
                <w:color w:val="auto"/>
              </w:rPr>
            </w:pPr>
            <w:r>
              <w:rPr>
                <w:rFonts w:ascii="Arial" w:cs="Arial" w:eastAsia="Arial" w:hAnsi="Arial"/>
                <w:sz w:val="18"/>
                <w:szCs w:val="18"/>
                <w:color w:val="auto"/>
              </w:rPr>
              <w:t>Payments under Asset Purchase Agreement</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(460,081)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477,655</w:t>
            </w:r>
          </w:p>
        </w:tc>
      </w:tr>
      <w:tr>
        <w:trPr>
          <w:trHeight w:val="297"/>
        </w:trPr>
        <w:tc>
          <w:tcPr>
            <w:tcW w:w="7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18,723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17,574</w:t>
            </w:r>
          </w:p>
        </w:tc>
      </w:tr>
      <w:tr>
        <w:trPr>
          <w:trHeight w:val="271"/>
        </w:trPr>
        <w:tc>
          <w:tcPr>
            <w:tcW w:w="7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(payments) refunds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84"/>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Issuance of management incentive shares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416</w:t>
            </w:r>
          </w:p>
        </w:tc>
      </w:tr>
    </w:tbl>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60"/>
          </w:cols>
          <w:pgMar w:left="240" w:top="125" w:right="499" w:bottom="624"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5" w:right="499" w:bottom="624"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low-down payment (generally less than 20%) mortgage loans into the secondary mortgage market, primarily to two government-sponsored enterprises (“GSEs”), Fannie Mae and Freddie Mac. Essent Group was incorporated in Bermuda in July 2008. In March 2014, Essent Group formed Essent Irish Intermediate Holdings Limited (“Essent Irish Intermediate”) as a wholly-owned subsidiary. In April 2014, Essent Group contributed all of the outstanding stock of Essent US Holdings, Inc. (“Essent Holdings”) to Essent Irish Intermediate. The primary mortgage insurance operations are conducted through Essent Holdings’ regulated and licensed wholly-owned subsidiaries, Essent Guaranty, Inc. (“Essent Guaranty”) and Essent Guaranty of PA, Inc. (“Essent PA”). Essent Group also has a wholly-owned Bermuda domiciled Class 3A Insurer licensed pursuant to Section 4 of the Bermuda Insurance Act 1978, Essent Reinsurance Ltd. (“Essent Re”), which offers mortgage-related insurance and reinsurance.</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2014,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2015 prior to the issuance of these condensed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188,312</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128,225</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273,217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277,535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371,620</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55,639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55,261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124,276</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92,100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92,100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1,233,300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1,240,514</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83,540</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195,546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296,829</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126,188</w:t>
            </w:r>
          </w:p>
        </w:tc>
        <w:tc>
          <w:tcPr>
            <w:tcW w:w="0" w:type="dxa"/>
            <w:vAlign w:val="bottom"/>
          </w:tcPr>
          <w:p>
            <w:pPr>
              <w:spacing w:after="0"/>
              <w:rPr>
                <w:sz w:val="1"/>
                <w:szCs w:val="1"/>
                <w:color w:val="auto"/>
              </w:rPr>
            </w:pPr>
          </w:p>
        </w:tc>
      </w:tr>
      <w:tr>
        <w:trPr>
          <w:trHeight w:val="243"/>
        </w:trPr>
        <w:tc>
          <w:tcPr>
            <w:tcW w:w="514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210,688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1,050,901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1,057,613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603"/>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assessment bonds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vMerge w:val="restart"/>
          </w:tcPr>
          <w:p>
            <w:pPr>
              <w:jc w:val="right"/>
              <w:ind w:right="8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2015,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60" w:type="dxa"/>
            <w:vAlign w:val="bottom"/>
          </w:tcPr>
          <w:p>
            <w:pPr>
              <w:spacing w:after="0"/>
              <w:rPr>
                <w:sz w:val="14"/>
                <w:szCs w:val="14"/>
                <w:color w:val="auto"/>
              </w:rPr>
            </w:pPr>
          </w:p>
        </w:tc>
        <w:tc>
          <w:tcPr>
            <w:tcW w:w="1480" w:type="dxa"/>
            <w:vAlign w:val="bottom"/>
          </w:tcPr>
          <w:p>
            <w:pPr>
              <w:jc w:val="right"/>
              <w:ind w:right="7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48,643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48,239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90,187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91,413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186,740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188,312</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3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66,103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92,831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95,016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115,871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273,217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277,535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10,567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261,142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261,318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99,128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99,412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50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371,110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371,620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128,225</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Mortgage-backed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55,639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55,261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124,276</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92,100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92,100</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1,233,300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1,240,514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Essent realized gross gains and losses on the sale of investments available for sale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991</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34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372</w:t>
            </w:r>
          </w:p>
        </w:tc>
      </w:tr>
      <w:tr>
        <w:trPr>
          <w:trHeight w:val="70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69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139,947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6,988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146,935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79,060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342,681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397,950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126,376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100,248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53,357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354,192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of investments in the nine months ended September 30, 2015 or year ended December 31, 2014.</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 million as of September 30, 2015 and December 31, 2014. In connection with its insurance and reinsurance activities, Essent Re is required to maintain assets in trusts for the benefit of its contractual counterparties. The fair value of the required investments on deposit in these trusts were $221.4 million at September 30, 2015 and $66.7 million at December 31,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7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consists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13,210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2,600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15,810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Reserve for Losses and Loss Adjustment Expenses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3,070</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3,070</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3,954</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3,259</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646</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5,682</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5,682</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312</w:t>
            </w:r>
          </w:p>
        </w:tc>
      </w:tr>
    </w:tbl>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the nine months ended September 30, 2015, $1.3 million was paid for incurred claims and claim adjustment expenses attributable to insured events of prior years. There has been a $2.7 million favorable prior-year development during the nine months ended September 30, 2015. Reserves remaining as of September 30, 2015 for prior years are $4.5 million as a result of re-estimation of unpaid losses and loss adjustment expenses. For the nine months ended September 30, 2014, $0.6 million was paid for incurred claims and claim adjustment expenses attributable to insured events of prior years. There had been a $0.7 million favorable prior-year development during the nine months ended September 30, 2014. Reserves remaining as of September 30, 2014 for prior years were $1.7 million as a result of re-estimation of unpaid losses and loss adjustment expenses. The decreases in both periods are generally the result of ongoing analysis of recent loss development trends. Original estimates are increased or decreased as additional information becomes known regarding individual claims.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terms of CUW Solutions LLC’s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$16,903 and $10,317 related to remedies for the nine months ended September 30, 2015 and 2014, respectively. As of September 30, 2015, management believes any potential claims for indemnification related to contract underwriting services through September 30, 2015 are not material to our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2015,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nine months ended September 30, 2015:</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ind w:left="600"/>
              <w:spacing w:after="0"/>
              <w:rPr>
                <w:sz w:val="20"/>
                <w:szCs w:val="20"/>
                <w:color w:val="auto"/>
              </w:rPr>
            </w:pPr>
            <w:r>
              <w:rPr>
                <w:rFonts w:ascii="Arial" w:cs="Arial" w:eastAsia="Arial" w:hAnsi="Arial"/>
                <w:sz w:val="14"/>
                <w:szCs w:val="14"/>
                <w:b w:val="1"/>
                <w:bCs w:val="1"/>
                <w:color w:val="auto"/>
              </w:rPr>
              <w:t>Time and Performance-</w:t>
            </w:r>
          </w:p>
        </w:tc>
        <w:tc>
          <w:tcPr>
            <w:tcW w:w="2700" w:type="dxa"/>
            <w:vAlign w:val="bottom"/>
            <w:gridSpan w:val="5"/>
          </w:tcPr>
          <w:p>
            <w:pPr>
              <w:ind w:left="740"/>
              <w:spacing w:after="0"/>
              <w:rPr>
                <w:sz w:val="20"/>
                <w:szCs w:val="20"/>
                <w:color w:val="auto"/>
              </w:rPr>
            </w:pPr>
            <w:r>
              <w:rPr>
                <w:rFonts w:ascii="Arial" w:cs="Arial" w:eastAsia="Arial" w:hAnsi="Arial"/>
                <w:sz w:val="14"/>
                <w:szCs w:val="14"/>
                <w:b w:val="1"/>
                <w:bCs w:val="1"/>
                <w:color w:val="auto"/>
              </w:rPr>
              <w:t>Time-Based Share</w:t>
            </w:r>
          </w:p>
        </w:tc>
        <w:tc>
          <w:tcPr>
            <w:tcW w:w="17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Share Units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Awards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134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Grant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4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1,294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927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302" w:lineRule="auto"/>
        <w:rPr>
          <w:sz w:val="20"/>
          <w:szCs w:val="20"/>
          <w:color w:val="auto"/>
        </w:rPr>
      </w:pPr>
      <w:r>
        <w:rPr>
          <w:rFonts w:ascii="Arial" w:cs="Arial" w:eastAsia="Arial" w:hAnsi="Arial"/>
          <w:sz w:val="16"/>
          <w:szCs w:val="16"/>
          <w:color w:val="auto"/>
        </w:rPr>
        <w:t>In February 2015, certain members of senior management were granted nonvested common shares under the Essent Group Ltd. 2013 Long-Term Incentive Plan that were subject to time-based and performance-based vesting. The time-based share awards granted in February 2015 vest in three equal installments on March 1, 2016, 2017 and 2018. The performance-based share awards granted in February 2015 vest based upon our compounded annual book value per share growth percentage during a three-year performance period that commenced on January 1, 2015 and vest on March 1,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are subject to time-based and performance-based vesting. The time-based share award vests in four equal installments on July 1, 2016, 2017, 2018 and 2019. The performance-based share award vests based upon our compounded annual book value per share growth percentage during a three-year performance period that commenced on January 1, 2015 and vests on July 1, 2019.</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Compounded Annual Book Value</w:t>
            </w:r>
          </w:p>
        </w:tc>
        <w:tc>
          <w:tcPr>
            <w:tcW w:w="2340" w:type="dxa"/>
            <w:vAlign w:val="bottom"/>
          </w:tcPr>
          <w:p>
            <w:pPr>
              <w:jc w:val="right"/>
              <w:ind w:right="474"/>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6160" w:type="dxa"/>
            <w:vAlign w:val="bottom"/>
            <w:gridSpan w:val="2"/>
            <w:vMerge w:val="continue"/>
          </w:tcPr>
          <w:p>
            <w:pPr>
              <w:spacing w:after="0"/>
              <w:rPr>
                <w:sz w:val="16"/>
                <w:szCs w:val="16"/>
                <w:color w:val="auto"/>
              </w:rPr>
            </w:pP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 Growth</w:t>
            </w:r>
          </w:p>
        </w:tc>
        <w:tc>
          <w:tcPr>
            <w:tcW w:w="2340" w:type="dxa"/>
            <w:vAlign w:val="bottom"/>
          </w:tcPr>
          <w:p>
            <w:pPr>
              <w:jc w:val="right"/>
              <w:ind w:right="634"/>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2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3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2014, in February 2015, time-based share awards and share units were issued to certain employees that vest in three equal installments on March 1, 2016, 2017 and 2018. In May 2015, time-based share units were granted to non-employee directors that vest one year from the date of grant.</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total fair value of nonvested shares or share units that vested was $21.5 million and $29.5 million for the nine months ended September 30, 2015 and 2014, respectively. As of September 30, 2015, there was $24.1 million of total unrecognized compensation expense related to nonvested shares or share units outstanding at September 30, 2015 and we expect to recognize the expense over a weighted average period of 2.1 years.</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200,199 in the nine months ended September 30, 2015. The tendered shares were recorded at cost, included in treasury stock and have been cancelled as of September 30, 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9,408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3,293</w:t>
            </w:r>
          </w:p>
        </w:tc>
      </w:tr>
      <w:tr>
        <w:trPr>
          <w:trHeight w:val="70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40,821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112,852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59,631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40,821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112,852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59,631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90,418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83,640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90,317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83,263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91,841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85,028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91,678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84,811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were 905 and 180,664 antidilutive shares for the three months ended September 30, 2015 and 2014, respectively and 100,232 and 132,756 antidilutive shares for the nine months ended September 30, 2015 and 2014,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nonvested performance-based share awards are considered contingently issuable for purposes of the EPS calculation. Based on the compounded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annual book value per share growth as of September 30, 2015, 100% of the performance-based share awards would be issuable under the terms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arrangements if September 30, 2015 was the end of the performance period. Based on the compounded annual book value per share growth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48.5% of the performance-based share awards would have been issuable under the terms of the arrangements if September 30, 2014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end of the performance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 September 30,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Three Months Ended September 30, 2015</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Nine Months Ended September 30, 2015</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4,667</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1,673</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Three Months Ended September 30, 2014</w:t>
            </w:r>
          </w:p>
        </w:tc>
        <w:tc>
          <w:tcPr>
            <w:tcW w:w="14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3,947</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losses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losses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Nine Months Ended September 30, 2014</w:t>
            </w:r>
          </w:p>
        </w:tc>
        <w:tc>
          <w:tcPr>
            <w:tcW w:w="14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4,401</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w w:val="98"/>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3,989</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3,989</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20" w:right="2780" w:hanging="5288"/>
        <w:spacing w:after="0" w:line="810"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net realized investment gains on our condensed consolidated statements of comprehensive income.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2015 (In thousands)</w:t>
            </w:r>
          </w:p>
        </w:tc>
        <w:tc>
          <w:tcPr>
            <w:tcW w:w="12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5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U.S. Treasury securities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188,312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188,312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128,225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128,225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277,535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371,620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371,620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124,276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124,276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Total investments</w:t>
            </w:r>
          </w:p>
        </w:tc>
        <w:tc>
          <w:tcPr>
            <w:tcW w:w="44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1,240,514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1,240,514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0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Derivative liabilities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1,833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1"/>
        </w:trPr>
        <w:tc>
          <w:tcPr>
            <w:tcW w:w="7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U.S. Treasury securities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74,216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74,216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U.S. agency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83,540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83,540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296,829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296,829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126,188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126,188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210,688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Total investments</w:t>
            </w:r>
          </w:p>
        </w:tc>
        <w:tc>
          <w:tcPr>
            <w:tcW w:w="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1,057,613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1,057,613</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Arial" w:cs="Arial" w:eastAsia="Arial" w:hAnsi="Arial"/>
                <w:sz w:val="18"/>
                <w:szCs w:val="18"/>
                <w:color w:val="auto"/>
              </w:rPr>
              <w:t>Derivative liabilities</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1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certain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debt securities, corporate debt securities, certain mortgage-backed securities and asset-backed securities are classified as Level 2 investments.</w:t>
      </w:r>
    </w:p>
    <w:p>
      <w:pPr>
        <w:spacing w:after="0" w:line="178" w:lineRule="exact"/>
        <w:rPr>
          <w:rFonts w:ascii="Arial" w:cs="Arial" w:eastAsia="Arial" w:hAnsi="Arial"/>
          <w:sz w:val="17"/>
          <w:szCs w:val="17"/>
          <w:color w:val="auto"/>
        </w:rPr>
      </w:pPr>
    </w:p>
    <w:p>
      <w:pPr>
        <w:ind w:left="660" w:right="80"/>
        <w:spacing w:after="0" w:line="255" w:lineRule="auto"/>
        <w:rPr>
          <w:rFonts w:ascii="Arial" w:cs="Arial" w:eastAsia="Arial" w:hAnsi="Arial"/>
          <w:sz w:val="17"/>
          <w:szCs w:val="17"/>
          <w:color w:val="auto"/>
        </w:rPr>
      </w:pPr>
      <w:r>
        <w:rPr>
          <w:rFonts w:ascii="Arial" w:cs="Arial" w:eastAsia="Arial" w:hAnsi="Arial"/>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89" w:lineRule="exact"/>
        <w:rPr>
          <w:rFonts w:ascii="Arial" w:cs="Arial" w:eastAsia="Arial" w:hAnsi="Arial"/>
          <w:sz w:val="17"/>
          <w:szCs w:val="17"/>
          <w:color w:val="auto"/>
        </w:rPr>
      </w:pPr>
    </w:p>
    <w:p>
      <w:pPr>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liabilities — We define fair value as the current amount that would be exchanged to sell an asset or transfer a liability, other than in a forced liquidation. Certain of our Freddie Mac Agency Credit Insurance Structure ("ACIS") contracts are accounted for as derivatives. In determining an exit market, we consider the fact that there is not a principal market for these contracts. In the absence of a principal market, we value these ACIS contracts in a 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 These ACIS contracts are classified as Level 3 of the fair value hierarchy.</w:t>
      </w:r>
    </w:p>
    <w:p>
      <w:pPr>
        <w:spacing w:after="0" w:line="164" w:lineRule="exact"/>
        <w:rPr>
          <w:rFonts w:ascii="Arial" w:cs="Arial" w:eastAsia="Arial" w:hAnsi="Arial"/>
          <w:sz w:val="16"/>
          <w:szCs w:val="16"/>
          <w:color w:val="auto"/>
        </w:rPr>
      </w:pPr>
    </w:p>
    <w:p>
      <w:pPr>
        <w:ind w:left="660" w:right="100"/>
        <w:spacing w:after="0" w:line="293" w:lineRule="auto"/>
        <w:rPr>
          <w:rFonts w:ascii="Arial" w:cs="Arial" w:eastAsia="Arial" w:hAnsi="Arial"/>
          <w:sz w:val="16"/>
          <w:szCs w:val="16"/>
          <w:color w:val="auto"/>
        </w:rPr>
      </w:pPr>
      <w:r>
        <w:rPr>
          <w:rFonts w:ascii="Arial" w:cs="Arial" w:eastAsia="Arial" w:hAnsi="Arial"/>
          <w:sz w:val="16"/>
          <w:szCs w:val="16"/>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188,312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188,312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128,225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128,225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277,535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277,535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371,620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51,378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55,261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124,276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92,100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92,100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415,705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824,809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1,240,514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Quoted Prices</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2014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74,216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83,540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83,540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195,546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195,546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210,688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377,846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679,767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1,057,613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1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following tables presents changes during the three and nine months ended September 30, 2015 in Level 3 liabilities measured at fair value on a recurring basis, and the realized and unrealized gains (losses) related to the Level 3 liabilities in the condensed consolidated balance sheets at September 30, 2015. We had no material liabilities measured at fair value at September 30, 2014. During the nine months ended September 30, 2015, and in the year ended December 31, 2014, we had no Level 3 assets.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12"/>
                <w:szCs w:val="12"/>
                <w:color w:val="auto"/>
              </w:rPr>
            </w:pPr>
          </w:p>
        </w:tc>
        <w:tc>
          <w:tcPr>
            <w:tcW w:w="110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Net Realized and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6"/>
              </w:rPr>
              <w:t>Changes in Unrealized</w:t>
            </w:r>
          </w:p>
        </w:tc>
      </w:tr>
      <w:tr>
        <w:trPr>
          <w:trHeight w:val="135"/>
        </w:trPr>
        <w:tc>
          <w:tcPr>
            <w:tcW w:w="1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September 30, 2015</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90"/>
              </w:rPr>
              <w:t>Unrealized Gains</w:t>
            </w:r>
          </w:p>
        </w:tc>
        <w:tc>
          <w:tcPr>
            <w:tcW w:w="18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5"/>
              </w:rPr>
              <w:t>Beginning</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18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0"/>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80"/>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Income on Instruments</w:t>
            </w:r>
          </w:p>
        </w:tc>
      </w:tr>
      <w:tr>
        <w:trPr>
          <w:trHeight w:val="150"/>
        </w:trPr>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88"/>
              </w:rPr>
              <w:t>of Period</w:t>
            </w:r>
          </w:p>
        </w:tc>
        <w:tc>
          <w:tcPr>
            <w:tcW w:w="20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18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88"/>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8"/>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1,258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371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1,258</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1,258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371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1,258</w:t>
            </w:r>
          </w:p>
        </w:tc>
      </w:tr>
      <w:tr>
        <w:trPr>
          <w:trHeight w:val="505"/>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Nine Months Ended</w:t>
            </w:r>
          </w:p>
        </w:tc>
        <w:tc>
          <w:tcPr>
            <w:tcW w:w="400" w:type="dxa"/>
            <w:vAlign w:val="bottom"/>
          </w:tcPr>
          <w:p>
            <w:pPr>
              <w:spacing w:after="0"/>
              <w:rPr>
                <w:sz w:val="24"/>
                <w:szCs w:val="24"/>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Fair</w:t>
            </w:r>
          </w:p>
        </w:tc>
        <w:tc>
          <w:tcPr>
            <w:tcW w:w="200" w:type="dxa"/>
            <w:vAlign w:val="bottom"/>
          </w:tcPr>
          <w:p>
            <w:pPr>
              <w:spacing w:after="0"/>
              <w:rPr>
                <w:sz w:val="24"/>
                <w:szCs w:val="24"/>
                <w:color w:val="auto"/>
              </w:rPr>
            </w:pPr>
          </w:p>
        </w:tc>
        <w:tc>
          <w:tcPr>
            <w:tcW w:w="110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Net Realized and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6"/>
              </w:rPr>
              <w:t>Changes in Unrealized</w:t>
            </w:r>
          </w:p>
        </w:tc>
      </w:tr>
      <w:tr>
        <w:trPr>
          <w:trHeight w:val="135"/>
        </w:trPr>
        <w:tc>
          <w:tcPr>
            <w:tcW w:w="1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September 30, 2015</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90"/>
              </w:rPr>
              <w:t>Unrealized Gains</w:t>
            </w:r>
          </w:p>
        </w:tc>
        <w:tc>
          <w:tcPr>
            <w:tcW w:w="18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Arial" w:cs="Arial" w:eastAsia="Arial" w:hAnsi="Arial"/>
                <w:sz w:val="12"/>
                <w:szCs w:val="12"/>
                <w:b w:val="1"/>
                <w:bCs w:val="1"/>
                <w:color w:val="auto"/>
                <w:w w:val="85"/>
              </w:rPr>
              <w:t>Beginning</w:t>
            </w:r>
          </w:p>
        </w:tc>
        <w:tc>
          <w:tcPr>
            <w:tcW w:w="200" w:type="dxa"/>
            <w:vAlign w:val="bottom"/>
          </w:tcPr>
          <w:p>
            <w:pPr>
              <w:spacing w:after="0"/>
              <w:rPr>
                <w:sz w:val="11"/>
                <w:szCs w:val="11"/>
                <w:color w:val="auto"/>
              </w:rPr>
            </w:pPr>
          </w:p>
        </w:tc>
        <w:tc>
          <w:tcPr>
            <w:tcW w:w="110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18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Arial" w:cs="Arial" w:eastAsia="Arial" w:hAnsi="Arial"/>
                <w:sz w:val="12"/>
                <w:szCs w:val="12"/>
                <w:b w:val="1"/>
                <w:bCs w:val="1"/>
                <w:color w:val="auto"/>
                <w:w w:val="80"/>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80"/>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Income on Instruments</w:t>
            </w:r>
          </w:p>
        </w:tc>
      </w:tr>
      <w:tr>
        <w:trPr>
          <w:trHeight w:val="150"/>
        </w:trPr>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Arial" w:cs="Arial" w:eastAsia="Arial" w:hAnsi="Arial"/>
                <w:sz w:val="12"/>
                <w:szCs w:val="12"/>
                <w:b w:val="1"/>
                <w:bCs w:val="1"/>
                <w:color w:val="auto"/>
                <w:w w:val="83"/>
              </w:rPr>
              <w:t>of Year</w:t>
            </w:r>
          </w:p>
        </w:tc>
        <w:tc>
          <w:tcPr>
            <w:tcW w:w="20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in Income</w:t>
            </w:r>
          </w:p>
        </w:tc>
        <w:tc>
          <w:tcPr>
            <w:tcW w:w="18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Arial" w:cs="Arial" w:eastAsia="Arial" w:hAnsi="Arial"/>
                <w:sz w:val="12"/>
                <w:szCs w:val="12"/>
                <w:b w:val="1"/>
                <w:bCs w:val="1"/>
                <w:color w:val="auto"/>
                <w:w w:val="87"/>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Arial" w:cs="Arial" w:eastAsia="Arial" w:hAnsi="Arial"/>
                <w:sz w:val="12"/>
                <w:szCs w:val="12"/>
                <w:b w:val="1"/>
                <w:bCs w:val="1"/>
                <w:color w:val="auto"/>
                <w:w w:val="88"/>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Arial" w:cs="Arial" w:eastAsia="Arial" w:hAnsi="Arial"/>
                <w:sz w:val="12"/>
                <w:szCs w:val="12"/>
                <w:b w:val="1"/>
                <w:bCs w:val="1"/>
                <w:color w:val="auto"/>
                <w:w w:val="88"/>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1,290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1,290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r>
    </w:tbl>
    <w:p>
      <w:pPr>
        <w:spacing w:after="0" w:line="1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our recurring Level 3 fair value measurements as of September 30, 2015 and December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609"/>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Statutory Accounting</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2014</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128,048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81,410</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513,402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456,650</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278,820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149,818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9,307</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46,093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41,689</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25,038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14,065</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2015 and 2014,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At September 30, 2015 and 2014, the statutory capital of our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the second quarter of 2015, at the direction of the Federal Housing Finance Agency ("FHFA"), Fannie Mae and Freddie Mac finalized the Private Mortgage Insurer Eligibility Requirements ("PMIERs"), which become effective on December 31, 2015. The PMIERs represent the standards by which private mortgage insurers are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September 30, 2015, Essent had sufficient assets in its insurance companies to meet the total risk-based required asset amount of the PMIERs.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nine months ended September 30, 2015, Essent Guaranty increased its contingency reserve by $99.6 million and Essent PA increased its contingency reserve by $8.1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nine months ended September 30, 2015 or 2014.</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2014 as filed with the Securities and Exchange Commission and referred to herein as the “Annual Report,” and our condensed consolidated financial statements and related notes as of and for the three and nine months ended September 30, 2015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Our Market Share for the nine months ended September 30, 2015 was an estimated 12.1%, compared to 13.7% and 12.1% for the years ended December 31, 2014 and 2013, respectively.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7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our wholly-owned insurance subsidiary, is rated Baa2 with a positive outlook by Moody’s Investor Services (“Moody's”) and is rated BBB+ with a stable outlook by Standard &amp; Poor’s Rating Services (“S&amp;P”).</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had master policy relationships with approximately 1,260 customers as of September 30, 2015 and had 1,069 customers that generated NIW during the twelve months ended September 30, 2015. Our holding company is domiciled in Bermuda and our U.S. insurance business is headquartered in Radnor, Pennsylvania. We operate additional underwriting and service centers in Winston-Salem, North Carolina and Irvine, California. We have a highly experienced, talented team with 364 employees as of September 30, 2015. We generated new insurance written of approximately $7.6 billion and $20.2 billion for the three and nine months ended September 30, 2015, respectively, compared to approximately $8.8 billion and $18.3 billion for the three and nine months ended September 30, 2014, respectively. As of September 30, 2015, we had approximately $62.1 billion of insurance in force.</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 As of September 30, 2015, Essent Re provides insurance or reinsurance in connection with GSE risk-share transactions covering in the aggregate up to approximately $118.1 million of risk on mortgage loans in reference pools associated with Freddie Mac's ACIS program and Fannie Mae's Credit Insurance Risk Transfer ("CIRT") program. Essent Re also reinsures 25% of Essent Guaranty’s GSE-eligible mortgage insurance NIW originated since July 1, 2014 under a quota share reinsurance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the second quarter of 2015, at the direction of the FHFA, Fannie Mae and Freddie Mac finalized the PMIERs, which become effective on December 31, 2015. The PMIERs represent the standards by which private mortgage insurers are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September 30, 2015, Essent had sufficient assets in its insurance companies to meet the total risk-based required asset amount of the PMIERs. See additional discussion in “— Liquidity and Capital Resources —Private Mortgage Insurer Eligibility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new insurance written, or NIW, less policy cancellations (including claims paid) during the period. As a result, premiums are generally influenced by:</w:t>
      </w:r>
    </w:p>
    <w:p>
      <w:pPr>
        <w:spacing w:after="0" w:line="188" w:lineRule="exact"/>
        <w:rPr>
          <w:sz w:val="20"/>
          <w:szCs w:val="20"/>
          <w:color w:val="auto"/>
        </w:rPr>
      </w:pPr>
    </w:p>
    <w:p>
      <w:pPr>
        <w:ind w:left="660" w:right="3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2015 were non-refundable. Premiums collected on annual policies are recognized as net premiums earned on a straight-line basis over the year of coverage. For the nine months ended September 30, 2015, monthly and single premium policies comprised 76.0% and 24.0%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changes in persistency rates can have a significant impact on our profitability. The persistency rate on our portfolio was 80.2% at September 30, 2015. Generally, higher prepayment speeds lead to lower persistency.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September 30, 2015.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was automatically extended until November 30, 2016 and provides for three subsequent one-year renewals at Triad’s option.</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certain of the reinsurance policies issued by Essent Re in connection with the ACIS program are accounted for as derivatives under GAAP with the fair value of these policies reported as an asset or liability and changes in the fair value of these policies reported in earnings. Changes in the fair value of these policies are impacted by changes in market observable factors.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89% of our IIF as of September 30, 2015 having been originated since January 1, 2013.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September 30, 2015, 89% of our IIF relates to business written since January 1, 2013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most significant expense is compensation and benefits for our employees, which represented 62% and 64% of other underwriting and operating expenses for the three and nine months ended September 30, 2015, respectively, compared to 67% of other underwriting and operating expenses for each of the three and nine months ended September 30, 2014. Compensation and benefits expense includes base and incentive cash compensation, stock compensation expense, benefits and payroll taxes. Compensation and benefits expense has increased as we have increased our staffing from 289 employees at January 1, 2014 to 364 at September 30, 2015,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Income taxes are incurred based on the amount of earnings or losses generated in the jurisdictions in which we operate and the applicable tax rates and regulations in those jurisdictions. Through December 31, 2014, substantially all of our business activity had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In 2014, Essent Re entered into insurance and reinsurance transactions with Freddie Mac and entered into a quota share reinsurance agreement with Essent Guaranty, an affiliate, to reinsure 25% of Essent Guaranty’s GSE-eligible NIW effective July 1, 2014. During 2014, since substantially all of our earnings were generated in the United States, our effective tax rate approximated the federal statutory tax rate. In 2015 and future periods, the amount of income tax expense or benefit will be dependent on the jurisdictions in which we operate and the tax laws and regulations in effect, as well as the amount of earnings or losses generated in those jurisdictions.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2015 and 2014 for our U.S. mortgage insurance portfolio. In addition, this table includes our risk in force, or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57,435,859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39,379,879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50,762,594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32,028,196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NIW - Flow</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7,384,654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7,283,169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19,956,875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16,788,076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NIW - Bulk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204,867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1,506,529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Cancellations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(2,883,974)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(1,741,051)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(8,844,188)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(3,894,275)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62,141,406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46,428,526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62,141,406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46,428,526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Average IIF during the period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59,947,730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43,723,634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55,790,285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38,202,872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RIF, end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15,229,575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11,152,497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15,229,575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11,152,497</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cancellation activity has been relatively low to date because the average age of our insurance portfolio is young. The following is a summary of our IIF at September 30, 2015 by vintage: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(through September 30)</w:t>
            </w:r>
          </w:p>
        </w:tc>
        <w:tc>
          <w:tcPr>
            <w:tcW w:w="40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19,732,844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20,843,576</w:t>
            </w:r>
          </w:p>
        </w:tc>
        <w:tc>
          <w:tcPr>
            <w:tcW w:w="100" w:type="dxa"/>
            <w:vAlign w:val="bottom"/>
          </w:tcPr>
          <w:p>
            <w:pPr>
              <w:spacing w:after="0"/>
              <w:rPr>
                <w:sz w:val="21"/>
                <w:szCs w:val="21"/>
                <w:color w:val="auto"/>
              </w:rPr>
            </w:pPr>
          </w:p>
        </w:tc>
        <w:tc>
          <w:tcPr>
            <w:tcW w:w="2020" w:type="dxa"/>
            <w:vAlign w:val="bottom"/>
          </w:tcPr>
          <w:p>
            <w:pPr>
              <w:jc w:val="right"/>
              <w:ind w:right="9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14,491,552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2012</w:t>
            </w:r>
          </w:p>
        </w:tc>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6,050,265</w:t>
            </w:r>
          </w:p>
        </w:tc>
        <w:tc>
          <w:tcPr>
            <w:tcW w:w="100" w:type="dxa"/>
            <w:vAlign w:val="bottom"/>
          </w:tcPr>
          <w:p>
            <w:pPr>
              <w:spacing w:after="0"/>
              <w:rPr>
                <w:sz w:val="21"/>
                <w:szCs w:val="21"/>
                <w:color w:val="auto"/>
              </w:rPr>
            </w:pPr>
          </w:p>
        </w:tc>
        <w:tc>
          <w:tcPr>
            <w:tcW w:w="202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968,945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2010</w:t>
            </w:r>
          </w:p>
        </w:tc>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54,224</w:t>
            </w:r>
          </w:p>
        </w:tc>
        <w:tc>
          <w:tcPr>
            <w:tcW w:w="100" w:type="dxa"/>
            <w:vAlign w:val="bottom"/>
          </w:tcPr>
          <w:p>
            <w:pPr>
              <w:spacing w:after="0"/>
              <w:rPr>
                <w:sz w:val="21"/>
                <w:szCs w:val="21"/>
                <w:color w:val="auto"/>
              </w:rPr>
            </w:pPr>
          </w:p>
        </w:tc>
        <w:tc>
          <w:tcPr>
            <w:tcW w:w="202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62,141,406</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 For the three months ended September 30, 2015 and 2014, our average premium rate was 0.55%. Our average premium rate was 0.57% for the nine months ended September 30, 2015 as compared to 0.54% for the nine months ended September 30, 2014.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 to 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September 30, 2015, our combined net risk in force for our U.S. insurance companies was $13.3 billion and our combined statutory capital was $864.8 million, resulting in a risk to capital ratio of 15.4 to 1. The amount of capital required varies in each jurisdiction in which we operate; however, generally, the maximum permitted risk to capital ratio is 25.0 to 1. State insurance regulators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As discussed below, the GSEs announced new PMIERs in the second quarter of 2015 which, when effective on December 31, 2015, will require us and the other private mortgage insurers in our industry to maintain a sufficient level of liquid assets from which to pay claims. See additional discussion in “— Liquidity and Capital Resources —Private Mortgage Insurer Eligibility Requirements.”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6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During the nine months ended September 30, 2015, capital contributions of $20.0 million were made by Essent Group Ltd. to a U.S. insurance subsidiary. During the nine months ended September 30, 2014, capital contributions of $100.0 million were made to our U.S. insurance subsidiaries.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97,478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77,862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272,134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193,559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(38,144)</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83,694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237,093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155,415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91,736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255,814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166,725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28,714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83,360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71,576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losses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74,835</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38,761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164,748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91,890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32,259</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40,821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25,070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112,852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59,631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2015 Compared to the Three and Nine Months Ended September 30, 2014</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For the three months ended September 30, 2015, we reported net income of $40.8 million, compared to net income of $25.1 million for the three months ended September 30, 2014. For the nine months ended September 30, 2015, we reported net income of $112.9 million, compared to net income of $59.6 million for the nine months ended September 30, 2014. The increase in our operating results in 2015 over the same periods in 2014 was primarily due to an increase in net premiums earned associated with the growth of our IIF and an increase in net investment income, partially offset by increases in other underwriting and operating expenses, the provision for losses and loss adjustment expenses and income taxes.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premiums earned increased in the three months ended September 30, 2015 by 39% compared to the three months ended September 30, 2014 due to the increase in our average IIF from $43.7 billion at September 30, 2014 to $59.9 billion at September 30, 2015. Net premiums earned increased in the nine months ended September 30, 2015 by 53% compared to the nine months ended September 30, 2014 due to the increase in our average IIF from $38.2 billion at September 30, 2014 to $55.8 billion at September 30, 2015, as well as an increase in the average premium rate from 0.54% in the nine months ended September 30, 2014 to 0.57% in the nine months ended September 30, 2015. The increase in the average premium rate during the nine months ended September 30, 2015 is due to changes in the mix of business and an increase in unearned premiums recognized upon the cancellation of non-refundable single premium policies.</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increase in net premiums written is due primarily to the increase in average IIF of 37% for the three months ended September 30, 2015 and 46% for the nine months ended September 30, 2015 as compared to the comparable periods of 2014. Net premiums written increased in the three and nine months ended September 30, 2015 by 25% and 41%, respectively, over the three and nine months ended September 30, 2014.</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the three months ended September 30, 2015 and 2014, unearned premiums increased by $13.8 million and $17.5 million, respectively. The change in unearned premiums was a result of net premiums written on single premium policies of $27.6 million and $26.1 million, respectively, which was partially offset by $13.8 million and $8.6 million, respectively, of unearned premium that was recognized in earnings during the periods. In the nine months ended September 30, 2015 and 2014, unearned premiums increased by $35.0 million and $38.1 million, respectively. This was a result of net premiums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written on single premium policies of $77.0 million and $58.2 million, respectively, which was partially offset by $42.0 million and $20.1 million, respectively, of unearned premium that was recognized in earnings during the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3,405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increase in net investment income for the three and nine months ended September 30, 2015 as compared to the same periods in 2014 was due in part to an increase in the weighted average balance of our investment portfolio as a result of investing the proceeds from our secondary offering of common shares in 2014, proceeds from our IPO, and cash flows generated from operations. The increase in net investment income is also due to an increase in the yield on the investment portfolio, resulting from an increase in higher yielding fixed maturity securities. The average cash and investment portfolio balance was $1.2 billion for the three months ended September 30, 2015 compared to $885.0 million for the three months ended September 30, 2014. The average cash and investment portfolio balance was $1.1 billion for the nine months ended September 30, 2015 compared to $845.8 million for the nine months ended September 30, 2014. The pre-tax investment income yield was 1.9% and 1.7% in the three months ended September 30, 2015 and 2014, respectively, and</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1.8% and 1.4% in the nine months ended September 30, 2015 and 2014, respectively. The pre-tax investment income yields are calculated based on amortized cost. See “— Liquidity and Capital Resources” below for further details of our investment portfolio.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three months ended September 30, 2015 compared to the same period in 2014 was primarily due to an increase in the estimated fair value of our ACIS contracts principally resulting from a decrease in observed prepayment speeds associated with the underlying pool of mortgages on the reference STACR notes. The increase in other income for the nine months ended September 30, 2015 compared to the same period in 2014 was primarily due to an increase in contract underwriting revenue, partially offset by a decrease in Triad service fees associated with a reduction in the number Triad’s mortgage insurance policies in force.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increase in the provision for losses and LAE in the three and nine months ended September 30, 2015 as compared to the same periods in 2014 was due to increases in the number of insured loans in default and the seasoning of the underlying loans in default, partially offset by previously identified defaults that cured.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84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2015</w:t>
            </w:r>
          </w:p>
        </w:tc>
        <w:tc>
          <w:tcPr>
            <w:tcW w:w="1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555</w:t>
            </w: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840" w:type="dxa"/>
            <w:vAlign w:val="bottom"/>
            <w:gridSpan w:val="2"/>
          </w:tcPr>
          <w:p>
            <w:pPr>
              <w:ind w:left="5620"/>
              <w:spacing w:after="0"/>
              <w:rPr>
                <w:sz w:val="20"/>
                <w:szCs w:val="20"/>
                <w:color w:val="auto"/>
              </w:rPr>
            </w:pPr>
            <w:r>
              <w:rPr>
                <w:rFonts w:ascii="Arial" w:cs="Arial" w:eastAsia="Arial" w:hAnsi="Arial"/>
                <w:sz w:val="18"/>
                <w:szCs w:val="18"/>
                <w:color w:val="auto"/>
                <w:w w:val="99"/>
              </w:rPr>
              <w:t>26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increase in the number of defaults at September 30, 2015 compared to September 30, 2014 was primarily due to an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84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13,343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5,192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340" w:type="dxa"/>
            <w:vAlign w:val="bottom"/>
          </w:tcPr>
          <w:p>
            <w:pPr>
              <w:spacing w:after="0"/>
              <w:rPr>
                <w:sz w:val="21"/>
                <w:szCs w:val="21"/>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312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r>
      <w:tr>
        <w:trPr>
          <w:trHeight w:val="27"/>
        </w:trPr>
        <w:tc>
          <w:tcPr>
            <w:tcW w:w="8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11"/>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2780" w:type="dxa"/>
            <w:vAlign w:val="bottom"/>
            <w:gridSpan w:val="7"/>
          </w:tcPr>
          <w:p>
            <w:pPr>
              <w:jc w:val="right"/>
              <w:ind w:right="488"/>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3"/>
              </w:rPr>
              <w:t>2015</w:t>
            </w:r>
          </w:p>
        </w:tc>
        <w:tc>
          <w:tcPr>
            <w:tcW w:w="6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820" w:type="dxa"/>
            <w:vAlign w:val="bottom"/>
            <w:tcBorders>
              <w:bottom w:val="single" w:sz="8" w:color="CCEEFF"/>
            </w:tcBorders>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43"/>
        </w:trPr>
        <w:tc>
          <w:tcPr>
            <w:tcW w:w="4580" w:type="dxa"/>
            <w:vAlign w:val="bottom"/>
            <w:gridSpan w:val="6"/>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43"/>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Prior years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Incurred losses during the current period</w:t>
            </w: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37"/>
        </w:trPr>
        <w:tc>
          <w:tcPr>
            <w:tcW w:w="4580" w:type="dxa"/>
            <w:vAlign w:val="bottom"/>
            <w:gridSpan w:val="6"/>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Prior years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8"/>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period</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57"/>
        </w:trPr>
        <w:tc>
          <w:tcPr>
            <w:tcW w:w="3220" w:type="dxa"/>
            <w:vAlign w:val="bottom"/>
            <w:gridSpan w:val="3"/>
          </w:tcPr>
          <w:p>
            <w:pPr>
              <w:ind w:left="40"/>
              <w:spacing w:after="0"/>
              <w:rPr>
                <w:sz w:val="20"/>
                <w:szCs w:val="20"/>
                <w:color w:val="auto"/>
              </w:rPr>
            </w:pPr>
            <w:r>
              <w:rPr>
                <w:rFonts w:ascii="Arial" w:cs="Arial" w:eastAsia="Arial" w:hAnsi="Arial"/>
                <w:sz w:val="18"/>
                <w:szCs w:val="18"/>
                <w:color w:val="auto"/>
                <w:w w:val="89"/>
              </w:rPr>
              <w:t>Reserve for losses and LAE at end of period</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14,548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center"/>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14,548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 of September 30, 2015</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4"/>
              </w:rPr>
              <w:t>Number of</w:t>
            </w:r>
          </w:p>
        </w:tc>
        <w:tc>
          <w:tcPr>
            <w:tcW w:w="1640" w:type="dxa"/>
            <w:vAlign w:val="bottom"/>
            <w:gridSpan w:val="5"/>
          </w:tcPr>
          <w:p>
            <w:pPr>
              <w:jc w:val="center"/>
              <w:ind w:right="628"/>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3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2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6"/>
              </w:rPr>
              <w:t>Policies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4"/>
              </w:rPr>
              <w:t>Amount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4"/>
                <w:szCs w:val="14"/>
                <w:b w:val="1"/>
                <w:bCs w:val="1"/>
                <w:color w:val="auto"/>
                <w:w w:val="86"/>
              </w:rPr>
              <w:t>Reserves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Three payments or less</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gridSpan w:val="3"/>
          </w:tcPr>
          <w:p>
            <w:pPr>
              <w:jc w:val="right"/>
              <w:ind w:right="168"/>
              <w:spacing w:after="0"/>
              <w:rPr>
                <w:sz w:val="20"/>
                <w:szCs w:val="20"/>
                <w:color w:val="auto"/>
              </w:rPr>
            </w:pPr>
            <w:r>
              <w:rPr>
                <w:rFonts w:ascii="Arial" w:cs="Arial" w:eastAsia="Arial" w:hAnsi="Arial"/>
                <w:sz w:val="18"/>
                <w:szCs w:val="18"/>
                <w:color w:val="auto"/>
              </w:rPr>
              <w:t>53%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23,220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15,771</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Twelve or more payments</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jc w:val="right"/>
              <w:ind w:right="91"/>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3,414</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29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gridSpan w:val="3"/>
          </w:tcPr>
          <w:p>
            <w:pPr>
              <w:jc w:val="right"/>
              <w:spacing w:after="0"/>
              <w:rPr>
                <w:sz w:val="20"/>
                <w:szCs w:val="20"/>
                <w:color w:val="auto"/>
              </w:rPr>
            </w:pPr>
            <w:r>
              <w:rPr>
                <w:rFonts w:ascii="Arial" w:cs="Arial" w:eastAsia="Arial" w:hAnsi="Arial"/>
                <w:sz w:val="18"/>
                <w:szCs w:val="18"/>
                <w:color w:val="auto"/>
              </w:rPr>
              <w:t>13,343</w:t>
            </w:r>
          </w:p>
        </w:tc>
        <w:tc>
          <w:tcPr>
            <w:tcW w:w="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42,995</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LAE and other</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 reserves</w:t>
            </w: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As of September 30, 2014</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3"/>
                <w:szCs w:val="13"/>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9"/>
              </w:rPr>
              <w:t>Amount of</w:t>
            </w:r>
          </w:p>
        </w:tc>
        <w:tc>
          <w:tcPr>
            <w:tcW w:w="100" w:type="dxa"/>
            <w:vAlign w:val="bottom"/>
          </w:tcPr>
          <w:p>
            <w:pPr>
              <w:spacing w:after="0"/>
              <w:rPr>
                <w:sz w:val="13"/>
                <w:szCs w:val="13"/>
                <w:color w:val="auto"/>
              </w:rPr>
            </w:pP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3"/>
                <w:szCs w:val="13"/>
                <w:color w:val="auto"/>
              </w:rPr>
            </w:pPr>
          </w:p>
        </w:tc>
        <w:tc>
          <w:tcPr>
            <w:tcW w:w="10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1,773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9,464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2,405</w:t>
            </w:r>
          </w:p>
        </w:tc>
        <w:tc>
          <w:tcPr>
            <w:tcW w:w="15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4,865</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788</w:t>
            </w:r>
          </w:p>
        </w:tc>
        <w:tc>
          <w:tcPr>
            <w:tcW w:w="1540" w:type="dxa"/>
            <w:vAlign w:val="bottom"/>
            <w:gridSpan w:val="2"/>
          </w:tcPr>
          <w:p>
            <w:pPr>
              <w:jc w:val="right"/>
              <w:ind w:right="12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1,042</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w:t>
            </w:r>
          </w:p>
        </w:tc>
        <w:tc>
          <w:tcPr>
            <w:tcW w:w="15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5,192</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15,594</w:t>
            </w:r>
          </w:p>
        </w:tc>
        <w:tc>
          <w:tcPr>
            <w:tcW w:w="144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w:t>
            </w: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three months ended September 30, 2015, the provision for losses and LAE was $3.4 million, comprised of $4.3 million of current year losses partially offset by $0.9 million of favorable prior years’ loss development. During the three months ended September 30, 2014, the provision for losses and LAE was $1.4 million, comprised of $1.5 million of current year losses partially offset by $0.1 million of favorable prior years’ loss development. In both periods, the prior years’ loss development is the result of a re-estimation of amounts ultimately to be paid on prior year defaults in the default inventory.</w:t>
      </w:r>
    </w:p>
    <w:p>
      <w:pPr>
        <w:spacing w:after="0" w:line="15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nine months ended September 30, 2015, the provision for losses and LAE was $7.7 million, comprised of $10.4 million of current year losses partially offset by $2.7 million of favorable prior years’ loss development. During the nine months ended September 30, 2014, the provision for losses and LAE was $3.3 million, comprised of $4.0 million of current year losses partially offset by $0.7 million of favorable prior years’ loss development. In both periods, the prior years’ loss development is the result of a re-estimation of amounts ultimately to be paid on prior year defaults in the default inventory.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1060" w:type="dxa"/>
            <w:vAlign w:val="bottom"/>
          </w:tcPr>
          <w:p>
            <w:pPr>
              <w:jc w:val="right"/>
              <w:ind w:right="8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214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636</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6"/>
              </w:rPr>
              <w:t>2015</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17,796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16,369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53,459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47,877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10,918</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29,901</w:t>
            </w:r>
          </w:p>
        </w:tc>
        <w:tc>
          <w:tcPr>
            <w:tcW w:w="100" w:type="dxa"/>
            <w:vAlign w:val="bottom"/>
          </w:tcPr>
          <w:p>
            <w:pPr>
              <w:spacing w:after="0"/>
              <w:rPr>
                <w:sz w:val="21"/>
                <w:szCs w:val="21"/>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23,699</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33</w:t>
            </w: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28,714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24,469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83,360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71,576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322</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Other underwriting and operating expenses were $28.7 million in the three months ended September 30, 2015 as compared to $24.5 million in the three months ended September 30, 2014. Other underwriting and operating expenses were $83.4 million in the nine months ended September 30, 2015 as compared to $71.6 million in the nine months ended September 30, 2014. The significant factors contributing to the change in other underwriting and operating expenses were:</w:t>
      </w:r>
    </w:p>
    <w:p>
      <w:pPr>
        <w:spacing w:after="0" w:line="187" w:lineRule="exact"/>
        <w:rPr>
          <w:sz w:val="20"/>
          <w:szCs w:val="20"/>
          <w:color w:val="auto"/>
        </w:rPr>
      </w:pPr>
    </w:p>
    <w:p>
      <w:pPr>
        <w:ind w:left="660" w:right="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our work force to 364 at September 30, 2015 from 289 at January 1, 2014, and an increase in stock compensation expense. Additional employees were hired to</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40"/>
        <w:spacing w:after="0" w:line="324" w:lineRule="auto"/>
        <w:rPr>
          <w:sz w:val="20"/>
          <w:szCs w:val="20"/>
          <w:color w:val="auto"/>
        </w:rPr>
      </w:pPr>
      <w:r>
        <w:rPr>
          <w:rFonts w:ascii="Arial" w:cs="Arial" w:eastAsia="Arial" w:hAnsi="Arial"/>
          <w:sz w:val="18"/>
          <w:szCs w:val="18"/>
          <w:color w:val="auto"/>
        </w:rPr>
        <w:t>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43" w:lineRule="exact"/>
        <w:rPr>
          <w:sz w:val="20"/>
          <w:szCs w:val="20"/>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expenses include premium taxes, travel, marketing, hardware, software, rent, depreciation and amortization and other facilities expenses. Other expenses increased as a result of the continued expansion of our business.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subsidiaries in the United States file a consolidated U.S. Federal income tax return. Our income tax expense was $18.8 million and $13.7 million for the three months ended September 30, 2015 and 2014, respectively. Our income tax expense was $51.9 million and $32.3 million for the nine months ended September 30, 2015 and 2014, respectively. Our effective tax rate was 31.5% and 35.3% for the three months ended September 30, 2015 and 2014, respectively, and 31.5% and 35.1% for the nine months ended September 30, 2015 and 2014, respectively. In 2014, substantially all of our earnings were generated in the United States. For 2015, we expect the proportion of our consolidated earnings generated in Bermuda to increase as a result of insurance and reinsurance contracts executed with Freddie Mac and Fannie Mae and the quota share reinsurance agreement entered in to by Essent Guaranty and Essent Re effective July 1, 2014. Bermuda does not have a corporate income tax. For interim reporting periods, we use an annualized effective tax rate method required under GAAP to calculate the income tax provision. In the three and nine months ended September 30, 2015, our effective tax rate is below the U.S. statutory income tax rate primarily due to the expected proportion of our consolidated earnings to be generated in Bermuda. In the three and nine months ended September 30, 2014, our effective tax rate approximated the federal statutory tax rate as earnings in Bermuda were substantially offset by permanent differences.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September 30, 2015, we had substantial liquidity with cash of $18.7 million, short-term investments of $121.6 million and fixed maturity investments of $1.1 billion, and had no debt outstanding. At September 30, 2015, net cash and investments at the holding company were $69.3 million. Our cash and short-term investment position decreased in the nine months ended September 30, 2015 as compared to the year ended December 31, 2014 primarily as a result of an increase in amounts invested in our fixed income portfolio. Our cash and short-term investment position increased during the year ended December 31, 2014 primarily as a result of net proceeds of $126.7 million from our secondary offering of common shares which was completed in November 2014 plus cash flows from operations, net of amounts invested in our fixed income portfolio.</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to provide additional capital related to the growth of our risk in force in our mortgage insurance portfolio, or to fund new business initiatives including the insurance activities of Essent 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absent the Pennsylvania Insurance Commissioner’s prior approval. At September 30, 2015, Essent Guaranty had negative unassigned surplus and therefore would require prior approval by the Pennsylvania Insurance Commissioner to make any dividend payment or other distributions in 2015. At September 30, 2015, Essent PA had unassigned surplus of $6.4 million. During the nine months ended September 30, 2015, Essent PA did not pay a dividend. In 2014, Essent PA paid a $200,000 dividend to Essent Holdings. Essent Guaranty has paid no dividends since its inception. 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2015, Essent Re had total equity of $212.2 million. At September 30, 2015, our insurance subsidiaries were in compliance with these rules, regulations and agreements. In addition, in connection with its insurance and reinsurance activities, Essent Re is required to maintain assets in trusts for the benefit of its contractual counterparties. See Note 2 to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159,186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101,566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(161,644)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(557,618)</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(460,081)</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Cash flow provided by operating activities totaled $159.2 million for the nine months ended September 30, 2015 as compared to cash flow provided by operating activities of $101.6 million for the nine months ended September 30, 2014. The increase in cash flow from operating activities of $57.6 million in 2015 was a result of increases in premiums collected and net investment income, partially offset by increases in prepaid taxes and expenses paid.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Cash flow used in investing activities totaled $161.6 million for the nine months ended September 30, 2015, primarily related to investing cash flows from the business. Cash flow used in investing activities totaled $557.6 million for the nine months ended September 30, 2014 primarily related to investing capital contributions from our initial investors received in 2013, proceeds from our initial public offering that was completed in November 2013, and cash flows from the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used in financing activities totaled $3.2 million for the nine months ended September 30, 2015, primarily related to the acquisition of treasury stock from employees to satisfy tax withholding obligations, partially offset by excess tax benefits recognized as a result of stock-based compensation. Cash flow used in financing activities totaled $4.0 million for the nine months ended September 30, 2014, primarily related to a payment made to Triad under the Asset Purchase Agreement, and the acquisition of treasury stock from employees to satisfy tax withholding obligations, partially offset by excess tax benefits recognized as a result of stock-based compensation.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compute a risk to capital ratio for our U.S. insurance companies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nine months ended September 30, 2015, capital contributions of $20.0 million were made by Essent Group Ltd. to a U.S. insurance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 to capital calculation for our U.S. insurance operations as of September 30, 2015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560,932</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303,858</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864,790</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13,316,327</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 to 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10 to our condensed consolidated financial statements. Our combined statutory capital equals the sum of statutory capital of Essent Guaranty plus Essent PA, after eliminating the impact of intercompany transactions. The combined risk to 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Beginning in 2014, Essent Re entered into risk share insurance and reinsurance transactions with Freddie Mac and Fannie Mae. In 2014, Essent Re also executed a quota share reinsurance transaction with Essent Guaranty to reinsure 25% of Essent Guaranty’s GSE-eligible NIW effective July 1, 2014. During the nine months ended September 30, 2015, Essent Group Ltd. made capital contributions to Essent Re of $41.2 million to support new business written. As of September 30, 2015, Essent Re had total stockholders’ equity of $212.2 million and net risk in force of $2.0 billion.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Baa2 with a positive outlook by Moody's and BBB+ with a stable outlook by S&amp;P.</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the second quarter of 2015, at the direction of the FHFA, Fannie Mae and Freddie Mac finalized the PMIERs, which become effective on December 31, 2015. The PMIERs represent the standards by which private mortgage insurers will be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September 30, 2015, Essent had sufficient assets in its insurance companies to meet the total risk-based required asset amount of the PMIERs.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September 30, 2015, stockholders’ equity was $1.1 billion compared to $955.7 million as of December 31, 2014. This increase was primarily due to net income generated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total fair value of our investment portfolio was $1.2 billion as of September 30, 2015 and $1.1 billion as of December 31, 2014. In addition, our total cash was $18.7 million as of September 30, 2015, compared to $24.4 million as of December 31,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4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 2015</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0"/>
              </w:rPr>
              <w:t>December 31, 2014</w:t>
            </w: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3"/>
          </w:tcPr>
          <w:p>
            <w:pPr>
              <w:spacing w:after="0"/>
              <w:rPr>
                <w:sz w:val="22"/>
                <w:szCs w:val="22"/>
                <w:color w:val="auto"/>
              </w:rPr>
            </w:pPr>
          </w:p>
        </w:tc>
        <w:tc>
          <w:tcPr>
            <w:tcW w:w="12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188,312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74,216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4"/>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128,225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83,540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277,535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4"/>
              <w:spacing w:after="0"/>
              <w:rPr>
                <w:sz w:val="20"/>
                <w:szCs w:val="20"/>
                <w:color w:val="auto"/>
              </w:rPr>
            </w:pPr>
            <w:r>
              <w:rPr>
                <w:rFonts w:ascii="Arial" w:cs="Arial" w:eastAsia="Arial" w:hAnsi="Arial"/>
                <w:sz w:val="18"/>
                <w:szCs w:val="18"/>
                <w:color w:val="auto"/>
              </w:rPr>
              <w:t>195,546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371,620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296,829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Mortgage-backed securities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55,261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4"/>
              <w:spacing w:after="0"/>
              <w:rPr>
                <w:sz w:val="20"/>
                <w:szCs w:val="20"/>
                <w:color w:val="auto"/>
              </w:rPr>
            </w:pPr>
            <w:r>
              <w:rPr>
                <w:rFonts w:ascii="Arial" w:cs="Arial" w:eastAsia="Arial" w:hAnsi="Arial"/>
                <w:sz w:val="18"/>
                <w:szCs w:val="18"/>
                <w:color w:val="auto"/>
              </w:rPr>
              <w:t>66,086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124,276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126,188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4"/>
          </w:tcPr>
          <w:p>
            <w:pPr>
              <w:ind w:left="40"/>
              <w:spacing w:after="0"/>
              <w:rPr>
                <w:sz w:val="20"/>
                <w:szCs w:val="20"/>
                <w:color w:val="auto"/>
              </w:rPr>
            </w:pPr>
            <w:r>
              <w:rPr>
                <w:rFonts w:ascii="Arial" w:cs="Arial" w:eastAsia="Arial" w:hAnsi="Arial"/>
                <w:sz w:val="18"/>
                <w:szCs w:val="18"/>
                <w:color w:val="auto"/>
              </w:rPr>
              <w:t>Money market funds</w:t>
            </w: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92,100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24"/>
              <w:spacing w:after="0"/>
              <w:rPr>
                <w:sz w:val="20"/>
                <w:szCs w:val="20"/>
                <w:color w:val="auto"/>
              </w:rPr>
            </w:pPr>
            <w:r>
              <w:rPr>
                <w:rFonts w:ascii="Arial" w:cs="Arial" w:eastAsia="Arial" w:hAnsi="Arial"/>
                <w:sz w:val="18"/>
                <w:szCs w:val="18"/>
                <w:color w:val="auto"/>
              </w:rPr>
              <w:t>210,688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1,240,514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gridSpan w:val="3"/>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1,057,613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603"/>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(1) The following table summarizes municipal debt securities as of :</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5"/>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assessment bonds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September 30, 2015</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2014</w:t>
            </w:r>
          </w:p>
        </w:tc>
        <w:tc>
          <w:tcPr>
            <w:tcW w:w="1160" w:type="dxa"/>
            <w:vAlign w:val="bottom"/>
            <w:tcBorders>
              <w:bottom w:val="single" w:sz="8" w:color="auto"/>
            </w:tcBorders>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553,986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545,807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58,689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47,792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4.5</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90,987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71,243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48,261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4.6</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114,374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74,161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108,041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67,413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6.4</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90,083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71,964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72,507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60,399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5.7</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69,730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79,727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10,469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1,240,514</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1,057,613</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21"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 2015</w:t>
            </w: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December 31, 2014</w:t>
            </w:r>
          </w:p>
        </w:tc>
        <w:tc>
          <w:tcPr>
            <w:tcW w:w="1360" w:type="dxa"/>
            <w:vAlign w:val="bottom"/>
            <w:tcBorders>
              <w:bottom w:val="single" w:sz="8" w:color="auto"/>
            </w:tcBorders>
          </w:tcPr>
          <w:p>
            <w:pPr>
              <w:spacing w:after="0"/>
              <w:rPr>
                <w:sz w:val="16"/>
                <w:szCs w:val="16"/>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280,418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332,399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132,479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85,971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8.1</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179,858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167,504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15.8</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139,760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106,432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10.1</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88,546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80,300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419,453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285,007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27.0</w:t>
            </w: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1,240,514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1,057,613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September 30, 2015</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0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0.000% 10/22/2015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29,500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US Treasury 2.125% 5/15/2025</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25,461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2.125% 6/30/2022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Ginnie Mae 3.500% MBS 30Yr</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17,970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2.250% 11/15/2024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US Treasury 0.375% 3/15/2016</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15,016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1.500% 5/31/2020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US Treasury 1.000% 9/30/2016</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0.750% 3/15/2017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US Treasury 2.000% 7/31/2022</w:t>
            </w:r>
          </w:p>
        </w:tc>
        <w:tc>
          <w:tcPr>
            <w:tcW w:w="22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162,658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161,345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September 30, 2015, for securities in unrealized loss positions, management believes decline in fair values is principally associated with the changes in the interest rate environment subsequent to their purchase and there are no other-than-temporary impairments. Also, see Note 2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56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2"/>
          </w:tcPr>
          <w:p>
            <w:pPr>
              <w:ind w:left="192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 Treasury 2.375% 8/15/2024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Arial" w:cs="Arial" w:eastAsia="Arial" w:hAnsi="Arial"/>
                <w:sz w:val="18"/>
                <w:szCs w:val="18"/>
                <w:color w:val="auto"/>
              </w:rPr>
              <w:t>US Treasury 1.500% 11/30/2019</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2.000%</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10/31/2021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Arial" w:cs="Arial" w:eastAsia="Arial" w:hAnsi="Arial"/>
                <w:sz w:val="18"/>
                <w:szCs w:val="18"/>
                <w:color w:val="auto"/>
              </w:rPr>
              <w:t>Fannie Mae 4.500% MBS 30Yr</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Freddie Mac 4.000% MBS 30Yr</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w w:val="90"/>
              </w:rPr>
              <w:t>US Treasury 2.750%</w:t>
            </w:r>
          </w:p>
        </w:tc>
        <w:tc>
          <w:tcPr>
            <w:tcW w:w="5000" w:type="dxa"/>
            <w:vAlign w:val="bottom"/>
          </w:tcPr>
          <w:p>
            <w:pPr>
              <w:ind w:left="20"/>
              <w:spacing w:after="0"/>
              <w:rPr>
                <w:sz w:val="20"/>
                <w:szCs w:val="20"/>
                <w:color w:val="auto"/>
              </w:rPr>
            </w:pPr>
            <w:r>
              <w:rPr>
                <w:rFonts w:ascii="Arial" w:cs="Arial" w:eastAsia="Arial" w:hAnsi="Arial"/>
                <w:sz w:val="18"/>
                <w:szCs w:val="18"/>
                <w:color w:val="auto"/>
              </w:rPr>
              <w:t>2/15/2024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2.000%</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8/31/2021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Arial" w:cs="Arial" w:eastAsia="Arial" w:hAnsi="Arial"/>
                <w:sz w:val="18"/>
                <w:szCs w:val="18"/>
                <w:color w:val="auto"/>
              </w:rPr>
              <w:t>Ally Master Owner Trust ABS 2014-1 A1</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2.000%</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Arial" w:cs="Arial" w:eastAsia="Arial" w:hAnsi="Arial"/>
                <w:sz w:val="18"/>
                <w:szCs w:val="18"/>
                <w:color w:val="auto"/>
              </w:rPr>
              <w:t>Sysco Corporation 3.000% 10/2/2021</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72,584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56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0" w:type="dxa"/>
            <w:vAlign w:val="bottom"/>
            <w:vMerge w:val="restart"/>
          </w:tcPr>
          <w:p>
            <w:pPr>
              <w:ind w:left="7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municipal debt securities for states that represent more than 10% of the total municipal bond position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Houston TX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Austin TX Electric Utility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Dallas TX Waterworks &amp; Sewer</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North Texas Tollway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San Antonio Airport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Texas Transportation Commission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Houston Texas Combined Utility System</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City of Corpus Christi Utility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Pasadena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Tarrant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of Texas Public Finance Authority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San Jacinto College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Central Texas Turnpike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El Paso TX</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28,239</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2015, the effective duration of our investment portfolio, including cash, was 3.7 years, which means that an instantaneous parallel shift (movement up or down) in the yield curve of 100 basis points would result in a change of 3.7% in fair value of our investment portfolio. Excluding cash, our investment portfolio effective duration was 4.1 years, which means that an instantaneous parallel shift (movement up or down) in the yield curve of 100 basis points would result in a change of 4.1%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2015, the end of the period covered by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2014.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September 30, 2015.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2015</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August 1 - August 31, 2015</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2015</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1,543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25.92</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2,122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2015,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November 6, 2015</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November 6, 2015</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640" w:val="left"/>
          <w:tab w:leader="none" w:pos="5440" w:val="left"/>
        </w:tabs>
        <w:rPr>
          <w:sz w:val="20"/>
          <w:szCs w:val="20"/>
          <w:color w:val="auto"/>
        </w:rPr>
      </w:pPr>
      <w:r>
        <w:rPr>
          <w:rFonts w:ascii="Arial" w:cs="Arial" w:eastAsia="Arial" w:hAnsi="Arial"/>
          <w:sz w:val="18"/>
          <w:szCs w:val="18"/>
          <w:color w:val="auto"/>
        </w:rPr>
        <w:t>Date:</w:t>
        <w:tab/>
        <w:t>November 6, 2015</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25" w:right="4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9"/>
                <w:szCs w:val="19"/>
                <w:color w:val="auto"/>
              </w:rPr>
            </w:pPr>
          </w:p>
        </w:tc>
        <w:tc>
          <w:tcPr>
            <w:tcW w:w="9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2015, formatted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62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6" w:name="page47"/>
    <w:bookmarkEnd w:id="46"/>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181" w:lineRule="exact"/>
        <w:rPr>
          <w:sz w:val="20"/>
          <w:szCs w:val="20"/>
          <w:color w:val="auto"/>
        </w:rPr>
      </w:pPr>
    </w:p>
    <w:p>
      <w:pPr>
        <w:ind w:right="140" w:firstLine="8"/>
        <w:spacing w:after="0" w:line="324"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2015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6, 2015</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decimal"/>
      <w:start w:val="5"/>
    </w:lvl>
    <w:lvl w:ilvl="1">
      <w:lvlJc w:val="left"/>
      <w:lvlText w:val="(%2)"/>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3"/>
    </w:lvl>
  </w:abstractNum>
  <w:abstractNum w:abstractNumId="30">
    <w:nsid w:val="737B8DDC"/>
    <w:multiLevelType w:val="hybridMultilevel"/>
    <w:lvl w:ilvl="0">
      <w:lvlJc w:val="left"/>
      <w:lvlText w:val="%1."/>
      <w:numFmt w:val="decimal"/>
      <w:start w:val="5"/>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2020-01-25T04:33:24Z</dcterms:created>
  <dcterms:modified xsi:type="dcterms:W3CDTF">2020-01-25T04:33:24Z</dcterms:modified>
</cp:coreProperties>
</file>