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period ended March 31, 2018</w:t>
      </w:r>
    </w:p>
    <w:p>
      <w:pPr>
        <w:spacing w:after="0" w:line="145" w:lineRule="exact"/>
        <w:rPr>
          <w:sz w:val="24"/>
          <w:szCs w:val="24"/>
          <w:color w:val="auto"/>
        </w:rPr>
      </w:pPr>
    </w:p>
    <w:p>
      <w:pPr>
        <w:ind w:left="740" w:hanging="408"/>
        <w:spacing w:after="0"/>
        <w:tabs>
          <w:tab w:leader="none" w:pos="740" w:val="left"/>
        </w:tabs>
        <w:numPr>
          <w:ilvl w:val="0"/>
          <w:numId w:val="2"/>
        </w:numPr>
        <w:rPr>
          <w:rFonts w:ascii="Arial" w:cs="Arial" w:eastAsia="Arial" w:hAnsi="Arial"/>
          <w:sz w:val="21"/>
          <w:szCs w:val="21"/>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60"/>
          </w:cols>
          <w:pgMar w:left="240" w:top="233" w:right="299" w:bottom="1440" w:gutter="0" w:footer="0" w:header="0"/>
        </w:sectPr>
      </w:pPr>
    </w:p>
    <w:p>
      <w:pPr>
        <w:spacing w:after="0" w:line="13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640"/>
          </w:cols>
          <w:pgMar w:left="240" w:top="233" w:right="2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780" w:type="dxa"/>
        <w:tblCellMar>
          <w:top w:w="0" w:type="dxa"/>
          <w:left w:w="0" w:type="dxa"/>
          <w:bottom w:w="0" w:type="dxa"/>
          <w:right w:w="0" w:type="dxa"/>
        </w:tblCellMar>
      </w:tblPr>
      <w:tr>
        <w:trPr>
          <w:trHeight w:val="37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6"/>
              </w:rPr>
              <w:t>ESSENT GROUP LTD.</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49"/>
        </w:trPr>
        <w:tc>
          <w:tcPr>
            <w:tcW w:w="14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568"/>
        </w:trPr>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Bermuda</w:t>
            </w:r>
          </w:p>
        </w:tc>
        <w:tc>
          <w:tcPr>
            <w:tcW w:w="5580" w:type="dxa"/>
            <w:vAlign w:val="bottom"/>
            <w:gridSpan w:val="2"/>
          </w:tcPr>
          <w:p>
            <w:pPr>
              <w:jc w:val="center"/>
              <w:ind w:left="3973"/>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 or other jurisdiction of</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3"/>
              </w:rPr>
              <w:t>(I.R.S. Employer</w:t>
            </w:r>
          </w:p>
        </w:tc>
      </w:tr>
      <w:tr>
        <w:trPr>
          <w:trHeight w:val="206"/>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incorporation or organization)</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5"/>
              </w:rPr>
              <w:t>Identification Number)</w:t>
            </w:r>
          </w:p>
        </w:tc>
      </w:tr>
      <w:tr>
        <w:trPr>
          <w:trHeight w:val="249"/>
        </w:trPr>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Clarendon House</w:t>
            </w: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2 Church Street</w:t>
            </w:r>
          </w:p>
        </w:tc>
      </w:tr>
      <w:tr>
        <w:trPr>
          <w:trHeight w:val="207"/>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5"/>
              </w:rPr>
              <w:t>Hamilton HM11, Bermuda</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2"/>
              </w:rPr>
              <w:t>(Address of principal executive offices and zip code)</w:t>
            </w:r>
          </w:p>
        </w:tc>
      </w:tr>
      <w:tr>
        <w:trPr>
          <w:trHeight w:val="401"/>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(441) 297-9901</w:t>
            </w:r>
          </w:p>
        </w:tc>
        <w:tc>
          <w:tcPr>
            <w:tcW w:w="1260" w:type="dxa"/>
            <w:vAlign w:val="bottom"/>
          </w:tcPr>
          <w:p>
            <w:pPr>
              <w:spacing w:after="0"/>
              <w:rPr>
                <w:sz w:val="24"/>
                <w:szCs w:val="24"/>
                <w:color w:val="auto"/>
              </w:rPr>
            </w:pP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16"/>
                <w:szCs w:val="16"/>
                <w:color w:val="auto"/>
                <w:w w:val="91"/>
              </w:rPr>
              <w:t>(Registrant’s telephone number, including area code)</w:t>
            </w:r>
          </w:p>
        </w:tc>
      </w:tr>
    </w:tbl>
    <w:p>
      <w:pPr>
        <w:spacing w:after="0" w:line="140" w:lineRule="exact"/>
        <w:rPr>
          <w:sz w:val="24"/>
          <w:szCs w:val="24"/>
          <w:color w:val="auto"/>
        </w:rPr>
      </w:pPr>
    </w:p>
    <w:p>
      <w:pPr>
        <w:jc w:val="both"/>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233" w:right="299" w:bottom="1440" w:gutter="0" w:footer="0" w:header="0"/>
          <w:type w:val="continuous"/>
        </w:sectPr>
      </w:pPr>
    </w:p>
    <w:p>
      <w:pPr>
        <w:spacing w:after="0" w:line="132" w:lineRule="exact"/>
        <w:rPr>
          <w:sz w:val="24"/>
          <w:szCs w:val="24"/>
          <w:color w:val="auto"/>
        </w:rPr>
      </w:pPr>
    </w:p>
    <w:p>
      <w:pPr>
        <w:ind w:left="25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3940" w:space="700"/>
            <w:col w:w="320" w:space="720"/>
            <w:col w:w="2260" w:space="720"/>
            <w:col w:w="2700"/>
          </w:cols>
          <w:pgMar w:left="240" w:top="233" w:right="299" w:bottom="1440" w:gutter="0" w:footer="0" w:header="0"/>
          <w:type w:val="continuous"/>
        </w:sectPr>
      </w:pPr>
    </w:p>
    <w:p>
      <w:pPr>
        <w:ind w:left="25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109" w:lineRule="exact"/>
        <w:rPr>
          <w:sz w:val="24"/>
          <w:szCs w:val="24"/>
          <w:color w:val="auto"/>
        </w:rPr>
      </w:pPr>
    </w:p>
    <w:p>
      <w:pPr>
        <w:sectPr>
          <w:pgSz w:w="11900" w:h="16838" w:orient="portrait"/>
          <w:cols w:equalWidth="0" w:num="3">
            <w:col w:w="3920" w:space="720"/>
            <w:col w:w="80" w:space="320"/>
            <w:col w:w="6320"/>
          </w:cols>
          <w:pgMar w:left="240" w:top="233" w:right="2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sectPr>
          <w:pgSz w:w="11900" w:h="16838" w:orient="portrait"/>
          <w:cols w:equalWidth="0" w:num="2">
            <w:col w:w="7940" w:space="720"/>
            <w:col w:w="2700"/>
          </w:cols>
          <w:pgMar w:left="240" w:top="233" w:right="2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86" w:lineRule="exact"/>
        <w:rPr>
          <w:sz w:val="24"/>
          <w:szCs w:val="24"/>
          <w:color w:val="auto"/>
        </w:rPr>
      </w:pPr>
    </w:p>
    <w:p>
      <w:pPr>
        <w:sectPr>
          <w:pgSz w:w="11900" w:h="16838" w:orient="portrait"/>
          <w:cols w:equalWidth="0" w:num="2">
            <w:col w:w="7940" w:space="720"/>
            <w:col w:w="2700"/>
          </w:cols>
          <w:pgMar w:left="240" w:top="233" w:right="299" w:bottom="1440" w:gutter="0" w:footer="0" w:header="0"/>
          <w:type w:val="continuous"/>
        </w:sectPr>
      </w:pPr>
    </w:p>
    <w:p>
      <w:pPr>
        <w:ind w:right="80" w:firstLine="55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560" w:right="162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May 1, 2018 was 98,105,419.</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5"/>
          </w:tcPr>
          <w:p>
            <w:pPr>
              <w:spacing w:after="0"/>
              <w:rPr>
                <w:sz w:val="24"/>
                <w:szCs w:val="24"/>
                <w:color w:val="auto"/>
              </w:rPr>
            </w:pPr>
          </w:p>
        </w:tc>
        <w:tc>
          <w:tcPr>
            <w:tcW w:w="2600" w:type="dxa"/>
            <w:vAlign w:val="bottom"/>
            <w:tcBorders>
              <w:bottom w:val="single" w:sz="8" w:color="0000EE"/>
            </w:tcBorders>
            <w:gridSpan w:val="8"/>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4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2.</w:t>
              </w:r>
            </w:hyperlink>
          </w:p>
        </w:tc>
        <w:tc>
          <w:tcPr>
            <w:tcW w:w="1060" w:type="dxa"/>
            <w:vAlign w:val="bottom"/>
            <w:gridSpan w:val="6"/>
          </w:tcPr>
          <w:p>
            <w:pPr>
              <w:spacing w:after="0"/>
              <w:rPr>
                <w:sz w:val="24"/>
                <w:szCs w:val="24"/>
                <w:color w:val="auto"/>
              </w:rPr>
            </w:pPr>
          </w:p>
        </w:tc>
        <w:tc>
          <w:tcPr>
            <w:tcW w:w="684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3.</w:t>
              </w:r>
            </w:hyperlink>
          </w:p>
        </w:tc>
        <w:tc>
          <w:tcPr>
            <w:tcW w:w="1060" w:type="dxa"/>
            <w:vAlign w:val="bottom"/>
            <w:gridSpan w:val="6"/>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4.</w:t>
              </w:r>
            </w:hyperlink>
          </w:p>
        </w:tc>
        <w:tc>
          <w:tcPr>
            <w:tcW w:w="1060" w:type="dxa"/>
            <w:vAlign w:val="bottom"/>
            <w:gridSpan w:val="6"/>
          </w:tcPr>
          <w:p>
            <w:pPr>
              <w:spacing w:after="0"/>
              <w:rPr>
                <w:sz w:val="24"/>
                <w:szCs w:val="24"/>
                <w:color w:val="auto"/>
              </w:rPr>
            </w:pPr>
          </w:p>
        </w:tc>
        <w:tc>
          <w:tcPr>
            <w:tcW w:w="192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PART II.</w:t>
              </w:r>
            </w:hyperlink>
          </w:p>
        </w:tc>
        <w:tc>
          <w:tcPr>
            <w:tcW w:w="900" w:type="dxa"/>
            <w:vAlign w:val="bottom"/>
            <w:gridSpan w:val="3"/>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c>
          <w:tcPr>
            <w:tcW w:w="202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1A.</w:t>
              </w:r>
            </w:hyperlink>
          </w:p>
        </w:tc>
        <w:tc>
          <w:tcPr>
            <w:tcW w:w="9580" w:type="dxa"/>
            <w:vAlign w:val="bottom"/>
            <w:gridSpan w:val="1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4"/>
          </w:tcPr>
          <w:p>
            <w:pPr>
              <w:spacing w:after="0"/>
              <w:rPr>
                <w:sz w:val="24"/>
                <w:szCs w:val="24"/>
                <w:color w:val="auto"/>
              </w:rPr>
            </w:pP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4">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5.</w:t>
              </w:r>
            </w:hyperlink>
          </w:p>
        </w:tc>
        <w:tc>
          <w:tcPr>
            <w:tcW w:w="1060" w:type="dxa"/>
            <w:vAlign w:val="bottom"/>
            <w:gridSpan w:val="6"/>
          </w:tcPr>
          <w:p>
            <w:pPr>
              <w:spacing w:after="0"/>
              <w:rPr>
                <w:sz w:val="24"/>
                <w:szCs w:val="24"/>
                <w:color w:val="auto"/>
              </w:rPr>
            </w:pPr>
          </w:p>
        </w:tc>
        <w:tc>
          <w:tcPr>
            <w:tcW w:w="9580" w:type="dxa"/>
            <w:vAlign w:val="bottom"/>
            <w:gridSpan w:val="17"/>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547"/>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6.</w:t>
              </w:r>
            </w:hyperlink>
          </w:p>
        </w:tc>
        <w:tc>
          <w:tcPr>
            <w:tcW w:w="1060" w:type="dxa"/>
            <w:vAlign w:val="bottom"/>
            <w:gridSpan w:val="6"/>
          </w:tcPr>
          <w:p>
            <w:pPr>
              <w:spacing w:after="0"/>
              <w:rPr>
                <w:sz w:val="24"/>
                <w:szCs w:val="24"/>
                <w:color w:val="auto"/>
              </w:rPr>
            </w:pPr>
          </w:p>
        </w:tc>
        <w:tc>
          <w:tcPr>
            <w:tcW w:w="144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Exhibits</w:t>
              </w:r>
            </w:hyperlink>
          </w:p>
        </w:tc>
        <w:tc>
          <w:tcPr>
            <w:tcW w:w="814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SIGNATURES</w:t>
              </w:r>
            </w:hyperlink>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2017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recently enacted U.S. Federal tax reform and its impact on us, our shareholders and our operations;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2018 — $2,116,143; 2017 — $1,994,200)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2,080,365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1,992,371</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2018 — $380,776; 2017 — $312,714)</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380,762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312,694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2,305,065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43,524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29,752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$51,363 in 2018 and $50,466 in 2017)</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6,979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252,157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8,730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2,741,217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2,674,368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272,339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259,672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127,636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3"/>
              </w:rPr>
              <w:t>Credit facility borrowings (at carrying value, less unamortized deferred costs of $1,303 in 2018 and $1,409 in 2017)</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263,697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248,591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36,184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745,927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733,932</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- 98,102 shares in 2018 and 98,434 shares in 2017</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1,099,676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1,127,137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926,144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815,075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1,995,290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1,940,436</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2,741,217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2,674,368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165,225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119,297</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152,558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117,651</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655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167,463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127,592</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38,124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36,332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r>
      <w:tr>
        <w:trPr>
          <w:trHeight w:val="237"/>
        </w:trPr>
        <w:tc>
          <w:tcPr>
            <w:tcW w:w="79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40,741</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121,580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86,851</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20,253</w:t>
            </w:r>
          </w:p>
        </w:tc>
      </w:tr>
      <w:tr>
        <w:trPr>
          <w:trHeight w:val="297"/>
        </w:trPr>
        <w:tc>
          <w:tcPr>
            <w:tcW w:w="79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111,069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66,598</w:t>
            </w:r>
          </w:p>
        </w:tc>
      </w:tr>
      <w:tr>
        <w:trPr>
          <w:trHeight w:val="271"/>
        </w:trPr>
        <w:tc>
          <w:tcPr>
            <w:tcW w:w="7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0.72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4"/>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91,258</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97,951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93,023</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111,069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66,598</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4"/>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Change in unrealized (depreciation) appreciation of investments, net of tax (benefit) expense of</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7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($5,193) in 2018 and $2,061 in 2017</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w:t>
            </w:r>
          </w:p>
        </w:tc>
      </w:tr>
      <w:tr>
        <w:trPr>
          <w:trHeight w:val="23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(loss) income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4,850</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82,319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71,448</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2"/>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2017</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1,397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918,296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(12,255)</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436,335</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1,343,773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379,747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379,747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8,068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8,068</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w w:val="93"/>
              </w:rPr>
              <w:t>Issuance of common shares, net of issuance cost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of $1,802</w:t>
            </w:r>
          </w:p>
        </w:tc>
        <w:tc>
          <w:tcPr>
            <w:tcW w:w="24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197,623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197,698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18,688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Cumulative effect of ASU 2016-09 adoption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(7,577)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Reclassification of certain income tax effects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resulting from tax reform</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1,127,137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815,075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1,940,436</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111,069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(28,750)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3,605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3,605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31,070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March 31, 2018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1,472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1,099,676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(32,002)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926,144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1,995,290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111,069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66,598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4,619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18,042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investment income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12,667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1,646</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221,868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77,888</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(266,847)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(200,795)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18,206</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102,458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60,129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(216,364)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(103,579)</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Credit facility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Treasury stock acquired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(7,127)</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17,873</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(7,818)</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43,524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27,531</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19,713</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7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Income tax payments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7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2017,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2018 prior to the issuance of these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This update is intended to provide a consistent approach in recognizing revenue. In accordance with the new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December 2016, the FASB clarified that all contracts that are within the scope of Topic 944, </w:t>
      </w:r>
      <w:r>
        <w:rPr>
          <w:rFonts w:ascii="Arial" w:cs="Arial" w:eastAsia="Arial" w:hAnsi="Arial"/>
          <w:sz w:val="16"/>
          <w:szCs w:val="16"/>
          <w:i w:val="1"/>
          <w:iCs w:val="1"/>
          <w:color w:val="auto"/>
        </w:rPr>
        <w:t>Financial Services-Insurance</w:t>
      </w:r>
      <w:r>
        <w:rPr>
          <w:rFonts w:ascii="Arial" w:cs="Arial" w:eastAsia="Arial" w:hAnsi="Arial"/>
          <w:sz w:val="16"/>
          <w:szCs w:val="16"/>
          <w:color w:val="auto"/>
        </w:rPr>
        <w:t>, are excluded from the scope of ASU 2014-09. The Company adopted this ASU effective January 1, 2018. The adoption of this ASU did not have a material effect on the Company's consolidated operating results or financial position.</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8"/>
          <w:szCs w:val="18"/>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This update requires certain equity investments (except those accounted for under the equity method of accounting or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consolidation of the investee)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 qualitative assessment for impairment 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required for equity investments without readily determinable fair values. This update also requires public entities to use the exit price notion when measuring the fair value of financial instruments for disclosure purposes. In addition, an entity is required to evaluate the need for a valuation allowance on a deferred tax asset related to available-for-sale investment securities in combination with the entity’s other deferred tax assets. The Company adopted this ASU effective January 1, 2018. The adoption of this ASU did not have a material effect on the Company's consolidated operating results or financial position.</w:t>
      </w:r>
    </w:p>
    <w:p>
      <w:pPr>
        <w:spacing w:after="0" w:line="15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expects a gross-up of its consolidated balance sheets as a result of recognizing lease liabilities and right of use assets. The Company is still evaluating the impact the adoption of this ASU will have on the consolidated financial statements.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 2018 (In thousands)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211,888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480,371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478,933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86,605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86,430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183,444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371,786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371,775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2,496,919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5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457,418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9,098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78,974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263,808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2,306,914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0"/>
                <w:szCs w:val="2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March 31, 2018,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480" w:type="dxa"/>
            <w:vAlign w:val="bottom"/>
          </w:tcPr>
          <w:p>
            <w:pPr>
              <w:jc w:val="right"/>
              <w:ind w:right="73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12,815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91,492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76,197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71,833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211,888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204,556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33,663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33,663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40,259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82,215</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198,553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198,335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158,845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158,186</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480,371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478,933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72,533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72,250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344,859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339,707</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200,838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196,224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637,012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626,943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492,150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476,220</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86,605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86,430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183,444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183,449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371,786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371,775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2,496,919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2,461,127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4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681</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Realized gross losses</w:t>
            </w: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26</w:t>
            </w:r>
          </w:p>
        </w:tc>
      </w:tr>
      <w:tr>
        <w:trPr>
          <w:trHeight w:val="702"/>
        </w:trPr>
        <w:tc>
          <w:tcPr>
            <w:tcW w:w="3620" w:type="dxa"/>
            <w:vAlign w:val="bottom"/>
          </w:tcPr>
          <w:p>
            <w:pPr>
              <w:spacing w:after="0"/>
              <w:rPr>
                <w:sz w:val="24"/>
                <w:szCs w:val="24"/>
                <w:color w:val="auto"/>
              </w:rPr>
            </w:pPr>
          </w:p>
        </w:tc>
        <w:tc>
          <w:tcPr>
            <w:tcW w:w="4160" w:type="dxa"/>
            <w:vAlign w:val="bottom"/>
          </w:tcPr>
          <w:p>
            <w:pPr>
              <w:jc w:val="right"/>
              <w:ind w:right="19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2018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201,568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260,852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283,691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560,529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38,097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1,343,451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406,980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1,750,431</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220,573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124,171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147,663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29,842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59,489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835,553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432,761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1,268,314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in each of the three months ended March 31, 2018 and 2017.</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$8.6 million as of March 31, 2018 and December 31, 2017. In connection with its insurance and reinsurance activities, Essent Re is required to maintain assets in trusts for the benefit of its contractual counterparties. The fair value of the investments on deposit in these trusts was $676.9 million at March 31, 2018 and $615.8 million at December 31, 2017. In March 2018, Essent Guaranty entered into an excess-of-loss reinsurance agreement. See Note 4. In connection with this agreement, Essent Guaranty is required to maintain assets on deposit for the benefit of the reinsurer. The fair value of the assets on deposit was $3.3 million at March 31,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9,019</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9,078</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8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On March 22, 2018, Essent Guaranty entered into a fully collateralized reinsurance agreement with Radnor Re 2018-1 Ltd. ("Radnor Re"), an unaffiliated special purpose insurer domiciled in Bermuda, that provides for up to $424.4 million of aggregate excess-of-loss reinsurance coverage at inception for new defaults on a portfolio of mortgage insurance policies issued between January 1, 2017 and December 31, 2017. For the reinsurance coverage period, Essent Guaranty and its affiliates will retain the first layer of $224.7 million of aggregate losses, and Radnor Re will then provide second layer coverage up to the outstanding reinsurance coverage amount. Essent Guaranty and its affiliates retain losses in excess of the outstanding reinsurance coverage amount. The reinsurance premium due to Radnor Re is calculated by multiplying the outstanding reinsurance coverage amount at the beginning of a period by a coupon rate, which is the sum of one-month LIBOR plus a risk margin, and then subtracting actual investment income collected on the assets in the reinsurance trust during that period. The aggregate excess of loss reinsurance coverage decreases over a ten-year period as the underlying covered mortgages amortize. Essent Guaranty has rights to terminate the reinsurance agreement, which includes an option to terminate after five years from issuance. If the reinsurance agreement is not terminated after five years from issuance, the risk margin component of the reinsurance premium payable to Radnor Re increases by 50%. Radnor Re financed the coverage by issuing mortgage insurance-linked notes in an aggregate amount of $424.4 million to unaffiliated investors. The notes have ten-year legal maturities and are non-recourse to any assets of Essent Guaranty or its affiliates. The proceeds of the notes were deposited into a reinsurance trust for the benefit of Essent Guaranty that will be the source of reinsurance claim payments to Essent Guaranty and principal repayments on the mortgage insurance-linked 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379"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258"/>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165,519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119,297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165,225</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119,297</w:t>
            </w:r>
          </w:p>
        </w:tc>
      </w:tr>
      <w:tr>
        <w:trPr>
          <w:trHeight w:val="311"/>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152,852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117,651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Ceded</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152,558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117,651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amount of monthly reinsurance premium ceded will fluctuate due to changes in one-month LIBOR and changes in money market rates that affect investment income collected on the assets in the reinsurance trust. As the reinsurance premium</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will vary based on changes in these rates, we concluded that the reinsurance agreement contains an embedded derivative that will be accounted for separately like a freestanding derivative. The fair value of this derivative at March 31, 2018 and the change in its fair value from inception of the reinsurance agreement to March 31, 2018 was not material.</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entering the reinsurance agreement with Radnor Re, we concluded that the risk transfer requirements for reinsurance accounting were met as Radnor Re is assuming significant insurance risk and a reasonable possibility of a significant loss. In addition, we assessed whether Radnor Re was a variable interest entity ("VIE") and the appropriate accounting for Radnor Re if it was a VIE.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Radnor Re is a VIE. However, given that Essent Guaranty (1) does not have the unilateral power to direct the activities that most significantly affect Radnor Re’s economic performance and (2) does not have the obligation to absorb losses or the right to receive benefits that could be potentially significant to Radnor Re, Radnor Re is not consolidated in these financial statements.</w:t>
      </w:r>
    </w:p>
    <w:p>
      <w:pPr>
        <w:spacing w:after="0" w:line="1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presents total assets of Radnor Re as well as our maximum exposure to loss associated with Radnor Re, representing the estimated net present value of investment earnings on the assets in the reinsurance trust, each as of March 31, 2018:</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Maximum Exposure to Loss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Off - Balance Sheet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424,412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15,466</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424,412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15,466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15,466</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three months ended March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7,090</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(3,397)</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3,693</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2,366</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2,367</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49,966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29,468</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49,966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29,468</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1,777</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25" w:right="2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three months ended March 31, 2018, $2.2 million was paid for incurred claims and claim adjustment expenses attributable to insured events of prior years. There has been a $4.6 million favorable prior year development during the three months ended March 31, 2018. Reserves remaining as of March 31, 2018 for prior years are $40.0 million as a result of re-estimation of unpaid losses and loss adjustment expenses. For the three months ended March 31, 2017, $2.4 million was paid for incurred claims and claim adjustment expenses attributable to insured events of prior years. There was a $3.4 million favorable prior year development during the three months ended March 31, 2017. Reserves remaining as of March 31, 2017 for prior years were $22.4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identified as hurricane-related defaults totaled 2,288 as of December 31, 2017. During the first quarter of 2018, the number of hurricane-related defaults declined to 1,768 as of March 31, 2018 as 520 hurricane-related loans in default cured.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March 31, 2018 and December 31, 2017, we applied a lower estimated claim rate to the hurricane-related defaults than the claim rate we apply to other notices in our default inventory. The reserve for losses and LAE on hurricane-related defaults was $11.1 million at March 31, 2018 and December 31, 2017. The impact on our reserves in future periods will be dependent upon the performance of the hurricane-related defaults and our expectations for the amount of ultimate losses on these delinquencies.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On May 17, 2017, Essent Group and its subsidiaries, Essent Irish Intermediate Holdings Limited and Essent US Holdings, Inc. (collectively, the "Borrowers"), entered into an amended and restated four-year, secured credit facility with a committed capacity of $375 million (the “Credit Facility”). The Credit Facility amends and restates the three-year, secured revolving credit facility entered into on April 19, 2016, and provides for (i) an increase in the revolving credit facility from $200 million to $250 million, (ii) the issuance of term loans of $125 million, the proceeds of which were used at closing to pay down borrowings outstanding under the revolving credit facility, and (iii) a $75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12). The $125 million term loans contractually mature on May 17, 2021. This description is not intended to be complete in all respects and is qualified in its entirety by the terms of the Credit Facility, including its covenants. As of March 31, 2018, the Company was in compliance with the covenants and $265 million had been borrowed under the Credit Facility with a weighted average interest rate of 3.82%. As of December 31, 2017, $250 million had been borrowed with a weighted average interest rate of 3.49%.</w:t>
      </w:r>
    </w:p>
    <w:p>
      <w:pPr>
        <w:spacing w:after="0" w:line="19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May 2, 2018, the Credit Facility was amended to increase the committed capacity by $125 million to $500 million and to increase the uncommitted line by $25 million to $100 million. The revolving component of the Credit Facility was increased from $250 million to $275 million, and the Borrowers issued $100 million of additional term loans, the proceeds of which were used to pay down borrowings outstanding under the revolving component of the Credit Facility. After completing this increase, the Company had $225 million of term loans outstanding and $40 million borrowed under the revolving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component of the Credit Facility. The interest rate, contractual maturity and other terms of the Credit Facility are otherwise unchanged from those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three months ended March 31, 2018 and 2017. As of March 31, 2018, management believes any potential claims for indemnification related to contract underwriting services through March 31, 2018 are not material to our consolidated financial position or results of operations.</w:t>
      </w:r>
    </w:p>
    <w:p>
      <w:pPr>
        <w:spacing w:after="0" w:line="16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2018,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three months ended March 31,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260" w:type="dxa"/>
            <w:vAlign w:val="bottom"/>
            <w:gridSpan w:val="4"/>
            <w:vMerge w:val="restart"/>
          </w:tcPr>
          <w:p>
            <w:pPr>
              <w:jc w:val="right"/>
              <w:ind w:right="67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456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February 2018, certain members of senior management were granted nonvested common shares under the Essent Group Ltd. 2013 Long-Term Incentive Plan ("2013 Plan") that were subject to time-based and performance-based vesting. The time-based share awards granted in February 2018 vest in three equal installments on March 1, 2019, 2020 and 2021. The performance-based share awards granted in February 2018 vest based upon our compounded annual book value per share growth percentage during a three-year performance period that commenced on January 1, 2018 and vest on March 1, 2021.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portion of these nonvested performance-based share awards that will be earned based upon the achievement of compounded annual book value per share growth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&lt;15%</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17%</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2017, in February 2018, time-based share awards and share units were issued to certain employees that vest in three equal installments on March 1, 2019, 2020 and 2021. In May 2018, 25,712 time-based share units were granted to non-employee directors that vest one year from the date of grant.</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total fair value on the vesting date of nonvested shares or share units that vested was $74.0 million and $19.0 million for the three months ended March 31, 2018 and 2017, respectively. As of March 31, 2018, there was $28.1 million of total unrecognized compensation expense related to nonvested shares or share units outstanding at March 31, 2018 and we expect to recognize the expense over a weighted average period of 2.3 years.</w:t>
      </w:r>
    </w:p>
    <w:p>
      <w:pPr>
        <w:spacing w:after="0" w:line="16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710,285 in the three months ended March 31, 2018. The tendered shares were recorded at cost and included in treasury stock. All treasury stock has been cancelled as of March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46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1,483</w:t>
            </w:r>
          </w:p>
        </w:tc>
      </w:tr>
      <w:tr>
        <w:trPr>
          <w:trHeight w:val="702"/>
        </w:trPr>
        <w:tc>
          <w:tcPr>
            <w:tcW w:w="3660" w:type="dxa"/>
            <w:vAlign w:val="bottom"/>
          </w:tcPr>
          <w:p>
            <w:pPr>
              <w:spacing w:after="0"/>
              <w:rPr>
                <w:sz w:val="24"/>
                <w:szCs w:val="24"/>
                <w:color w:val="auto"/>
              </w:rPr>
            </w:pPr>
          </w:p>
        </w:tc>
        <w:tc>
          <w:tcPr>
            <w:tcW w:w="4120" w:type="dxa"/>
            <w:vAlign w:val="bottom"/>
          </w:tcPr>
          <w:p>
            <w:pPr>
              <w:jc w:val="right"/>
              <w:ind w:right="18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2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111,069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66,598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111,069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66,598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gridSpan w:val="2"/>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97,298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91,258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97,951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93,023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166,323 and 162,930 antidilutive shares for the three months ended March 31, 2018 and 2017, respectively.</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March 31, 2018 and 2017, 100% of the dilutive performance-based share awards would be issuable under the terms of the arrangements at each date if March 31 was the end of the contingency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rollforward of accumulated other comprehensive income (loss) for the three months ended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Three Months Ended March 31, 2018</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holding losses arising during the period</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5,120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(28,626)</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Less: Reclassification adjustment for gains included in net income (1)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unrealized losses on investments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5,193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(32,002)</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15</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Three Months Ended March 31, 2017</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5,277</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37"/>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4,850</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8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securities, residential and commercial mortgage securities and asset-backed securities are classified as Level 2 investments.</w:t>
      </w:r>
    </w:p>
    <w:p>
      <w:pPr>
        <w:spacing w:after="0" w:line="239"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204,556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32,821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476,220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476,220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478,933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478,933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626,943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626,943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86,430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86,430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183,449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371,775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371,775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576,331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1,884,796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2,461,127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79,407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263,797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491,602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1,813,463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Accounting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2017</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93,002</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60,806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807,363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595,102</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734,944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525,256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2,805</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46,505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43,299</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44,606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38,219</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2018 and 2017,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At March 31, 2018 and 2017, the statutory capital of our U.S. insurance subsidiaries, which is defined as the total of statutory surplus and contingency reserves, was in excess of the statutory capital necessary to satisfy their regulatory requirements.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March 31, 2018 and December 31, 2017, Essent Guaranty, our GSE-approved mortgage insurance company, was in compliance with the PMIERs.</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three months ended March 31, 2018, Essent Guaranty increased its contingency reserve by $56.2 million and Essent PA increased its contingency reserve by $1.5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three months ended March 31, 2018 or 2017.</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2017, all such requirements were met.</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Re's statutory capital and surplus was $684.6 million as of March 31, 2018 and $662.6 million as of December 31, 2017. Essent Re's statutory net income was $31.2 million and $20.2 million for the three months ended March 31, 2018 and 2017, respectively. Statutory capital and surplus as of March 31, 2018 and statutory net income in the three months ended March 31, 2018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2017 as filed with the Securities and Exchange Commission and referred to herein as the “Annual Report,” and our condensed consolidated financial statements and related notes as of and for the three months ended March 31, 2018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 Essent Guaranty, Inc. ("Essent Guaranty"), our wholly-owned insurance subsidiary, is licensed to write coverage in all 50 states and the District of Columbia. The financial strength of Essent Guaranty, Inc. is rated Baa1 with a stable outlook by Moody’s Investor Services (“Moody's”) and BBB+ with a stable outlook by S&amp;P Global Ratings (“S&amp;P”).</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395 employees as of March 31, 2018. We generated new insurance written, or NIW, of approximately $9.3 billion and $8.0 billion for the three months ended March 31, 2018 and 2017, respectively. As of March 31, 2018, we had approximately $115.3 billion of insurance in force. Our top ten customers represented approximately 39.3%, 45.8%, 35.1% and 36.6% of NIW on a flow basis for the three months ended March 31, 2018 and the years ended December 31, 2017, 2016 and 2015, respectively.</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March 31, 2018, Essent Re provided insurance or reinsurance relating to the risk in force on loans in reference pools acquired by Freddie Mac and Fannie Mae covering approximately $557.7 million of risk, including in connection with Freddie Mac's Agency Credit Insurance Structure ("ACIS") and Fannie Mae's Credit Insurance Risk Transfer ("CIRT") programs. Essent Re has also reinsured 25% of Essent Guaranty’s GSE-eligible mortgage insurance NIW originated since July 1, 2014 under a quota share reinsurance agreement. The insurer financial strength rating of Essent Re is BBB+ with a stable outlook by S&amp;P.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March 31, 2018, Essent Guaranty, our GSE-approved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mortgage insurance company, was in compliance with the PMIERs. See additional discussion in “— Liquidity and Capital Resources —Private Mortgage Insurer Eligibility Requirements.”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Based on a confidential draft proposal that we received from the GSEs, we believe that the updated PMIERs may be finalized in the second quarter of 2018 and become effective no sooner than the fourth quarter of 2018, 180 days after their release.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2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0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4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right="2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Prior to March 2018, we had not ceded any premiums under third-party reinsurance contracts. In March 2018, Essent Guaranty entered into a third-party reinsurance agreement. See Note 4 to our condensed consolidated financial statements.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2018 were non-refundable. Premiums collected on annual policies are recognized as net premiums earned on a straight-line basis over the year of coverage. For the three months ended March 31, 2018, monthly and single premium policies comprised 79.7% and 20.3%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83.5% at March 31, 2018. Generally, higher prepayment speeds lead to lower persistency.</w:t>
      </w:r>
    </w:p>
    <w:p>
      <w:pPr>
        <w:spacing w:after="0" w:line="181" w:lineRule="exact"/>
        <w:rPr>
          <w:sz w:val="20"/>
          <w:szCs w:val="20"/>
          <w:color w:val="auto"/>
        </w:rPr>
      </w:pPr>
    </w:p>
    <w:p>
      <w:pPr>
        <w:ind w:right="180" w:firstLine="693"/>
        <w:spacing w:after="0" w:line="259" w:lineRule="auto"/>
        <w:rPr>
          <w:sz w:val="20"/>
          <w:szCs w:val="20"/>
          <w:color w:val="auto"/>
        </w:rPr>
      </w:pPr>
      <w:r>
        <w:rPr>
          <w:rFonts w:ascii="Arial" w:cs="Arial" w:eastAsia="Arial" w:hAnsi="Arial"/>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March 31, 2018.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2018 and provides for one subsequent one-year renewal at Triad’s option.</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Other income also includes revenues associated with contract underwriting services and underwriting services to third-party reinsurers. The level of contract underwriting revenue is dependent upon the number of customers who have engaged us for this service and the number of loans underwritten for these customers. Revenue from underwriting services to third-party reinsurers is dependent upon the number of customers who have engaged us for this service and the number of transactions underwritten for these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69% of our IIF as of March 31, 2018 having been originated since January 1, 2016.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March 31, 2018, 69% of our IIF relates to business written since January 1, 2016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identified as hurricane-related defaults totaled 2,288 as of December 31, 2017. During the first quarter of 2018, the number of hurricane-related defaults declined to 1,768 as of March 31, 2018 as 520 hurricane-related loans in default cured.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March 31, 2018, we applied a lower estimated claim rate to the hurricane-related defaults than the claim rate we apply to other notices in our default inventory. The impact on our reserves in future periods will be dependent upon the performance of the hurricane-related defaults and our expectations for the amount of ultimate losses on these delinquencies.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 Party Reinsurance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use third-party reinsurance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most significant expense is compensation and benefits for our employees, which represented 62% of other underwriting and operating expenses for the three months ended March 31, 2018, compared to 64% of other underwriting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expenses for the three months ended March 31, 2017. Compensation and benefits expense includes base and incentive cash compensation, stock compensation expense, benefits and payroll taxes.</w:t>
      </w:r>
    </w:p>
    <w:p>
      <w:pPr>
        <w:spacing w:after="0" w:line="170"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2018 as compared to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amended and restated four-year,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months ended March 31, 2018 and 2017 for our U.S. mortgage insurance portfolio. In addition, this table includes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5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110,461,950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83,265,522</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NIW</w:t>
            </w: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9,336,150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8,034,153</w:t>
            </w:r>
          </w:p>
        </w:tc>
      </w:tr>
      <w:tr>
        <w:trPr>
          <w:trHeight w:val="27"/>
        </w:trPr>
        <w:tc>
          <w:tcPr>
            <w:tcW w:w="3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w:t>
            </w:r>
          </w:p>
        </w:tc>
        <w:tc>
          <w:tcPr>
            <w:tcW w:w="4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(4,547,151)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(3,306,448)</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422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115,250,949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87,993,227</w:t>
            </w:r>
          </w:p>
        </w:tc>
      </w:tr>
      <w:tr>
        <w:trPr>
          <w:trHeight w:val="67"/>
        </w:trPr>
        <w:tc>
          <w:tcPr>
            <w:tcW w:w="3900" w:type="dxa"/>
            <w:vAlign w:val="bottom"/>
            <w:tcBorders>
              <w:bottom w:val="single" w:sz="8" w:color="CCEEFF"/>
            </w:tcBorders>
          </w:tcPr>
          <w:p>
            <w:pPr>
              <w:spacing w:after="0"/>
              <w:rPr>
                <w:sz w:val="5"/>
                <w:szCs w:val="5"/>
                <w:color w:val="auto"/>
              </w:rPr>
            </w:pPr>
          </w:p>
        </w:tc>
        <w:tc>
          <w:tcPr>
            <w:tcW w:w="4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3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Average IIF during the period</w:t>
            </w:r>
          </w:p>
        </w:tc>
        <w:tc>
          <w:tcPr>
            <w:tcW w:w="45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112,940,346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85,488,081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RIF, end of period</w:t>
            </w:r>
          </w:p>
        </w:tc>
        <w:tc>
          <w:tcPr>
            <w:tcW w:w="45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28,267,149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21,801,667</w:t>
            </w:r>
          </w:p>
        </w:tc>
      </w:tr>
      <w:tr>
        <w:trPr>
          <w:trHeight w:val="486"/>
        </w:trPr>
        <w:tc>
          <w:tcPr>
            <w:tcW w:w="3900" w:type="dxa"/>
            <w:vAlign w:val="bottom"/>
          </w:tcPr>
          <w:p>
            <w:pPr>
              <w:spacing w:after="0"/>
              <w:rPr>
                <w:sz w:val="24"/>
                <w:szCs w:val="24"/>
                <w:color w:val="auto"/>
              </w:rPr>
            </w:pPr>
          </w:p>
        </w:tc>
        <w:tc>
          <w:tcPr>
            <w:tcW w:w="4100" w:type="dxa"/>
            <w:vAlign w:val="bottom"/>
          </w:tcPr>
          <w:p>
            <w:pPr>
              <w:jc w:val="right"/>
              <w:ind w:right="21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March 31, 2018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(through March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9,272,390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41,114,906</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35.7</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29,173,825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25.3</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16,271,432</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14.1</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10,124,415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2013 and prior</w:t>
            </w: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9,293,981</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8.1</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115,250,949</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and (5) premiums ceded. For the three months ended March 31, 2018 and 2017, our average premium rate was 0.52% and 0.53%,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2018, our combined net risk in force for our U.S. insurance companies was $22.2 billion and our combined statutory capital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 billion, resulting in a risk-to-capital ratio of 13.6 to 1. The amount of capital required varies in each jurisdiction in which we operate; however,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maximum permitted risk-to-capital ratio is 25.0 to 1. State insurance regulators are currently examining their respective capital rules to determine whether,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financial crisis, changes are needed to more accurately assess mortgage insurers’ ability to withstand stressful economic conditions.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capital metrics under which they assess and measure capital adequacy may change in the future. Independent of the state regulator and GSE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management continually assesses the risk of our insurance portfolio and current market and economic conditions to determine the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levels of capital to support our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165,225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119,297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152,558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117,651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167,463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127,592</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38,124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36,332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45,883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40,741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86,851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20,253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111,069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66,598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the Three Months Ended March 31, 2017</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three months ended March 31, 2018, we reported net income of $111.1 million, compared to net income of $66.6 million for the three months ended March 31, 2017. The increase in our operating results in 2018 over the same period in 2017 was primarily due to the increase in net premiums earned associated with the growth of our IIF, the increase in net investment income and the decrease in income taxes primarily due to the reduction of the U.S. statutory corporate income tax rate, partially offset by increases in other underwriting and operating expenses, the provision for losses and loss adjustment expenses and interest expense.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Net premiums earned increased in the three months ended March 31, 2018 by 30%, compared to the three months ended March 31, 2017 primarily due to the increase in our average IIF from $85.5 billion at March 31, 2017 to $112.9 billion at March 31, 2018, partially offset by a decrease in average premium rate from 0.53% for the three months ended March 31, 2017 to 0.52% for the three months ended March 31, 2018. The decrease in the average premium rate during the three months ended March 31, 2018 is due primarily to a decrease in premium earned on the cancellation of non-refundable single premium policies relative to average IIF in the respective periods. We anticipate that our average premium rate will decline approximately 0.01% in the nine months ended December 31, 2018 as a result of premiums ceded under third-party reinsurance agreements in effect as of March 31, 2018.</w:t>
      </w:r>
    </w:p>
    <w:p>
      <w:pPr>
        <w:spacing w:after="0" w:line="16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Net premiums written increased in the three months ended March 31, 2018 by 38% over the three months ended March 31, 2017. The increase was due primarily to the increase in average IIF of 32% for the three months ended March 31, 2018 as compared to the same period in 2017.</w:t>
      </w:r>
    </w:p>
    <w:p>
      <w:pPr>
        <w:spacing w:after="0" w:line="12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the three months ended March 31, 2018 and 2017, unearned premiums increased by $12.7 million and $1.6 million, respectively. The change in unearned premiums was a result of net premiums written on single premium policies of $31.2 million and $18.2 million, respectively, which was partially offset by $18.5 million and $16.6 million, respectively, of unearned premium that was recognized in earnings during the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increase in net investment income for the three months ended March 31, 2018 as compared to the same period in 2017 was due to the increase in the weighted average balance of our investment portfolio and the increase in the pre-tax investment income yield. The average cash and investment portfolio balance increased to $2.4 billion for the three months ended March 31, 2018 from $1.7 billion for the three months ended March 31, 2017, primarily as a result of investing cash flows from operations, proceeds from the public offering of common shares completed in August 2017 and borrowings under our Credit Facility. The pre-tax investment income yield increased from 2.2% in the three months ended March 31, 2017 to 2.4% in the three months ended March 31, 2018, primarily due to an increase in the portion of our investment portfolio invested in spread and duration assets and higher yields on new investments. The pre-tax investment income yields are calculated based on amortized cost and exclude investment expenses. See “— Liquidity and Capital Resources” for further details of our investment portfolio.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contract underwriting revenues and underwriting services to third-party reinsurers. The increase in other income for the three months ended March 31, 2018 as compared to the same period in 2017, was primarily due to the increase in underwriting services to third-party reinsurers, partially offset by decreases in contract underwriting revenues and Triad service fees associated with the reduction in the number of Triad's mortgage insurance policies in force. The fees earned from Triad will continue to decrease over time as Triad's existing policies are cancelled.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provision for losses and LAE was $5.3 million and $3.7 million in the three months ended March 31, 2018 and 2017, respectively. The increase in the provision for losses and LAE in the three months ended March 31, 2018 as compared to the same period in 2017 was primarily due to the increase in the number of non-hurricane-related insured loans in default. In the three months ended March 31, 2018, loans in default identified as hurricane-related defaults decreased by 520 to 1,768 as of March 31, 2018. The following table presents a rollforward of insured loans in default for the periods indicated:</w:t>
      </w:r>
    </w:p>
    <w:p>
      <w:pPr>
        <w:spacing w:after="0" w:line="376"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gridSpan w:val="2"/>
          </w:tcPr>
          <w:p>
            <w:pPr>
              <w:ind w:left="8780"/>
              <w:spacing w:after="0"/>
              <w:rPr>
                <w:sz w:val="20"/>
                <w:szCs w:val="20"/>
                <w:color w:val="auto"/>
              </w:rPr>
            </w:pPr>
            <w:r>
              <w:rPr>
                <w:rFonts w:ascii="Arial" w:cs="Arial" w:eastAsia="Arial" w:hAnsi="Arial"/>
                <w:sz w:val="14"/>
                <w:szCs w:val="14"/>
                <w:b w:val="1"/>
                <w:bCs w:val="1"/>
                <w:color w:val="auto"/>
                <w:w w:val="96"/>
              </w:rPr>
              <w:t>2018</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1,200</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1,777</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The increase in the number of defaults at March 31, 2018 compared to March 31, 2017 was primarily due to the hurricane-related defaults remaining in the default inventory, as well as the increase in our IIF and policies in force, along with further seasoning of our insurance portfolio.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110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45,702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26,964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Total reserves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49,966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29,468</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1,777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15.2</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decrease in the average case reserve per default was primarily due to a lower total reserve per hurricane-related default. Based on prior industry experience, we expect the ultimate number of hurricane-related defaults that result in claims will be less than the default-to-claim experience of non-hurricane-related defaults. Accordingly, when establishing our loss reserves as of March 31, 2018 and December 31, 2017, we applied a lower estimated claim rate to hurricane-related defaults than the claim rate we apply to other notices in our default inventory. The reserve for losses and LAE on hurricane-related defaults was $11.1 million at March 31, 2018. Also contributing to the decrease in the average case reserve per default were changes in the composition (such as mark-to-market loan-to-value ratios, risk in force, and number of months past due) of the underlying loans in default and improvements in economic fundamentals.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7,090</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2,366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49,966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29,468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March 31, 2018</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44%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10,879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110,964</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25,547</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130,461</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7,877</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13,343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1,576</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45,702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256,344</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49,966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March 31, 2017</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49%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6,426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50,004</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13,428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38,252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5,673</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9,403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1,437</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1,748</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26,964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99,407</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29,468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March 31, 2018, the provision for losses and LAE was $5.3 million, comprised of $10.0 million of current year losses partially offset by $4.6 million of favorable prior years’ loss development. During the three months ended March 31, 2017, the provision for losses and LAE was $3.7 million, comprised of $7.1 million of current year losses partially offset by $3.4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2,307</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23,565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23,179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14,559</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13,153</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36</w:t>
            </w:r>
          </w:p>
        </w:tc>
      </w:tr>
      <w:tr>
        <w:trPr>
          <w:trHeight w:val="27"/>
        </w:trPr>
        <w:tc>
          <w:tcPr>
            <w:tcW w:w="7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38,124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36,332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393</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16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Compensation and benefits in the three months ended March 31, 2018 was comparable to the three months ended March 31, 2017 as the number of employees at the end of each period was essentially unchanged. In the three months ended March 31, 2018, a decrease in stock compensation expense associated with the full vesting of grants issued in 2013 and 2014 was largely offset by an increase in payroll taxes associated with the vesting of these grants. Compensation and benefits includes salaries, wages and bonus, stock compensation expense, benefits and payroll taxes.</w:t>
      </w:r>
    </w:p>
    <w:p>
      <w:pPr>
        <w:spacing w:after="0" w:line="154"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For the three months ended March 31, 2018 and 2017, we incurred interest expense of $2.5 million and $0.7 million, respectively, associated with amounts outstanding under the Credit Facility. For the three months ended March 31, 2018 and 2017, the average amount outstanding under the Credit Facility was $260.2 million and $102.5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subsidiaries in the United States file a consolidated U.S. Federal income tax return. For interim reporting periods, we use an annualized effective tax rate method required under GAAP to calculate the income tax provision. Our income tax expense was $10.5 million and $20.3 million for the three months ended March 31, 2018 and 2017, respectively. Income tax expense for the three months ended March 31, 2018 and 2017 was calculated using an annualized effective tax rate of 16.5% and 26.8%, respectively, and was reduced by $9.5 million and $3.0 million, respectively, of excess tax benefits associated with the vesting of common shares and common share units during the period. The tax effects associated with the vesting of common shares and common share units are treated as discrete items in the reporting period in which they occur and are not considered in determining the annualized effective tax rate. The decrease in the annualized effective tax rate for 2018 reflects the reduction of the U.S. statutory corporate income tax rate from 35% to 21% and the expected portion of our consolidated earnings to be generated in Bermuda. Bermuda does not have a corporate income tax.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March 31, 2018, we had substantial liquidity with cash of $33.0 million, short-term investments of $380.8 million and fixed maturity investments of $2.1 billion. We also had $110 million available capacity under the revolving credit component of our Credit Facility, with $265 million of borrowings outstanding under our Credit Facility. Borrowings under the Credit Facility contractually mature on May 17, 2021 and accrue interest at a floating rate tied to a standard short-term borrowing index, selected at the Company’s option, plus an applicable margin and are paid monthly. At March 31, 2018, net cash and investments at the holding company were $75.9 million.</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2, 2018, we amended the Credit Facility to increase the committed capacity by $125 million to $500 million, including the issuance of $100 million of additional term loans, the proceeds of which were used to pay down borrowings outstanding under the revolving component of the Credit Facility. After completing this increase we had $235 million of available capacity under the revolving credit component of our Credit Facility. See Note 6 to our condensed consolidated financial statements.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March 31, 2018, Essent Guaranty had unassigned surplus of approximately $102.1 million and has paid no dividends since its inception. Essent Guaranty of PA, Inc. (“Essent PA") had unassigned surplus of approximately $7.5 million as of March 31, 2018.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March 31, 2018, Essent Re had total equity of $684.8 million. In connection with its insurance and reinsurance activities, Essent Re is required to maintain assets in trusts for the benefit of its contractual counterparties. See Note 3 to our condensed consolidated financial statements. At March 31, 2018, our insurance subsidiaries were in compliance with these rules, regulations and agreements.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221,868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77,888</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(216,364)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(103,579)</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17,873</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(7,818)</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flow provided by operating activities totaled $221.9 million for the three months ended March 31, 2018, as compared to $77.9 million for the three months ended March 31, 2017. The increase in cash flow provided by operating activities of $144.0 million in 2018 was primarily due to $100.9 million of net redemptions of United States Mortgage Guaranty Tax and Loss Bonds (“T&amp;L Bonds”), increases in premiums collected and net investment income, partially offset by increases in expenses paid.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Cash flow used in investing activities totaled $216.4 million for the three months ended March 31, 2018, as compared to $103.6 million for the three months ended March 31, 2017. The increase in cash flow used in investing activities primarily related to investing cash flows from the business, the net redemption of T&amp;L Bonds as well as net increased borrowings under the Credit Facility in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Cash flow used in financing activities totaled $16.1 million for the three months ended March 31, 2018, as compared to cash flow provided by financing activities of $17.9 million for the three months ended March 31, 2017. The increase in cash flow used in financing activities was primarily related to an increase in treasury stock acquired from employees to satisfy tax withholding obligations, partially offset by $15 million of net increased borrowings under the Credit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During the three months ended March 31, 2018, Essent US Holdings, Inc. made capital contributions to Essent Guaranty of $15 million to support new and existing business. During three months ended March 31, 2017, no capital contributions were made to our U.S. insurance subsidiaries.</w:t>
      </w:r>
    </w:p>
    <w:p>
      <w:pPr>
        <w:spacing w:after="0" w:line="12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March 2018, Essent Guaranty entered into a fully collateralized reinsurance agreement with Radnor Re 2018-1 Ltd. ("Radnor Re"), an unaffiliated special purpose insurer domiciled in Bermuda, that provides for up to $424.4 million of aggregate excess-of-loss reinsurance coverage at inception for new defaults on a portfolio of mortgage insurance policies issued between January 1, 2017 and December 31, 2017. The aggregate excess of loss reinsurance coverage decreases over a ten-year period as the underlying covered mortgages amortize. This reinsurance coverage also reduces net risk in force and PMIERs Minimum Required Assets.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March 31, 2018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854,338</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779,550</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1,633,888</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22,181,471</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12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Essent Re has entered into risk share insurance and reinsurance transactions with Freddie Mac and Fannie Mae. Essent Re also executed a quota share reinsurance transaction with Essent Guaranty to reinsure 25% of Essent Guaranty’s GSE-eligible NIW effective July 1, 2014. As of March 31, 2018, Essent Re had total stockholders’ equity of $684.8 million and net risk in force of $6.6 billion.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Baa1 with a stable outlook by Moody's and BBB+ with a stable outlook by S&amp;P. The insurer financial strength rating of Essent Re is BBB+ with a stable outlook by S&amp;P.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Eligibility Requirements, which we refer to as the "PMIERs." The PMIERs represent the standards by which private mortgage insurers are eligible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insurance on loans owned or guaranteed by Fannie Mae and Freddie Mac. The PMIERs include financial strength requirements incorporating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risk-based framework that require approved insurers to have a sufficient level of liquid assets from which to pay claims. This risk-based framework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an insurer must hold a substantially higher level of required assets for insured loans that are in default compared to a performing loan. The PMIERs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 enhanced operational performance expectations and define remedial actions that apply should an approved insurer fail to comply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requirements. As of March 31, 2018, Essent Guaranty, our GSE-approved mortgage insurance company, was in compliance with the PMIERs.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2018, Essent Guaranty's Available Assets were $1.7 billion and its Minimum Required Assets were $1.3 billion based on our interpretation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PMIERs.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March 31, 2018, stockholders’ equity was $2.0 billion compared to $1.9 billion as of December 31, 2017. This increase was primarily due to net income generated in 2018, partially offset by an increase in accumulated other comprehensive loss related to an increase in our unrealized investment losses.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total fair value of our investment portfolio was $2.5 billion as of March 31, 2018 and $2.3 billion as of December 31, 2017. In addition, our total cash was $33.0 million as of March 31, 2018, compared to $43.5 million as of December 31, 2017. The increase in investments was primarily due to investing net cash flows from operations and the net borrowings under the Credit Facility during the three months ended March 31, 2018.</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March 31, 2018</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204,556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32,821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476,220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478,933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626,943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611,728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86,430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79,407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183,449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371,775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263,797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2,461,127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2,305,065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2018</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2017</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1,286,694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1,160,200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130,010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115,237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122,350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123,551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127,961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127,785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5.6</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220,156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205,369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151,375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157,651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6.8</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135,577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148,246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133,319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115,178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36,221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43,024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18,874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20,955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2,461,127</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2,305,065</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2018</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2017</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707,892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628,958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141,339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164,856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293,604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280,177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199,392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263,799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11.4</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311,762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263,273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807,138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704,002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30.5</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2,461,127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2,305,065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3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28,422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740" w:type="dxa"/>
            <w:vAlign w:val="bottom"/>
          </w:tcPr>
          <w:p>
            <w:pPr>
              <w:ind w:left="20"/>
              <w:spacing w:after="0"/>
              <w:rPr>
                <w:sz w:val="20"/>
                <w:szCs w:val="20"/>
                <w:color w:val="auto"/>
              </w:rPr>
            </w:pPr>
            <w:r>
              <w:rPr>
                <w:rFonts w:ascii="Arial" w:cs="Arial" w:eastAsia="Arial" w:hAnsi="Arial"/>
                <w:sz w:val="18"/>
                <w:szCs w:val="18"/>
                <w:color w:val="auto"/>
              </w:rPr>
              <w:t>8/15/2026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18,595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Freddie Mac 4.000% 7/1/2037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2.000%</w:t>
            </w:r>
          </w:p>
        </w:tc>
        <w:tc>
          <w:tcPr>
            <w:tcW w:w="1740" w:type="dxa"/>
            <w:vAlign w:val="bottom"/>
          </w:tcPr>
          <w:p>
            <w:pPr>
              <w:ind w:left="20"/>
              <w:spacing w:after="0"/>
              <w:rPr>
                <w:sz w:val="20"/>
                <w:szCs w:val="20"/>
                <w:color w:val="auto"/>
              </w:rPr>
            </w:pPr>
            <w:r>
              <w:rPr>
                <w:rFonts w:ascii="Arial" w:cs="Arial" w:eastAsia="Arial" w:hAnsi="Arial"/>
                <w:sz w:val="18"/>
                <w:szCs w:val="18"/>
                <w:color w:val="auto"/>
              </w:rPr>
              <w:t>1/15/2021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11,380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Ginnie Mae 4.000% 7/20/2045</w:t>
            </w: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10,249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Freddie Mac 2.500% 10/1/2030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Ginnie Mae 4.000% 8/20/2045</w:t>
            </w: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2.250%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Freddie Mac 3.000% 9/1/2046</w:t>
            </w:r>
          </w:p>
        </w:tc>
        <w:tc>
          <w:tcPr>
            <w:tcW w:w="18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131,340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137,494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March 31, 2018, for securities in unrealized loss positions, management believes decline in fair values is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2017</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29,358</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19,067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1/4/2018</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4.000% 7/1/2037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7/20/2045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2.500% 10/1/2030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3.000% 9/1/2046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2.250%</w:t>
            </w:r>
          </w:p>
        </w:tc>
        <w:tc>
          <w:tcPr>
            <w:tcW w:w="1140" w:type="dxa"/>
            <w:vAlign w:val="bottom"/>
          </w:tcPr>
          <w:p>
            <w:pPr>
              <w:ind w:left="20"/>
              <w:spacing w:after="0"/>
              <w:rPr>
                <w:sz w:val="20"/>
                <w:szCs w:val="20"/>
                <w:color w:val="auto"/>
              </w:rPr>
            </w:pPr>
            <w:r>
              <w:rPr>
                <w:rFonts w:ascii="Arial" w:cs="Arial" w:eastAsia="Arial" w:hAnsi="Arial"/>
                <w:sz w:val="18"/>
                <w:szCs w:val="18"/>
                <w:color w:val="auto"/>
              </w:rPr>
              <w:t>11/15/2025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139,857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36</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municipal debt securities for states that represent more than 10% of the total municipal bond position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5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8,895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The Texas A&amp;M University System</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La Joya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Carrollton-Farmers Branch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Fort Worth TX W&amp;S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College Station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City of Garland</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Port Arthur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County of Fort Bend</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57,536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57,839</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Radnor Re 2018-1 Ltd. is a special purpose variable interest entity that is not consolidated in our condensed consolidated financial statements because we do not have the unilateral power to direct those activities that are significant to its economic performance. As of March 31, 2018, our estimated off-balance sheet maximum exposure to loss from Radnor Re was $15.5 million, representing the estimated net present value of investment earnings on the assets in the reinsurance trust. See Note 4 to our condensed consolidated financial statements for additional information.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2017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5"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2018, the effective duration of our investment portfolio, including cash, was 3.5 years, which means that an instantaneous parallel shift (movement up or down) in the yield curve of 100 basis points would result in a change of 3.5% in fair value of our investment portfolio. Excluding cash, our investment portfolio effective duration was 4.1 years, which means that an instantaneous parallel shift (movement up or down) in the yield curve of 100 basis points would result in a change of 4.1%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2018,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2017.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March 31, 2018.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2018</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583,928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February 1 - February 28, 2018</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2018</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62,598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44.71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646,526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40</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Annual General Meeting of Shareholders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On May 2, 2018, we held our 2018 Annual General Meeting of Shareholders (the "Annual Meeting"). A total of 98,101,838 shares of our common shares were entitled to vote as of March 16, 2018, the record date for the Annual Meeting, of which 91,668,611 shares were present in person or by proxy at the Annual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final voting results for each matter presented to shareholders at the Annual Meeting.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Proposal 1 - Election of members of our board of directors: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8"/>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ind w:left="620"/>
              <w:spacing w:after="0"/>
              <w:rPr>
                <w:sz w:val="20"/>
                <w:szCs w:val="20"/>
                <w:color w:val="auto"/>
              </w:rPr>
            </w:pPr>
            <w:r>
              <w:rPr>
                <w:rFonts w:ascii="Arial" w:cs="Arial" w:eastAsia="Arial" w:hAnsi="Arial"/>
                <w:sz w:val="18"/>
                <w:szCs w:val="18"/>
                <w:b w:val="1"/>
                <w:bCs w:val="1"/>
                <w:color w:val="auto"/>
              </w:rPr>
              <w:t>Votes For</w:t>
            </w:r>
          </w:p>
        </w:tc>
        <w:tc>
          <w:tcPr>
            <w:tcW w:w="2040" w:type="dxa"/>
            <w:vAlign w:val="bottom"/>
            <w:gridSpan w:val="2"/>
          </w:tcPr>
          <w:p>
            <w:pPr>
              <w:ind w:left="380"/>
              <w:spacing w:after="0"/>
              <w:rPr>
                <w:sz w:val="20"/>
                <w:szCs w:val="20"/>
                <w:color w:val="auto"/>
              </w:rPr>
            </w:pPr>
            <w:r>
              <w:rPr>
                <w:rFonts w:ascii="Arial" w:cs="Arial" w:eastAsia="Arial" w:hAnsi="Arial"/>
                <w:sz w:val="18"/>
                <w:szCs w:val="18"/>
                <w:b w:val="1"/>
                <w:bCs w:val="1"/>
                <w:color w:val="auto"/>
              </w:rPr>
              <w:t>Votes Withheld</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2"/>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6"/>
              </w:rPr>
              <w:t>Class I Directors to Serve Through the 2021 Annual General Meeting</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of Shareholders:</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Jane P. Chwick</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85,097,007</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1,840,790</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4,730,814</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Aditya Dutt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86,778,932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4,730,814</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Roy J. Kasmar</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84,769,736</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2,168,061</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4,730,814</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29"/>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w w:val="97"/>
              </w:rPr>
              <w:t>Class II Director to Serve Through the 2019 Annual General Meeting</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of Shareholders: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Angela L. Heise</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86,783,971</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153,826</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4,730,814</w:t>
            </w: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Proposal 2 - The re-appointment of PricewaterhouseCoopers LLP as the Company's independent registered public accounting firm for the year ending December 31, 2018 and until the 2019 Annual General Meeting of Shareholders, and the referral of the determination of the auditors' compensation to the board of directors, was ratified:</w:t>
      </w:r>
    </w:p>
    <w:p>
      <w:pPr>
        <w:spacing w:after="0" w:line="115" w:lineRule="exact"/>
        <w:rPr>
          <w:sz w:val="20"/>
          <w:szCs w:val="20"/>
          <w:color w:val="auto"/>
        </w:rPr>
      </w:pPr>
    </w:p>
    <w:tbl>
      <w:tblPr>
        <w:tblLayout w:type="fixed"/>
        <w:tblInd w:w="2400" w:type="dxa"/>
        <w:tblCellMar>
          <w:top w:w="0" w:type="dxa"/>
          <w:left w:w="0" w:type="dxa"/>
          <w:bottom w:w="0" w:type="dxa"/>
          <w:right w:w="0" w:type="dxa"/>
        </w:tblCellMar>
      </w:tblPr>
      <w:tr>
        <w:trPr>
          <w:trHeight w:val="27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90,946,085</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3240" w:type="dxa"/>
            <w:vAlign w:val="bottom"/>
          </w:tcPr>
          <w:p>
            <w:pPr>
              <w:jc w:val="right"/>
              <w:spacing w:after="0"/>
              <w:rPr>
                <w:sz w:val="20"/>
                <w:szCs w:val="20"/>
                <w:color w:val="auto"/>
              </w:rPr>
            </w:pPr>
            <w:r>
              <w:rPr>
                <w:rFonts w:ascii="Arial" w:cs="Arial" w:eastAsia="Arial" w:hAnsi="Arial"/>
                <w:sz w:val="18"/>
                <w:szCs w:val="18"/>
                <w:color w:val="auto"/>
              </w:rPr>
              <w:t>548,695</w:t>
            </w:r>
          </w:p>
        </w:tc>
      </w:tr>
      <w:tr>
        <w:trPr>
          <w:trHeight w:val="27"/>
        </w:trPr>
        <w:tc>
          <w:tcPr>
            <w:tcW w:w="340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173,831</w:t>
            </w:r>
          </w:p>
        </w:tc>
      </w:tr>
      <w:tr>
        <w:trPr>
          <w:trHeight w:val="27"/>
        </w:trPr>
        <w:tc>
          <w:tcPr>
            <w:tcW w:w="34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3 - Provide a non-binding, advisory vote on our executive compensation:</w:t>
      </w:r>
    </w:p>
    <w:p>
      <w:pPr>
        <w:spacing w:after="0" w:line="158" w:lineRule="exact"/>
        <w:rPr>
          <w:sz w:val="20"/>
          <w:szCs w:val="20"/>
          <w:color w:val="auto"/>
        </w:rPr>
      </w:pPr>
    </w:p>
    <w:tbl>
      <w:tblPr>
        <w:tblLayout w:type="fixed"/>
        <w:tblInd w:w="2400" w:type="dxa"/>
        <w:tblCellMar>
          <w:top w:w="0" w:type="dxa"/>
          <w:left w:w="0" w:type="dxa"/>
          <w:bottom w:w="0" w:type="dxa"/>
          <w:right w:w="0" w:type="dxa"/>
        </w:tblCellMar>
      </w:tblPr>
      <w:tr>
        <w:trPr>
          <w:trHeight w:val="27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85,969,842</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4360" w:type="dxa"/>
            <w:vAlign w:val="bottom"/>
          </w:tcPr>
          <w:p>
            <w:pPr>
              <w:jc w:val="right"/>
              <w:spacing w:after="0"/>
              <w:rPr>
                <w:sz w:val="20"/>
                <w:szCs w:val="20"/>
                <w:color w:val="auto"/>
              </w:rPr>
            </w:pPr>
            <w:r>
              <w:rPr>
                <w:rFonts w:ascii="Arial" w:cs="Arial" w:eastAsia="Arial" w:hAnsi="Arial"/>
                <w:sz w:val="18"/>
                <w:szCs w:val="18"/>
                <w:color w:val="auto"/>
              </w:rPr>
              <w:t>795,866</w:t>
            </w:r>
          </w:p>
        </w:tc>
      </w:tr>
      <w:tr>
        <w:trPr>
          <w:trHeight w:val="27"/>
        </w:trPr>
        <w:tc>
          <w:tcPr>
            <w:tcW w:w="228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172,089</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Broker Non-Votes</w:t>
            </w:r>
          </w:p>
        </w:tc>
        <w:tc>
          <w:tcPr>
            <w:tcW w:w="4360" w:type="dxa"/>
            <w:vAlign w:val="bottom"/>
          </w:tcPr>
          <w:p>
            <w:pPr>
              <w:jc w:val="right"/>
              <w:spacing w:after="0"/>
              <w:rPr>
                <w:sz w:val="20"/>
                <w:szCs w:val="20"/>
                <w:color w:val="auto"/>
              </w:rPr>
            </w:pPr>
            <w:r>
              <w:rPr>
                <w:rFonts w:ascii="Arial" w:cs="Arial" w:eastAsia="Arial" w:hAnsi="Arial"/>
                <w:sz w:val="18"/>
                <w:szCs w:val="18"/>
                <w:color w:val="auto"/>
              </w:rPr>
              <w:t>4,730,814</w:t>
            </w:r>
          </w:p>
        </w:tc>
      </w:tr>
      <w:tr>
        <w:trPr>
          <w:trHeight w:val="918"/>
        </w:trPr>
        <w:tc>
          <w:tcPr>
            <w:tcW w:w="2280" w:type="dxa"/>
            <w:vAlign w:val="bottom"/>
          </w:tcPr>
          <w:p>
            <w:pPr>
              <w:spacing w:after="0"/>
              <w:rPr>
                <w:sz w:val="24"/>
                <w:szCs w:val="24"/>
                <w:color w:val="auto"/>
              </w:rPr>
            </w:pPr>
          </w:p>
        </w:tc>
        <w:tc>
          <w:tcPr>
            <w:tcW w:w="4360" w:type="dxa"/>
            <w:vAlign w:val="bottom"/>
          </w:tcPr>
          <w:p>
            <w:pPr>
              <w:jc w:val="right"/>
              <w:ind w:right="315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4"/>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800" w:type="dxa"/>
            <w:vAlign w:val="bottom"/>
            <w:gridSpan w:val="4"/>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45"/>
        </w:trPr>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80" w:type="dxa"/>
            <w:vAlign w:val="bottom"/>
            <w:vMerge w:val="restart"/>
          </w:tcPr>
          <w:p>
            <w:pPr>
              <w:jc w:val="right"/>
              <w:ind w:right="446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No.</w:t>
            </w:r>
          </w:p>
        </w:tc>
        <w:tc>
          <w:tcPr>
            <w:tcW w:w="5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0" w:type="dxa"/>
            <w:vAlign w:val="bottom"/>
            <w:gridSpan w:val="3"/>
          </w:tcPr>
          <w:p>
            <w:pPr>
              <w:ind w:left="40"/>
              <w:spacing w:after="0" w:line="202" w:lineRule="exact"/>
              <w:rPr>
                <w:rFonts w:ascii="Arial" w:cs="Arial" w:eastAsia="Arial" w:hAnsi="Arial"/>
                <w:sz w:val="18"/>
                <w:szCs w:val="18"/>
                <w:color w:val="0000FF"/>
              </w:rPr>
            </w:pPr>
            <w:hyperlink r:id="rId1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1"/>
              </w:rPr>
              <w:t>Amended and Restated Credit Agreement, dated as of May 17, 2017, as amended by Incremental Amendment No. 1 dated as of May</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2, 2018, by and among Essent Group Ltd., Essent Irish Intermediate Holdings Limited, and Essent US Holdings, Inc., as borrowers,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4"/>
              </w:rPr>
              <w:t>the several banks and other financial institutions or entities from time to time parties to this agreement, as lenders, and JPMorgan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Chase Bank, N.A., as administrative agent (incorporated herein by reference to Exhibit 10.1 of the Current Report on Form 8-K (File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No. 001-36157) filed on May 7, 2018).</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rFonts w:ascii="Arial" w:cs="Arial" w:eastAsia="Arial" w:hAnsi="Arial"/>
                <w:sz w:val="18"/>
                <w:szCs w:val="18"/>
                <w:color w:val="0000FF"/>
              </w:rPr>
            </w:pPr>
            <w:hyperlink w:anchor="page48">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rFonts w:ascii="Arial" w:cs="Arial" w:eastAsia="Arial" w:hAnsi="Arial"/>
                <w:sz w:val="18"/>
                <w:szCs w:val="18"/>
                <w:color w:val="0000FF"/>
              </w:rPr>
            </w:pPr>
            <w:hyperlink w:anchor="page49">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rFonts w:ascii="Arial" w:cs="Arial" w:eastAsia="Arial" w:hAnsi="Arial"/>
                <w:sz w:val="18"/>
                <w:szCs w:val="18"/>
                <w:color w:val="0000FF"/>
              </w:rPr>
            </w:pPr>
            <w:hyperlink w:anchor="page50">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62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March 31, 2018, formatted 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0" w:type="dxa"/>
            <w:vAlign w:val="bottom"/>
            <w:gridSpan w:val="4"/>
          </w:tcPr>
          <w:p>
            <w:pPr>
              <w:jc w:val="right"/>
              <w:ind w:right="554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125"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240" w:firstLine="8"/>
        <w:spacing w:after="0" w:line="324"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2018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8, 2018</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1."/>
      <w:numFmt w:val="decimal"/>
      <w:start w:val="5"/>
    </w:lvl>
    <w:lvl w:ilvl="1">
      <w:lvlJc w:val="left"/>
      <w:lvlText w:val="(%2)"/>
      <w:numFmt w:val="lowerLetter"/>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3"/>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3"/>
    </w:lvl>
  </w:abstractNum>
  <w:abstractNum w:abstractNumId="27">
    <w:nsid w:val="836C40E"/>
    <w:multiLevelType w:val="hybridMultilevel"/>
    <w:lvl w:ilvl="0">
      <w:lvlJc w:val="left"/>
      <w:lvlText w:val="%1."/>
      <w:numFmt w:val="decimal"/>
      <w:start w:val="5"/>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6" Type="http://schemas.openxmlformats.org/officeDocument/2006/relationships/hyperlink" Target="http://www.sec.gov/Archives/edgar/data/1448893/000144889318000052/conformed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2020-01-15T08:26:36Z</dcterms:created>
  <dcterms:modified xsi:type="dcterms:W3CDTF">2020-01-15T08:26:36Z</dcterms:modified>
</cp:coreProperties>
</file>