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0520.xml.htm"/>
      <w:bookmarkStart w:id="1" w:name="kswkform4_17894205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Dutt Aditya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ESSENT GROUP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CLARENDON HOUSE, 2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HAMILTON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HM11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BERMUDA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Essent Group Ltd.</w:t>
              </w:r>
            </w:hyperlink>
            <w:r>
              <w:rPr/>
              <w:t xml:space="preserve"> [ </w:t>
            </w:r>
            <w:r>
              <w:rPr>
                <w:rFonts w:ascii="Times;serif" w:hAnsi="Times;serif"/>
                <w:color w:val="0000FF"/>
                <w:sz w:val="24"/>
                <w:shd w:fill="FFFFFF" w:val="clear"/>
              </w:rPr>
              <w:t>ESNT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102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 par value $0.015</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unvested restricted stock award(s) and/or unvested restricted stock unit award(s) and become vested proportionately with the award(s) to which they relate. Each dividend equivalent unit is the economic equivalent of one common share of Essent Group Ltd.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 Weinstock,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2890" TargetMode="External"/><Relationship Id="rId5" Type="http://schemas.openxmlformats.org/officeDocument/2006/relationships/hyperlink" Target="http://www.sec.gov/cgi-bin/browse-edgar?action=getcompany&amp;CIK=00014488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3390</Characters>
  <CharactersWithSpaces>3939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