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111760</wp:posOffset>
            </wp:positionV>
            <wp:extent cx="3068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74295</wp:posOffset>
            </wp:positionV>
            <wp:extent cx="3068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13"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(Mark One)</w:t>
      </w:r>
    </w:p>
    <w:p>
      <w:pPr>
        <w:spacing w:after="0" w:line="118" w:lineRule="exact"/>
        <w:rPr>
          <w:sz w:val="24"/>
          <w:szCs w:val="24"/>
          <w:color w:val="auto"/>
        </w:rPr>
      </w:pPr>
    </w:p>
    <w:p>
      <w:pPr>
        <w:ind w:left="800" w:hanging="468"/>
        <w:spacing w:after="0"/>
        <w:tabs>
          <w:tab w:leader="none" w:pos="8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period ended June 30, 2021</w:t>
      </w:r>
    </w:p>
    <w:p>
      <w:pPr>
        <w:spacing w:after="0" w:line="127" w:lineRule="exact"/>
        <w:rPr>
          <w:sz w:val="24"/>
          <w:szCs w:val="24"/>
          <w:color w:val="auto"/>
        </w:rPr>
      </w:pPr>
    </w:p>
    <w:p>
      <w:pPr>
        <w:ind w:left="820" w:hanging="488"/>
        <w:spacing w:after="0"/>
        <w:tabs>
          <w:tab w:leader="none" w:pos="8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233" w:right="339" w:bottom="1440" w:gutter="0" w:footer="0" w:header="0"/>
        </w:sectPr>
      </w:pPr>
    </w:p>
    <w:p>
      <w:pPr>
        <w:spacing w:after="0" w:line="66" w:lineRule="exact"/>
        <w:rPr>
          <w:sz w:val="24"/>
          <w:szCs w:val="24"/>
          <w:color w:val="auto"/>
        </w:rPr>
      </w:pPr>
    </w:p>
    <w:p>
      <w:pPr>
        <w:ind w:left="39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69" w:lineRule="exact"/>
        <w:rPr>
          <w:sz w:val="24"/>
          <w:szCs w:val="24"/>
          <w:color w:val="auto"/>
        </w:rPr>
      </w:pPr>
    </w:p>
    <w:p>
      <w:pPr>
        <w:sectPr>
          <w:pgSz w:w="11900" w:h="16838" w:orient="portrait"/>
          <w:cols w:equalWidth="0" w:num="2">
            <w:col w:w="6060" w:space="560"/>
            <w:col w:w="4620"/>
          </w:cols>
          <w:pgMar w:left="320" w:top="233" w:right="339" w:bottom="1440" w:gutter="0" w:footer="0" w:header="0"/>
          <w:type w:val="continuous"/>
        </w:sectPr>
      </w:pPr>
    </w:p>
    <w:p>
      <w:pPr>
        <w:jc w:val="center"/>
        <w:ind w:right="40"/>
        <w:spacing w:after="0"/>
        <w:rPr>
          <w:sz w:val="20"/>
          <w:szCs w:val="20"/>
          <w:color w:val="auto"/>
        </w:rPr>
      </w:pPr>
      <w:r>
        <w:rPr>
          <w:rFonts w:ascii="Arial" w:cs="Arial" w:eastAsia="Arial" w:hAnsi="Arial"/>
          <w:sz w:val="14"/>
          <w:szCs w:val="14"/>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137795</wp:posOffset>
            </wp:positionV>
            <wp:extent cx="3068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p>
      <w:pPr>
        <w:spacing w:after="0" w:line="280" w:lineRule="exact"/>
        <w:rPr>
          <w:sz w:val="24"/>
          <w:szCs w:val="24"/>
          <w:color w:val="auto"/>
        </w:rPr>
      </w:pPr>
    </w:p>
    <w:tbl>
      <w:tblPr>
        <w:tblLayout w:type="fixed"/>
        <w:tblInd w:w="50" w:type="dxa"/>
        <w:tblCellMar>
          <w:top w:w="0" w:type="dxa"/>
          <w:left w:w="0" w:type="dxa"/>
          <w:bottom w:w="0" w:type="dxa"/>
          <w:right w:w="0" w:type="dxa"/>
        </w:tblCellMar>
      </w:tblPr>
      <w:tr>
        <w:trPr>
          <w:trHeight w:val="360"/>
        </w:trPr>
        <w:tc>
          <w:tcPr>
            <w:tcW w:w="3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20" w:type="dxa"/>
            <w:vAlign w:val="bottom"/>
            <w:gridSpan w:val="3"/>
          </w:tcPr>
          <w:p>
            <w:pPr>
              <w:jc w:val="center"/>
              <w:ind w:right="40"/>
              <w:spacing w:after="0"/>
              <w:rPr>
                <w:sz w:val="20"/>
                <w:szCs w:val="20"/>
                <w:color w:val="auto"/>
              </w:rPr>
            </w:pPr>
            <w:r>
              <w:rPr>
                <w:rFonts w:ascii="Arial" w:cs="Arial" w:eastAsia="Arial" w:hAnsi="Arial"/>
                <w:sz w:val="29"/>
                <w:szCs w:val="29"/>
                <w:b w:val="1"/>
                <w:bCs w:val="1"/>
                <w:color w:val="auto"/>
                <w:w w:val="96"/>
              </w:rPr>
              <w:t>ESSENT GROUP LTD.</w:t>
            </w:r>
          </w:p>
        </w:tc>
        <w:tc>
          <w:tcPr>
            <w:tcW w:w="5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06"/>
        </w:trPr>
        <w:tc>
          <w:tcPr>
            <w:tcW w:w="3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20" w:type="dxa"/>
            <w:vAlign w:val="bottom"/>
            <w:gridSpan w:val="3"/>
          </w:tcPr>
          <w:p>
            <w:pPr>
              <w:jc w:val="center"/>
              <w:ind w:right="20"/>
              <w:spacing w:after="0"/>
              <w:rPr>
                <w:sz w:val="20"/>
                <w:szCs w:val="20"/>
                <w:color w:val="auto"/>
              </w:rPr>
            </w:pPr>
            <w:r>
              <w:rPr>
                <w:rFonts w:ascii="Arial" w:cs="Arial" w:eastAsia="Arial" w:hAnsi="Arial"/>
                <w:sz w:val="16"/>
                <w:szCs w:val="16"/>
                <w:color w:val="auto"/>
                <w:w w:val="91"/>
              </w:rPr>
              <w:t>(Exact name of registrant as specified in its charter)</w:t>
            </w:r>
          </w:p>
        </w:tc>
        <w:tc>
          <w:tcPr>
            <w:tcW w:w="54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168"/>
        </w:trPr>
        <w:tc>
          <w:tcPr>
            <w:tcW w:w="3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0" w:type="dxa"/>
            <w:vAlign w:val="bottom"/>
          </w:tcPr>
          <w:p>
            <w:pPr>
              <w:spacing w:after="0"/>
              <w:rPr>
                <w:sz w:val="14"/>
                <w:szCs w:val="14"/>
                <w:color w:val="auto"/>
              </w:rPr>
            </w:pPr>
          </w:p>
        </w:tc>
      </w:tr>
      <w:tr>
        <w:trPr>
          <w:trHeight w:val="325"/>
        </w:trPr>
        <w:tc>
          <w:tcPr>
            <w:tcW w:w="3740" w:type="dxa"/>
            <w:vAlign w:val="bottom"/>
            <w:gridSpan w:val="2"/>
          </w:tcPr>
          <w:p>
            <w:pPr>
              <w:jc w:val="center"/>
              <w:ind w:left="1496"/>
              <w:spacing w:after="0"/>
              <w:rPr>
                <w:sz w:val="20"/>
                <w:szCs w:val="20"/>
                <w:color w:val="auto"/>
              </w:rPr>
            </w:pPr>
            <w:r>
              <w:rPr>
                <w:rFonts w:ascii="Arial" w:cs="Arial" w:eastAsia="Arial" w:hAnsi="Arial"/>
                <w:sz w:val="16"/>
                <w:szCs w:val="16"/>
                <w:b w:val="1"/>
                <w:bCs w:val="1"/>
                <w:color w:val="auto"/>
                <w:w w:val="92"/>
              </w:rPr>
              <w:t>Bermuda</w:t>
            </w:r>
          </w:p>
        </w:tc>
        <w:tc>
          <w:tcPr>
            <w:tcW w:w="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40" w:type="dxa"/>
            <w:vAlign w:val="bottom"/>
            <w:gridSpan w:val="2"/>
          </w:tcPr>
          <w:p>
            <w:pPr>
              <w:jc w:val="center"/>
              <w:ind w:right="1650"/>
              <w:spacing w:after="0"/>
              <w:rPr>
                <w:sz w:val="20"/>
                <w:szCs w:val="20"/>
                <w:color w:val="auto"/>
              </w:rPr>
            </w:pPr>
            <w:r>
              <w:rPr>
                <w:rFonts w:ascii="Arial" w:cs="Arial" w:eastAsia="Arial" w:hAnsi="Arial"/>
                <w:sz w:val="16"/>
                <w:szCs w:val="16"/>
                <w:b w:val="1"/>
                <w:bCs w:val="1"/>
                <w:color w:val="auto"/>
                <w:w w:val="92"/>
              </w:rPr>
              <w:t>Not Applicable</w:t>
            </w:r>
          </w:p>
        </w:tc>
      </w:tr>
      <w:tr>
        <w:trPr>
          <w:trHeight w:val="172"/>
        </w:trPr>
        <w:tc>
          <w:tcPr>
            <w:tcW w:w="3740" w:type="dxa"/>
            <w:vAlign w:val="bottom"/>
            <w:gridSpan w:val="2"/>
          </w:tcPr>
          <w:p>
            <w:pPr>
              <w:jc w:val="center"/>
              <w:ind w:left="1496"/>
              <w:spacing w:after="0" w:line="171" w:lineRule="exact"/>
              <w:rPr>
                <w:sz w:val="20"/>
                <w:szCs w:val="20"/>
                <w:color w:val="auto"/>
              </w:rPr>
            </w:pPr>
            <w:r>
              <w:rPr>
                <w:rFonts w:ascii="Arial" w:cs="Arial" w:eastAsia="Arial" w:hAnsi="Arial"/>
                <w:sz w:val="16"/>
                <w:szCs w:val="16"/>
                <w:color w:val="auto"/>
                <w:w w:val="93"/>
              </w:rPr>
              <w:t>(State or other jurisdiction of</w:t>
            </w:r>
          </w:p>
        </w:tc>
        <w:tc>
          <w:tcPr>
            <w:tcW w:w="4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40" w:type="dxa"/>
            <w:vAlign w:val="bottom"/>
            <w:gridSpan w:val="2"/>
          </w:tcPr>
          <w:p>
            <w:pPr>
              <w:jc w:val="center"/>
              <w:ind w:right="1650"/>
              <w:spacing w:after="0" w:line="171" w:lineRule="exact"/>
              <w:rPr>
                <w:sz w:val="20"/>
                <w:szCs w:val="20"/>
                <w:color w:val="auto"/>
              </w:rPr>
            </w:pPr>
            <w:r>
              <w:rPr>
                <w:rFonts w:ascii="Arial" w:cs="Arial" w:eastAsia="Arial" w:hAnsi="Arial"/>
                <w:sz w:val="16"/>
                <w:szCs w:val="16"/>
                <w:color w:val="auto"/>
                <w:w w:val="95"/>
              </w:rPr>
              <w:t>(I.R.S. Employer</w:t>
            </w:r>
          </w:p>
        </w:tc>
      </w:tr>
      <w:tr>
        <w:trPr>
          <w:trHeight w:val="206"/>
        </w:trPr>
        <w:tc>
          <w:tcPr>
            <w:tcW w:w="3740" w:type="dxa"/>
            <w:vAlign w:val="bottom"/>
            <w:gridSpan w:val="2"/>
          </w:tcPr>
          <w:p>
            <w:pPr>
              <w:jc w:val="center"/>
              <w:ind w:left="1476"/>
              <w:spacing w:after="0"/>
              <w:rPr>
                <w:sz w:val="20"/>
                <w:szCs w:val="20"/>
                <w:color w:val="auto"/>
              </w:rPr>
            </w:pPr>
            <w:r>
              <w:rPr>
                <w:rFonts w:ascii="Arial" w:cs="Arial" w:eastAsia="Arial" w:hAnsi="Arial"/>
                <w:sz w:val="16"/>
                <w:szCs w:val="16"/>
                <w:color w:val="auto"/>
                <w:w w:val="93"/>
              </w:rPr>
              <w:t>incorporation or organization)</w:t>
            </w:r>
          </w:p>
        </w:tc>
        <w:tc>
          <w:tcPr>
            <w:tcW w:w="4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740" w:type="dxa"/>
            <w:vAlign w:val="bottom"/>
            <w:gridSpan w:val="2"/>
          </w:tcPr>
          <w:p>
            <w:pPr>
              <w:jc w:val="center"/>
              <w:ind w:right="1650"/>
              <w:spacing w:after="0"/>
              <w:rPr>
                <w:sz w:val="20"/>
                <w:szCs w:val="20"/>
                <w:color w:val="auto"/>
              </w:rPr>
            </w:pPr>
            <w:r>
              <w:rPr>
                <w:rFonts w:ascii="Arial" w:cs="Arial" w:eastAsia="Arial" w:hAnsi="Arial"/>
                <w:sz w:val="16"/>
                <w:szCs w:val="16"/>
                <w:color w:val="auto"/>
                <w:w w:val="94"/>
              </w:rPr>
              <w:t>Identification Number)</w:t>
            </w:r>
          </w:p>
        </w:tc>
      </w:tr>
      <w:tr>
        <w:trPr>
          <w:trHeight w:val="262"/>
        </w:trPr>
        <w:tc>
          <w:tcPr>
            <w:tcW w:w="3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3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0"/>
              </w:rPr>
              <w:t>Clarendon House</w:t>
            </w:r>
          </w:p>
        </w:tc>
        <w:tc>
          <w:tcPr>
            <w:tcW w:w="54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189"/>
        </w:trPr>
        <w:tc>
          <w:tcPr>
            <w:tcW w:w="3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2 Church Street</w:t>
            </w:r>
          </w:p>
        </w:tc>
        <w:tc>
          <w:tcPr>
            <w:tcW w:w="54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193"/>
        </w:trPr>
        <w:tc>
          <w:tcPr>
            <w:tcW w:w="3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5"/>
              </w:rPr>
              <w:t>Hamilton HM11, Bermuda</w:t>
            </w:r>
          </w:p>
        </w:tc>
        <w:tc>
          <w:tcPr>
            <w:tcW w:w="54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185"/>
        </w:trPr>
        <w:tc>
          <w:tcPr>
            <w:tcW w:w="3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720" w:type="dxa"/>
            <w:vAlign w:val="bottom"/>
            <w:gridSpan w:val="3"/>
          </w:tcPr>
          <w:p>
            <w:pPr>
              <w:jc w:val="center"/>
              <w:ind w:right="40"/>
              <w:spacing w:after="0"/>
              <w:rPr>
                <w:sz w:val="20"/>
                <w:szCs w:val="20"/>
                <w:color w:val="auto"/>
              </w:rPr>
            </w:pPr>
            <w:r>
              <w:rPr>
                <w:rFonts w:ascii="Arial" w:cs="Arial" w:eastAsia="Arial" w:hAnsi="Arial"/>
                <w:sz w:val="16"/>
                <w:szCs w:val="16"/>
                <w:color w:val="auto"/>
                <w:w w:val="93"/>
              </w:rPr>
              <w:t>(Address of principal executive offices and zip code)</w:t>
            </w:r>
          </w:p>
        </w:tc>
        <w:tc>
          <w:tcPr>
            <w:tcW w:w="54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193"/>
        </w:trPr>
        <w:tc>
          <w:tcPr>
            <w:tcW w:w="3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300" w:type="dxa"/>
            <w:vAlign w:val="bottom"/>
            <w:gridSpan w:val="2"/>
          </w:tcPr>
          <w:p>
            <w:pPr>
              <w:jc w:val="center"/>
              <w:ind w:left="306"/>
              <w:spacing w:after="0"/>
              <w:rPr>
                <w:sz w:val="20"/>
                <w:szCs w:val="20"/>
                <w:color w:val="auto"/>
              </w:rPr>
            </w:pPr>
            <w:r>
              <w:rPr>
                <w:rFonts w:ascii="Arial" w:cs="Arial" w:eastAsia="Arial" w:hAnsi="Arial"/>
                <w:sz w:val="16"/>
                <w:szCs w:val="16"/>
                <w:b w:val="1"/>
                <w:bCs w:val="1"/>
                <w:color w:val="auto"/>
                <w:w w:val="93"/>
              </w:rPr>
              <w:t>(441) 297-9901</w:t>
            </w: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206"/>
        </w:trPr>
        <w:tc>
          <w:tcPr>
            <w:tcW w:w="3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20" w:type="dxa"/>
            <w:vAlign w:val="bottom"/>
            <w:gridSpan w:val="3"/>
          </w:tcPr>
          <w:p>
            <w:pPr>
              <w:jc w:val="center"/>
              <w:ind w:right="40"/>
              <w:spacing w:after="0"/>
              <w:rPr>
                <w:sz w:val="20"/>
                <w:szCs w:val="20"/>
                <w:color w:val="auto"/>
              </w:rPr>
            </w:pPr>
            <w:r>
              <w:rPr>
                <w:rFonts w:ascii="Arial" w:cs="Arial" w:eastAsia="Arial" w:hAnsi="Arial"/>
                <w:sz w:val="16"/>
                <w:szCs w:val="16"/>
                <w:color w:val="auto"/>
                <w:w w:val="91"/>
              </w:rPr>
              <w:t>(Registrant’s telephone number, including area code)</w:t>
            </w:r>
          </w:p>
        </w:tc>
        <w:tc>
          <w:tcPr>
            <w:tcW w:w="54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452"/>
        </w:trPr>
        <w:tc>
          <w:tcPr>
            <w:tcW w:w="7460" w:type="dxa"/>
            <w:vAlign w:val="bottom"/>
            <w:gridSpan w:val="5"/>
          </w:tcPr>
          <w:p>
            <w:pPr>
              <w:ind w:left="460"/>
              <w:spacing w:after="0"/>
              <w:rPr>
                <w:sz w:val="20"/>
                <w:szCs w:val="20"/>
                <w:color w:val="auto"/>
              </w:rPr>
            </w:pPr>
            <w:r>
              <w:rPr>
                <w:rFonts w:ascii="Arial" w:cs="Arial" w:eastAsia="Arial" w:hAnsi="Arial"/>
                <w:sz w:val="18"/>
                <w:szCs w:val="18"/>
                <w:color w:val="auto"/>
              </w:rPr>
              <w:t>Securities registered pursuant to Section 12(b) of the Act:</w:t>
            </w:r>
          </w:p>
        </w:tc>
        <w:tc>
          <w:tcPr>
            <w:tcW w:w="5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22"/>
        </w:trPr>
        <w:tc>
          <w:tcPr>
            <w:tcW w:w="3740" w:type="dxa"/>
            <w:vAlign w:val="bottom"/>
            <w:tcBorders>
              <w:bottom w:val="single" w:sz="8" w:color="auto"/>
            </w:tcBorders>
            <w:gridSpan w:val="2"/>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gridSpan w:val="2"/>
          </w:tcPr>
          <w:p>
            <w:pPr>
              <w:spacing w:after="0"/>
              <w:rPr>
                <w:sz w:val="10"/>
                <w:szCs w:val="10"/>
                <w:color w:val="auto"/>
              </w:rPr>
            </w:pPr>
          </w:p>
        </w:tc>
      </w:tr>
      <w:tr>
        <w:trPr>
          <w:trHeight w:val="207"/>
        </w:trPr>
        <w:tc>
          <w:tcPr>
            <w:tcW w:w="3740" w:type="dxa"/>
            <w:vAlign w:val="bottom"/>
            <w:tcBorders>
              <w:left w:val="single" w:sz="8" w:color="auto"/>
              <w:bottom w:val="single" w:sz="8" w:color="auto"/>
            </w:tcBorders>
            <w:gridSpan w:val="2"/>
          </w:tcPr>
          <w:p>
            <w:pPr>
              <w:jc w:val="center"/>
              <w:ind w:left="316"/>
              <w:spacing w:after="0"/>
              <w:rPr>
                <w:sz w:val="20"/>
                <w:szCs w:val="20"/>
                <w:color w:val="auto"/>
              </w:rPr>
            </w:pPr>
            <w:r>
              <w:rPr>
                <w:rFonts w:ascii="Arial" w:cs="Arial" w:eastAsia="Arial" w:hAnsi="Arial"/>
                <w:sz w:val="16"/>
                <w:szCs w:val="16"/>
                <w:b w:val="1"/>
                <w:bCs w:val="1"/>
                <w:color w:val="auto"/>
                <w:w w:val="88"/>
              </w:rPr>
              <w:t>Title of each class</w:t>
            </w:r>
          </w:p>
        </w:tc>
        <w:tc>
          <w:tcPr>
            <w:tcW w:w="420" w:type="dxa"/>
            <w:vAlign w:val="bottom"/>
            <w:tcBorders>
              <w:bottom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20" w:type="dxa"/>
            <w:vAlign w:val="bottom"/>
            <w:tcBorders>
              <w:bottom w:val="single" w:sz="8" w:color="auto"/>
            </w:tcBorders>
          </w:tcPr>
          <w:p>
            <w:pPr>
              <w:spacing w:after="0"/>
              <w:rPr>
                <w:sz w:val="17"/>
                <w:szCs w:val="17"/>
                <w:color w:val="auto"/>
              </w:rPr>
            </w:pPr>
          </w:p>
        </w:tc>
        <w:tc>
          <w:tcPr>
            <w:tcW w:w="3740" w:type="dxa"/>
            <w:vAlign w:val="bottom"/>
            <w:tcBorders>
              <w:bottom w:val="single" w:sz="8" w:color="auto"/>
              <w:right w:val="single" w:sz="8" w:color="auto"/>
            </w:tcBorders>
            <w:gridSpan w:val="2"/>
          </w:tcPr>
          <w:p>
            <w:pPr>
              <w:jc w:val="center"/>
              <w:ind w:right="350"/>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26"/>
        </w:trPr>
        <w:tc>
          <w:tcPr>
            <w:tcW w:w="3740" w:type="dxa"/>
            <w:vAlign w:val="bottom"/>
            <w:tcBorders>
              <w:left w:val="single" w:sz="8" w:color="auto"/>
              <w:bottom w:val="single" w:sz="8" w:color="auto"/>
            </w:tcBorders>
            <w:gridSpan w:val="2"/>
          </w:tcPr>
          <w:p>
            <w:pPr>
              <w:jc w:val="center"/>
              <w:ind w:left="316"/>
              <w:spacing w:after="0"/>
              <w:rPr>
                <w:sz w:val="20"/>
                <w:szCs w:val="20"/>
                <w:color w:val="auto"/>
              </w:rPr>
            </w:pPr>
            <w:r>
              <w:rPr>
                <w:rFonts w:ascii="Arial" w:cs="Arial" w:eastAsia="Arial" w:hAnsi="Arial"/>
                <w:sz w:val="18"/>
                <w:szCs w:val="18"/>
                <w:color w:val="auto"/>
                <w:w w:val="89"/>
              </w:rPr>
              <w:t>Common Shares, $0.015 par value</w:t>
            </w:r>
          </w:p>
        </w:tc>
        <w:tc>
          <w:tcPr>
            <w:tcW w:w="420" w:type="dxa"/>
            <w:vAlign w:val="bottom"/>
            <w:tcBorders>
              <w:bottom w:val="single" w:sz="8" w:color="auto"/>
              <w:right w:val="single" w:sz="8" w:color="auto"/>
            </w:tcBorders>
          </w:tcPr>
          <w:p>
            <w:pPr>
              <w:spacing w:after="0"/>
              <w:rPr>
                <w:sz w:val="19"/>
                <w:szCs w:val="19"/>
                <w:color w:val="auto"/>
              </w:rPr>
            </w:pP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ESNT</w:t>
            </w: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jc w:val="center"/>
              <w:ind w:right="890"/>
              <w:spacing w:after="0"/>
              <w:rPr>
                <w:sz w:val="20"/>
                <w:szCs w:val="20"/>
                <w:color w:val="auto"/>
              </w:rPr>
            </w:pPr>
            <w:r>
              <w:rPr>
                <w:rFonts w:ascii="Arial" w:cs="Arial" w:eastAsia="Arial" w:hAnsi="Arial"/>
                <w:sz w:val="18"/>
                <w:szCs w:val="18"/>
                <w:color w:val="auto"/>
                <w:w w:val="91"/>
              </w:rPr>
              <w:t>New York Stock Exchange</w:t>
            </w:r>
          </w:p>
        </w:tc>
      </w:tr>
    </w:tbl>
    <w:p>
      <w:pPr>
        <w:spacing w:after="0" w:line="323" w:lineRule="exact"/>
        <w:rPr>
          <w:sz w:val="24"/>
          <w:szCs w:val="24"/>
          <w:color w:val="auto"/>
        </w:rPr>
      </w:pPr>
    </w:p>
    <w:p>
      <w:pPr>
        <w:jc w:val="both"/>
        <w:ind w:right="60" w:firstLine="567"/>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left="580"/>
        <w:spacing w:after="0"/>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w:t>
      </w:r>
    </w:p>
    <w:p>
      <w:pPr>
        <w:spacing w:after="0" w:line="35" w:lineRule="exact"/>
        <w:rPr>
          <w:sz w:val="24"/>
          <w:szCs w:val="24"/>
          <w:color w:val="auto"/>
        </w:rPr>
      </w:pPr>
    </w:p>
    <w:p>
      <w:pPr>
        <w:jc w:val="both"/>
        <w:ind w:right="40"/>
        <w:spacing w:after="0" w:line="226" w:lineRule="exact"/>
        <w:rPr>
          <w:sz w:val="20"/>
          <w:szCs w:val="20"/>
          <w:color w:val="auto"/>
        </w:rPr>
      </w:pPr>
      <w:r>
        <w:rPr>
          <w:rFonts w:ascii="Arial" w:cs="Arial" w:eastAsia="Arial" w:hAnsi="Arial"/>
          <w:sz w:val="18"/>
          <w:szCs w:val="18"/>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7" w:lineRule="exact"/>
        <w:rPr>
          <w:sz w:val="24"/>
          <w:szCs w:val="24"/>
          <w:color w:val="auto"/>
        </w:rPr>
      </w:pPr>
    </w:p>
    <w:p>
      <w:pPr>
        <w:ind w:right="160" w:firstLine="56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2440" w:type="dxa"/>
        <w:tblCellMar>
          <w:top w:w="0" w:type="dxa"/>
          <w:left w:w="0" w:type="dxa"/>
          <w:bottom w:w="0" w:type="dxa"/>
          <w:right w:w="0" w:type="dxa"/>
        </w:tblCellMar>
      </w:tblPr>
      <w:tr>
        <w:trPr>
          <w:trHeight w:val="229"/>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Arial" w:cs="Arial" w:eastAsia="Arial" w:hAnsi="Arial"/>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Arial" w:cs="Arial" w:eastAsia="Arial" w:hAnsi="Arial"/>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0" w:type="dxa"/>
            <w:vAlign w:val="bottom"/>
          </w:tcPr>
          <w:p>
            <w:pPr>
              <w:ind w:left="440"/>
              <w:spacing w:after="0"/>
              <w:rPr>
                <w:sz w:val="20"/>
                <w:szCs w:val="20"/>
                <w:color w:val="auto"/>
              </w:rPr>
            </w:pPr>
            <w:r>
              <w:rPr>
                <w:rFonts w:ascii="Arial" w:cs="Arial" w:eastAsia="Arial" w:hAnsi="Arial"/>
                <w:sz w:val="16"/>
                <w:szCs w:val="16"/>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right="240" w:firstLine="567"/>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580" w:right="1420"/>
        <w:spacing w:after="0" w:line="21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the registrant’s common shares outstanding as of August 2, 2021 was 111,872,180.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40" w:type="dxa"/>
            <w:vAlign w:val="bottom"/>
            <w:gridSpan w:val="8"/>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540"/>
              <w:spacing w:after="0"/>
              <w:rPr>
                <w:sz w:val="20"/>
                <w:szCs w:val="20"/>
                <w:color w:val="auto"/>
              </w:rPr>
            </w:pPr>
            <w:r>
              <w:rPr>
                <w:rFonts w:ascii="Arial" w:cs="Arial" w:eastAsia="Arial" w:hAnsi="Arial"/>
                <w:sz w:val="18"/>
                <w:szCs w:val="18"/>
                <w:b w:val="1"/>
                <w:bCs w:val="1"/>
                <w:color w:val="auto"/>
                <w:w w:val="89"/>
              </w:rPr>
              <w:t>Essent Group Ltd. and Subsidiaries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540"/>
              <w:spacing w:after="0"/>
              <w:rPr>
                <w:sz w:val="20"/>
                <w:szCs w:val="20"/>
                <w:color w:val="auto"/>
              </w:rPr>
            </w:pPr>
            <w:r>
              <w:rPr>
                <w:rFonts w:ascii="Arial" w:cs="Arial" w:eastAsia="Arial" w:hAnsi="Arial"/>
                <w:sz w:val="18"/>
                <w:szCs w:val="18"/>
                <w:b w:val="1"/>
                <w:bCs w:val="1"/>
                <w:color w:val="auto"/>
                <w:w w:val="95"/>
              </w:rPr>
              <w:t>Form 10-Q</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560"/>
              <w:spacing w:after="0"/>
              <w:rPr>
                <w:sz w:val="20"/>
                <w:szCs w:val="20"/>
                <w:color w:val="auto"/>
              </w:rPr>
            </w:pPr>
            <w:r>
              <w:rPr>
                <w:rFonts w:ascii="Arial" w:cs="Arial" w:eastAsia="Arial" w:hAnsi="Arial"/>
                <w:sz w:val="18"/>
                <w:szCs w:val="18"/>
                <w:b w:val="1"/>
                <w:bCs w:val="1"/>
                <w:color w:val="auto"/>
                <w:w w:val="93"/>
              </w:rPr>
              <w:t>Index</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6"/>
        </w:trPr>
        <w:tc>
          <w:tcPr>
            <w:tcW w:w="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b w:val="1"/>
                <w:bCs w:val="1"/>
                <w:color w:val="0000FF"/>
                <w:w w:val="96"/>
              </w:rPr>
            </w:pPr>
            <w:hyperlink w:anchor="page4">
              <w:r>
                <w:rPr>
                  <w:rFonts w:ascii="Arial" w:cs="Arial" w:eastAsia="Arial" w:hAnsi="Arial"/>
                  <w:sz w:val="18"/>
                  <w:szCs w:val="18"/>
                  <w:b w:val="1"/>
                  <w:bCs w:val="1"/>
                  <w:color w:val="0000FF"/>
                  <w:w w:val="96"/>
                </w:rPr>
                <w:t>PART I.</w:t>
              </w:r>
            </w:hyperlink>
          </w:p>
        </w:tc>
        <w:tc>
          <w:tcPr>
            <w:tcW w:w="880" w:type="dxa"/>
            <w:vAlign w:val="bottom"/>
            <w:gridSpan w:val="5"/>
          </w:tcPr>
          <w:p>
            <w:pPr>
              <w:spacing w:after="0"/>
              <w:rPr>
                <w:sz w:val="24"/>
                <w:szCs w:val="24"/>
                <w:color w:val="auto"/>
              </w:rPr>
            </w:pPr>
          </w:p>
        </w:tc>
        <w:tc>
          <w:tcPr>
            <w:tcW w:w="2380" w:type="dxa"/>
            <w:vAlign w:val="bottom"/>
            <w:gridSpan w:val="6"/>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FINANCIAL INFORMATION</w:t>
              </w:r>
            </w:hyperlink>
          </w:p>
        </w:tc>
        <w:tc>
          <w:tcPr>
            <w:tcW w:w="5760" w:type="dxa"/>
            <w:vAlign w:val="bottom"/>
            <w:gridSpan w:val="10"/>
          </w:tcPr>
          <w:p>
            <w:pPr>
              <w:spacing w:after="0"/>
              <w:rPr>
                <w:sz w:val="24"/>
                <w:szCs w:val="24"/>
                <w:color w:val="auto"/>
              </w:rPr>
            </w:pPr>
          </w:p>
        </w:tc>
        <w:tc>
          <w:tcPr>
            <w:tcW w:w="15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Item 1.</w:t>
              </w:r>
            </w:hyperlink>
          </w:p>
        </w:tc>
        <w:tc>
          <w:tcPr>
            <w:tcW w:w="880" w:type="dxa"/>
            <w:vAlign w:val="bottom"/>
            <w:gridSpan w:val="5"/>
          </w:tcPr>
          <w:p>
            <w:pPr>
              <w:spacing w:after="0"/>
              <w:rPr>
                <w:sz w:val="24"/>
                <w:szCs w:val="24"/>
                <w:color w:val="auto"/>
              </w:rPr>
            </w:pPr>
          </w:p>
        </w:tc>
        <w:tc>
          <w:tcPr>
            <w:tcW w:w="8140" w:type="dxa"/>
            <w:vAlign w:val="bottom"/>
            <w:gridSpan w:val="16"/>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Financial Statements (Unaudited)</w:t>
              </w:r>
            </w:hyperlink>
          </w:p>
        </w:tc>
        <w:tc>
          <w:tcPr>
            <w:tcW w:w="15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40" w:type="dxa"/>
            <w:vAlign w:val="bottom"/>
            <w:gridSpan w:val="16"/>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Condensed Consolidated Balance Sheets (Unaudited)</w:t>
              </w:r>
            </w:hyperlink>
          </w:p>
        </w:tc>
        <w:tc>
          <w:tcPr>
            <w:tcW w:w="15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40" w:type="dxa"/>
            <w:vAlign w:val="bottom"/>
            <w:gridSpan w:val="16"/>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Condensed Consolidated Statements of Comprehensive Income (Unaudited)</w:t>
              </w:r>
            </w:hyperlink>
          </w:p>
        </w:tc>
        <w:tc>
          <w:tcPr>
            <w:tcW w:w="15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2</w:t>
              </w:r>
            </w:hyperlink>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40" w:type="dxa"/>
            <w:vAlign w:val="bottom"/>
            <w:gridSpan w:val="14"/>
          </w:tcPr>
          <w:p>
            <w:pPr>
              <w:spacing w:after="0"/>
              <w:rPr>
                <w:rFonts w:ascii="Arial" w:cs="Arial" w:eastAsia="Arial" w:hAnsi="Arial"/>
                <w:sz w:val="18"/>
                <w:szCs w:val="18"/>
                <w:b w:val="1"/>
                <w:bCs w:val="1"/>
                <w:color w:val="0000FF"/>
                <w:w w:val="89"/>
              </w:rPr>
            </w:pPr>
            <w:hyperlink w:anchor="page6">
              <w:r>
                <w:rPr>
                  <w:rFonts w:ascii="Arial" w:cs="Arial" w:eastAsia="Arial" w:hAnsi="Arial"/>
                  <w:sz w:val="18"/>
                  <w:szCs w:val="18"/>
                  <w:b w:val="1"/>
                  <w:bCs w:val="1"/>
                  <w:color w:val="0000FF"/>
                  <w:w w:val="89"/>
                </w:rPr>
                <w:t>Condensed Consolidated Statements of Changes in Stockholders’ Equity (Unaudited)</w:t>
              </w:r>
            </w:hyperlink>
          </w:p>
        </w:tc>
        <w:tc>
          <w:tcPr>
            <w:tcW w:w="1600" w:type="dxa"/>
            <w:vAlign w:val="bottom"/>
            <w:gridSpan w:val="2"/>
          </w:tcPr>
          <w:p>
            <w:pPr>
              <w:spacing w:after="0"/>
              <w:rPr>
                <w:sz w:val="24"/>
                <w:szCs w:val="24"/>
                <w:color w:val="auto"/>
              </w:rPr>
            </w:pPr>
          </w:p>
        </w:tc>
        <w:tc>
          <w:tcPr>
            <w:tcW w:w="150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00" w:type="dxa"/>
            <w:vAlign w:val="bottom"/>
            <w:gridSpan w:val="11"/>
          </w:tcPr>
          <w:p>
            <w:pPr>
              <w:spacing w:after="0"/>
              <w:rPr>
                <w:rFonts w:ascii="Arial" w:cs="Arial" w:eastAsia="Arial" w:hAnsi="Arial"/>
                <w:sz w:val="18"/>
                <w:szCs w:val="18"/>
                <w:b w:val="1"/>
                <w:bCs w:val="1"/>
                <w:color w:val="0000FF"/>
                <w:w w:val="88"/>
              </w:rPr>
            </w:pPr>
            <w:hyperlink w:anchor="page7">
              <w:r>
                <w:rPr>
                  <w:rFonts w:ascii="Arial" w:cs="Arial" w:eastAsia="Arial" w:hAnsi="Arial"/>
                  <w:sz w:val="18"/>
                  <w:szCs w:val="18"/>
                  <w:b w:val="1"/>
                  <w:bCs w:val="1"/>
                  <w:color w:val="0000FF"/>
                  <w:w w:val="88"/>
                </w:rPr>
                <w:t>Condensed Consolidated Statements of Cash Flows (Unaudited)</w:t>
              </w:r>
            </w:hyperlink>
          </w:p>
        </w:tc>
        <w:tc>
          <w:tcPr>
            <w:tcW w:w="1640" w:type="dxa"/>
            <w:vAlign w:val="bottom"/>
            <w:gridSpan w:val="3"/>
          </w:tcPr>
          <w:p>
            <w:pPr>
              <w:spacing w:after="0"/>
              <w:rPr>
                <w:sz w:val="24"/>
                <w:szCs w:val="24"/>
                <w:color w:val="auto"/>
              </w:rPr>
            </w:pPr>
          </w:p>
        </w:tc>
        <w:tc>
          <w:tcPr>
            <w:tcW w:w="1600" w:type="dxa"/>
            <w:vAlign w:val="bottom"/>
            <w:gridSpan w:val="2"/>
          </w:tcPr>
          <w:p>
            <w:pPr>
              <w:spacing w:after="0"/>
              <w:rPr>
                <w:sz w:val="24"/>
                <w:szCs w:val="24"/>
                <w:color w:val="auto"/>
              </w:rPr>
            </w:pPr>
          </w:p>
        </w:tc>
        <w:tc>
          <w:tcPr>
            <w:tcW w:w="150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4</w:t>
              </w:r>
            </w:hyperlink>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40" w:type="dxa"/>
            <w:vAlign w:val="bottom"/>
            <w:gridSpan w:val="16"/>
          </w:tcPr>
          <w:p>
            <w:pPr>
              <w:spacing w:after="0"/>
              <w:rPr>
                <w:rFonts w:ascii="Arial" w:cs="Arial" w:eastAsia="Arial" w:hAnsi="Arial"/>
                <w:sz w:val="18"/>
                <w:szCs w:val="18"/>
                <w:b w:val="1"/>
                <w:bCs w:val="1"/>
                <w:color w:val="0000FF"/>
              </w:rPr>
            </w:pPr>
            <w:hyperlink w:anchor="page8">
              <w:r>
                <w:rPr>
                  <w:rFonts w:ascii="Arial" w:cs="Arial" w:eastAsia="Arial" w:hAnsi="Arial"/>
                  <w:sz w:val="18"/>
                  <w:szCs w:val="18"/>
                  <w:b w:val="1"/>
                  <w:bCs w:val="1"/>
                  <w:color w:val="0000FF"/>
                </w:rPr>
                <w:t>Notes to Condensed Consolidated Financial Statements (Unaudited)</w:t>
              </w:r>
            </w:hyperlink>
          </w:p>
        </w:tc>
        <w:tc>
          <w:tcPr>
            <w:tcW w:w="150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5</w:t>
              </w:r>
            </w:hyperlink>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80" w:type="dxa"/>
            <w:vAlign w:val="bottom"/>
            <w:gridSpan w:val="3"/>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Item 2.</w:t>
              </w:r>
            </w:hyperlink>
          </w:p>
        </w:tc>
        <w:tc>
          <w:tcPr>
            <w:tcW w:w="840" w:type="dxa"/>
            <w:vAlign w:val="bottom"/>
            <w:gridSpan w:val="4"/>
          </w:tcPr>
          <w:p>
            <w:pPr>
              <w:spacing w:after="0"/>
              <w:rPr>
                <w:sz w:val="24"/>
                <w:szCs w:val="24"/>
                <w:color w:val="auto"/>
              </w:rPr>
            </w:pPr>
          </w:p>
        </w:tc>
        <w:tc>
          <w:tcPr>
            <w:tcW w:w="8140" w:type="dxa"/>
            <w:vAlign w:val="bottom"/>
            <w:gridSpan w:val="16"/>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Management’s Discussion and Analysis of Financial Condition and Results of Operations</w:t>
              </w:r>
            </w:hyperlink>
          </w:p>
        </w:tc>
        <w:tc>
          <w:tcPr>
            <w:tcW w:w="150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23</w:t>
              </w:r>
            </w:hyperlink>
          </w:p>
        </w:tc>
      </w:tr>
      <w:tr>
        <w:trPr>
          <w:trHeight w:val="439"/>
        </w:trPr>
        <w:tc>
          <w:tcPr>
            <w:tcW w:w="20" w:type="dxa"/>
            <w:vAlign w:val="bottom"/>
          </w:tcPr>
          <w:p>
            <w:pPr>
              <w:spacing w:after="0"/>
              <w:rPr>
                <w:sz w:val="24"/>
                <w:szCs w:val="24"/>
                <w:color w:val="auto"/>
              </w:rPr>
            </w:pPr>
          </w:p>
        </w:tc>
        <w:tc>
          <w:tcPr>
            <w:tcW w:w="680" w:type="dxa"/>
            <w:vAlign w:val="bottom"/>
            <w:tcBorders>
              <w:top w:val="single" w:sz="8" w:color="0000FF"/>
            </w:tcBorders>
            <w:gridSpan w:val="3"/>
          </w:tcPr>
          <w:p>
            <w:pPr>
              <w:spacing w:after="0"/>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Item 3.</w:t>
              </w:r>
            </w:hyperlink>
          </w:p>
        </w:tc>
        <w:tc>
          <w:tcPr>
            <w:tcW w:w="840" w:type="dxa"/>
            <w:vAlign w:val="bottom"/>
            <w:gridSpan w:val="4"/>
          </w:tcPr>
          <w:p>
            <w:pPr>
              <w:spacing w:after="0"/>
              <w:rPr>
                <w:sz w:val="24"/>
                <w:szCs w:val="24"/>
                <w:color w:val="auto"/>
              </w:rPr>
            </w:pPr>
          </w:p>
        </w:tc>
        <w:tc>
          <w:tcPr>
            <w:tcW w:w="6820" w:type="dxa"/>
            <w:vAlign w:val="bottom"/>
            <w:tcBorders>
              <w:top w:val="single" w:sz="8" w:color="0000FF"/>
            </w:tcBorders>
            <w:gridSpan w:val="15"/>
          </w:tcPr>
          <w:p>
            <w:pPr>
              <w:spacing w:after="0"/>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Quantitative and Qualitative Disclosures About Market Risk</w:t>
              </w:r>
            </w:hyperlink>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46</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520" w:type="dxa"/>
            <w:vAlign w:val="bottom"/>
            <w:gridSpan w:val="7"/>
          </w:tcPr>
          <w:p>
            <w:pPr>
              <w:spacing w:after="0"/>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Item 4.</w:t>
              </w:r>
            </w:hyperlink>
          </w:p>
        </w:tc>
        <w:tc>
          <w:tcPr>
            <w:tcW w:w="8140" w:type="dxa"/>
            <w:vAlign w:val="bottom"/>
            <w:gridSpan w:val="16"/>
          </w:tcPr>
          <w:p>
            <w:pPr>
              <w:spacing w:after="0"/>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Controls and Procedures</w:t>
              </w:r>
            </w:hyperlink>
          </w:p>
        </w:tc>
        <w:tc>
          <w:tcPr>
            <w:tcW w:w="1500" w:type="dxa"/>
            <w:vAlign w:val="bottom"/>
            <w:gridSpan w:val="3"/>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46</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520" w:type="dxa"/>
            <w:vAlign w:val="bottom"/>
            <w:gridSpan w:val="7"/>
          </w:tcPr>
          <w:p>
            <w:pPr>
              <w:spacing w:after="0"/>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PART II.</w:t>
              </w:r>
            </w:hyperlink>
          </w:p>
        </w:tc>
        <w:tc>
          <w:tcPr>
            <w:tcW w:w="8140" w:type="dxa"/>
            <w:vAlign w:val="bottom"/>
            <w:gridSpan w:val="16"/>
          </w:tcPr>
          <w:p>
            <w:pPr>
              <w:spacing w:after="0"/>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OTHER INFORMATION</w:t>
              </w:r>
            </w:hyperlink>
          </w:p>
        </w:tc>
        <w:tc>
          <w:tcPr>
            <w:tcW w:w="1500" w:type="dxa"/>
            <w:vAlign w:val="bottom"/>
            <w:gridSpan w:val="3"/>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47</w:t>
              </w:r>
            </w:hyperlink>
          </w:p>
        </w:tc>
      </w:tr>
      <w:tr>
        <w:trPr>
          <w:trHeight w:val="439"/>
        </w:trPr>
        <w:tc>
          <w:tcPr>
            <w:tcW w:w="20" w:type="dxa"/>
            <w:vAlign w:val="bottom"/>
          </w:tcPr>
          <w:p>
            <w:pPr>
              <w:spacing w:after="0"/>
              <w:rPr>
                <w:sz w:val="24"/>
                <w:szCs w:val="24"/>
                <w:color w:val="auto"/>
              </w:rPr>
            </w:pPr>
          </w:p>
        </w:tc>
        <w:tc>
          <w:tcPr>
            <w:tcW w:w="700" w:type="dxa"/>
            <w:vAlign w:val="bottom"/>
            <w:tcBorders>
              <w:top w:val="single" w:sz="8" w:color="0000FF"/>
            </w:tcBorders>
            <w:gridSpan w:val="4"/>
          </w:tcPr>
          <w:p>
            <w:pPr>
              <w:spacing w:after="0"/>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Item 1.</w:t>
              </w:r>
            </w:hyperlink>
          </w:p>
        </w:tc>
        <w:tc>
          <w:tcPr>
            <w:tcW w:w="820" w:type="dxa"/>
            <w:vAlign w:val="bottom"/>
            <w:gridSpan w:val="3"/>
          </w:tcPr>
          <w:p>
            <w:pPr>
              <w:spacing w:after="0"/>
              <w:rPr>
                <w:sz w:val="24"/>
                <w:szCs w:val="24"/>
                <w:color w:val="auto"/>
              </w:rPr>
            </w:pPr>
          </w:p>
        </w:tc>
        <w:tc>
          <w:tcPr>
            <w:tcW w:w="2020" w:type="dxa"/>
            <w:vAlign w:val="bottom"/>
            <w:tcBorders>
              <w:top w:val="single" w:sz="8" w:color="0000FF"/>
            </w:tcBorders>
            <w:gridSpan w:val="5"/>
          </w:tcPr>
          <w:p>
            <w:pPr>
              <w:spacing w:after="0"/>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Legal Proceedings</w:t>
              </w:r>
            </w:hyperlink>
          </w:p>
        </w:tc>
        <w:tc>
          <w:tcPr>
            <w:tcW w:w="6120" w:type="dxa"/>
            <w:vAlign w:val="bottom"/>
            <w:gridSpan w:val="11"/>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47</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80" w:type="dxa"/>
            <w:vAlign w:val="bottom"/>
            <w:tcBorders>
              <w:bottom w:val="single" w:sz="8" w:color="0000FF"/>
            </w:tcBorders>
            <w:gridSpan w:val="3"/>
          </w:tcPr>
          <w:p>
            <w:pPr>
              <w:spacing w:after="0"/>
              <w:rPr>
                <w:rFonts w:ascii="Arial" w:cs="Arial" w:eastAsia="Arial" w:hAnsi="Arial"/>
                <w:sz w:val="18"/>
                <w:szCs w:val="18"/>
                <w:b w:val="1"/>
                <w:bCs w:val="1"/>
                <w:color w:val="0000FF"/>
                <w:w w:val="94"/>
              </w:rPr>
            </w:pPr>
            <w:hyperlink w:anchor="page51">
              <w:r>
                <w:rPr>
                  <w:rFonts w:ascii="Arial" w:cs="Arial" w:eastAsia="Arial" w:hAnsi="Arial"/>
                  <w:sz w:val="18"/>
                  <w:szCs w:val="18"/>
                  <w:b w:val="1"/>
                  <w:bCs w:val="1"/>
                  <w:color w:val="0000FF"/>
                  <w:w w:val="94"/>
                </w:rPr>
                <w:t>Item 1A.</w:t>
              </w:r>
            </w:hyperlink>
          </w:p>
        </w:tc>
        <w:tc>
          <w:tcPr>
            <w:tcW w:w="840" w:type="dxa"/>
            <w:vAlign w:val="bottom"/>
            <w:gridSpan w:val="4"/>
          </w:tcPr>
          <w:p>
            <w:pPr>
              <w:spacing w:after="0"/>
              <w:rPr>
                <w:sz w:val="24"/>
                <w:szCs w:val="24"/>
                <w:color w:val="auto"/>
              </w:rPr>
            </w:pPr>
          </w:p>
        </w:tc>
        <w:tc>
          <w:tcPr>
            <w:tcW w:w="980" w:type="dxa"/>
            <w:vAlign w:val="bottom"/>
            <w:tcBorders>
              <w:bottom w:val="single" w:sz="8" w:color="0000FF"/>
            </w:tcBorders>
            <w:gridSpan w:val="2"/>
          </w:tcPr>
          <w:p>
            <w:pPr>
              <w:spacing w:after="0"/>
              <w:rPr>
                <w:rFonts w:ascii="Arial" w:cs="Arial" w:eastAsia="Arial" w:hAnsi="Arial"/>
                <w:sz w:val="18"/>
                <w:szCs w:val="18"/>
                <w:b w:val="1"/>
                <w:bCs w:val="1"/>
                <w:color w:val="0000FF"/>
                <w:w w:val="88"/>
              </w:rPr>
            </w:pPr>
            <w:hyperlink w:anchor="page51">
              <w:r>
                <w:rPr>
                  <w:rFonts w:ascii="Arial" w:cs="Arial" w:eastAsia="Arial" w:hAnsi="Arial"/>
                  <w:sz w:val="18"/>
                  <w:szCs w:val="18"/>
                  <w:b w:val="1"/>
                  <w:bCs w:val="1"/>
                  <w:color w:val="0000FF"/>
                  <w:w w:val="88"/>
                </w:rPr>
                <w:t>Risk Factors</w:t>
              </w:r>
            </w:hyperlink>
          </w:p>
        </w:tc>
        <w:tc>
          <w:tcPr>
            <w:tcW w:w="7160" w:type="dxa"/>
            <w:vAlign w:val="bottom"/>
            <w:gridSpan w:val="14"/>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47</w:t>
              </w:r>
            </w:hyperlink>
          </w:p>
        </w:tc>
      </w:tr>
      <w:tr>
        <w:trPr>
          <w:trHeight w:val="439"/>
        </w:trPr>
        <w:tc>
          <w:tcPr>
            <w:tcW w:w="20" w:type="dxa"/>
            <w:vAlign w:val="bottom"/>
          </w:tcPr>
          <w:p>
            <w:pPr>
              <w:spacing w:after="0"/>
              <w:rPr>
                <w:sz w:val="24"/>
                <w:szCs w:val="24"/>
                <w:color w:val="auto"/>
              </w:rPr>
            </w:pPr>
          </w:p>
        </w:tc>
        <w:tc>
          <w:tcPr>
            <w:tcW w:w="1160" w:type="dxa"/>
            <w:vAlign w:val="bottom"/>
            <w:gridSpan w:val="5"/>
          </w:tcPr>
          <w:p>
            <w:pPr>
              <w:spacing w:after="0"/>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Item 2.</w:t>
              </w:r>
            </w:hyperlink>
          </w:p>
        </w:tc>
        <w:tc>
          <w:tcPr>
            <w:tcW w:w="360" w:type="dxa"/>
            <w:vAlign w:val="bottom"/>
            <w:gridSpan w:val="2"/>
          </w:tcPr>
          <w:p>
            <w:pPr>
              <w:spacing w:after="0"/>
              <w:rPr>
                <w:sz w:val="24"/>
                <w:szCs w:val="24"/>
                <w:color w:val="auto"/>
              </w:rPr>
            </w:pPr>
          </w:p>
        </w:tc>
        <w:tc>
          <w:tcPr>
            <w:tcW w:w="8140" w:type="dxa"/>
            <w:vAlign w:val="bottom"/>
            <w:gridSpan w:val="16"/>
          </w:tcPr>
          <w:p>
            <w:pPr>
              <w:spacing w:after="0"/>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Unregistered Sales of Equity Securities and Use of Proceeds</w:t>
              </w:r>
            </w:hyperlink>
          </w:p>
        </w:tc>
        <w:tc>
          <w:tcPr>
            <w:tcW w:w="1500" w:type="dxa"/>
            <w:vAlign w:val="bottom"/>
            <w:gridSpan w:val="3"/>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47</w:t>
              </w:r>
            </w:hyperlink>
          </w:p>
        </w:tc>
      </w:tr>
      <w:tr>
        <w:trPr>
          <w:trHeight w:val="439"/>
        </w:trPr>
        <w:tc>
          <w:tcPr>
            <w:tcW w:w="20" w:type="dxa"/>
            <w:vAlign w:val="bottom"/>
          </w:tcPr>
          <w:p>
            <w:pPr>
              <w:spacing w:after="0"/>
              <w:rPr>
                <w:sz w:val="24"/>
                <w:szCs w:val="24"/>
                <w:color w:val="auto"/>
              </w:rPr>
            </w:pPr>
          </w:p>
        </w:tc>
        <w:tc>
          <w:tcPr>
            <w:tcW w:w="1160" w:type="dxa"/>
            <w:vAlign w:val="bottom"/>
            <w:tcBorders>
              <w:top w:val="single" w:sz="8" w:color="0000FF"/>
            </w:tcBorders>
            <w:gridSpan w:val="5"/>
          </w:tcPr>
          <w:p>
            <w:pPr>
              <w:spacing w:after="0"/>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Item 6.</w:t>
              </w:r>
            </w:hyperlink>
          </w:p>
        </w:tc>
        <w:tc>
          <w:tcPr>
            <w:tcW w:w="360" w:type="dxa"/>
            <w:vAlign w:val="bottom"/>
            <w:gridSpan w:val="2"/>
          </w:tcPr>
          <w:p>
            <w:pPr>
              <w:spacing w:after="0"/>
              <w:rPr>
                <w:sz w:val="24"/>
                <w:szCs w:val="24"/>
                <w:color w:val="auto"/>
              </w:rPr>
            </w:pPr>
          </w:p>
        </w:tc>
        <w:tc>
          <w:tcPr>
            <w:tcW w:w="4560" w:type="dxa"/>
            <w:vAlign w:val="bottom"/>
            <w:tcBorders>
              <w:top w:val="single" w:sz="8" w:color="0000FF"/>
            </w:tcBorders>
            <w:gridSpan w:val="9"/>
          </w:tcPr>
          <w:p>
            <w:pPr>
              <w:spacing w:after="0"/>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Exhibits</w:t>
              </w:r>
            </w:hyperlink>
          </w:p>
        </w:tc>
        <w:tc>
          <w:tcPr>
            <w:tcW w:w="3580" w:type="dxa"/>
            <w:vAlign w:val="bottom"/>
            <w:gridSpan w:val="7"/>
          </w:tcPr>
          <w:p>
            <w:pPr>
              <w:spacing w:after="0"/>
              <w:rPr>
                <w:sz w:val="24"/>
                <w:szCs w:val="24"/>
                <w:color w:val="auto"/>
              </w:rPr>
            </w:pPr>
          </w:p>
        </w:tc>
        <w:tc>
          <w:tcPr>
            <w:tcW w:w="1500" w:type="dxa"/>
            <w:vAlign w:val="bottom"/>
            <w:gridSpan w:val="3"/>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48</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520" w:type="dxa"/>
            <w:vAlign w:val="bottom"/>
            <w:gridSpan w:val="7"/>
          </w:tcPr>
          <w:p>
            <w:pPr>
              <w:spacing w:after="0"/>
              <w:rPr>
                <w:rFonts w:ascii="Arial" w:cs="Arial" w:eastAsia="Arial" w:hAnsi="Arial"/>
                <w:sz w:val="18"/>
                <w:szCs w:val="18"/>
                <w:b w:val="1"/>
                <w:bCs w:val="1"/>
                <w:color w:val="0000FF"/>
              </w:rPr>
            </w:pPr>
            <w:hyperlink w:anchor="page52">
              <w:r>
                <w:rPr>
                  <w:rFonts w:ascii="Arial" w:cs="Arial" w:eastAsia="Arial" w:hAnsi="Arial"/>
                  <w:sz w:val="18"/>
                  <w:szCs w:val="18"/>
                  <w:b w:val="1"/>
                  <w:bCs w:val="1"/>
                  <w:color w:val="0000FF"/>
                </w:rPr>
                <w:t>SIGNATURES</w:t>
              </w:r>
            </w:hyperlink>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gridSpan w:val="3"/>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49</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otherwise indicates or requires, the terms “we,” “our,” “us,” “Essent,” and the “Company,” as used in this Quarterly Report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10-Q, refer to Essent Group Ltd. and its directly and indirectly owned subsidiaries, including our primary operating subsidiaries, Essent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Guaranty, Inc. and Essent Reinsurance Ltd., as a combined entity, except where otherwise stated or where it is clear that the terms mean only Essent Group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Ltd. exclusive of its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9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2020 filed with the Securities and Exchange Commission. These factors include, without limitation, the following:</w:t>
      </w:r>
    </w:p>
    <w:p>
      <w:pPr>
        <w:spacing w:after="0" w:line="178" w:lineRule="exact"/>
        <w:rPr>
          <w:sz w:val="20"/>
          <w:szCs w:val="20"/>
          <w:color w:val="auto"/>
        </w:rPr>
      </w:pPr>
    </w:p>
    <w:p>
      <w:pPr>
        <w:ind w:left="660" w:right="60" w:hanging="328"/>
        <w:spacing w:after="0" w:line="271"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duration, spread and severity of the outbreak of novel coronavirus disease 2019 ("COVID-19"), which is currently ongoing and still evolving; the actions taken to contain the virus or treat its impact, including government and GSE actions to mitigate the economic impact of the outbreak; the nature and extent of the forbearance and modification options available to borrowers affected by the outbreak on mortgages we insure; reserve and other accounting estimates relating to the impact of the COVID-19 outbreak; borrower behavior in response to the outbreak and its economic impact; how quickly and to what extent normal economic and operating conditions can resume, including whether any future outbreaks interrupt economic recovery; how quickly and to what extent affected borrowers can recover from the negative economic impact of the outbreak; and whether and to what extent the outbreak and related economic conditions will exacerbate other risks and uncertainties facing our business, financial condition and business strategy;</w:t>
      </w:r>
    </w:p>
    <w:p>
      <w:pPr>
        <w:spacing w:after="0" w:line="205" w:lineRule="exact"/>
        <w:rPr>
          <w:rFonts w:ascii="Arial" w:cs="Arial" w:eastAsia="Arial" w:hAnsi="Arial"/>
          <w:sz w:val="17"/>
          <w:szCs w:val="17"/>
          <w:color w:val="auto"/>
        </w:rPr>
      </w:pPr>
    </w:p>
    <w:p>
      <w:pPr>
        <w:ind w:left="660" w:right="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 or the loss of a significant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52"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recently enacted U.S. Federal tax reform and its impact on us, our shareholders and our operations;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2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9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 or reinsurance;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 as a result of COVID-19 or otherwise;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restrictions on the ability of our insurance subsidiaries to pay dividends.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60" w:type="dxa"/>
            <w:vAlign w:val="bottom"/>
            <w:gridSpan w:val="4"/>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780" w:type="dxa"/>
            <w:vAlign w:val="bottom"/>
            <w:gridSpan w:val="2"/>
          </w:tcPr>
          <w:p>
            <w:pPr>
              <w:jc w:val="center"/>
              <w:ind w:left="1810"/>
              <w:spacing w:after="0"/>
              <w:rPr>
                <w:sz w:val="20"/>
                <w:szCs w:val="20"/>
                <w:color w:val="auto"/>
              </w:rPr>
            </w:pPr>
            <w:r>
              <w:rPr>
                <w:rFonts w:ascii="Arial" w:cs="Arial" w:eastAsia="Arial" w:hAnsi="Arial"/>
                <w:sz w:val="18"/>
                <w:szCs w:val="18"/>
                <w:b w:val="1"/>
                <w:bCs w:val="1"/>
                <w:color w:val="auto"/>
              </w:rPr>
              <w:t>PART I — FINANCIAL INFORMATION</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60" w:type="dxa"/>
            <w:vAlign w:val="bottom"/>
            <w:gridSpan w:val="4"/>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80" w:type="dxa"/>
            <w:vAlign w:val="bottom"/>
            <w:gridSpan w:val="2"/>
          </w:tcPr>
          <w:p>
            <w:pPr>
              <w:jc w:val="center"/>
              <w:ind w:left="1830"/>
              <w:spacing w:after="0"/>
              <w:rPr>
                <w:sz w:val="20"/>
                <w:szCs w:val="20"/>
                <w:color w:val="auto"/>
              </w:rPr>
            </w:pPr>
            <w:r>
              <w:rPr>
                <w:rFonts w:ascii="Arial" w:cs="Arial" w:eastAsia="Arial" w:hAnsi="Arial"/>
                <w:sz w:val="18"/>
                <w:szCs w:val="18"/>
                <w:b w:val="1"/>
                <w:bCs w:val="1"/>
                <w:color w:val="auto"/>
                <w:w w:val="89"/>
              </w:rPr>
              <w:t>Essent Group Ltd. and Subsidiaries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80" w:type="dxa"/>
            <w:vAlign w:val="bottom"/>
            <w:gridSpan w:val="2"/>
          </w:tcPr>
          <w:p>
            <w:pPr>
              <w:jc w:val="center"/>
              <w:ind w:left="1810"/>
              <w:spacing w:after="0"/>
              <w:rPr>
                <w:sz w:val="20"/>
                <w:szCs w:val="20"/>
                <w:color w:val="auto"/>
              </w:rPr>
            </w:pPr>
            <w:r>
              <w:rPr>
                <w:rFonts w:ascii="Arial" w:cs="Arial" w:eastAsia="Arial" w:hAnsi="Arial"/>
                <w:sz w:val="18"/>
                <w:szCs w:val="18"/>
                <w:b w:val="1"/>
                <w:bCs w:val="1"/>
                <w:color w:val="auto"/>
                <w:w w:val="88"/>
              </w:rPr>
              <w:t>Condensed Consolidated Balance Sheets (Unaudited)</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20" w:type="dxa"/>
            <w:vAlign w:val="bottom"/>
            <w:gridSpan w:val="3"/>
          </w:tcPr>
          <w:p>
            <w:pPr>
              <w:ind w:left="20"/>
              <w:spacing w:after="0"/>
              <w:rPr>
                <w:sz w:val="20"/>
                <w:szCs w:val="20"/>
                <w:color w:val="auto"/>
              </w:rPr>
            </w:pPr>
            <w:r>
              <w:rPr>
                <w:rFonts w:ascii="Arial" w:cs="Arial" w:eastAsia="Arial" w:hAnsi="Arial"/>
                <w:sz w:val="18"/>
                <w:szCs w:val="18"/>
                <w:b w:val="1"/>
                <w:bCs w:val="1"/>
                <w:color w:val="auto"/>
              </w:rPr>
              <w:t>(In thousands, except per share amounts)</w:t>
            </w:r>
          </w:p>
        </w:tc>
        <w:tc>
          <w:tcPr>
            <w:tcW w:w="26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9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tcPr>
          <w:p>
            <w:pPr>
              <w:ind w:left="2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02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rPr>
              <w:t>Fixed maturities available for sale, at fair value (amortized cost: 2021 — $4,253,267;</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4,374,008</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3,838,513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2020 — $3,677,815)</w:t>
            </w:r>
          </w:p>
        </w:tc>
        <w:tc>
          <w:tcPr>
            <w:tcW w:w="26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020" w:type="dxa"/>
            <w:vAlign w:val="bottom"/>
            <w:gridSpan w:val="3"/>
          </w:tcPr>
          <w:p>
            <w:pPr>
              <w:ind w:left="240"/>
              <w:spacing w:after="0" w:line="176" w:lineRule="exact"/>
              <w:rPr>
                <w:sz w:val="20"/>
                <w:szCs w:val="20"/>
                <w:color w:val="auto"/>
              </w:rPr>
            </w:pPr>
            <w:r>
              <w:rPr>
                <w:rFonts w:ascii="Arial" w:cs="Arial" w:eastAsia="Arial" w:hAnsi="Arial"/>
                <w:sz w:val="18"/>
                <w:szCs w:val="18"/>
                <w:color w:val="auto"/>
              </w:rPr>
              <w:t>Short-term investments available for sale, at fair value (amortized cost: 2021 —</w:t>
            </w:r>
          </w:p>
        </w:tc>
        <w:tc>
          <w:tcPr>
            <w:tcW w:w="2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372,320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726,860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460"/>
              <w:spacing w:after="0"/>
              <w:rPr>
                <w:sz w:val="20"/>
                <w:szCs w:val="20"/>
                <w:color w:val="auto"/>
              </w:rPr>
            </w:pPr>
            <w:r>
              <w:rPr>
                <w:rFonts w:ascii="Arial" w:cs="Arial" w:eastAsia="Arial" w:hAnsi="Arial"/>
                <w:sz w:val="18"/>
                <w:szCs w:val="18"/>
                <w:color w:val="auto"/>
              </w:rPr>
              <w:t>$372,318; 2020 — $726,875)</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Total investments available for sale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4,746,328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4,565,373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Other invested assets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88,904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4,891,638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4,654,277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tcPr>
          <w:p>
            <w:pPr>
              <w:ind w:left="20"/>
              <w:spacing w:after="0"/>
              <w:rPr>
                <w:sz w:val="20"/>
                <w:szCs w:val="20"/>
                <w:color w:val="auto"/>
              </w:rPr>
            </w:pPr>
            <w:r>
              <w:rPr>
                <w:rFonts w:ascii="Arial" w:cs="Arial" w:eastAsia="Arial" w:hAnsi="Arial"/>
                <w:sz w:val="18"/>
                <w:szCs w:val="18"/>
                <w:color w:val="auto"/>
              </w:rPr>
              <w:t>Cash</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142,140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102,830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investment income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53,127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50,140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policy acquisition costs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17,005</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02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Property and equipment (at cost, less accumulated depreciation of $62,690 in 2021 and</w:t>
            </w:r>
          </w:p>
        </w:tc>
        <w:tc>
          <w:tcPr>
            <w:tcW w:w="2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12,989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15,095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tcPr>
          <w:p>
            <w:pPr>
              <w:ind w:left="260"/>
              <w:spacing w:after="0"/>
              <w:rPr>
                <w:sz w:val="20"/>
                <w:szCs w:val="20"/>
                <w:color w:val="auto"/>
              </w:rPr>
            </w:pPr>
            <w:r>
              <w:rPr>
                <w:rFonts w:ascii="Arial" w:cs="Arial" w:eastAsia="Arial" w:hAnsi="Arial"/>
                <w:sz w:val="18"/>
                <w:szCs w:val="18"/>
                <w:color w:val="auto"/>
              </w:rPr>
              <w:t>$60,967 in 2020)</w:t>
            </w:r>
          </w:p>
        </w:tc>
        <w:tc>
          <w:tcPr>
            <w:tcW w:w="2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Prepaid federal income tax</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302,636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40,793</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5,521,789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5,202,724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Reserve for losses and LAE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374,941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tcPr>
          <w:p>
            <w:pPr>
              <w:ind w:left="220"/>
              <w:spacing w:after="0"/>
              <w:rPr>
                <w:sz w:val="20"/>
                <w:szCs w:val="20"/>
                <w:color w:val="auto"/>
              </w:rPr>
            </w:pPr>
            <w:r>
              <w:rPr>
                <w:rFonts w:ascii="Arial" w:cs="Arial" w:eastAsia="Arial" w:hAnsi="Arial"/>
                <w:sz w:val="18"/>
                <w:szCs w:val="18"/>
                <w:color w:val="auto"/>
              </w:rPr>
              <w:t>Unearned premium reserve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220,580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250,436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Net deferred tax liability</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305,109</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20" w:type="dxa"/>
            <w:vAlign w:val="bottom"/>
            <w:gridSpan w:val="3"/>
          </w:tcPr>
          <w:p>
            <w:pPr>
              <w:ind w:left="220"/>
              <w:spacing w:after="0" w:line="176" w:lineRule="exact"/>
              <w:rPr>
                <w:sz w:val="20"/>
                <w:szCs w:val="20"/>
                <w:color w:val="auto"/>
              </w:rPr>
            </w:pPr>
            <w:r>
              <w:rPr>
                <w:rFonts w:ascii="Arial" w:cs="Arial" w:eastAsia="Arial" w:hAnsi="Arial"/>
                <w:sz w:val="18"/>
                <w:szCs w:val="18"/>
                <w:color w:val="auto"/>
                <w:w w:val="99"/>
              </w:rPr>
              <w:t>Credit facility borrowings (at carrying value, less unamortized deferred costs of $2,684 in 2021 and</w:t>
            </w:r>
          </w:p>
        </w:tc>
        <w:tc>
          <w:tcPr>
            <w:tcW w:w="2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322,316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321,720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tcPr>
          <w:p>
            <w:pPr>
              <w:ind w:left="460"/>
              <w:spacing w:after="0"/>
              <w:rPr>
                <w:sz w:val="20"/>
                <w:szCs w:val="20"/>
                <w:color w:val="auto"/>
              </w:rPr>
            </w:pPr>
            <w:r>
              <w:rPr>
                <w:rFonts w:ascii="Arial" w:cs="Arial" w:eastAsia="Arial" w:hAnsi="Arial"/>
                <w:sz w:val="18"/>
                <w:szCs w:val="18"/>
                <w:color w:val="auto"/>
              </w:rPr>
              <w:t>$3,280 in 2020)</w:t>
            </w:r>
          </w:p>
        </w:tc>
        <w:tc>
          <w:tcPr>
            <w:tcW w:w="2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Other accrued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1,436,961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1,340,091</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Commitments and contingencies (see Note 7)</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Common shares, $0.015 par value: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20" w:type="dxa"/>
            <w:vAlign w:val="bottom"/>
            <w:gridSpan w:val="3"/>
          </w:tcPr>
          <w:p>
            <w:pPr>
              <w:ind w:left="420"/>
              <w:spacing w:after="0" w:line="176" w:lineRule="exact"/>
              <w:rPr>
                <w:sz w:val="20"/>
                <w:szCs w:val="20"/>
                <w:color w:val="auto"/>
              </w:rPr>
            </w:pPr>
            <w:r>
              <w:rPr>
                <w:rFonts w:ascii="Arial" w:cs="Arial" w:eastAsia="Arial" w:hAnsi="Arial"/>
                <w:sz w:val="18"/>
                <w:szCs w:val="18"/>
                <w:color w:val="auto"/>
              </w:rPr>
              <w:t>Authorized - 233,333; issued and outstanding - 112,481 shares in 2021 and 112,423</w:t>
            </w:r>
          </w:p>
        </w:tc>
        <w:tc>
          <w:tcPr>
            <w:tcW w:w="2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tcPr>
          <w:p>
            <w:pPr>
              <w:ind w:left="660"/>
              <w:spacing w:after="0"/>
              <w:rPr>
                <w:sz w:val="20"/>
                <w:szCs w:val="20"/>
                <w:color w:val="auto"/>
              </w:rPr>
            </w:pPr>
            <w:r>
              <w:rPr>
                <w:rFonts w:ascii="Arial" w:cs="Arial" w:eastAsia="Arial" w:hAnsi="Arial"/>
                <w:sz w:val="18"/>
                <w:szCs w:val="18"/>
                <w:color w:val="auto"/>
              </w:rPr>
              <w:t>shares in 2020</w:t>
            </w:r>
          </w:p>
        </w:tc>
        <w:tc>
          <w:tcPr>
            <w:tcW w:w="2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1,571,163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115,431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138,274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2,409,568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2,151,510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4,084,828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3,862,633</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5,521,789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5,202,724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0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8"/>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Net premiums written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202,287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205,904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406,648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397,647</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Decrease in unearned premiums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20,320</w:t>
            </w: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Net premiums earned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217,437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211,471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436,504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417,967</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40,499</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Realized investment (losses) gains,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b w:val="1"/>
                <w:bCs w:val="1"/>
                <w:color w:val="auto"/>
              </w:rPr>
              <w:t>Total revenues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243,261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236,077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464,917</w:t>
            </w:r>
          </w:p>
        </w:tc>
        <w:tc>
          <w:tcPr>
            <w:tcW w:w="0" w:type="dxa"/>
            <w:vAlign w:val="bottom"/>
          </w:tcPr>
          <w:p>
            <w:pPr>
              <w:spacing w:after="0"/>
              <w:rPr>
                <w:sz w:val="1"/>
                <w:szCs w:val="1"/>
                <w:color w:val="auto"/>
              </w:rPr>
            </w:pPr>
          </w:p>
        </w:tc>
      </w:tr>
      <w:tr>
        <w:trPr>
          <w:trHeight w:val="236"/>
        </w:trPr>
        <w:tc>
          <w:tcPr>
            <w:tcW w:w="5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Losses and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losses and LAE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183,940</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 underwriting and operating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41,114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83,353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80,766</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4,698</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b w:val="1"/>
                <w:bCs w:val="1"/>
                <w:color w:val="auto"/>
              </w:rPr>
              <w:t>Total losses and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52,838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217,262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269,404</w:t>
            </w:r>
          </w:p>
        </w:tc>
        <w:tc>
          <w:tcPr>
            <w:tcW w:w="0" w:type="dxa"/>
            <w:vAlign w:val="bottom"/>
          </w:tcPr>
          <w:p>
            <w:pPr>
              <w:spacing w:after="0"/>
              <w:rPr>
                <w:sz w:val="1"/>
                <w:szCs w:val="1"/>
                <w:color w:val="auto"/>
              </w:rPr>
            </w:pPr>
          </w:p>
        </w:tc>
      </w:tr>
      <w:tr>
        <w:trPr>
          <w:trHeight w:val="236"/>
        </w:trPr>
        <w:tc>
          <w:tcPr>
            <w:tcW w:w="5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190,423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358,608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195,513</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30,610</w:t>
            </w:r>
          </w:p>
        </w:tc>
        <w:tc>
          <w:tcPr>
            <w:tcW w:w="0" w:type="dxa"/>
            <w:vAlign w:val="bottom"/>
          </w:tcPr>
          <w:p>
            <w:pPr>
              <w:spacing w:after="0"/>
              <w:rPr>
                <w:sz w:val="1"/>
                <w:szCs w:val="1"/>
                <w:color w:val="auto"/>
              </w:rPr>
            </w:pPr>
          </w:p>
        </w:tc>
      </w:tr>
      <w:tr>
        <w:trPr>
          <w:trHeight w:val="223"/>
        </w:trPr>
        <w:tc>
          <w:tcPr>
            <w:tcW w:w="524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159,795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164,903</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 per share: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100,224</w:t>
            </w:r>
          </w:p>
        </w:tc>
        <w:tc>
          <w:tcPr>
            <w:tcW w:w="0" w:type="dxa"/>
            <w:vAlign w:val="bottom"/>
          </w:tcPr>
          <w:p>
            <w:pPr>
              <w:spacing w:after="0"/>
              <w:rPr>
                <w:sz w:val="1"/>
                <w:szCs w:val="1"/>
                <w:color w:val="auto"/>
              </w:rPr>
            </w:pPr>
          </w:p>
        </w:tc>
      </w:tr>
      <w:tr>
        <w:trPr>
          <w:trHeight w:val="229"/>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112,454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102,605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112,416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100,466</w:t>
            </w: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159,795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15,380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295,443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164,903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Change in unrealized appreciation (depreciation) of investments, net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of tax expense (benefit) of $7,856 and $17,592 in the three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w w:val="91"/>
              </w:rPr>
              <w:t>months ended June 30, 2021 and 2020 and ($2,345) and $10,613</w:t>
            </w: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36,360</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74,285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(22,843)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64,211</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 the six months ended June 30, 2021 and 2020</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other comprehensive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74,285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64,211</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229,114</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8"/>
        </w:trPr>
        <w:tc>
          <w:tcPr>
            <w:tcW w:w="5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1,693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Issuance of common shares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Issuance of management incentive shares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Cancellation of treasury stock</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2"/>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end of period</w:t>
            </w: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30"/>
        </w:trPr>
        <w:tc>
          <w:tcPr>
            <w:tcW w:w="520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1,571,134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1,117,286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1,571,163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1,118,655</w:t>
            </w:r>
          </w:p>
        </w:tc>
        <w:tc>
          <w:tcPr>
            <w:tcW w:w="0" w:type="dxa"/>
            <w:vAlign w:val="bottom"/>
          </w:tcPr>
          <w:p>
            <w:pPr>
              <w:spacing w:after="0"/>
              <w:rPr>
                <w:sz w:val="1"/>
                <w:szCs w:val="1"/>
                <w:color w:val="auto"/>
              </w:rPr>
            </w:pPr>
          </w:p>
        </w:tc>
      </w:tr>
      <w:tr>
        <w:trPr>
          <w:trHeight w:val="175"/>
        </w:trPr>
        <w:tc>
          <w:tcPr>
            <w:tcW w:w="520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6"/>
              </w:rPr>
              <w:t>Issuance of common shares, net of issuance costs of $18,875 in</w:t>
            </w:r>
          </w:p>
        </w:tc>
        <w:tc>
          <w:tcPr>
            <w:tcW w:w="34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439,768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439,768</w:t>
            </w:r>
          </w:p>
        </w:tc>
        <w:tc>
          <w:tcPr>
            <w:tcW w:w="0" w:type="dxa"/>
            <w:vAlign w:val="bottom"/>
          </w:tcPr>
          <w:p>
            <w:pPr>
              <w:spacing w:after="0"/>
              <w:rPr>
                <w:sz w:val="1"/>
                <w:szCs w:val="1"/>
                <w:color w:val="auto"/>
              </w:rPr>
            </w:pPr>
          </w:p>
        </w:tc>
      </w:tr>
      <w:tr>
        <w:trPr>
          <w:trHeight w:val="230"/>
        </w:trPr>
        <w:tc>
          <w:tcPr>
            <w:tcW w:w="5100" w:type="dxa"/>
            <w:vAlign w:val="bottom"/>
          </w:tcPr>
          <w:p>
            <w:pPr>
              <w:ind w:left="48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Dividends and dividend equivalents declared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Issuance of management incentive shares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Cancellation of treasury stock</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(6,352)</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1,558,142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1,561,737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1,558,142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1,561,737</w:t>
            </w:r>
          </w:p>
        </w:tc>
        <w:tc>
          <w:tcPr>
            <w:tcW w:w="0" w:type="dxa"/>
            <w:vAlign w:val="bottom"/>
          </w:tcPr>
          <w:p>
            <w:pPr>
              <w:spacing w:after="0"/>
              <w:rPr>
                <w:sz w:val="1"/>
                <w:szCs w:val="1"/>
                <w:color w:val="auto"/>
              </w:rPr>
            </w:pPr>
          </w:p>
        </w:tc>
      </w:tr>
      <w:tr>
        <w:trPr>
          <w:trHeight w:val="34"/>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Income (Loss)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79,071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138,274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56,187</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64,211</w:t>
            </w:r>
          </w:p>
        </w:tc>
        <w:tc>
          <w:tcPr>
            <w:tcW w:w="0" w:type="dxa"/>
            <w:vAlign w:val="bottom"/>
          </w:tcPr>
          <w:p>
            <w:pPr>
              <w:spacing w:after="0"/>
              <w:rPr>
                <w:sz w:val="1"/>
                <w:szCs w:val="1"/>
                <w:color w:val="auto"/>
              </w:rPr>
            </w:pPr>
          </w:p>
        </w:tc>
      </w:tr>
      <w:tr>
        <w:trPr>
          <w:trHeight w:val="262"/>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end of period</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115,431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120,398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115,431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120,398</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Retained Earnings</w:t>
            </w: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2,269,039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1,808,527</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159,795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295,443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164,903</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Dividends and dividend equivalents declared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(33,922)</w:t>
            </w:r>
          </w:p>
        </w:tc>
        <w:tc>
          <w:tcPr>
            <w:tcW w:w="0" w:type="dxa"/>
            <w:vAlign w:val="bottom"/>
          </w:tcPr>
          <w:p>
            <w:pPr>
              <w:spacing w:after="0"/>
              <w:rPr>
                <w:sz w:val="1"/>
                <w:szCs w:val="1"/>
                <w:color w:val="auto"/>
              </w:rPr>
            </w:pPr>
          </w:p>
        </w:tc>
      </w:tr>
      <w:tr>
        <w:trPr>
          <w:trHeight w:val="262"/>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end of period</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2,409,568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1,939,508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2,409,568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1,939,508</w:t>
            </w:r>
          </w:p>
        </w:tc>
        <w:tc>
          <w:tcPr>
            <w:tcW w:w="0" w:type="dxa"/>
            <w:vAlign w:val="bottom"/>
          </w:tcPr>
          <w:p>
            <w:pPr>
              <w:spacing w:after="0"/>
              <w:rPr>
                <w:sz w:val="1"/>
                <w:szCs w:val="1"/>
                <w:color w:val="auto"/>
              </w:rPr>
            </w:pPr>
          </w:p>
        </w:tc>
      </w:tr>
      <w:tr>
        <w:trPr>
          <w:trHeight w:val="230"/>
        </w:trPr>
        <w:tc>
          <w:tcPr>
            <w:tcW w:w="520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Treasury Stock</w:t>
            </w: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Treasury stock acquired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(6,354)</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Cancellation of treasury stock</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0" w:type="dxa"/>
            <w:vAlign w:val="bottom"/>
          </w:tcPr>
          <w:p>
            <w:pPr>
              <w:spacing w:after="0"/>
              <w:rPr>
                <w:sz w:val="1"/>
                <w:szCs w:val="1"/>
                <w:color w:val="auto"/>
              </w:rPr>
            </w:pPr>
          </w:p>
        </w:tc>
      </w:tr>
      <w:tr>
        <w:trPr>
          <w:trHeight w:val="262"/>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end of period</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top w:val="single" w:sz="8" w:color="CCEEFF"/>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4,084,828</w:t>
            </w: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3,623,329</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4,084,828</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3,623,329</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8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Arial" w:cs="Arial" w:eastAsia="Arial" w:hAnsi="Arial"/>
                <w:sz w:val="14"/>
                <w:szCs w:val="14"/>
                <w:b w:val="1"/>
                <w:bCs w:val="1"/>
                <w:color w:val="auto"/>
              </w:rPr>
              <w:t>2020</w:t>
            </w:r>
          </w:p>
        </w:tc>
      </w:tr>
      <w:tr>
        <w:trPr>
          <w:trHeight w:val="211"/>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13"/>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295,443</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164,903</w:t>
            </w:r>
          </w:p>
        </w:tc>
      </w:tr>
      <w:tr>
        <w:trPr>
          <w:trHeight w:val="21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Gain on the sale of investments,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(1,866)</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Equity in net (income) loss of other invested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Distribution of income from other invested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794</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w:t>
            </w: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10,564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9,348</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premium on investment securities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11,548</w:t>
            </w: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Deferred income tax provision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40,334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12,513</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 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80" w:type="dxa"/>
            <w:vAlign w:val="bottom"/>
            <w:gridSpan w:val="2"/>
          </w:tcPr>
          <w:p>
            <w:pPr>
              <w:ind w:left="480"/>
              <w:spacing w:after="0"/>
              <w:rPr>
                <w:sz w:val="20"/>
                <w:szCs w:val="20"/>
                <w:color w:val="auto"/>
              </w:rPr>
            </w:pPr>
            <w:r>
              <w:rPr>
                <w:rFonts w:ascii="Arial" w:cs="Arial" w:eastAsia="Arial" w:hAnsi="Arial"/>
                <w:sz w:val="16"/>
                <w:szCs w:val="16"/>
                <w:color w:val="auto"/>
              </w:rPr>
              <w:t>Accrued investment income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19"/>
        </w:trPr>
        <w:tc>
          <w:tcPr>
            <w:tcW w:w="80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Accounts 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w:t>
            </w:r>
          </w:p>
        </w:tc>
      </w:tr>
      <w:tr>
        <w:trPr>
          <w:trHeight w:val="213"/>
        </w:trPr>
        <w:tc>
          <w:tcPr>
            <w:tcW w:w="8080" w:type="dxa"/>
            <w:vAlign w:val="bottom"/>
            <w:gridSpan w:val="2"/>
          </w:tcPr>
          <w:p>
            <w:pPr>
              <w:ind w:left="480"/>
              <w:spacing w:after="0"/>
              <w:rPr>
                <w:sz w:val="20"/>
                <w:szCs w:val="20"/>
                <w:color w:val="auto"/>
              </w:rPr>
            </w:pPr>
            <w:r>
              <w:rPr>
                <w:rFonts w:ascii="Arial" w:cs="Arial" w:eastAsia="Arial" w:hAnsi="Arial"/>
                <w:sz w:val="16"/>
                <w:szCs w:val="16"/>
                <w:color w:val="auto"/>
              </w:rPr>
              <w:t>Deferred policy acquisition costs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2,935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19"/>
        </w:trPr>
        <w:tc>
          <w:tcPr>
            <w:tcW w:w="80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Prepaid federal income tax</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(17,251)</w:t>
            </w:r>
          </w:p>
        </w:tc>
      </w:tr>
      <w:tr>
        <w:trPr>
          <w:trHeight w:val="213"/>
        </w:trPr>
        <w:tc>
          <w:tcPr>
            <w:tcW w:w="8080" w:type="dxa"/>
            <w:vAlign w:val="bottom"/>
            <w:gridSpan w:val="2"/>
          </w:tcPr>
          <w:p>
            <w:pPr>
              <w:ind w:left="480"/>
              <w:spacing w:after="0"/>
              <w:rPr>
                <w:sz w:val="20"/>
                <w:szCs w:val="20"/>
                <w:color w:val="auto"/>
              </w:rPr>
            </w:pPr>
            <w:r>
              <w:rPr>
                <w:rFonts w:ascii="Arial" w:cs="Arial" w:eastAsia="Arial" w:hAnsi="Arial"/>
                <w:sz w:val="16"/>
                <w:szCs w:val="16"/>
                <w:color w:val="auto"/>
              </w:rPr>
              <w:t>Other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(8,498)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(7,622)</w:t>
            </w:r>
          </w:p>
        </w:tc>
      </w:tr>
      <w:tr>
        <w:trPr>
          <w:trHeight w:val="219"/>
        </w:trPr>
        <w:tc>
          <w:tcPr>
            <w:tcW w:w="80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Reserve for losses and LAE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181,528</w:t>
            </w:r>
          </w:p>
        </w:tc>
      </w:tr>
      <w:tr>
        <w:trPr>
          <w:trHeight w:val="213"/>
        </w:trPr>
        <w:tc>
          <w:tcPr>
            <w:tcW w:w="8080" w:type="dxa"/>
            <w:vAlign w:val="bottom"/>
            <w:gridSpan w:val="2"/>
          </w:tcPr>
          <w:p>
            <w:pPr>
              <w:ind w:left="480"/>
              <w:spacing w:after="0"/>
              <w:rPr>
                <w:sz w:val="20"/>
                <w:szCs w:val="20"/>
                <w:color w:val="auto"/>
              </w:rPr>
            </w:pPr>
            <w:r>
              <w:rPr>
                <w:rFonts w:ascii="Arial" w:cs="Arial" w:eastAsia="Arial" w:hAnsi="Arial"/>
                <w:sz w:val="16"/>
                <w:szCs w:val="16"/>
                <w:color w:val="auto"/>
              </w:rPr>
              <w:t>Unearned premium reserve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(29,856)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(20,320)</w:t>
            </w:r>
          </w:p>
        </w:tc>
      </w:tr>
      <w:tr>
        <w:trPr>
          <w:trHeight w:val="219"/>
        </w:trPr>
        <w:tc>
          <w:tcPr>
            <w:tcW w:w="80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Other accrued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9,792</w:t>
            </w:r>
          </w:p>
        </w:tc>
      </w:tr>
      <w:tr>
        <w:trPr>
          <w:trHeight w:val="206"/>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339,795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345,785</w:t>
            </w:r>
          </w:p>
        </w:tc>
      </w:tr>
      <w:tr>
        <w:trPr>
          <w:trHeight w:val="91"/>
        </w:trPr>
        <w:tc>
          <w:tcPr>
            <w:tcW w:w="7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r>
      <w:tr>
        <w:trPr>
          <w:trHeight w:val="213"/>
        </w:trPr>
        <w:tc>
          <w:tcPr>
            <w:tcW w:w="8080" w:type="dxa"/>
            <w:vAlign w:val="bottom"/>
            <w:gridSpan w:val="2"/>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change in short-term investments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354,540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(815,592)</w:t>
            </w: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Purchase of investments available for sale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(971,873)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(541,193)</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maturity of investments available for sale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113,217</w:t>
            </w: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Proceeds from sales of investments available for sale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312,618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299,149</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Purchase of other invested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(6,618)</w:t>
            </w: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Return of investment from other invested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8,378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7,078</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Purchase of property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w:t>
            </w:r>
          </w:p>
        </w:tc>
      </w:tr>
      <w:tr>
        <w:trPr>
          <w:trHeight w:val="207"/>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(239,516)</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(944,893)</w:t>
            </w:r>
          </w:p>
        </w:tc>
      </w:tr>
      <w:tr>
        <w:trPr>
          <w:trHeight w:val="91"/>
        </w:trPr>
        <w:tc>
          <w:tcPr>
            <w:tcW w:w="7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r>
      <w:tr>
        <w:trPr>
          <w:trHeight w:val="213"/>
        </w:trPr>
        <w:tc>
          <w:tcPr>
            <w:tcW w:w="808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Issuance of common shares, net of costs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440,498</w:t>
            </w: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Credit facility borrowings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200,000</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Credit facility repayments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Treasury stock acquired</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(23,953)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(6,354)</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Dividends paid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(37,016)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(33,599)</w:t>
            </w:r>
          </w:p>
        </w:tc>
      </w:tr>
      <w:tr>
        <w:trPr>
          <w:trHeight w:val="207"/>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(60,969)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600,545</w:t>
            </w:r>
          </w:p>
        </w:tc>
      </w:tr>
      <w:tr>
        <w:trPr>
          <w:trHeight w:val="91"/>
        </w:trPr>
        <w:tc>
          <w:tcPr>
            <w:tcW w:w="7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r>
      <w:tr>
        <w:trPr>
          <w:trHeight w:val="213"/>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Net increase in cash</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39,310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1,437</w:t>
            </w:r>
          </w:p>
        </w:tc>
      </w:tr>
      <w:tr>
        <w:trPr>
          <w:trHeight w:val="216"/>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at beginning of year</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102,830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71,350</w:t>
            </w:r>
          </w:p>
        </w:tc>
      </w:tr>
      <w:tr>
        <w:trPr>
          <w:trHeight w:val="213"/>
        </w:trPr>
        <w:tc>
          <w:tcPr>
            <w:tcW w:w="808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at end of period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142,140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72,787</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75"/>
        </w:trPr>
        <w:tc>
          <w:tcPr>
            <w:tcW w:w="7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13"/>
        </w:trPr>
        <w:tc>
          <w:tcPr>
            <w:tcW w:w="8080" w:type="dxa"/>
            <w:vAlign w:val="bottom"/>
            <w:gridSpan w:val="2"/>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payments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10"/>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Interest payments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(3,575)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(4,283)</w:t>
            </w: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 these notes to condensed consolidated financial statements, “Essent”, “Company”, “we”, “us”, and “our” refer to Essent Group Ltd. and its subsidiaries, unless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214"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The primary mortgage insurance operations are conducted through Essent Guaranty, Inc. (“Essent Guaranty”), a wholly-owned subsidiary approved as a qualified mortgage insurer by the GSEs and is licensed to write mortgage insurance in all 50 states and the District of Columbia. Essent Guaranty reinsures new insurance written ("NIW") to Essent Reinsurance Ltd. (“Essent Re”), an affiliated Bermuda domiciled Class 3A Insurer licensed pursuant to Section 4 of the Bermuda Insurance Act 1978 that provides insurance and reinsurance coverage of mortgage credit risk. In April 2021, Essent Guaranty and Essent Re agreed to increase the quota share reinsurance coverage of Essent Guaranty’s NIW provided by Essent Re from 25% to 35% effective January 1, 2021. The quota share reinsurance coverage provided by Essent Re for Essent Guaranty’s NIW prior to January 1, 2021 will continue to be 25%, the quota share percentage in effect at the time NIW was first ceded. Essent Re also provides insurance and reinsurance to Freddie Mac and Fannie Mae. In 2016, Essent Re formed Essent Agency (Bermuda) Ltd., a wholly-owned subsidiary, which provides underwriting consulting services to third-party reinsurers. In accordance with certain state law requirements then in effect, Essent Guaranty also reinsures that portion of the risk that is in excess of 25% of the mortgage balance with respect to loans insured prior to April 1, 2019, after consideration of other reinsurance, to Essent Guaranty of PA, Inc. (“Essent PA”), an affiliate.</w:t>
      </w:r>
    </w:p>
    <w:p>
      <w:pPr>
        <w:spacing w:after="0" w:line="20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2020,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June 30, 2021 prior to the issuance of these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52" w:lineRule="exact"/>
        <w:rPr>
          <w:sz w:val="20"/>
          <w:szCs w:val="20"/>
          <w:color w:val="auto"/>
        </w:rPr>
      </w:pPr>
    </w:p>
    <w:p>
      <w:pPr>
        <w:ind w:firstLine="180"/>
        <w:spacing w:after="0" w:line="271" w:lineRule="auto"/>
        <w:rPr>
          <w:sz w:val="20"/>
          <w:szCs w:val="20"/>
          <w:color w:val="auto"/>
        </w:rPr>
      </w:pPr>
      <w:r>
        <w:rPr>
          <w:rFonts w:ascii="Arial" w:cs="Arial" w:eastAsia="Arial" w:hAnsi="Arial"/>
          <w:sz w:val="17"/>
          <w:szCs w:val="17"/>
          <w:color w:val="auto"/>
        </w:rPr>
        <w:t xml:space="preserve">In March 2020, the Financial Accounting Standards Board ("FASB") issued ASU No. 2020-04, </w:t>
      </w:r>
      <w:r>
        <w:rPr>
          <w:rFonts w:ascii="Arial" w:cs="Arial" w:eastAsia="Arial" w:hAnsi="Arial"/>
          <w:sz w:val="17"/>
          <w:szCs w:val="17"/>
          <w:i w:val="1"/>
          <w:iCs w:val="1"/>
          <w:color w:val="auto"/>
        </w:rPr>
        <w:t>Reference Rate Reform (Topic 848): Facilitation of the</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of Reference Rate Reform on Financial Reporting</w:t>
      </w:r>
      <w:r>
        <w:rPr>
          <w:rFonts w:ascii="Arial" w:cs="Arial" w:eastAsia="Arial" w:hAnsi="Arial"/>
          <w:sz w:val="17"/>
          <w:szCs w:val="17"/>
          <w:color w:val="auto"/>
        </w:rPr>
        <w:t>. The amendments in this update provide temporary optional guidance to ease the potential burden</w:t>
      </w:r>
      <w:r>
        <w:rPr>
          <w:rFonts w:ascii="Arial" w:cs="Arial" w:eastAsia="Arial" w:hAnsi="Arial"/>
          <w:sz w:val="17"/>
          <w:szCs w:val="17"/>
          <w:i w:val="1"/>
          <w:iCs w:val="1"/>
          <w:color w:val="auto"/>
        </w:rPr>
        <w:t xml:space="preserve"> </w:t>
      </w:r>
      <w:r>
        <w:rPr>
          <w:rFonts w:ascii="Arial" w:cs="Arial" w:eastAsia="Arial" w:hAnsi="Arial"/>
          <w:sz w:val="17"/>
          <w:szCs w:val="17"/>
          <w:color w:val="auto"/>
        </w:rPr>
        <w:t>in accounting for (or recognizing the effects of) reference rate reform. It provides optional expedients and exceptions for applying generally accepted accounting principles to contract, hedging relationships and other transactions affected by reference rate reform if certain criteria are met. This standard may be elected and applied prospectively over time from March 12, 2020 through December 31, 2022 as reference rate reform activities occur. The adoption of, and future elections under, this ASU are not expected to have a material impact on our consolidated financial statements as the ASU will ease, if warranted, the requirements for accounting for the future effects of the rate reform. We continue to monitor the impact the discontinuance of LIBOR or another reference rate will have on our contracts and other transactions.</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available for sale consist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8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June 30, 2021 (In thousands)</w:t>
            </w:r>
          </w:p>
        </w:tc>
        <w:tc>
          <w:tcPr>
            <w:tcW w:w="28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4"/>
                <w:szCs w:val="14"/>
                <w:color w:val="auto"/>
              </w:rPr>
            </w:pPr>
          </w:p>
        </w:tc>
        <w:tc>
          <w:tcPr>
            <w:tcW w:w="13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4"/>
                <w:szCs w:val="14"/>
                <w:color w:val="auto"/>
              </w:rPr>
            </w:pPr>
          </w:p>
        </w:tc>
        <w:tc>
          <w:tcPr>
            <w:tcW w:w="13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82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6"/>
                <w:szCs w:val="16"/>
                <w:color w:val="auto"/>
              </w:rPr>
            </w:pPr>
          </w:p>
        </w:tc>
        <w:tc>
          <w:tcPr>
            <w:tcW w:w="13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13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7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284,834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5,892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289,961</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16,088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989,948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22,041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(5,334)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1,006,655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Municipal debt securities (1)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544,993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36,175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580,894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4,273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81,528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Corporate debt securities (2)</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1,506,723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51,311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(6,322)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1,551,712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15,075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(2,888)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461,985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453,624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2,837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456,069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301,436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Total investments available for 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4,625,585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137,666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(16,923)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4,746,328</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8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December 31, 2020 (In thousands)</w:t>
            </w:r>
          </w:p>
        </w:tc>
        <w:tc>
          <w:tcPr>
            <w:tcW w:w="28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20"/>
                <w:szCs w:val="20"/>
                <w:color w:val="auto"/>
              </w:rPr>
            </w:pPr>
          </w:p>
        </w:tc>
        <w:tc>
          <w:tcPr>
            <w:tcW w:w="13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20"/>
                <w:szCs w:val="20"/>
                <w:color w:val="auto"/>
              </w:rPr>
            </w:pPr>
          </w:p>
        </w:tc>
        <w:tc>
          <w:tcPr>
            <w:tcW w:w="13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82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6"/>
                <w:szCs w:val="16"/>
                <w:color w:val="auto"/>
              </w:rPr>
            </w:pPr>
          </w:p>
        </w:tc>
        <w:tc>
          <w:tcPr>
            <w:tcW w:w="13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13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7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259,378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9,088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268,444</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18,085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963,670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33,205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995,905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Municipal debt securities (1)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513,870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37,662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551,517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5,562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Corporate debt securities (2)</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1,070,027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56,864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1,126,512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18,641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(1,280)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409,282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452,527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3,246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(1,056)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454,717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679,304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Total investments available for 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4,404,690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164,423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1"/>
              </w:rPr>
              <w:t>(3,740)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4,565,373</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restart"/>
          </w:tcPr>
          <w:p>
            <w:pPr>
              <w:jc w:val="center"/>
              <w:ind w:left="36"/>
              <w:spacing w:after="0"/>
              <w:rPr>
                <w:sz w:val="20"/>
                <w:szCs w:val="20"/>
                <w:color w:val="auto"/>
              </w:rPr>
            </w:pPr>
            <w:r>
              <w:rPr>
                <w:rFonts w:ascii="Arial" w:cs="Arial" w:eastAsia="Arial" w:hAnsi="Arial"/>
                <w:sz w:val="14"/>
                <w:szCs w:val="14"/>
                <w:b w:val="1"/>
                <w:bCs w:val="1"/>
                <w:color w:val="auto"/>
                <w:w w:val="92"/>
              </w:rPr>
              <w:t>June 30,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1"/>
              </w:rPr>
              <w:t>(1) The following table summarizes municipal debt securities as of :</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w w:val="89"/>
              </w:rPr>
              <w:t>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Special revenue bonds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77.1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76.8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tcPr>
          <w:p>
            <w:pPr>
              <w:ind w:left="340"/>
              <w:spacing w:after="0"/>
              <w:rPr>
                <w:sz w:val="20"/>
                <w:szCs w:val="20"/>
                <w:color w:val="auto"/>
              </w:rPr>
            </w:pPr>
            <w:r>
              <w:rPr>
                <w:rFonts w:ascii="Arial" w:cs="Arial" w:eastAsia="Arial" w:hAnsi="Arial"/>
                <w:sz w:val="18"/>
                <w:szCs w:val="18"/>
                <w:color w:val="auto"/>
              </w:rPr>
              <w:t>General obligation bonds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20.2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Certificate of participation bonds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Tax allocation bonds</w:t>
            </w: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0.6</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8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center"/>
              <w:ind w:left="56"/>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center"/>
              <w:ind w:left="13"/>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1"/>
              </w:rPr>
              <w:t>(2) The following table summarizes corporate debt securities as of :</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left="56"/>
              <w:spacing w:after="0"/>
              <w:rPr>
                <w:sz w:val="20"/>
                <w:szCs w:val="20"/>
                <w:color w:val="auto"/>
              </w:rPr>
            </w:pPr>
            <w:r>
              <w:rPr>
                <w:rFonts w:ascii="Arial" w:cs="Arial" w:eastAsia="Arial" w:hAnsi="Arial"/>
                <w:sz w:val="14"/>
                <w:szCs w:val="14"/>
                <w:b w:val="1"/>
                <w:bCs w:val="1"/>
                <w:color w:val="auto"/>
                <w:w w:val="96"/>
              </w:rPr>
              <w:t>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Financial</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34.3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34.9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tcPr>
          <w:p>
            <w:pPr>
              <w:ind w:left="340"/>
              <w:spacing w:after="0"/>
              <w:rPr>
                <w:sz w:val="20"/>
                <w:szCs w:val="20"/>
                <w:color w:val="auto"/>
              </w:rPr>
            </w:pPr>
            <w:r>
              <w:rPr>
                <w:rFonts w:ascii="Arial" w:cs="Arial" w:eastAsia="Arial" w:hAnsi="Arial"/>
                <w:sz w:val="18"/>
                <w:szCs w:val="18"/>
                <w:color w:val="auto"/>
              </w:rPr>
              <w:t>Consumer, non-cyclical</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18.7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Communications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11.6</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tcPr>
          <w:p>
            <w:pPr>
              <w:ind w:left="340"/>
              <w:spacing w:after="0"/>
              <w:rPr>
                <w:sz w:val="20"/>
                <w:szCs w:val="20"/>
                <w:color w:val="auto"/>
              </w:rPr>
            </w:pPr>
            <w:r>
              <w:rPr>
                <w:rFonts w:ascii="Arial" w:cs="Arial" w:eastAsia="Arial" w:hAnsi="Arial"/>
                <w:sz w:val="18"/>
                <w:szCs w:val="18"/>
                <w:color w:val="auto"/>
              </w:rPr>
              <w:t>Industrial</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Consumer, cyclical</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tcPr>
          <w:p>
            <w:pPr>
              <w:ind w:left="340"/>
              <w:spacing w:after="0"/>
              <w:rPr>
                <w:sz w:val="20"/>
                <w:szCs w:val="20"/>
                <w:color w:val="auto"/>
              </w:rPr>
            </w:pPr>
            <w:r>
              <w:rPr>
                <w:rFonts w:ascii="Arial" w:cs="Arial" w:eastAsia="Arial" w:hAnsi="Arial"/>
                <w:sz w:val="18"/>
                <w:szCs w:val="18"/>
                <w:color w:val="auto"/>
              </w:rPr>
              <w:t>Energy</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Technology</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5.9</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tcPr>
          <w:p>
            <w:pPr>
              <w:ind w:left="340"/>
              <w:spacing w:after="0"/>
              <w:rPr>
                <w:sz w:val="20"/>
                <w:szCs w:val="20"/>
                <w:color w:val="auto"/>
              </w:rPr>
            </w:pPr>
            <w:r>
              <w:rPr>
                <w:rFonts w:ascii="Arial" w:cs="Arial" w:eastAsia="Arial" w:hAnsi="Arial"/>
                <w:sz w:val="18"/>
                <w:szCs w:val="18"/>
                <w:color w:val="auto"/>
              </w:rPr>
              <w:t>Utilities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Basic materials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3.6</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Government</w:t>
            </w: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0.2</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8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amortized cost and fair value of investments available for sale at June 30, 2021,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Amortized</w:t>
            </w:r>
          </w:p>
        </w:tc>
        <w:tc>
          <w:tcPr>
            <w:tcW w:w="460" w:type="dxa"/>
            <w:vAlign w:val="bottom"/>
          </w:tcPr>
          <w:p>
            <w:pPr>
              <w:spacing w:after="0"/>
              <w:rPr>
                <w:sz w:val="14"/>
                <w:szCs w:val="14"/>
                <w:color w:val="auto"/>
              </w:rPr>
            </w:pPr>
          </w:p>
        </w:tc>
        <w:tc>
          <w:tcPr>
            <w:tcW w:w="1480" w:type="dxa"/>
            <w:vAlign w:val="bottom"/>
          </w:tcPr>
          <w:p>
            <w:pPr>
              <w:jc w:val="right"/>
              <w:ind w:right="75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72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Cost</w:t>
            </w:r>
          </w:p>
        </w:tc>
        <w:tc>
          <w:tcPr>
            <w:tcW w:w="460" w:type="dxa"/>
            <w:vAlign w:val="bottom"/>
          </w:tcPr>
          <w:p>
            <w:pPr>
              <w:spacing w:after="0"/>
              <w:rPr>
                <w:sz w:val="16"/>
                <w:szCs w:val="16"/>
                <w:color w:val="auto"/>
              </w:rPr>
            </w:pPr>
          </w:p>
        </w:tc>
        <w:tc>
          <w:tcPr>
            <w:tcW w:w="1480" w:type="dxa"/>
            <w:vAlign w:val="bottom"/>
          </w:tcPr>
          <w:p>
            <w:pPr>
              <w:jc w:val="right"/>
              <w:ind w:right="71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7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in 1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59,791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59,912</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177,726</w:t>
            </w: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48,946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51,289</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284,834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289,961</w:t>
            </w:r>
          </w:p>
        </w:tc>
        <w:tc>
          <w:tcPr>
            <w:tcW w:w="0" w:type="dxa"/>
            <w:vAlign w:val="bottom"/>
          </w:tcPr>
          <w:p>
            <w:pPr>
              <w:spacing w:after="0"/>
              <w:rPr>
                <w:sz w:val="1"/>
                <w:szCs w:val="1"/>
                <w:color w:val="auto"/>
              </w:rPr>
            </w:pPr>
          </w:p>
        </w:tc>
      </w:tr>
      <w:tr>
        <w:trPr>
          <w:trHeight w:val="210"/>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agency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12,588</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16,088</w:t>
            </w:r>
          </w:p>
        </w:tc>
        <w:tc>
          <w:tcPr>
            <w:tcW w:w="0" w:type="dxa"/>
            <w:vAlign w:val="bottom"/>
          </w:tcPr>
          <w:p>
            <w:pPr>
              <w:spacing w:after="0"/>
              <w:rPr>
                <w:sz w:val="1"/>
                <w:szCs w:val="1"/>
                <w:color w:val="auto"/>
              </w:rPr>
            </w:pPr>
          </w:p>
        </w:tc>
      </w:tr>
      <w:tr>
        <w:trPr>
          <w:trHeight w:val="209"/>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10,090</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113,451</w:t>
            </w: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223,197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240,230</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203,411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217,123</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544,993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580,894</w:t>
            </w:r>
          </w:p>
        </w:tc>
        <w:tc>
          <w:tcPr>
            <w:tcW w:w="0" w:type="dxa"/>
            <w:vAlign w:val="bottom"/>
          </w:tcPr>
          <w:p>
            <w:pPr>
              <w:spacing w:after="0"/>
              <w:rPr>
                <w:sz w:val="1"/>
                <w:szCs w:val="1"/>
                <w:color w:val="auto"/>
              </w:rPr>
            </w:pPr>
          </w:p>
        </w:tc>
      </w:tr>
      <w:tr>
        <w:trPr>
          <w:trHeight w:val="209"/>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26,044</w:t>
            </w: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20,996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23,221</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27,806</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78,203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81,528</w:t>
            </w:r>
          </w:p>
        </w:tc>
        <w:tc>
          <w:tcPr>
            <w:tcW w:w="0" w:type="dxa"/>
            <w:vAlign w:val="bottom"/>
          </w:tcPr>
          <w:p>
            <w:pPr>
              <w:spacing w:after="0"/>
              <w:rPr>
                <w:sz w:val="1"/>
                <w:szCs w:val="1"/>
                <w:color w:val="auto"/>
              </w:rPr>
            </w:pPr>
          </w:p>
        </w:tc>
      </w:tr>
      <w:tr>
        <w:trPr>
          <w:trHeight w:val="209"/>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208,044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209,574</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664,310</w:t>
            </w: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401,811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417,599</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251,523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260,229</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1,506,723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1,551,712</w:t>
            </w: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989,948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1,006,655</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449,798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461,985</w:t>
            </w: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453,624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456,069</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301,436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301,436</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 available for sale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4,625,585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4,746,328</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gains and losses realized on the sale of investments available for sale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6"/>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24"/>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Realized gross gains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w:t>
            </w: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Realized gross losses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2,230</w:t>
            </w:r>
          </w:p>
        </w:tc>
      </w:tr>
    </w:tbl>
    <w:p>
      <w:pPr>
        <w:spacing w:after="0" w:line="28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fair value of investments available for sale in an unrealized loss position and the related unrealized losses for which no allowance for credit loss has been recorded were as follows:</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Less than 12 months</w:t>
            </w:r>
          </w:p>
        </w:tc>
        <w:tc>
          <w:tcPr>
            <w:tcW w:w="26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Arial" w:cs="Arial" w:eastAsia="Arial" w:hAnsi="Arial"/>
                <w:sz w:val="14"/>
                <w:szCs w:val="14"/>
                <w:b w:val="1"/>
                <w:bCs w:val="1"/>
                <w:color w:val="auto"/>
              </w:rPr>
              <w:t>12 months or more</w:t>
            </w:r>
          </w:p>
        </w:tc>
        <w:tc>
          <w:tcPr>
            <w:tcW w:w="240" w:type="dxa"/>
            <w:vAlign w:val="bottom"/>
          </w:tcPr>
          <w:p>
            <w:pPr>
              <w:spacing w:after="0"/>
              <w:rPr>
                <w:sz w:val="16"/>
                <w:szCs w:val="16"/>
                <w:color w:val="auto"/>
              </w:rPr>
            </w:pPr>
          </w:p>
        </w:tc>
        <w:tc>
          <w:tcPr>
            <w:tcW w:w="120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5"/>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5"/>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4"/>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5"/>
              <w:spacing w:after="0" w:line="135"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35"/>
        </w:trPr>
        <w:tc>
          <w:tcPr>
            <w:tcW w:w="3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June 30, 2021 (In thousands)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8"/>
        </w:trPr>
        <w:tc>
          <w:tcPr>
            <w:tcW w:w="3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6"/>
                <w:szCs w:val="16"/>
                <w:color w:val="auto"/>
              </w:rPr>
            </w:pPr>
          </w:p>
        </w:tc>
        <w:tc>
          <w:tcPr>
            <w:tcW w:w="10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940" w:type="dxa"/>
            <w:vAlign w:val="bottom"/>
          </w:tcPr>
          <w:p>
            <w:pPr>
              <w:jc w:val="center"/>
              <w:ind w:right="5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24"/>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103,733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103,733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30"/>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U.S. agency mortgage-backed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408,237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410,401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29"/>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9"/>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Non-U.S. government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30"/>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0" w:type="dxa"/>
            <w:vAlign w:val="bottom"/>
          </w:tcPr>
          <w:p>
            <w:pPr>
              <w:spacing w:after="0"/>
              <w:rPr>
                <w:sz w:val="1"/>
                <w:szCs w:val="1"/>
                <w:color w:val="auto"/>
              </w:rPr>
            </w:pPr>
          </w:p>
        </w:tc>
      </w:tr>
      <w:tr>
        <w:trPr>
          <w:trHeight w:val="229"/>
        </w:trPr>
        <w:tc>
          <w:tcPr>
            <w:tcW w:w="3840" w:type="dxa"/>
            <w:vAlign w:val="bottom"/>
            <w:gridSpan w:val="3"/>
          </w:tcPr>
          <w:p>
            <w:pPr>
              <w:ind w:left="20"/>
              <w:spacing w:after="0"/>
              <w:rPr>
                <w:sz w:val="20"/>
                <w:szCs w:val="20"/>
                <w:color w:val="auto"/>
              </w:rPr>
            </w:pPr>
            <w:r>
              <w:rPr>
                <w:rFonts w:ascii="Arial" w:cs="Arial" w:eastAsia="Arial" w:hAnsi="Arial"/>
                <w:sz w:val="18"/>
                <w:szCs w:val="18"/>
                <w:color w:val="auto"/>
                <w:w w:val="99"/>
              </w:rPr>
              <w:t>Residential and commercial mortgage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152,475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170,529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30"/>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112,292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133,440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3"/>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1,253,593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1,294,959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(16,923)</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5"/>
        </w:trPr>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Less than 12 months</w:t>
            </w:r>
          </w:p>
        </w:tc>
        <w:tc>
          <w:tcPr>
            <w:tcW w:w="260" w:type="dxa"/>
            <w:vAlign w:val="bottom"/>
          </w:tcPr>
          <w:p>
            <w:pPr>
              <w:spacing w:after="0"/>
              <w:rPr>
                <w:sz w:val="24"/>
                <w:szCs w:val="24"/>
                <w:color w:val="auto"/>
              </w:rPr>
            </w:pPr>
          </w:p>
        </w:tc>
        <w:tc>
          <w:tcPr>
            <w:tcW w:w="2220" w:type="dxa"/>
            <w:vAlign w:val="bottom"/>
            <w:gridSpan w:val="5"/>
          </w:tcPr>
          <w:p>
            <w:pPr>
              <w:ind w:left="340"/>
              <w:spacing w:after="0"/>
              <w:rPr>
                <w:sz w:val="20"/>
                <w:szCs w:val="20"/>
                <w:color w:val="auto"/>
              </w:rPr>
            </w:pPr>
            <w:r>
              <w:rPr>
                <w:rFonts w:ascii="Arial" w:cs="Arial" w:eastAsia="Arial" w:hAnsi="Arial"/>
                <w:sz w:val="14"/>
                <w:szCs w:val="14"/>
                <w:b w:val="1"/>
                <w:bCs w:val="1"/>
                <w:color w:val="auto"/>
              </w:rPr>
              <w:t>12 months or more</w:t>
            </w:r>
          </w:p>
        </w:tc>
        <w:tc>
          <w:tcPr>
            <w:tcW w:w="240" w:type="dxa"/>
            <w:vAlign w:val="bottom"/>
          </w:tcPr>
          <w:p>
            <w:pPr>
              <w:spacing w:after="0"/>
              <w:rPr>
                <w:sz w:val="24"/>
                <w:szCs w:val="24"/>
                <w:color w:val="auto"/>
              </w:rPr>
            </w:pPr>
          </w:p>
        </w:tc>
        <w:tc>
          <w:tcPr>
            <w:tcW w:w="120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5"/>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5"/>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4"/>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35"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35"/>
        </w:trPr>
        <w:tc>
          <w:tcPr>
            <w:tcW w:w="3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2020 (In thousands)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8"/>
        </w:trPr>
        <w:tc>
          <w:tcPr>
            <w:tcW w:w="3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6"/>
                <w:szCs w:val="16"/>
                <w:color w:val="auto"/>
              </w:rPr>
            </w:pPr>
          </w:p>
        </w:tc>
        <w:tc>
          <w:tcPr>
            <w:tcW w:w="10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940" w:type="dxa"/>
            <w:vAlign w:val="bottom"/>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U.S. agency mortgage-backed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152,671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155,678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29"/>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141,803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141,803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9"/>
              </w:rPr>
              <w:t>Residential and commercial mortgage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30"/>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124,165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65,897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190,062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30"/>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614,451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78,420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692,871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At June 30, 2021 and December 31, 2020, we held 648 and 363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June 30, 2021 of any of these securities resulted from a credit loss or other factors, we made inquiries of our investment managers to determine that each issuer was current on its scheduled interest and principal payments. We reviewed the credit rating of these securities noting that over 98% of the securities at June 30, 2021 had investment-grade ratings. We concluded that gross unrealized losses noted above are principally associated with the changes in interest rates subsequent to purchase rather than due to credit impairment. There were no impairments in the six months ended June 30, 2021 and we recorded impairments of $0.4 million in the three and six months ended June 30, 2020.</w:t>
      </w:r>
    </w:p>
    <w:p>
      <w:pPr>
        <w:spacing w:after="0" w:line="20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Company's other invested assets at June 30, 2021 and December 31, 2020 totaled $145.3 million and $88.9 million, respectively. Other invested assets are principally comprised of limited partnership interests which are generally accounted for under the equity method of accounting with the Company's proportionate share of the net income or loss of these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entities reported in other income. Due to the timing of receiving financial information from these partnerships, the results are generally reported on a one month or quarter lag.</w:t>
      </w:r>
    </w:p>
    <w:p>
      <w:pPr>
        <w:spacing w:after="0" w:line="19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fair value of investments deposited with insurance regulatory authorities to meet statutory requirements was $9.8 million at June 30, 2021 and $9.7 million at December 31, 2020. In connection with its insurance and reinsurance activities, Essent Re is required to maintain assets in trusts for the benefit of its contractual counterparties. The fair value of the investments on deposit in these trusts was $903.9 million at June 30, 2021 and $1.1 billion at December 31, 2020. Essent Guaranty is required to maintain assets on deposit in connection with its fully collateralized reinsurance agreements (see Note 4). The fair value of the assets on deposit was $8.5 million at June 30, 2021 and $8.5 million at December 31, 2020. Essent Guaranty is also required to maintain assets on deposit for the benefit of the sponsor of a fixed income investment commitment. The fair value of the assets on deposit was $9.0 million at June 30, 2021 and $12.0 million at December 31, 2020.</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consists of:</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4"/>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46,036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41,183</w:t>
            </w:r>
          </w:p>
        </w:tc>
      </w:tr>
      <w:tr>
        <w:trPr>
          <w:trHeight w:val="229"/>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r>
      <w:tr>
        <w:trPr>
          <w:trHeight w:val="22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42,663</w:t>
            </w:r>
          </w:p>
        </w:tc>
      </w:tr>
      <w:tr>
        <w:trPr>
          <w:trHeight w:val="229"/>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Investment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w:t>
            </w:r>
          </w:p>
        </w:tc>
      </w:tr>
      <w:tr>
        <w:trPr>
          <w:trHeight w:val="248"/>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40,499</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Reinsurance</w:t>
      </w:r>
    </w:p>
    <w:p>
      <w:pPr>
        <w:spacing w:after="0" w:line="22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In the ordinary course of business, our insurance subsidiaries may use reinsurance to provide protection against adverse loss experience and to expand our capital sources. Reinsurance recoverables are recorded as assets and included in other assets on our condensed consolidated balance sheets,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reinsurance on net premiums written and earned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74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14"/>
                <w:szCs w:val="14"/>
                <w:color w:val="auto"/>
              </w:rPr>
            </w:pPr>
          </w:p>
        </w:tc>
      </w:tr>
      <w:tr>
        <w:trPr>
          <w:trHeight w:val="186"/>
        </w:trPr>
        <w:tc>
          <w:tcPr>
            <w:tcW w:w="21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616"/>
              <w:spacing w:after="0"/>
              <w:rPr>
                <w:sz w:val="20"/>
                <w:szCs w:val="20"/>
                <w:color w:val="auto"/>
              </w:rPr>
            </w:pPr>
            <w:r>
              <w:rPr>
                <w:rFonts w:ascii="Arial" w:cs="Arial" w:eastAsia="Arial" w:hAnsi="Arial"/>
                <w:sz w:val="14"/>
                <w:szCs w:val="14"/>
                <w:b w:val="1"/>
                <w:bCs w:val="1"/>
                <w:color w:val="auto"/>
                <w:w w:val="89"/>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r>
      <w:tr>
        <w:trPr>
          <w:trHeight w:val="184"/>
        </w:trPr>
        <w:tc>
          <w:tcPr>
            <w:tcW w:w="52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1080" w:type="dxa"/>
            <w:vAlign w:val="bottom"/>
          </w:tcPr>
          <w:p>
            <w:pPr>
              <w:ind w:left="2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ind w:left="1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Arial" w:cs="Arial" w:eastAsia="Arial" w:hAnsi="Arial"/>
                <w:sz w:val="14"/>
                <w:szCs w:val="14"/>
                <w:b w:val="1"/>
                <w:bCs w:val="1"/>
                <w:color w:val="auto"/>
              </w:rPr>
              <w:t>2020</w:t>
            </w:r>
          </w:p>
        </w:tc>
      </w:tr>
      <w:tr>
        <w:trPr>
          <w:trHeight w:val="224"/>
        </w:trPr>
        <w:tc>
          <w:tcPr>
            <w:tcW w:w="5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30"/>
        </w:trPr>
        <w:tc>
          <w:tcPr>
            <w:tcW w:w="5220" w:type="dxa"/>
            <w:vAlign w:val="bottom"/>
            <w:gridSpan w:val="3"/>
          </w:tcPr>
          <w:p>
            <w:pPr>
              <w:ind w:left="140"/>
              <w:spacing w:after="0"/>
              <w:rPr>
                <w:sz w:val="20"/>
                <w:szCs w:val="20"/>
                <w:color w:val="auto"/>
              </w:rPr>
            </w:pPr>
            <w:r>
              <w:rPr>
                <w:rFonts w:ascii="Arial" w:cs="Arial" w:eastAsia="Arial" w:hAnsi="Arial"/>
                <w:sz w:val="18"/>
                <w:szCs w:val="18"/>
                <w:color w:val="auto"/>
              </w:rPr>
              <w:t>Direct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420"/>
              <w:spacing w:after="0"/>
              <w:rPr>
                <w:sz w:val="20"/>
                <w:szCs w:val="20"/>
                <w:color w:val="auto"/>
              </w:rPr>
            </w:pPr>
            <w:r>
              <w:rPr>
                <w:rFonts w:ascii="Arial" w:cs="Arial" w:eastAsia="Arial" w:hAnsi="Arial"/>
                <w:sz w:val="18"/>
                <w:szCs w:val="18"/>
                <w:color w:val="auto"/>
                <w:w w:val="98"/>
              </w:rPr>
              <w:t>228,949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380"/>
              <w:spacing w:after="0"/>
              <w:rPr>
                <w:sz w:val="20"/>
                <w:szCs w:val="20"/>
                <w:color w:val="auto"/>
              </w:rPr>
            </w:pPr>
            <w:r>
              <w:rPr>
                <w:rFonts w:ascii="Arial" w:cs="Arial" w:eastAsia="Arial" w:hAnsi="Arial"/>
                <w:sz w:val="18"/>
                <w:szCs w:val="18"/>
                <w:color w:val="auto"/>
                <w:w w:val="98"/>
              </w:rPr>
              <w:t>228,044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440"/>
              <w:spacing w:after="0"/>
              <w:rPr>
                <w:sz w:val="20"/>
                <w:szCs w:val="20"/>
                <w:color w:val="auto"/>
              </w:rPr>
            </w:pPr>
            <w:r>
              <w:rPr>
                <w:rFonts w:ascii="Arial" w:cs="Arial" w:eastAsia="Arial" w:hAnsi="Arial"/>
                <w:sz w:val="18"/>
                <w:szCs w:val="18"/>
                <w:color w:val="auto"/>
                <w:w w:val="98"/>
              </w:rPr>
              <w:t>464,206</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240"/>
              <w:spacing w:after="0"/>
              <w:rPr>
                <w:sz w:val="20"/>
                <w:szCs w:val="20"/>
                <w:color w:val="auto"/>
              </w:rPr>
            </w:pPr>
            <w:r>
              <w:rPr>
                <w:rFonts w:ascii="Arial" w:cs="Arial" w:eastAsia="Arial" w:hAnsi="Arial"/>
                <w:sz w:val="18"/>
                <w:szCs w:val="18"/>
                <w:color w:val="auto"/>
                <w:w w:val="98"/>
              </w:rPr>
              <w:t>434,024</w:t>
            </w:r>
          </w:p>
        </w:tc>
      </w:tr>
      <w:tr>
        <w:trPr>
          <w:trHeight w:val="230"/>
        </w:trPr>
        <w:tc>
          <w:tcPr>
            <w:tcW w:w="52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Ceded (1)</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2"/>
              </w:rPr>
              <w:t>(26,662)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2"/>
              </w:rPr>
              <w:t>(22,140)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2"/>
              </w:rPr>
              <w:t>(57,558)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2"/>
              </w:rPr>
              <w:t>(36,377)</w:t>
            </w:r>
          </w:p>
        </w:tc>
      </w:tr>
      <w:tr>
        <w:trPr>
          <w:trHeight w:val="223"/>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Net premiums written</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8"/>
              </w:rPr>
              <w:t>202,287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8"/>
              </w:rPr>
              <w:t>205,904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8"/>
              </w:rPr>
              <w:t>406,648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8"/>
              </w:rPr>
              <w:t>397,647</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218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5220" w:type="dxa"/>
            <w:vAlign w:val="bottom"/>
            <w:gridSpan w:val="3"/>
          </w:tcPr>
          <w:p>
            <w:pPr>
              <w:ind w:left="20"/>
              <w:spacing w:after="0"/>
              <w:rPr>
                <w:sz w:val="20"/>
                <w:szCs w:val="20"/>
                <w:color w:val="auto"/>
              </w:rPr>
            </w:pPr>
            <w:r>
              <w:rPr>
                <w:rFonts w:ascii="Arial" w:cs="Arial" w:eastAsia="Arial" w:hAnsi="Arial"/>
                <w:sz w:val="18"/>
                <w:szCs w:val="18"/>
                <w:color w:val="auto"/>
              </w:rPr>
              <w:t>Net premiums earned: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2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244,099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5"/>
              </w:rPr>
              <w:t>233,611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494,062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454,344</w:t>
            </w:r>
          </w:p>
        </w:tc>
      </w:tr>
      <w:tr>
        <w:trPr>
          <w:trHeight w:val="230"/>
        </w:trPr>
        <w:tc>
          <w:tcPr>
            <w:tcW w:w="522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Ceded (1)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2"/>
              </w:rPr>
              <w:t>(26,662)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2"/>
              </w:rPr>
              <w:t>(22,140)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2"/>
              </w:rPr>
              <w:t>(57,558)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2"/>
              </w:rPr>
              <w:t>(36,377)</w:t>
            </w:r>
          </w:p>
        </w:tc>
      </w:tr>
      <w:tr>
        <w:trPr>
          <w:trHeight w:val="248"/>
        </w:trPr>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8"/>
              </w:rPr>
              <w:t>217,437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5"/>
              </w:rPr>
              <w:t>211,471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8"/>
              </w:rPr>
              <w:t>436,504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8"/>
              </w:rPr>
              <w:t>417,967</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180" w:type="dxa"/>
            <w:vAlign w:val="bottom"/>
            <w:tcBorders>
              <w:bottom w:val="single" w:sz="8" w:color="auto"/>
            </w:tcBorders>
          </w:tcPr>
          <w:p>
            <w:pPr>
              <w:spacing w:after="0"/>
              <w:rPr>
                <w:sz w:val="13"/>
                <w:szCs w:val="13"/>
                <w:color w:val="auto"/>
              </w:rPr>
            </w:pP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Net of profit commission.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 Share Reinsurance</w:t>
      </w:r>
    </w:p>
    <w:p>
      <w:pPr>
        <w:spacing w:after="0" w:line="256" w:lineRule="exact"/>
        <w:rPr>
          <w:sz w:val="20"/>
          <w:szCs w:val="20"/>
          <w:color w:val="auto"/>
        </w:rPr>
      </w:pPr>
    </w:p>
    <w:p>
      <w:pPr>
        <w:ind w:right="60" w:firstLine="180"/>
        <w:spacing w:after="0" w:line="257" w:lineRule="auto"/>
        <w:rPr>
          <w:sz w:val="20"/>
          <w:szCs w:val="20"/>
          <w:color w:val="auto"/>
        </w:rPr>
      </w:pPr>
      <w:r>
        <w:rPr>
          <w:rFonts w:ascii="Arial" w:cs="Arial" w:eastAsia="Arial" w:hAnsi="Arial"/>
          <w:sz w:val="18"/>
          <w:szCs w:val="18"/>
          <w:color w:val="auto"/>
        </w:rPr>
        <w:t>Effective September 1, 2019, Essent Guaranty entered into a quota share reinsurance agreement with a panel of third-party reinsurers (the "QSR Agreement"). Each of the third-party reinsurers has an insurer financial strength rating of A or better by S&amp;P Global Ratings, A.M. Best or both. Under the QSR Agreement,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commission, and a profit commission of up to 60% that varies directly and inversely with ceded claims. The QSR Agreement is scheduled to terminate on December 31, 2030. Essent Guaranty has certain termination rights under the QSR Agreement, including the option to terminate the QSR Agreement with no termination fee on December 31, 2021, and the option, subject to a termination fee, to terminate the QSR Agreement on December 31, 2022, or annually thereafter. Should Essent Guaranty not exercise its option to terminate the QSR Agreement on December 31, 2021, the maximum profit commission that Essent Guaranty could earn would increase to 63% in 2022 and thereafter. RIF ceded under the QSR Agreement was $5.5 billion as of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of Loss Reinsurance</w:t>
      </w:r>
    </w:p>
    <w:p>
      <w:pPr>
        <w:spacing w:after="0" w:line="25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LIBOR or SOFR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199" w:lineRule="exact"/>
        <w:rPr>
          <w:sz w:val="20"/>
          <w:szCs w:val="20"/>
          <w:color w:val="auto"/>
        </w:rPr>
      </w:pPr>
    </w:p>
    <w:p>
      <w:pPr>
        <w:ind w:right="340" w:firstLine="648"/>
        <w:spacing w:after="0" w:line="311" w:lineRule="auto"/>
        <w:rPr>
          <w:sz w:val="20"/>
          <w:szCs w:val="20"/>
          <w:color w:val="auto"/>
        </w:rPr>
      </w:pPr>
      <w:r>
        <w:rPr>
          <w:rFonts w:ascii="Arial" w:cs="Arial" w:eastAsia="Arial" w:hAnsi="Arial"/>
          <w:sz w:val="16"/>
          <w:szCs w:val="16"/>
          <w:color w:val="auto"/>
        </w:rPr>
        <w:t>Essent Guaranty has also entered into reinsurance agreements with panels of reinsurers that provide aggregate excess of loss coverage immediately above or pari-passu to the coverage provided by the Radnor Re Transactions. The aggregate excess of loss reinsurance coverage decreases over a ten-year period as the underlying covered mortgages amortize. Essent Guaranty has rights to terminate these reinsurance agreements.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Essent Guaranty's excess of loss reinsurance agreements as of June 30,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gridSpan w:val="2"/>
          </w:tcPr>
          <w:p>
            <w:pPr>
              <w:ind w:left="600"/>
              <w:spacing w:after="0"/>
              <w:rPr>
                <w:sz w:val="20"/>
                <w:szCs w:val="20"/>
                <w:color w:val="auto"/>
              </w:rPr>
            </w:pPr>
            <w:r>
              <w:rPr>
                <w:rFonts w:ascii="Arial" w:cs="Arial" w:eastAsia="Arial" w:hAnsi="Arial"/>
                <w:sz w:val="14"/>
                <w:szCs w:val="14"/>
                <w:b w:val="1"/>
                <w:bCs w:val="1"/>
                <w:color w:val="auto"/>
              </w:rPr>
              <w:t>Vintage Year</w:t>
            </w:r>
          </w:p>
        </w:tc>
        <w:tc>
          <w:tcPr>
            <w:tcW w:w="2920" w:type="dxa"/>
            <w:vAlign w:val="bottom"/>
            <w:gridSpan w:val="2"/>
          </w:tcPr>
          <w:p>
            <w:pPr>
              <w:ind w:left="1100"/>
              <w:spacing w:after="0"/>
              <w:rPr>
                <w:sz w:val="20"/>
                <w:szCs w:val="20"/>
                <w:color w:val="auto"/>
              </w:rPr>
            </w:pPr>
            <w:r>
              <w:rPr>
                <w:rFonts w:ascii="Arial" w:cs="Arial" w:eastAsia="Arial" w:hAnsi="Arial"/>
                <w:sz w:val="14"/>
                <w:szCs w:val="14"/>
                <w:b w:val="1"/>
                <w:bCs w:val="1"/>
                <w:color w:val="auto"/>
              </w:rPr>
              <w:t>Reinsurer</w:t>
            </w:r>
          </w:p>
        </w:tc>
        <w:tc>
          <w:tcPr>
            <w:tcW w:w="2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Effective Date</w:t>
            </w:r>
          </w:p>
        </w:tc>
        <w:tc>
          <w:tcPr>
            <w:tcW w:w="2640" w:type="dxa"/>
            <w:vAlign w:val="bottom"/>
          </w:tcPr>
          <w:p>
            <w:pPr>
              <w:ind w:left="780"/>
              <w:spacing w:after="0"/>
              <w:rPr>
                <w:sz w:val="20"/>
                <w:szCs w:val="20"/>
                <w:color w:val="auto"/>
              </w:rPr>
            </w:pPr>
            <w:r>
              <w:rPr>
                <w:rFonts w:ascii="Arial" w:cs="Arial" w:eastAsia="Arial" w:hAnsi="Arial"/>
                <w:sz w:val="14"/>
                <w:szCs w:val="14"/>
                <w:b w:val="1"/>
                <w:bCs w:val="1"/>
                <w:color w:val="auto"/>
              </w:rPr>
              <w:t>Optional Termination Date</w:t>
            </w:r>
          </w:p>
        </w:tc>
        <w:tc>
          <w:tcPr>
            <w:tcW w:w="580" w:type="dxa"/>
            <w:vAlign w:val="bottom"/>
          </w:tcPr>
          <w:p>
            <w:pPr>
              <w:spacing w:after="0"/>
              <w:rPr>
                <w:sz w:val="16"/>
                <w:szCs w:val="16"/>
                <w:color w:val="auto"/>
              </w:rPr>
            </w:pPr>
          </w:p>
        </w:tc>
      </w:tr>
      <w:tr>
        <w:trPr>
          <w:trHeight w:val="229"/>
        </w:trPr>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2015 &amp; 2016</w:t>
            </w:r>
          </w:p>
        </w:tc>
        <w:tc>
          <w:tcPr>
            <w:tcW w:w="12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Radnor Re 2019-2 Ltd.</w:t>
            </w:r>
          </w:p>
        </w:tc>
        <w:tc>
          <w:tcPr>
            <w:tcW w:w="10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June 20, 2019</w:t>
            </w:r>
          </w:p>
        </w:tc>
        <w:tc>
          <w:tcPr>
            <w:tcW w:w="1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center"/>
              <w:ind w:left="72"/>
              <w:spacing w:after="0"/>
              <w:rPr>
                <w:sz w:val="20"/>
                <w:szCs w:val="20"/>
                <w:color w:val="auto"/>
              </w:rPr>
            </w:pPr>
            <w:r>
              <w:rPr>
                <w:rFonts w:ascii="Arial" w:cs="Arial" w:eastAsia="Arial" w:hAnsi="Arial"/>
                <w:sz w:val="18"/>
                <w:szCs w:val="18"/>
                <w:color w:val="auto"/>
                <w:w w:val="87"/>
              </w:rPr>
              <w:t>June 25, 2024</w:t>
            </w:r>
          </w:p>
        </w:tc>
        <w:tc>
          <w:tcPr>
            <w:tcW w:w="580" w:type="dxa"/>
            <w:vAlign w:val="bottom"/>
            <w:tcBorders>
              <w:top w:val="single" w:sz="8" w:color="auto"/>
            </w:tcBorders>
            <w:shd w:val="clear" w:color="auto" w:fill="CCEEFF"/>
          </w:tcPr>
          <w:p>
            <w:pPr>
              <w:spacing w:after="0"/>
              <w:rPr>
                <w:sz w:val="19"/>
                <w:szCs w:val="19"/>
                <w:color w:val="auto"/>
              </w:rPr>
            </w:pP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2018-1 Ltd.</w:t>
            </w: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March 22, 2018</w:t>
            </w:r>
          </w:p>
        </w:tc>
        <w:tc>
          <w:tcPr>
            <w:tcW w:w="2640" w:type="dxa"/>
            <w:vAlign w:val="bottom"/>
          </w:tcPr>
          <w:p>
            <w:pPr>
              <w:jc w:val="center"/>
              <w:ind w:left="92"/>
              <w:spacing w:after="0"/>
              <w:rPr>
                <w:sz w:val="20"/>
                <w:szCs w:val="20"/>
                <w:color w:val="auto"/>
              </w:rPr>
            </w:pPr>
            <w:r>
              <w:rPr>
                <w:rFonts w:ascii="Arial" w:cs="Arial" w:eastAsia="Arial" w:hAnsi="Arial"/>
                <w:sz w:val="18"/>
                <w:szCs w:val="18"/>
                <w:color w:val="auto"/>
                <w:w w:val="91"/>
              </w:rPr>
              <w:t>March 25, 2023</w:t>
            </w: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rPr>
              <w:t>(1)</w:t>
            </w:r>
          </w:p>
        </w:tc>
      </w:tr>
      <w:tr>
        <w:trPr>
          <w:trHeight w:val="229"/>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November 1, 2018</w:t>
            </w: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October 1, 2023</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w:t>
            </w: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2019-1 Ltd.</w:t>
            </w: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28, 2019</w:t>
            </w:r>
          </w:p>
        </w:tc>
        <w:tc>
          <w:tcPr>
            <w:tcW w:w="2640" w:type="dxa"/>
            <w:vAlign w:val="bottom"/>
          </w:tcPr>
          <w:p>
            <w:pPr>
              <w:jc w:val="center"/>
              <w:ind w:left="72"/>
              <w:spacing w:after="0"/>
              <w:rPr>
                <w:sz w:val="20"/>
                <w:szCs w:val="20"/>
                <w:color w:val="auto"/>
              </w:rPr>
            </w:pPr>
            <w:r>
              <w:rPr>
                <w:rFonts w:ascii="Arial" w:cs="Arial" w:eastAsia="Arial" w:hAnsi="Arial"/>
                <w:sz w:val="18"/>
                <w:szCs w:val="18"/>
                <w:color w:val="auto"/>
                <w:w w:val="89"/>
              </w:rPr>
              <w:t>February 25, 2026</w:t>
            </w:r>
          </w:p>
        </w:tc>
        <w:tc>
          <w:tcPr>
            <w:tcW w:w="580" w:type="dxa"/>
            <w:vAlign w:val="bottom"/>
          </w:tcPr>
          <w:p>
            <w:pPr>
              <w:spacing w:after="0"/>
              <w:rPr>
                <w:sz w:val="19"/>
                <w:szCs w:val="19"/>
                <w:color w:val="auto"/>
              </w:rPr>
            </w:pPr>
          </w:p>
        </w:tc>
      </w:tr>
      <w:tr>
        <w:trPr>
          <w:trHeight w:val="230"/>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February 28, 2019</w:t>
            </w: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February 25, 2026</w:t>
            </w:r>
          </w:p>
        </w:tc>
        <w:tc>
          <w:tcPr>
            <w:tcW w:w="580" w:type="dxa"/>
            <w:vAlign w:val="bottom"/>
            <w:shd w:val="clear" w:color="auto" w:fill="CCEEFF"/>
          </w:tcPr>
          <w:p>
            <w:pPr>
              <w:spacing w:after="0"/>
              <w:rPr>
                <w:sz w:val="19"/>
                <w:szCs w:val="19"/>
                <w:color w:val="auto"/>
              </w:rPr>
            </w:pP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2020-1 Ltd.</w:t>
            </w: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January 30, 2020</w:t>
            </w:r>
          </w:p>
        </w:tc>
        <w:tc>
          <w:tcPr>
            <w:tcW w:w="2640" w:type="dxa"/>
            <w:vAlign w:val="bottom"/>
          </w:tcPr>
          <w:p>
            <w:pPr>
              <w:jc w:val="center"/>
              <w:ind w:left="72"/>
              <w:spacing w:after="0"/>
              <w:rPr>
                <w:sz w:val="20"/>
                <w:szCs w:val="20"/>
                <w:color w:val="auto"/>
              </w:rPr>
            </w:pPr>
            <w:r>
              <w:rPr>
                <w:rFonts w:ascii="Arial" w:cs="Arial" w:eastAsia="Arial" w:hAnsi="Arial"/>
                <w:sz w:val="18"/>
                <w:szCs w:val="18"/>
                <w:color w:val="auto"/>
                <w:w w:val="89"/>
              </w:rPr>
              <w:t>January 25, 2027</w:t>
            </w:r>
          </w:p>
        </w:tc>
        <w:tc>
          <w:tcPr>
            <w:tcW w:w="580" w:type="dxa"/>
            <w:vAlign w:val="bottom"/>
          </w:tcPr>
          <w:p>
            <w:pPr>
              <w:spacing w:after="0"/>
              <w:rPr>
                <w:sz w:val="19"/>
                <w:szCs w:val="19"/>
                <w:color w:val="auto"/>
              </w:rPr>
            </w:pPr>
          </w:p>
        </w:tc>
      </w:tr>
      <w:tr>
        <w:trPr>
          <w:trHeight w:val="230"/>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January 30, 2020</w:t>
            </w: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January 25, 2027</w:t>
            </w:r>
          </w:p>
        </w:tc>
        <w:tc>
          <w:tcPr>
            <w:tcW w:w="580" w:type="dxa"/>
            <w:vAlign w:val="bottom"/>
            <w:shd w:val="clear" w:color="auto" w:fill="CCEEFF"/>
          </w:tcPr>
          <w:p>
            <w:pPr>
              <w:spacing w:after="0"/>
              <w:rPr>
                <w:sz w:val="19"/>
                <w:szCs w:val="19"/>
                <w:color w:val="auto"/>
              </w:rPr>
            </w:pPr>
          </w:p>
        </w:tc>
      </w:tr>
      <w:tr>
        <w:trPr>
          <w:trHeight w:val="229"/>
        </w:trPr>
        <w:tc>
          <w:tcPr>
            <w:tcW w:w="2000" w:type="dxa"/>
            <w:vAlign w:val="bottom"/>
          </w:tcPr>
          <w:p>
            <w:pPr>
              <w:jc w:val="center"/>
              <w:spacing w:after="0"/>
              <w:rPr>
                <w:sz w:val="20"/>
                <w:szCs w:val="20"/>
                <w:color w:val="auto"/>
              </w:rPr>
            </w:pPr>
            <w:r>
              <w:rPr>
                <w:rFonts w:ascii="Arial" w:cs="Arial" w:eastAsia="Arial" w:hAnsi="Arial"/>
                <w:sz w:val="18"/>
                <w:szCs w:val="18"/>
                <w:color w:val="auto"/>
                <w:w w:val="92"/>
              </w:rPr>
              <w:t>2019 &amp; 2020</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2020-2 Ltd.</w:t>
            </w: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8, 2020</w:t>
            </w:r>
          </w:p>
        </w:tc>
        <w:tc>
          <w:tcPr>
            <w:tcW w:w="2640" w:type="dxa"/>
            <w:vAlign w:val="bottom"/>
          </w:tcPr>
          <w:p>
            <w:pPr>
              <w:jc w:val="center"/>
              <w:ind w:left="92"/>
              <w:spacing w:after="0"/>
              <w:rPr>
                <w:sz w:val="20"/>
                <w:szCs w:val="20"/>
                <w:color w:val="auto"/>
              </w:rPr>
            </w:pPr>
            <w:r>
              <w:rPr>
                <w:rFonts w:ascii="Arial" w:cs="Arial" w:eastAsia="Arial" w:hAnsi="Arial"/>
                <w:sz w:val="18"/>
                <w:szCs w:val="18"/>
                <w:color w:val="auto"/>
                <w:w w:val="90"/>
              </w:rPr>
              <w:t>October 25, 2027</w:t>
            </w:r>
          </w:p>
        </w:tc>
        <w:tc>
          <w:tcPr>
            <w:tcW w:w="580" w:type="dxa"/>
            <w:vAlign w:val="bottom"/>
          </w:tcPr>
          <w:p>
            <w:pPr>
              <w:spacing w:after="0"/>
              <w:rPr>
                <w:sz w:val="19"/>
                <w:szCs w:val="19"/>
                <w:color w:val="auto"/>
              </w:rPr>
            </w:pPr>
          </w:p>
        </w:tc>
      </w:tr>
      <w:tr>
        <w:trPr>
          <w:trHeight w:val="230"/>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2020 &amp; 2021</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Radnor Re 2021-1 Ltd.</w:t>
            </w: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23, 2021</w:t>
            </w: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7"/>
              </w:rPr>
              <w:t>June 26, 2028</w:t>
            </w:r>
          </w:p>
        </w:tc>
        <w:tc>
          <w:tcPr>
            <w:tcW w:w="58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36" w:lineRule="exact"/>
        <w:rPr>
          <w:sz w:val="20"/>
          <w:szCs w:val="20"/>
          <w:color w:val="auto"/>
        </w:rPr>
      </w:pPr>
    </w:p>
    <w:p>
      <w:pPr>
        <w:ind w:left="660" w:right="20" w:hanging="328"/>
        <w:spacing w:after="0" w:line="258" w:lineRule="auto"/>
        <w:tabs>
          <w:tab w:leader="none" w:pos="654"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reinsurance agreement is not terminated at the optional termination date, the risk margin component of the reinsurance premium increases by 50%.</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reinsurance agreement is not terminated at the optional termination date, the reinsurance premium increases by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Essent Guaranty's excess of loss reinsurance coverages and retentions as of June 30,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35"/>
              <w:spacing w:after="0"/>
              <w:rPr>
                <w:sz w:val="20"/>
                <w:szCs w:val="20"/>
                <w:color w:val="auto"/>
              </w:rPr>
            </w:pPr>
            <w:r>
              <w:rPr>
                <w:rFonts w:ascii="Arial" w:cs="Arial" w:eastAsia="Arial" w:hAnsi="Arial"/>
                <w:sz w:val="14"/>
                <w:szCs w:val="14"/>
                <w:b w:val="1"/>
                <w:bCs w:val="1"/>
                <w:color w:val="auto"/>
              </w:rPr>
              <w:t>Remaining</w:t>
            </w: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7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4"/>
                <w:szCs w:val="14"/>
                <w:b w:val="1"/>
                <w:bCs w:val="1"/>
                <w:color w:val="auto"/>
              </w:rPr>
              <w:t>Reinsurance in Force</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3"/>
          </w:tcPr>
          <w:p>
            <w:pPr>
              <w:jc w:val="center"/>
              <w:ind w:right="360"/>
              <w:spacing w:after="0" w:line="118" w:lineRule="exact"/>
              <w:rPr>
                <w:sz w:val="20"/>
                <w:szCs w:val="20"/>
                <w:color w:val="auto"/>
              </w:rPr>
            </w:pPr>
            <w:r>
              <w:rPr>
                <w:rFonts w:ascii="Arial" w:cs="Arial" w:eastAsia="Arial" w:hAnsi="Arial"/>
                <w:sz w:val="13"/>
                <w:szCs w:val="13"/>
                <w:b w:val="1"/>
                <w:bCs w:val="1"/>
                <w:color w:val="auto"/>
              </w:rPr>
              <w:t>Remaining</w:t>
            </w:r>
          </w:p>
        </w:tc>
        <w:tc>
          <w:tcPr>
            <w:tcW w:w="240" w:type="dxa"/>
            <w:vAlign w:val="bottom"/>
          </w:tcPr>
          <w:p>
            <w:pPr>
              <w:spacing w:after="0"/>
              <w:rPr>
                <w:sz w:val="10"/>
                <w:szCs w:val="10"/>
                <w:color w:val="auto"/>
              </w:rPr>
            </w:pPr>
          </w:p>
        </w:tc>
        <w:tc>
          <w:tcPr>
            <w:tcW w:w="1300" w:type="dxa"/>
            <w:vAlign w:val="bottom"/>
            <w:gridSpan w:val="2"/>
          </w:tcPr>
          <w:p>
            <w:pPr>
              <w:jc w:val="center"/>
              <w:ind w:right="340"/>
              <w:spacing w:after="0" w:line="118" w:lineRule="exact"/>
              <w:rPr>
                <w:sz w:val="20"/>
                <w:szCs w:val="20"/>
                <w:color w:val="auto"/>
              </w:rPr>
            </w:pPr>
            <w:r>
              <w:rPr>
                <w:rFonts w:ascii="Arial" w:cs="Arial" w:eastAsia="Arial" w:hAnsi="Arial"/>
                <w:sz w:val="13"/>
                <w:szCs w:val="13"/>
                <w:b w:val="1"/>
                <w:bCs w:val="1"/>
                <w:color w:val="auto"/>
              </w:rPr>
              <w:t>Remaining</w:t>
            </w: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jc w:val="center"/>
              <w:ind w:right="156"/>
              <w:spacing w:after="0" w:line="118" w:lineRule="exact"/>
              <w:rPr>
                <w:sz w:val="20"/>
                <w:szCs w:val="20"/>
                <w:color w:val="auto"/>
              </w:rPr>
            </w:pPr>
            <w:r>
              <w:rPr>
                <w:rFonts w:ascii="Arial" w:cs="Arial" w:eastAsia="Arial" w:hAnsi="Arial"/>
                <w:sz w:val="13"/>
                <w:szCs w:val="13"/>
                <w:b w:val="1"/>
                <w:bCs w:val="1"/>
                <w:color w:val="auto"/>
              </w:rPr>
              <w:t>Remaining</w:t>
            </w:r>
          </w:p>
        </w:tc>
        <w:tc>
          <w:tcPr>
            <w:tcW w:w="0" w:type="dxa"/>
            <w:vAlign w:val="bottom"/>
          </w:tcPr>
          <w:p>
            <w:pPr>
              <w:spacing w:after="0"/>
              <w:rPr>
                <w:sz w:val="1"/>
                <w:szCs w:val="1"/>
                <w:color w:val="auto"/>
              </w:rPr>
            </w:pPr>
          </w:p>
        </w:tc>
      </w:tr>
      <w:tr>
        <w:trPr>
          <w:trHeight w:val="135"/>
        </w:trPr>
        <w:tc>
          <w:tcPr>
            <w:tcW w:w="17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Vintage Year</w:t>
            </w:r>
          </w:p>
        </w:tc>
        <w:tc>
          <w:tcPr>
            <w:tcW w:w="240" w:type="dxa"/>
            <w:vAlign w:val="bottom"/>
          </w:tcPr>
          <w:p>
            <w:pPr>
              <w:spacing w:after="0"/>
              <w:rPr>
                <w:sz w:val="11"/>
                <w:szCs w:val="11"/>
                <w:color w:val="auto"/>
              </w:rPr>
            </w:pPr>
          </w:p>
        </w:tc>
        <w:tc>
          <w:tcPr>
            <w:tcW w:w="132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Insurance</w:t>
            </w:r>
          </w:p>
        </w:tc>
        <w:tc>
          <w:tcPr>
            <w:tcW w:w="24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Risk</w:t>
            </w:r>
          </w:p>
        </w:tc>
        <w:tc>
          <w:tcPr>
            <w:tcW w:w="340" w:type="dxa"/>
            <w:vAlign w:val="bottom"/>
          </w:tcPr>
          <w:p>
            <w:pPr>
              <w:spacing w:after="0"/>
              <w:rPr>
                <w:sz w:val="11"/>
                <w:szCs w:val="11"/>
                <w:color w:val="auto"/>
              </w:rPr>
            </w:pPr>
          </w:p>
        </w:tc>
        <w:tc>
          <w:tcPr>
            <w:tcW w:w="110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ILN</w:t>
            </w:r>
          </w:p>
        </w:tc>
        <w:tc>
          <w:tcPr>
            <w:tcW w:w="200" w:type="dxa"/>
            <w:vAlign w:val="bottom"/>
          </w:tcPr>
          <w:p>
            <w:pPr>
              <w:spacing w:after="0"/>
              <w:rPr>
                <w:sz w:val="11"/>
                <w:szCs w:val="11"/>
                <w:color w:val="auto"/>
              </w:rPr>
            </w:pPr>
          </w:p>
        </w:tc>
        <w:tc>
          <w:tcPr>
            <w:tcW w:w="126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0"/>
              </w:rPr>
              <w:t>Other Reinsurance</w:t>
            </w:r>
          </w:p>
        </w:tc>
        <w:tc>
          <w:tcPr>
            <w:tcW w:w="880" w:type="dxa"/>
            <w:vAlign w:val="bottom"/>
          </w:tcPr>
          <w:p>
            <w:pPr>
              <w:spacing w:after="0"/>
              <w:rPr>
                <w:sz w:val="11"/>
                <w:szCs w:val="11"/>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200" w:type="dxa"/>
            <w:vAlign w:val="bottom"/>
          </w:tcPr>
          <w:p>
            <w:pPr>
              <w:jc w:val="center"/>
              <w:ind w:right="176"/>
              <w:spacing w:after="0" w:line="135" w:lineRule="exact"/>
              <w:rPr>
                <w:sz w:val="20"/>
                <w:szCs w:val="20"/>
                <w:color w:val="auto"/>
              </w:rPr>
            </w:pPr>
            <w:r>
              <w:rPr>
                <w:rFonts w:ascii="Arial" w:cs="Arial" w:eastAsia="Arial" w:hAnsi="Arial"/>
                <w:sz w:val="14"/>
                <w:szCs w:val="14"/>
                <w:b w:val="1"/>
                <w:bCs w:val="1"/>
                <w:color w:val="auto"/>
                <w:w w:val="97"/>
              </w:rPr>
              <w:t>First Layer</w:t>
            </w:r>
          </w:p>
        </w:tc>
        <w:tc>
          <w:tcPr>
            <w:tcW w:w="0" w:type="dxa"/>
            <w:vAlign w:val="bottom"/>
          </w:tcPr>
          <w:p>
            <w:pPr>
              <w:spacing w:after="0"/>
              <w:rPr>
                <w:sz w:val="1"/>
                <w:szCs w:val="1"/>
                <w:color w:val="auto"/>
              </w:rPr>
            </w:pPr>
          </w:p>
        </w:tc>
      </w:tr>
      <w:tr>
        <w:trPr>
          <w:trHeight w:val="188"/>
        </w:trPr>
        <w:tc>
          <w:tcPr>
            <w:tcW w:w="17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in Force</w:t>
            </w: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Force</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6"/>
              <w:spacing w:after="0"/>
              <w:rPr>
                <w:sz w:val="20"/>
                <w:szCs w:val="20"/>
                <w:color w:val="auto"/>
              </w:rPr>
            </w:pPr>
            <w:r>
              <w:rPr>
                <w:rFonts w:ascii="Arial" w:cs="Arial" w:eastAsia="Arial" w:hAnsi="Arial"/>
                <w:sz w:val="14"/>
                <w:szCs w:val="14"/>
                <w:b w:val="1"/>
                <w:bCs w:val="1"/>
                <w:color w:val="auto"/>
                <w:w w:val="92"/>
              </w:rPr>
              <w:t>Retention</w:t>
            </w:r>
          </w:p>
        </w:tc>
        <w:tc>
          <w:tcPr>
            <w:tcW w:w="0" w:type="dxa"/>
            <w:vAlign w:val="bottom"/>
          </w:tcPr>
          <w:p>
            <w:pPr>
              <w:spacing w:after="0"/>
              <w:rPr>
                <w:sz w:val="1"/>
                <w:szCs w:val="1"/>
                <w:color w:val="auto"/>
              </w:rPr>
            </w:pPr>
          </w:p>
        </w:tc>
      </w:tr>
      <w:tr>
        <w:trPr>
          <w:trHeight w:val="224"/>
        </w:trPr>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2015 &amp; 2016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12,018,660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3,243,956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216,480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216,480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207,359</w:t>
            </w: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11,155,879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2,865,141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242,123</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165,167</w:t>
            </w:r>
          </w:p>
        </w:tc>
        <w:tc>
          <w:tcPr>
            <w:tcW w:w="880" w:type="dxa"/>
            <w:vAlign w:val="bottom"/>
          </w:tcPr>
          <w:p>
            <w:pPr>
              <w:jc w:val="right"/>
              <w:ind w:right="530"/>
              <w:spacing w:after="0"/>
              <w:rPr>
                <w:sz w:val="20"/>
                <w:szCs w:val="20"/>
                <w:color w:val="auto"/>
              </w:rPr>
            </w:pPr>
            <w:r>
              <w:rPr>
                <w:rFonts w:ascii="Arial" w:cs="Arial" w:eastAsia="Arial" w:hAnsi="Arial"/>
                <w:sz w:val="18"/>
                <w:szCs w:val="18"/>
                <w:b w:val="1"/>
                <w:bCs w:val="1"/>
                <w:color w:val="auto"/>
              </w:rPr>
              <w:t>(6)</w:t>
            </w:r>
          </w:p>
        </w:tc>
        <w:tc>
          <w:tcPr>
            <w:tcW w:w="1080" w:type="dxa"/>
            <w:vAlign w:val="bottom"/>
          </w:tcPr>
          <w:p>
            <w:pPr>
              <w:jc w:val="right"/>
              <w:spacing w:after="0"/>
              <w:rPr>
                <w:sz w:val="20"/>
                <w:szCs w:val="20"/>
                <w:color w:val="auto"/>
              </w:rPr>
            </w:pPr>
            <w:r>
              <w:rPr>
                <w:rFonts w:ascii="Arial" w:cs="Arial" w:eastAsia="Arial" w:hAnsi="Arial"/>
                <w:sz w:val="18"/>
                <w:szCs w:val="18"/>
                <w:color w:val="auto"/>
              </w:rPr>
              <w:t>407,290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217,930</w:t>
            </w: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12,752,743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3,245,746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325,537</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76,144</w:t>
            </w:r>
          </w:p>
        </w:tc>
        <w:tc>
          <w:tcPr>
            <w:tcW w:w="8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249,912</w:t>
            </w:r>
          </w:p>
        </w:tc>
        <w:tc>
          <w:tcPr>
            <w:tcW w:w="0" w:type="dxa"/>
            <w:vAlign w:val="bottom"/>
          </w:tcPr>
          <w:p>
            <w:pPr>
              <w:spacing w:after="0"/>
              <w:rPr>
                <w:sz w:val="1"/>
                <w:szCs w:val="1"/>
                <w:color w:val="auto"/>
              </w:rPr>
            </w:pPr>
          </w:p>
        </w:tc>
      </w:tr>
      <w:tr>
        <w:trPr>
          <w:trHeight w:val="229"/>
        </w:trPr>
        <w:tc>
          <w:tcPr>
            <w:tcW w:w="1620" w:type="dxa"/>
            <w:vAlign w:val="bottom"/>
          </w:tcPr>
          <w:p>
            <w:pPr>
              <w:jc w:val="center"/>
              <w:spacing w:after="0"/>
              <w:rPr>
                <w:sz w:val="20"/>
                <w:szCs w:val="20"/>
                <w:color w:val="auto"/>
              </w:rPr>
            </w:pPr>
            <w:r>
              <w:rPr>
                <w:rFonts w:ascii="Arial" w:cs="Arial" w:eastAsia="Arial" w:hAnsi="Arial"/>
                <w:sz w:val="18"/>
                <w:szCs w:val="18"/>
                <w:color w:val="auto"/>
                <w:w w:val="92"/>
              </w:rPr>
              <w:t xml:space="preserve">2019 </w:t>
            </w:r>
            <w:r>
              <w:rPr>
                <w:rFonts w:ascii="Arial" w:cs="Arial" w:eastAsia="Arial" w:hAnsi="Arial"/>
                <w:sz w:val="18"/>
                <w:szCs w:val="18"/>
                <w:b w:val="1"/>
                <w:bCs w:val="1"/>
                <w:color w:val="auto"/>
                <w:w w:val="92"/>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15,581,172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3,979,796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495,889</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55,102</w:t>
            </w:r>
          </w:p>
        </w:tc>
        <w:tc>
          <w:tcPr>
            <w:tcW w:w="880" w:type="dxa"/>
            <w:vAlign w:val="bottom"/>
          </w:tcPr>
          <w:p>
            <w:pPr>
              <w:jc w:val="right"/>
              <w:ind w:right="530"/>
              <w:spacing w:after="0"/>
              <w:rPr>
                <w:sz w:val="20"/>
                <w:szCs w:val="20"/>
                <w:color w:val="auto"/>
              </w:rPr>
            </w:pPr>
            <w:r>
              <w:rPr>
                <w:rFonts w:ascii="Arial" w:cs="Arial" w:eastAsia="Arial" w:hAnsi="Arial"/>
                <w:sz w:val="18"/>
                <w:szCs w:val="18"/>
                <w:b w:val="1"/>
                <w:bCs w:val="1"/>
                <w:color w:val="auto"/>
              </w:rPr>
              <w:t>(8)</w:t>
            </w:r>
          </w:p>
        </w:tc>
        <w:tc>
          <w:tcPr>
            <w:tcW w:w="1080" w:type="dxa"/>
            <w:vAlign w:val="bottom"/>
          </w:tcPr>
          <w:p>
            <w:pPr>
              <w:jc w:val="right"/>
              <w:spacing w:after="0"/>
              <w:rPr>
                <w:sz w:val="20"/>
                <w:szCs w:val="20"/>
                <w:color w:val="auto"/>
              </w:rPr>
            </w:pPr>
            <w:r>
              <w:rPr>
                <w:rFonts w:ascii="Arial" w:cs="Arial" w:eastAsia="Arial" w:hAnsi="Arial"/>
                <w:sz w:val="18"/>
                <w:szCs w:val="18"/>
                <w:color w:val="auto"/>
              </w:rPr>
              <w:t>550,991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215,282</w:t>
            </w: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xml:space="preserve">2019 &amp; 2020 </w:t>
            </w:r>
            <w:r>
              <w:rPr>
                <w:rFonts w:ascii="Arial" w:cs="Arial" w:eastAsia="Arial" w:hAnsi="Arial"/>
                <w:sz w:val="18"/>
                <w:szCs w:val="18"/>
                <w:b w:val="1"/>
                <w:bCs w:val="1"/>
                <w:color w:val="auto"/>
                <w:w w:val="94"/>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39,400,549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9,903,301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313,772</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465,690</w:t>
            </w:r>
          </w:p>
        </w:tc>
        <w:tc>
          <w:tcPr>
            <w:tcW w:w="0" w:type="dxa"/>
            <w:vAlign w:val="bottom"/>
          </w:tcPr>
          <w:p>
            <w:pPr>
              <w:spacing w:after="0"/>
              <w:rPr>
                <w:sz w:val="1"/>
                <w:szCs w:val="1"/>
                <w:color w:val="auto"/>
              </w:rPr>
            </w:pPr>
          </w:p>
        </w:tc>
      </w:tr>
      <w:tr>
        <w:trPr>
          <w:trHeight w:val="229"/>
        </w:trPr>
        <w:tc>
          <w:tcPr>
            <w:tcW w:w="16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 xml:space="preserve">2020 &amp; 2021 </w:t>
            </w:r>
            <w:r>
              <w:rPr>
                <w:rFonts w:ascii="Arial" w:cs="Arial" w:eastAsia="Arial" w:hAnsi="Arial"/>
                <w:sz w:val="18"/>
                <w:szCs w:val="18"/>
                <w:b w:val="1"/>
                <w:bCs w:val="1"/>
                <w:color w:val="auto"/>
                <w:w w:val="94"/>
              </w:rPr>
              <w:t>(5)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56,303,818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13,658,801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557,911</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557,911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278,956</w:t>
            </w:r>
          </w:p>
        </w:tc>
        <w:tc>
          <w:tcPr>
            <w:tcW w:w="0" w:type="dxa"/>
            <w:vAlign w:val="bottom"/>
          </w:tcPr>
          <w:p>
            <w:pPr>
              <w:spacing w:after="0"/>
              <w:rPr>
                <w:sz w:val="1"/>
                <w:szCs w:val="1"/>
                <w:color w:val="auto"/>
              </w:rPr>
            </w:pPr>
          </w:p>
        </w:tc>
      </w:tr>
      <w:tr>
        <w:trPr>
          <w:trHeight w:val="248"/>
        </w:trPr>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147,212,821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36,896,741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2,151,712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296,413</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2,448,125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1,635,129</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Reinsurance coverage on new insurance written from January 1, 2019 through August 31, 2019.</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Reinsurance coverage on new insurance written from September 1, 2019 through July 31, 2020.</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Reinsurance coverage on new insurance written from August 1, 2020 through March 31, 2021.</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provided immediately above the coverage provided by Radnor Re 2018-1 Ltd.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provided pari-passu to the coverage provided by Radnor Re 2019-1 Ltd.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provided pari-passu to the coverage provided by Radnor Re 2020-1 Ltd.</w:t>
      </w:r>
    </w:p>
    <w:p>
      <w:pPr>
        <w:spacing w:after="0" w:line="238" w:lineRule="exact"/>
        <w:rPr>
          <w:sz w:val="20"/>
          <w:szCs w:val="20"/>
          <w:color w:val="auto"/>
        </w:rPr>
      </w:pPr>
    </w:p>
    <w:p>
      <w:pPr>
        <w:ind w:right="180" w:firstLine="180"/>
        <w:spacing w:after="0" w:line="286" w:lineRule="auto"/>
        <w:rPr>
          <w:sz w:val="20"/>
          <w:szCs w:val="20"/>
          <w:color w:val="auto"/>
        </w:rPr>
      </w:pPr>
      <w:r>
        <w:rPr>
          <w:rFonts w:ascii="Arial" w:cs="Arial" w:eastAsia="Arial" w:hAnsi="Arial"/>
          <w:sz w:val="17"/>
          <w:szCs w:val="17"/>
          <w:color w:val="auto"/>
        </w:rPr>
        <w:t>Based on the level of delinquencies reported to us, the ILN transactions entered into prior to March 31, 2020 became subject to a "trigger event" as of June 25, 2020. The amortization of principal of the notes issued by the unaffiliated special purpose insurers in connection with the ILNs is suspended and the aggregate excess of loss reinsurance coverage will not amortize during the continuation of a trigger event.</w:t>
      </w:r>
    </w:p>
    <w:p>
      <w:pPr>
        <w:spacing w:after="0" w:line="19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amount of monthly reinsurance premium ceded to the Radnor Re entities will fluctuate due to changes in one-month LIBOR or SOFR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w:t>
      </w:r>
    </w:p>
    <w:p>
      <w:pPr>
        <w:spacing w:after="0" w:line="21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following table presents total assets of each Radnor Re special purpose insurer as well as our maximum exposure to loss associated with each Radnor Re entity, representing the fair value of the embedded derivative, using observable inputs in active markets (Level 2), included in other assets (other accrued liabilities) on our condensed consolidated balance sheet and the estimated net present value of investment earnings on the assets in the reinsurance trust, each as of June 30, 2021: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Maximum Exposure to Loss</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8"/>
        </w:trPr>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VIE Assets</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On - Balance Sheet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Off - Balance Sheet</w:t>
            </w:r>
          </w:p>
        </w:tc>
        <w:tc>
          <w:tcPr>
            <w:tcW w:w="400" w:type="dxa"/>
            <w:vAlign w:val="bottom"/>
          </w:tcPr>
          <w:p>
            <w:pPr>
              <w:spacing w:after="0"/>
              <w:rPr>
                <w:sz w:val="16"/>
                <w:szCs w:val="16"/>
                <w:color w:val="auto"/>
              </w:rPr>
            </w:pPr>
          </w:p>
        </w:tc>
        <w:tc>
          <w:tcPr>
            <w:tcW w:w="1260" w:type="dxa"/>
            <w:vAlign w:val="bottom"/>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224"/>
        </w:trPr>
        <w:tc>
          <w:tcPr>
            <w:tcW w:w="4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Radnor Re 2018-1 Ltd.</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242,123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29"/>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Radnor Re 2019-1 Ltd.</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325,537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(1,935)</w:t>
            </w:r>
          </w:p>
        </w:tc>
      </w:tr>
      <w:tr>
        <w:trPr>
          <w:trHeight w:val="230"/>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Radnor Re 2019-2 Ltd.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r>
      <w:tr>
        <w:trPr>
          <w:trHeight w:val="229"/>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Radnor Re 2020-1 Ltd.</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495,889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30"/>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Radnor Re 2020-2 Ltd.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4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Radnor Re 2021-1 Ltd.</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557,911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48"/>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2,151,712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Reserve for Losses and Loss Adjustment Expenses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six months ended June 30:</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Arial" w:cs="Arial" w:eastAsia="Arial" w:hAnsi="Arial"/>
                <w:sz w:val="14"/>
                <w:szCs w:val="14"/>
                <w:b w:val="1"/>
                <w:bCs w:val="1"/>
                <w:color w:val="auto"/>
              </w:rPr>
              <w:t>2020</w:t>
            </w:r>
          </w:p>
        </w:tc>
      </w:tr>
      <w:tr>
        <w:trPr>
          <w:trHeight w:val="229"/>
        </w:trPr>
        <w:tc>
          <w:tcPr>
            <w:tcW w:w="7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Reserve for losses and LAE at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374,941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69,362</w:t>
            </w:r>
          </w:p>
        </w:tc>
      </w:tr>
      <w:tr>
        <w:trPr>
          <w:trHeight w:val="230"/>
        </w:trPr>
        <w:tc>
          <w:tcPr>
            <w:tcW w:w="7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Reinsurance recoverables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reserve for losses and LAE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69,291</w:t>
            </w:r>
          </w:p>
        </w:tc>
      </w:tr>
      <w:tr>
        <w:trPr>
          <w:trHeight w:val="21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Add provision for losses and LAE, net of reinsurance, occurring in:</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period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197,195</w:t>
            </w:r>
          </w:p>
        </w:tc>
      </w:tr>
      <w:tr>
        <w:trPr>
          <w:trHeight w:val="229"/>
        </w:trPr>
        <w:tc>
          <w:tcPr>
            <w:tcW w:w="78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Prior years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(13,255)</w:t>
            </w:r>
          </w:p>
        </w:tc>
      </w:tr>
      <w:tr>
        <w:trPr>
          <w:trHeight w:val="223"/>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incurred losses and LAE during the current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183,940</w:t>
            </w:r>
          </w:p>
        </w:tc>
      </w:tr>
      <w:tr>
        <w:trPr>
          <w:trHeight w:val="209"/>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period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78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Prior years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9,813</w:t>
            </w:r>
          </w:p>
        </w:tc>
      </w:tr>
      <w:tr>
        <w:trPr>
          <w:trHeight w:val="223"/>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and LAE payments during the current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10,102</w:t>
            </w:r>
          </w:p>
        </w:tc>
      </w:tr>
      <w:tr>
        <w:trPr>
          <w:trHeight w:val="22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Net reserve for losses and LAE at end of period</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394,586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243,129</w:t>
            </w:r>
          </w:p>
        </w:tc>
      </w:tr>
      <w:tr>
        <w:trPr>
          <w:trHeight w:val="230"/>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Plus: Reinsurance recoverables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7,761</w:t>
            </w:r>
          </w:p>
        </w:tc>
      </w:tr>
      <w:tr>
        <w:trPr>
          <w:trHeight w:val="22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Reserve for losses and LAE at end of period</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421,872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250,890</w:t>
            </w:r>
          </w:p>
        </w:tc>
      </w:tr>
      <w:tr>
        <w:trPr>
          <w:trHeight w:val="20"/>
        </w:trPr>
        <w:tc>
          <w:tcPr>
            <w:tcW w:w="7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the six months ended June 30, 2021, $3.1 million was paid for incurred claims and claim adjustment expenses attributable to insured events of prior years. There has been a $30.6 million favorable prior year development during the six months ended June 30, 2021. Reserves remaining as of June 30, 2021 for prior years are $322.1 million as a result of re-estimation of unpaid losses and loss adjustment expenses. For the six months ended June 30, 2020, $9.8 million was paid for incurred claims and claim adjustment expenses attributable to insured events of prior years. There was a $13.3 million favorable prior year development during the six months ended June 30, 2020. Reserves remaining as of June 30, 2020 for prior years were $46.2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192" w:lineRule="exact"/>
        <w:rPr>
          <w:sz w:val="20"/>
          <w:szCs w:val="20"/>
          <w:color w:val="auto"/>
        </w:rPr>
      </w:pPr>
    </w:p>
    <w:p>
      <w:pPr>
        <w:ind w:right="80" w:firstLine="180"/>
        <w:spacing w:after="0" w:line="259" w:lineRule="auto"/>
        <w:rPr>
          <w:sz w:val="20"/>
          <w:szCs w:val="20"/>
          <w:color w:val="auto"/>
        </w:rPr>
      </w:pPr>
      <w:r>
        <w:rPr>
          <w:rFonts w:ascii="Arial" w:cs="Arial" w:eastAsia="Arial" w:hAnsi="Arial"/>
          <w:sz w:val="18"/>
          <w:szCs w:val="18"/>
          <w:color w:val="auto"/>
        </w:rPr>
        <w:t>Due to business restrictions, stay-at-home orders and travel restrictions initially implemented in March 2020 as a result of COVID-19, unemployment in the United States increased significantly in the second quarter of 2020 and remained elevated at June 30, 2021. As unemployment is one of the most common reasons for borrowers to default on their mortgage, the increase in unemployment has increased the number of delinquencies on the mortgages that we insure and has the potential to increase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claim frequencies on defaults. As of June 30, 2021, insured loans in default totaled 23,504 and included 21,648 defaults classified as COVID-19 defaults. For borrowers that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 Based on the forbearance programs in place and the credit characteristics of the defaulted loans, we expect the ultimate number of COVID-19-related defaults notices received in April 2020 through September 2020 ("Early COVID Defaults") that result in claims will be less than our historical default-to-claim experience. Accordingly, we recorded a reserve equal to approximately 7% of the risk in force for the Early COVID Defaults. We have not adjusted the loss reserves associated with the Early COVID Defaults as we continue to believe that these reserves represent the best estimate of the ultimate loss. The credit characteristics of defaults reported in October 2020 through June 2021 have trended towards those of the pre-pandemic periods and we have observed the normalization of other default patterns during this period. In addition, beginning in the fourth quarter of 2020 we observed a normalization of the proportion of unemployment claims related to permanent layoffs as compared to a higher proportion of temporary layoffs during the second and third quarters of 2020. We believe that while defaults in October 2020 through June 2021 were impacted by the pandemic's effect on the economy, the underlying credit performance of these defaults may not be the same as the expected performance for the Early COVID Defaults that occurred following the onset of the pandemic and defaults after September 30, 2020 are more likely to transition like pre-pandemic defaults. Accordingly, beginning in the fourth quarter of 2020, we resumed establishing reserves for defaults reported after September 30, 2020 using our normal reserve methodology. The reserve for losses and LAE on COVID-19 defaults was $380.7 million at June 30, 2021 and includes $244.0 million of reserves for Early COVID Defaults. It is reasonably possible that our estimate of the losses for the COVID-19 defaults could change in the near term as a result of the continued impact of the pandemic on the economic environment, the results of existing and future governmental programs designed to assist individuals and businesses impacted by the virus and the performance of the COVID-19 defaults in the forbearance programs. A 100 basis point increase or decrease in the reserve rate applied to Early COVID Defaults would result in a corresponding increase or decrease in our reserve for losses and LAE of approximately $35 million as of June 30, 2021. The impact on our reserves in future periods will be dependent upon the amount of delinquent notices received from loan servicers, the performance of COVID-19 defaults and our expectations for the amount of ultimate losses on these delinquencies.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25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Essent Group and its subsidiaries, Essent Irish Intermediate Holdings Limited and Essent US Holdings, Inc. (collectively, the "Borrowers"), are parties to a secured credit facility (the “Credit Facility”) with committed capacity of $625 million. The Credit Facility provides for a $300 million revolving credit facility and $325 million of term loans. The Credit Facility also provides an option to increase the capacity to $775 million.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annual commitment fee rate at June 30, 2021 was 0.35%.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14). The borrowings under the Credit Facility contractually mature on October 16, 2023. As of June 30, 2021, the Company was in compliance with the covenants and $325 million had been borrowed under the Credit Facility with a weighted average interest rate of 2.13%. As of December 31, 2020, $325 million had been borrowed with a weighted average interest rate of 2.19%.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loan. The indemnification may be in the form of monetary or other remedies. We paid less than $0.1 million related to remedies for each of the six months ended June 30, 2021 and 2020. As of June 30, 2021, management believes any potential claims for indemnification related to contract underwriting services through June 30, 2021 are not material to our consolidated financial position or results of operations.</w:t>
      </w:r>
    </w:p>
    <w:p>
      <w:pPr>
        <w:spacing w:after="0" w:line="16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June 30, 2021,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29" w:lineRule="exact"/>
        <w:rPr>
          <w:sz w:val="20"/>
          <w:szCs w:val="20"/>
          <w:color w:val="auto"/>
        </w:rPr>
      </w:pPr>
    </w:p>
    <w:p>
      <w:pPr>
        <w:ind w:right="160" w:firstLine="648"/>
        <w:spacing w:after="0" w:line="285" w:lineRule="auto"/>
        <w:rPr>
          <w:sz w:val="20"/>
          <w:szCs w:val="20"/>
          <w:color w:val="auto"/>
        </w:rPr>
      </w:pPr>
      <w:r>
        <w:rPr>
          <w:rFonts w:ascii="Arial" w:cs="Arial" w:eastAsia="Arial" w:hAnsi="Arial"/>
          <w:sz w:val="16"/>
          <w:szCs w:val="16"/>
          <w:color w:val="auto"/>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w:t>
      </w:r>
    </w:p>
    <w:p>
      <w:pPr>
        <w:spacing w:after="0" w:line="2"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amounts declared and paid per common share each quarter:</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14"/>
                <w:szCs w:val="14"/>
                <w:color w:val="auto"/>
              </w:rPr>
            </w:pPr>
          </w:p>
        </w:tc>
        <w:tc>
          <w:tcPr>
            <w:tcW w:w="1340" w:type="dxa"/>
            <w:vAlign w:val="bottom"/>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8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30"/>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June 30</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2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84"/>
        </w:trPr>
        <w:tc>
          <w:tcPr>
            <w:tcW w:w="20" w:type="dxa"/>
            <w:vAlign w:val="bottom"/>
            <w:tcBorders>
              <w:bottom w:val="single" w:sz="8" w:color="CCEEFF"/>
            </w:tcBorders>
          </w:tcPr>
          <w:p>
            <w:pPr>
              <w:spacing w:after="0"/>
              <w:rPr>
                <w:sz w:val="24"/>
                <w:szCs w:val="24"/>
                <w:color w:val="auto"/>
              </w:rPr>
            </w:pPr>
          </w:p>
        </w:tc>
        <w:tc>
          <w:tcPr>
            <w:tcW w:w="9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December 31</w:t>
            </w:r>
          </w:p>
        </w:tc>
        <w:tc>
          <w:tcPr>
            <w:tcW w:w="4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0.16</w:t>
            </w:r>
          </w:p>
        </w:tc>
      </w:tr>
      <w:tr>
        <w:trPr>
          <w:trHeight w:val="223"/>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Total dividends per common share declared and paid</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9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12"/>
                <w:szCs w:val="12"/>
                <w:color w:val="auto"/>
              </w:rPr>
            </w:pPr>
          </w:p>
        </w:tc>
        <w:tc>
          <w:tcPr>
            <w:tcW w:w="1340" w:type="dxa"/>
            <w:vAlign w:val="bottom"/>
          </w:tcPr>
          <w:p>
            <w:pPr>
              <w:jc w:val="right"/>
              <w:ind w:right="654"/>
              <w:spacing w:after="0" w:line="149" w:lineRule="exact"/>
              <w:rPr>
                <w:sz w:val="20"/>
                <w:szCs w:val="20"/>
                <w:color w:val="auto"/>
              </w:rPr>
            </w:pPr>
            <w:r>
              <w:rPr>
                <w:rFonts w:ascii="Arial" w:cs="Arial" w:eastAsia="Arial" w:hAnsi="Arial"/>
                <w:sz w:val="14"/>
                <w:szCs w:val="14"/>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8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83"/>
        </w:trPr>
        <w:tc>
          <w:tcPr>
            <w:tcW w:w="20" w:type="dxa"/>
            <w:vAlign w:val="bottom"/>
            <w:tcBorders>
              <w:bottom w:val="single" w:sz="8" w:color="CCEEFF"/>
            </w:tcBorders>
          </w:tcPr>
          <w:p>
            <w:pPr>
              <w:spacing w:after="0"/>
              <w:rPr>
                <w:sz w:val="24"/>
                <w:szCs w:val="24"/>
                <w:color w:val="auto"/>
              </w:rPr>
            </w:pPr>
          </w:p>
        </w:tc>
        <w:tc>
          <w:tcPr>
            <w:tcW w:w="9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June 30</w:t>
            </w:r>
          </w:p>
        </w:tc>
        <w:tc>
          <w:tcPr>
            <w:tcW w:w="4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0.17</w:t>
            </w:r>
          </w:p>
        </w:tc>
      </w:tr>
      <w:tr>
        <w:trPr>
          <w:trHeight w:val="223"/>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Total dividends per common share declared and paid</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In August 2021, the Board of Directors declared a quarterly cash dividend of $0.18 per common share payable on September 10, 2021, to shareholders of record on September 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5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May 2021, the Board of Directors approved a share repurchase plan that authorized the Company to repurchase $250 million of its common shares in the open market by the end of 2022. During the three months ended June 30, 2021, the Company repurchased 391,316 common shares at a cost of $18.4 million leaving $231.6 million remaining unused under the authorized repurchase plan as of June 30, 2021. The shares repurchased were recorded at cost and included in treasury stock. All treasury stock has been cancelled as of June 30, 2021.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29"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 xml:space="preserve">In connection with the IPO in 2013, Essent Group's Board of Directors adopted, and Essent Group's shareholders </w:t>
      </w:r>
      <w:r>
        <w:rPr>
          <w:rFonts w:ascii="Arial" w:cs="Arial" w:eastAsia="Arial" w:hAnsi="Arial"/>
          <w:sz w:val="17"/>
          <w:szCs w:val="17"/>
          <w:color w:val="242021"/>
        </w:rPr>
        <w:t>approved, the Essent Group Ltd.</w:t>
      </w:r>
      <w:r>
        <w:rPr>
          <w:rFonts w:ascii="Arial" w:cs="Arial" w:eastAsia="Arial" w:hAnsi="Arial"/>
          <w:sz w:val="17"/>
          <w:szCs w:val="17"/>
          <w:color w:val="auto"/>
        </w:rPr>
        <w:t xml:space="preserve"> </w:t>
      </w:r>
      <w:r>
        <w:rPr>
          <w:rFonts w:ascii="Arial" w:cs="Arial" w:eastAsia="Arial" w:hAnsi="Arial"/>
          <w:sz w:val="17"/>
          <w:szCs w:val="17"/>
          <w:color w:val="242021"/>
        </w:rPr>
        <w:t>2013 Long-Term Incentive Plan (the "2013 Plan"), which was effective upon completion of the initial public offering. The types of awards available under the 2013 Plan include nonvested shares, nonvested share units, non-</w:t>
      </w:r>
      <w:r>
        <w:rPr>
          <w:rFonts w:ascii="Arial" w:cs="Arial" w:eastAsia="Arial" w:hAnsi="Arial"/>
          <w:sz w:val="17"/>
          <w:szCs w:val="17"/>
          <w:color w:val="000000"/>
        </w:rPr>
        <w:t>qualified share options, incentive stock options, share appreciation rights, and other</w:t>
      </w:r>
      <w:r>
        <w:rPr>
          <w:rFonts w:ascii="Arial" w:cs="Arial" w:eastAsia="Arial" w:hAnsi="Arial"/>
          <w:sz w:val="17"/>
          <w:szCs w:val="17"/>
          <w:color w:val="242021"/>
        </w:rPr>
        <w:t xml:space="preserve"> </w:t>
      </w:r>
      <w:r>
        <w:rPr>
          <w:rFonts w:ascii="Arial" w:cs="Arial" w:eastAsia="Arial" w:hAnsi="Arial"/>
          <w:sz w:val="17"/>
          <w:szCs w:val="17"/>
          <w:color w:val="000000"/>
        </w:rPr>
        <w:t>share-based or cash-based awards. Nonvested shares and nonvested share units granted under the 2013 Plan have rights to dividends, which entitle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nonvested common share, nonvested common share unit and DEU activity for the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Time and Performance-</w:t>
            </w:r>
          </w:p>
        </w:tc>
        <w:tc>
          <w:tcPr>
            <w:tcW w:w="21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Time-Based</w:t>
            </w:r>
          </w:p>
        </w:tc>
        <w:tc>
          <w:tcPr>
            <w:tcW w:w="210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Share Units</w:t>
            </w: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DEUs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Based Share Awards</w:t>
            </w:r>
          </w:p>
        </w:tc>
        <w:tc>
          <w:tcPr>
            <w:tcW w:w="21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Share Awards</w:t>
            </w:r>
          </w:p>
        </w:tc>
        <w:tc>
          <w:tcPr>
            <w:tcW w:w="2100" w:type="dxa"/>
            <w:vAlign w:val="bottom"/>
            <w:gridSpan w:val="5"/>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38"/>
              <w:spacing w:after="0" w:line="130" w:lineRule="exact"/>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1"/>
                <w:szCs w:val="11"/>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Dividend</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38"/>
              <w:spacing w:after="0" w:line="130"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1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Grant Date</w:t>
            </w:r>
          </w:p>
        </w:tc>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Grant Date</w:t>
            </w: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7"/>
              </w:rPr>
              <w:t>Grant Date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Equivalent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18"/>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2820" w:type="dxa"/>
            <w:vAlign w:val="bottom"/>
            <w:gridSpan w:val="2"/>
            <w:vMerge w:val="continue"/>
          </w:tcPr>
          <w:p>
            <w:pPr>
              <w:spacing w:after="0"/>
              <w:rPr>
                <w:sz w:val="16"/>
                <w:szCs w:val="16"/>
                <w:color w:val="auto"/>
              </w:rPr>
            </w:pPr>
          </w:p>
        </w:tc>
        <w:tc>
          <w:tcPr>
            <w:tcW w:w="960" w:type="dxa"/>
            <w:vAlign w:val="bottom"/>
          </w:tcPr>
          <w:p>
            <w:pPr>
              <w:jc w:val="right"/>
              <w:ind w:right="19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960" w:type="dxa"/>
            <w:vAlign w:val="bottom"/>
          </w:tcPr>
          <w:p>
            <w:pPr>
              <w:jc w:val="right"/>
              <w:ind w:right="19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960" w:type="dxa"/>
            <w:vAlign w:val="bottom"/>
          </w:tcPr>
          <w:p>
            <w:pPr>
              <w:jc w:val="right"/>
              <w:ind w:right="57"/>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3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3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15.64</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43.67</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46.01</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50.54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June 30, 2021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February 2021, certain members of senior management were granted nonvested common shares under the Essent Group Ltd. 2013 Long-Term Incentive Plan ("2013 Plan") that were subject to time-based and performance-based vesting. The time-based share awards granted in February 2021 vest in three equal installments on March 1, 2022, 2023 and 2024. The performance-based share awards granted in February 2021 vest based upon our compounded annual book value per share growth percentage and relative total shareholder return during a three-year performance period that commenced on January 1, 2021 and vest on March 1, 2024. Shares were issued at the maximum 200% of target. The portion of these nonvested performance-based share awards that will be earned is as follows: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0" w:lineRule="exact"/>
        <w:rPr>
          <w:sz w:val="20"/>
          <w:szCs w:val="20"/>
          <w:color w:val="auto"/>
        </w:rPr>
      </w:pPr>
    </w:p>
    <w:p>
      <w:pPr>
        <w:jc w:val="center"/>
        <w:ind w:left="4180"/>
        <w:spacing w:after="0"/>
        <w:rPr>
          <w:sz w:val="20"/>
          <w:szCs w:val="20"/>
          <w:color w:val="auto"/>
        </w:rPr>
      </w:pPr>
      <w:r>
        <w:rPr>
          <w:rFonts w:ascii="Arial" w:cs="Arial" w:eastAsia="Arial" w:hAnsi="Arial"/>
          <w:sz w:val="18"/>
          <w:szCs w:val="18"/>
          <w:b w:val="1"/>
          <w:bCs w:val="1"/>
          <w:color w:val="auto"/>
        </w:rPr>
        <w:t>Relative Total Shareholder Return</w:t>
      </w:r>
    </w:p>
    <w:p>
      <w:pPr>
        <w:jc w:val="center"/>
        <w:ind w:left="4180"/>
        <w:spacing w:after="0"/>
        <w:rPr>
          <w:sz w:val="20"/>
          <w:szCs w:val="20"/>
          <w:color w:val="auto"/>
        </w:rPr>
      </w:pPr>
      <w:r>
        <w:rPr>
          <w:rFonts w:ascii="Arial" w:cs="Arial" w:eastAsia="Arial" w:hAnsi="Arial"/>
          <w:sz w:val="18"/>
          <w:szCs w:val="18"/>
          <w:b w:val="1"/>
          <w:bCs w:val="1"/>
          <w:color w:val="auto"/>
        </w:rPr>
        <w:t>vs. S&amp;P 1500 Financial Services Index</w:t>
      </w:r>
    </w:p>
    <w:p>
      <w:pPr>
        <w:spacing w:after="0" w:line="7"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1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380" w:type="dxa"/>
            <w:vAlign w:val="bottom"/>
            <w:tcBorders>
              <w:top w:val="single" w:sz="8" w:color="auto"/>
            </w:tcBorders>
            <w:gridSpan w:val="2"/>
            <w:vMerge w:val="restart"/>
          </w:tcPr>
          <w:p>
            <w:pPr>
              <w:ind w:left="520"/>
              <w:spacing w:after="0"/>
              <w:rPr>
                <w:sz w:val="20"/>
                <w:szCs w:val="20"/>
                <w:color w:val="auto"/>
              </w:rPr>
            </w:pPr>
            <w:r>
              <w:rPr>
                <w:rFonts w:ascii="Arial" w:cs="Arial" w:eastAsia="Arial" w:hAnsi="Arial"/>
                <w:sz w:val="18"/>
                <w:szCs w:val="18"/>
                <w:b w:val="1"/>
                <w:bCs w:val="1"/>
                <w:color w:val="auto"/>
              </w:rPr>
              <w:t>≤25th percentile</w:t>
            </w:r>
          </w:p>
        </w:tc>
        <w:tc>
          <w:tcPr>
            <w:tcW w:w="2380" w:type="dxa"/>
            <w:vAlign w:val="bottom"/>
            <w:tcBorders>
              <w:top w:val="single" w:sz="8" w:color="auto"/>
            </w:tcBorders>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89"/>
              </w:rPr>
              <w:t>50th percentile</w:t>
            </w:r>
          </w:p>
        </w:tc>
        <w:tc>
          <w:tcPr>
            <w:tcW w:w="2280" w:type="dxa"/>
            <w:vAlign w:val="bottom"/>
            <w:tcBorders>
              <w:top w:val="single" w:sz="8" w:color="auto"/>
            </w:tcBorders>
            <w:vMerge w:val="restart"/>
          </w:tcPr>
          <w:p>
            <w:pPr>
              <w:jc w:val="right"/>
              <w:ind w:right="430"/>
              <w:spacing w:after="0"/>
              <w:rPr>
                <w:sz w:val="20"/>
                <w:szCs w:val="20"/>
                <w:color w:val="auto"/>
              </w:rPr>
            </w:pPr>
            <w:r>
              <w:rPr>
                <w:rFonts w:ascii="Arial" w:cs="Arial" w:eastAsia="Arial" w:hAnsi="Arial"/>
                <w:sz w:val="18"/>
                <w:szCs w:val="18"/>
                <w:b w:val="1"/>
                <w:bCs w:val="1"/>
                <w:color w:val="auto"/>
              </w:rPr>
              <w:t>≥75th percentile</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380" w:type="dxa"/>
            <w:vAlign w:val="bottom"/>
            <w:gridSpan w:val="2"/>
            <w:vMerge w:val="continue"/>
          </w:tcPr>
          <w:p>
            <w:pPr>
              <w:spacing w:after="0"/>
              <w:rPr>
                <w:sz w:val="11"/>
                <w:szCs w:val="11"/>
                <w:color w:val="auto"/>
              </w:rPr>
            </w:pPr>
          </w:p>
        </w:tc>
        <w:tc>
          <w:tcPr>
            <w:tcW w:w="238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7"/>
              </w:rPr>
              <w:t>"Target"</w:t>
            </w: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940" w:type="dxa"/>
            <w:vAlign w:val="bottom"/>
          </w:tcPr>
          <w:p>
            <w:pPr>
              <w:spacing w:after="0"/>
              <w:rPr>
                <w:sz w:val="21"/>
                <w:szCs w:val="21"/>
                <w:color w:val="auto"/>
              </w:rPr>
            </w:pPr>
          </w:p>
        </w:tc>
        <w:tc>
          <w:tcPr>
            <w:tcW w:w="16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14% "Target"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Borders>
              <w:top w:val="single" w:sz="8" w:color="CCEEFF"/>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70"/>
        </w:trPr>
        <w:tc>
          <w:tcPr>
            <w:tcW w:w="1940" w:type="dxa"/>
            <w:vAlign w:val="bottom"/>
          </w:tcPr>
          <w:p>
            <w:pPr>
              <w:jc w:val="center"/>
              <w:ind w:right="530"/>
              <w:spacing w:after="0"/>
              <w:rPr>
                <w:sz w:val="20"/>
                <w:szCs w:val="20"/>
                <w:color w:val="auto"/>
              </w:rPr>
            </w:pPr>
            <w:r>
              <w:rPr>
                <w:rFonts w:ascii="Arial" w:cs="Arial" w:eastAsia="Arial" w:hAnsi="Arial"/>
                <w:sz w:val="18"/>
                <w:szCs w:val="18"/>
                <w:b w:val="1"/>
                <w:bCs w:val="1"/>
                <w:color w:val="auto"/>
                <w:w w:val="91"/>
              </w:rPr>
              <w:t>Three-Year Book</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9"/>
              </w:rPr>
              <w:t>12%</w:t>
            </w:r>
          </w:p>
        </w:tc>
        <w:tc>
          <w:tcPr>
            <w:tcW w:w="228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50"/>
        </w:trPr>
        <w:tc>
          <w:tcPr>
            <w:tcW w:w="1940" w:type="dxa"/>
            <w:vAlign w:val="bottom"/>
          </w:tcPr>
          <w:p>
            <w:pPr>
              <w:jc w:val="center"/>
              <w:ind w:right="530"/>
              <w:spacing w:after="0"/>
              <w:rPr>
                <w:sz w:val="20"/>
                <w:szCs w:val="20"/>
                <w:color w:val="auto"/>
              </w:rPr>
            </w:pPr>
            <w:r>
              <w:rPr>
                <w:rFonts w:ascii="Arial" w:cs="Arial" w:eastAsia="Arial" w:hAnsi="Arial"/>
                <w:sz w:val="18"/>
                <w:szCs w:val="18"/>
                <w:b w:val="1"/>
                <w:bCs w:val="1"/>
                <w:color w:val="auto"/>
                <w:w w:val="90"/>
              </w:rPr>
              <w:t>Value Per Share</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10%</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180"/>
        </w:trPr>
        <w:tc>
          <w:tcPr>
            <w:tcW w:w="1940" w:type="dxa"/>
            <w:vAlign w:val="bottom"/>
          </w:tcPr>
          <w:p>
            <w:pPr>
              <w:jc w:val="center"/>
              <w:ind w:right="550"/>
              <w:spacing w:after="0" w:line="181" w:lineRule="exact"/>
              <w:rPr>
                <w:sz w:val="20"/>
                <w:szCs w:val="20"/>
                <w:color w:val="auto"/>
              </w:rPr>
            </w:pPr>
            <w:r>
              <w:rPr>
                <w:rFonts w:ascii="Arial" w:cs="Arial" w:eastAsia="Arial" w:hAnsi="Arial"/>
                <w:sz w:val="18"/>
                <w:szCs w:val="18"/>
                <w:b w:val="1"/>
                <w:bCs w:val="1"/>
                <w:color w:val="auto"/>
              </w:rPr>
              <w:t>CAGR</w:t>
            </w: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5"/>
                <w:szCs w:val="15"/>
                <w:color w:val="auto"/>
              </w:rPr>
            </w:pP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15"/>
                <w:szCs w:val="15"/>
                <w:color w:val="auto"/>
              </w:rPr>
            </w:pP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90"/>
        </w:trPr>
        <w:tc>
          <w:tcPr>
            <w:tcW w:w="194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2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6%</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23"/>
                <w:szCs w:val="23"/>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23"/>
                <w:szCs w:val="23"/>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In the event that the compounded annual book value per share growth or the relative total shareholder return falls between the performance levels shown above, the nonvested common shares earned will be determined on a straight-line basis between the respective levels shown.</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our incentive program covering bonus awards for performance year 2020, in February 2021, time-based share units were issued to certain employees that vest in three equal installments on March 1, 2022, 2023 and 2024.</w:t>
      </w:r>
    </w:p>
    <w:p>
      <w:pPr>
        <w:spacing w:after="0" w:line="197" w:lineRule="exact"/>
        <w:rPr>
          <w:sz w:val="20"/>
          <w:szCs w:val="20"/>
          <w:color w:val="auto"/>
        </w:rPr>
      </w:pPr>
    </w:p>
    <w:p>
      <w:pPr>
        <w:ind w:right="660" w:firstLine="648"/>
        <w:spacing w:after="0" w:line="263" w:lineRule="auto"/>
        <w:rPr>
          <w:sz w:val="20"/>
          <w:szCs w:val="20"/>
          <w:color w:val="auto"/>
        </w:rPr>
      </w:pPr>
      <w:r>
        <w:rPr>
          <w:rFonts w:ascii="Arial" w:cs="Arial" w:eastAsia="Arial" w:hAnsi="Arial"/>
          <w:sz w:val="18"/>
          <w:szCs w:val="18"/>
          <w:color w:val="auto"/>
        </w:rPr>
        <w:t>Quoted market prices are used for the valuation of common shares granted that do not contain a market condition under ASC 718. The performance-based share awards granted in February 2021 contain a market condition and were valued based on analysis provided by a third-party valuation firm using a risk neutral simulation taking into effect the vesting conditions of the grant.</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February 2021, the performance-based share awards granted in 2019 and 2020 to certain members of senior management were amended to provide that such awards will no longer be subject to the achievement of the compounded annual book value per share growth metrics and will be subject to only service-based vesting. As a result, the unvested shares subject to the amended 2019 and 2020 awards will vest on March 1, 2022 and March 1, 2023, respectively, subject to the continued service requirements and other terms and conditions set forth in the applicable award agreements, without taking into consideration any performance metrics. Total incremental compensation expense related to amending these awards is $4.0 million. As of June 30, 2021, there was $2.9 million of unrecognized compensation expense related to amending these awards and we expect to recognize the expense over a weighted average period of 1.5 years.</w:t>
      </w:r>
    </w:p>
    <w:p>
      <w:pPr>
        <w:spacing w:after="0" w:line="222"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The total fair value on the vesting date of nonvested shares, share units or DEUs that vested was $18.4 million and $18.5 million for the six months ended June 30, 2021 and 2020, respectively. As of June 30, 2021, there was $32.8 million of total unrecognized compensation expense related to nonvested shares or share units outstanding at June 30, 2021 and we expect to recognize the expense over a weighted average period of 2.1 years.</w:t>
      </w:r>
    </w:p>
    <w:p>
      <w:pPr>
        <w:spacing w:after="0" w:line="14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Employees have the option to tender shares to Essent Group to pay the minimum employee statutory withholding taxes associated with shares upon vesting. Common shares tendered by employees to pay employee withholding taxes totaled 126,025 in the six months ended June 30, 2021. The tendered shares were recorded at cost and included in treasury stock. All treasury stock has been cancelled as of June 30, 2021.</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expense, net of forfeitures, and related tax effects recognized in connection with nonvested shares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3"/>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ind w:left="560"/>
              <w:spacing w:after="0"/>
              <w:rPr>
                <w:sz w:val="20"/>
                <w:szCs w:val="20"/>
                <w:color w:val="auto"/>
              </w:rPr>
            </w:pPr>
            <w:r>
              <w:rPr>
                <w:rFonts w:ascii="Arial" w:cs="Arial" w:eastAsia="Arial" w:hAnsi="Arial"/>
                <w:sz w:val="14"/>
                <w:szCs w:val="14"/>
                <w:b w:val="1"/>
                <w:bCs w:val="1"/>
                <w:color w:val="auto"/>
                <w:w w:val="96"/>
              </w:rPr>
              <w:t>2021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224"/>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5,385</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4,568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9,348</w:t>
            </w: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Income tax benefit</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1,034</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1,786</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Dividends Restrictions</w:t>
      </w:r>
    </w:p>
    <w:p>
      <w:pPr>
        <w:spacing w:after="0" w:line="243" w:lineRule="exact"/>
        <w:rPr>
          <w:sz w:val="20"/>
          <w:szCs w:val="20"/>
          <w:color w:val="auto"/>
        </w:rPr>
      </w:pPr>
    </w:p>
    <w:p>
      <w:pPr>
        <w:ind w:right="20" w:firstLine="648"/>
        <w:spacing w:after="0" w:line="231" w:lineRule="auto"/>
        <w:rPr>
          <w:sz w:val="20"/>
          <w:szCs w:val="20"/>
          <w:color w:val="auto"/>
        </w:rPr>
      </w:pPr>
      <w:r>
        <w:rPr>
          <w:rFonts w:ascii="Arial" w:cs="Arial" w:eastAsia="Arial" w:hAnsi="Arial"/>
          <w:sz w:val="18"/>
          <w:szCs w:val="18"/>
          <w:color w:val="auto"/>
        </w:rPr>
        <w:t>Our U.S. insurance subsidiaries are subject to certain capital and dividend rules and regulations as prescribed by jurisdictions in which they are authorized to operate. Under the insurance laws of the Commonwealth of Pennsylvania, Essent Guaranty and Essent PA may pay dividends during any 12-month period in an amount equal to the greater of (i) 10% of the preceding year-end statutory policyholders' surplus or (ii) the preceding year's statutory net income. For 2021, Essent Guaranty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32" w:lineRule="exact"/>
        <w:rPr>
          <w:sz w:val="20"/>
          <w:szCs w:val="20"/>
          <w:color w:val="auto"/>
        </w:rPr>
      </w:pPr>
    </w:p>
    <w:p>
      <w:pPr>
        <w:ind w:right="300"/>
        <w:spacing w:after="0" w:line="236" w:lineRule="auto"/>
        <w:rPr>
          <w:sz w:val="20"/>
          <w:szCs w:val="20"/>
          <w:color w:val="auto"/>
        </w:rPr>
      </w:pPr>
      <w:r>
        <w:rPr>
          <w:rFonts w:ascii="Arial" w:cs="Arial" w:eastAsia="Arial" w:hAnsi="Arial"/>
          <w:sz w:val="17"/>
          <w:szCs w:val="17"/>
          <w:color w:val="auto"/>
        </w:rPr>
        <w:t>has dividend capacity of $312.1 million and Essent PA has dividend capacity of $5.4 million. The Pennsylvania statute also specifies that dividends and other distributions can be paid out of positive unassigned surplus without prior approval. At June 30, 2021, Essent Guaranty had unassigned surplus of approximately $343.0 million and Essent PA had unassigned surplus of approximately $16.4 million. Under PMIERs guidance issued by the GSEs effective June 30, 2020 through June 30, 2021, Essent Guaranty was required to obtain GSE written approval before paying a dividend. In May 2021, Essent Guaranty paid a dividend of $100 million to its parent, Essent US Holdings, Inc. Essent Guaranty did not pay dividends to Essent Group or any intermediate holding companies in the three and six months ended June 30, 2020. Essent PA did not pay a dividend in the three and six months ended June 30, 2021 or 2020. As a result of PMIERs guidance issued by the GSEs on June 30, 2021, Essent Guaranty may pay a dividend without prior GSE approval in the three months ended September 30, 2021 as long as the dividend payment would not cause its Available Assets to fall below 150% of its Minimum Required Assets. In addition, the guidance specifies that Essent Guaranty and may pay a dividend without prior GSE approval in the three months ended December 31, 2021 as long as the dividend payment would not cause its Available Assets to fall below 115% of its Minimum Required Assets.</w:t>
      </w:r>
    </w:p>
    <w:p>
      <w:pPr>
        <w:spacing w:after="0" w:line="221"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June 30, 2021, Essent Re had total equity of $1.2 billion.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2021, our insurance subsidiaries were in compliance with these rules, regulations and agreements.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 (EPS)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86"/>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4"/>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Pr>
          <w:p>
            <w:pPr>
              <w:spacing w:after="0"/>
              <w:rPr>
                <w:sz w:val="15"/>
                <w:szCs w:val="15"/>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ind w:right="473"/>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5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159,795</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295,443</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164,903</w:t>
            </w:r>
          </w:p>
        </w:tc>
      </w:tr>
      <w:tr>
        <w:trPr>
          <w:trHeight w:val="54"/>
        </w:trPr>
        <w:tc>
          <w:tcPr>
            <w:tcW w:w="5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112,067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100,224</w:t>
            </w: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Dilutive effect of nonvested shares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100,466</w:t>
            </w:r>
          </w:p>
        </w:tc>
      </w:tr>
      <w:tr>
        <w:trPr>
          <w:trHeight w:val="54"/>
        </w:trPr>
        <w:tc>
          <w:tcPr>
            <w:tcW w:w="5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1.64</w:t>
            </w:r>
          </w:p>
        </w:tc>
      </w:tr>
    </w:tbl>
    <w:p>
      <w:pPr>
        <w:spacing w:after="0" w:line="28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There were 159,568 and 578,659 antidilutive shares for the three months ended June 30, 2021 and 2020, respectively, and 255,562 and 465,945 antidilutive shares for the six months ended June 30, 2021 and 2020, respectively.</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nonvested performance-based share awards are considered contingently issuable for purposes of the EPS calculation. Based on the compounded annual book value per share growth and relative total shareholder return as of June 30, 2021, the 2021 performance-based share awards would be issuable at 100% of target under the terms of the arrangements if June 30, 2021 was the end of the contingency period, which is 50% of the shares issued.</w:t>
      </w:r>
    </w:p>
    <w:p>
      <w:pPr>
        <w:spacing w:after="0" w:line="214"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Based on the compounded annual book value per share growth as of June 30, 2020, the following percentages of the performance-based share awards would have been issuable under the terms of the arrangements if June 30, 2020 was the end of the contingency period: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19"/>
                <w:szCs w:val="19"/>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2018 Performance-Based Grants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960" w:type="dxa"/>
            <w:vAlign w:val="bottom"/>
          </w:tcPr>
          <w:p>
            <w:pPr>
              <w:spacing w:after="0"/>
              <w:rPr>
                <w:sz w:val="19"/>
                <w:szCs w:val="19"/>
                <w:color w:val="auto"/>
              </w:rPr>
            </w:pPr>
          </w:p>
        </w:tc>
      </w:tr>
      <w:tr>
        <w:trPr>
          <w:trHeight w:val="229"/>
        </w:trPr>
        <w:tc>
          <w:tcPr>
            <w:tcW w:w="296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Arial" w:cs="Arial" w:eastAsia="Arial" w:hAnsi="Arial"/>
                <w:sz w:val="18"/>
                <w:szCs w:val="18"/>
                <w:color w:val="auto"/>
                <w:w w:val="92"/>
              </w:rPr>
              <w:t>2019 Performance-Based Grants</w:t>
            </w:r>
          </w:p>
        </w:tc>
        <w:tc>
          <w:tcPr>
            <w:tcW w:w="2840" w:type="dxa"/>
            <w:vAlign w:val="bottom"/>
          </w:tcPr>
          <w:p>
            <w:pPr>
              <w:jc w:val="right"/>
              <w:spacing w:after="0"/>
              <w:rPr>
                <w:sz w:val="20"/>
                <w:szCs w:val="20"/>
                <w:color w:val="auto"/>
              </w:rPr>
            </w:pPr>
            <w:r>
              <w:rPr>
                <w:rFonts w:ascii="Arial" w:cs="Arial" w:eastAsia="Arial" w:hAnsi="Arial"/>
                <w:sz w:val="18"/>
                <w:szCs w:val="18"/>
                <w:color w:val="auto"/>
              </w:rPr>
              <w:t>100 %</w:t>
            </w:r>
          </w:p>
        </w:tc>
        <w:tc>
          <w:tcPr>
            <w:tcW w:w="2960" w:type="dxa"/>
            <w:vAlign w:val="bottom"/>
          </w:tcPr>
          <w:p>
            <w:pPr>
              <w:spacing w:after="0"/>
              <w:rPr>
                <w:sz w:val="19"/>
                <w:szCs w:val="19"/>
                <w:color w:val="auto"/>
              </w:rPr>
            </w:pPr>
          </w:p>
        </w:tc>
      </w:tr>
      <w:tr>
        <w:trPr>
          <w:trHeight w:val="230"/>
        </w:trPr>
        <w:tc>
          <w:tcPr>
            <w:tcW w:w="2960" w:type="dxa"/>
            <w:vAlign w:val="bottom"/>
          </w:tcPr>
          <w:p>
            <w:pPr>
              <w:spacing w:after="0"/>
              <w:rPr>
                <w:sz w:val="19"/>
                <w:szCs w:val="19"/>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2020 Performance-Based Grants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960" w:type="dxa"/>
            <w:vAlign w:val="bottom"/>
          </w:tcPr>
          <w:p>
            <w:pPr>
              <w:spacing w:after="0"/>
              <w:rPr>
                <w:sz w:val="19"/>
                <w:szCs w:val="19"/>
                <w:color w:val="auto"/>
              </w:rPr>
            </w:pPr>
          </w:p>
        </w:tc>
      </w:tr>
      <w:tr>
        <w:trPr>
          <w:trHeight w:val="904"/>
        </w:trPr>
        <w:tc>
          <w:tcPr>
            <w:tcW w:w="29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840" w:type="dxa"/>
            <w:vAlign w:val="bottom"/>
          </w:tcPr>
          <w:p>
            <w:pPr>
              <w:jc w:val="right"/>
              <w:ind w:right="2470"/>
              <w:spacing w:after="0"/>
              <w:rPr>
                <w:sz w:val="20"/>
                <w:szCs w:val="20"/>
                <w:color w:val="auto"/>
              </w:rPr>
            </w:pPr>
            <w:r>
              <w:rPr>
                <w:rFonts w:ascii="Arial" w:cs="Arial" w:eastAsia="Arial" w:hAnsi="Arial"/>
                <w:sz w:val="18"/>
                <w:szCs w:val="18"/>
                <w:color w:val="auto"/>
              </w:rPr>
              <w:t>17</w:t>
            </w:r>
          </w:p>
        </w:tc>
        <w:tc>
          <w:tcPr>
            <w:tcW w:w="2960" w:type="dxa"/>
            <w:vAlign w:val="bottom"/>
          </w:tcPr>
          <w:p>
            <w:pPr>
              <w:spacing w:after="0"/>
              <w:rPr>
                <w:sz w:val="24"/>
                <w:szCs w:val="24"/>
                <w:color w:val="auto"/>
              </w:rPr>
            </w:pPr>
          </w:p>
        </w:tc>
      </w:tr>
      <w:tr>
        <w:trPr>
          <w:trHeight w:val="115"/>
        </w:trPr>
        <w:tc>
          <w:tcPr>
            <w:tcW w:w="296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presents the rollforward of accumulated other comprehensive income (loss) for the three and six months ended June 30, 2021 and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 June 30,</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Before Tax</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Tax Effect</w:t>
            </w:r>
          </w:p>
        </w:tc>
        <w:tc>
          <w:tcPr>
            <w:tcW w:w="160" w:type="dxa"/>
            <w:vAlign w:val="bottom"/>
          </w:tcPr>
          <w:p>
            <w:pPr>
              <w:spacing w:after="0"/>
              <w:rPr>
                <w:sz w:val="16"/>
                <w:szCs w:val="16"/>
                <w:color w:val="auto"/>
              </w:rPr>
            </w:pPr>
          </w:p>
        </w:tc>
        <w:tc>
          <w:tcPr>
            <w:tcW w:w="960" w:type="dxa"/>
            <w:vAlign w:val="bottom"/>
          </w:tcPr>
          <w:p>
            <w:pPr>
              <w:jc w:val="right"/>
              <w:ind w:right="175"/>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Before Tax</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Tax Effect</w:t>
            </w:r>
          </w:p>
        </w:tc>
        <w:tc>
          <w:tcPr>
            <w:tcW w:w="180" w:type="dxa"/>
            <w:vAlign w:val="bottom"/>
          </w:tcPr>
          <w:p>
            <w:pPr>
              <w:spacing w:after="0"/>
              <w:rPr>
                <w:sz w:val="16"/>
                <w:szCs w:val="16"/>
                <w:color w:val="auto"/>
              </w:rPr>
            </w:pPr>
          </w:p>
        </w:tc>
        <w:tc>
          <w:tcPr>
            <w:tcW w:w="960" w:type="dxa"/>
            <w:vAlign w:val="bottom"/>
          </w:tcPr>
          <w:p>
            <w:pPr>
              <w:jc w:val="right"/>
              <w:ind w:right="173"/>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224"/>
        </w:trPr>
        <w:tc>
          <w:tcPr>
            <w:tcW w:w="3780" w:type="dxa"/>
            <w:vAlign w:val="bottom"/>
            <w:tcBorders>
              <w:top w:val="single" w:sz="8" w:color="auto"/>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at beginning of period</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98,920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(19,849)</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79,071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52,348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46,113</w:t>
            </w:r>
          </w:p>
        </w:tc>
        <w:tc>
          <w:tcPr>
            <w:tcW w:w="0" w:type="dxa"/>
            <w:vAlign w:val="bottom"/>
          </w:tcPr>
          <w:p>
            <w:pPr>
              <w:spacing w:after="0"/>
              <w:rPr>
                <w:sz w:val="1"/>
                <w:szCs w:val="1"/>
                <w:color w:val="auto"/>
              </w:rPr>
            </w:pPr>
          </w:p>
        </w:tc>
      </w:tr>
      <w:tr>
        <w:trPr>
          <w:trHeight w:val="210"/>
        </w:trPr>
        <w:tc>
          <w:tcPr>
            <w:tcW w:w="3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900" w:type="dxa"/>
            <w:vAlign w:val="bottom"/>
            <w:gridSpan w:val="3"/>
          </w:tcPr>
          <w:p>
            <w:pPr>
              <w:ind w:left="220"/>
              <w:spacing w:after="0" w:line="176" w:lineRule="exact"/>
              <w:rPr>
                <w:sz w:val="20"/>
                <w:szCs w:val="20"/>
                <w:color w:val="auto"/>
              </w:rPr>
            </w:pPr>
            <w:r>
              <w:rPr>
                <w:rFonts w:ascii="Arial" w:cs="Arial" w:eastAsia="Arial" w:hAnsi="Arial"/>
                <w:sz w:val="18"/>
                <w:szCs w:val="18"/>
                <w:color w:val="auto"/>
              </w:rPr>
              <w:t>Unrealized holding gains (losses) on</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gridSpan w:val="3"/>
          </w:tcPr>
          <w:p>
            <w:pPr>
              <w:ind w:left="40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00" w:type="dxa"/>
            <w:vAlign w:val="bottom"/>
            <w:gridSpan w:val="3"/>
            <w:shd w:val="clear" w:color="auto" w:fill="CCEEFF"/>
          </w:tcPr>
          <w:p>
            <w:pPr>
              <w:ind w:left="360"/>
              <w:spacing w:after="0" w:line="176" w:lineRule="exact"/>
              <w:rPr>
                <w:sz w:val="20"/>
                <w:szCs w:val="20"/>
                <w:color w:val="auto"/>
              </w:rPr>
            </w:pPr>
            <w:r>
              <w:rPr>
                <w:rFonts w:ascii="Arial" w:cs="Arial" w:eastAsia="Arial" w:hAnsi="Arial"/>
                <w:sz w:val="18"/>
                <w:szCs w:val="18"/>
                <w:color w:val="auto"/>
              </w:rPr>
              <w:t>Unrealized holding gains arising during the</w:t>
            </w: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43,963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36,137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90,608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(17,344)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73,264</w:t>
            </w:r>
          </w:p>
        </w:tc>
        <w:tc>
          <w:tcPr>
            <w:tcW w:w="0" w:type="dxa"/>
            <w:vAlign w:val="bottom"/>
          </w:tcPr>
          <w:p>
            <w:pPr>
              <w:spacing w:after="0"/>
              <w:rPr>
                <w:sz w:val="1"/>
                <w:szCs w:val="1"/>
                <w:color w:val="auto"/>
              </w:rPr>
            </w:pPr>
          </w:p>
        </w:tc>
      </w:tr>
      <w:tr>
        <w:trPr>
          <w:trHeight w:val="230"/>
        </w:trPr>
        <w:tc>
          <w:tcPr>
            <w:tcW w:w="39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period</w:t>
            </w: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00" w:type="dxa"/>
            <w:vAlign w:val="bottom"/>
            <w:gridSpan w:val="3"/>
          </w:tcPr>
          <w:p>
            <w:pPr>
              <w:ind w:left="360"/>
              <w:spacing w:after="0" w:line="176" w:lineRule="exact"/>
              <w:rPr>
                <w:sz w:val="20"/>
                <w:szCs w:val="20"/>
                <w:color w:val="auto"/>
              </w:rPr>
            </w:pPr>
            <w:r>
              <w:rPr>
                <w:rFonts w:ascii="Arial" w:cs="Arial" w:eastAsia="Arial" w:hAnsi="Arial"/>
                <w:sz w:val="18"/>
                <w:szCs w:val="18"/>
                <w:color w:val="auto"/>
              </w:rPr>
              <w:t>Less: Reclassification adjustment for losses</w:t>
            </w: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gridSpan w:val="3"/>
          </w:tcPr>
          <w:p>
            <w:pPr>
              <w:ind w:left="520"/>
              <w:spacing w:after="0"/>
              <w:rPr>
                <w:sz w:val="20"/>
                <w:szCs w:val="20"/>
                <w:color w:val="auto"/>
              </w:rPr>
            </w:pPr>
            <w:r>
              <w:rPr>
                <w:rFonts w:ascii="Arial" w:cs="Arial" w:eastAsia="Arial" w:hAnsi="Arial"/>
                <w:sz w:val="18"/>
                <w:szCs w:val="18"/>
                <w:color w:val="auto"/>
              </w:rPr>
              <w:t>included in net income (1)</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8"/>
              </w:rPr>
              <w:t>Net unrealized gains (losses) on investments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74,285</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74,285</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120,398</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Six Months Ended June 30,</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Before Tax</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Tax Effect</w:t>
            </w:r>
          </w:p>
        </w:tc>
        <w:tc>
          <w:tcPr>
            <w:tcW w:w="160" w:type="dxa"/>
            <w:vAlign w:val="bottom"/>
          </w:tcPr>
          <w:p>
            <w:pPr>
              <w:spacing w:after="0"/>
              <w:rPr>
                <w:sz w:val="16"/>
                <w:szCs w:val="16"/>
                <w:color w:val="auto"/>
              </w:rPr>
            </w:pPr>
          </w:p>
        </w:tc>
        <w:tc>
          <w:tcPr>
            <w:tcW w:w="960" w:type="dxa"/>
            <w:vAlign w:val="bottom"/>
          </w:tcPr>
          <w:p>
            <w:pPr>
              <w:jc w:val="right"/>
              <w:ind w:right="175"/>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Before Tax</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Tax Effect</w:t>
            </w:r>
          </w:p>
        </w:tc>
        <w:tc>
          <w:tcPr>
            <w:tcW w:w="180" w:type="dxa"/>
            <w:vAlign w:val="bottom"/>
          </w:tcPr>
          <w:p>
            <w:pPr>
              <w:spacing w:after="0"/>
              <w:rPr>
                <w:sz w:val="16"/>
                <w:szCs w:val="16"/>
                <w:color w:val="auto"/>
              </w:rPr>
            </w:pPr>
          </w:p>
        </w:tc>
        <w:tc>
          <w:tcPr>
            <w:tcW w:w="960" w:type="dxa"/>
            <w:vAlign w:val="bottom"/>
          </w:tcPr>
          <w:p>
            <w:pPr>
              <w:jc w:val="right"/>
              <w:ind w:right="173"/>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224"/>
        </w:trPr>
        <w:tc>
          <w:tcPr>
            <w:tcW w:w="3780" w:type="dxa"/>
            <w:vAlign w:val="bottom"/>
            <w:tcBorders>
              <w:top w:val="single" w:sz="8" w:color="auto"/>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at beginning of year</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168,324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(30,050)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138,274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69,401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56,187</w:t>
            </w:r>
          </w:p>
        </w:tc>
        <w:tc>
          <w:tcPr>
            <w:tcW w:w="0" w:type="dxa"/>
            <w:vAlign w:val="bottom"/>
          </w:tcPr>
          <w:p>
            <w:pPr>
              <w:spacing w:after="0"/>
              <w:rPr>
                <w:sz w:val="1"/>
                <w:szCs w:val="1"/>
                <w:color w:val="auto"/>
              </w:rPr>
            </w:pPr>
          </w:p>
        </w:tc>
      </w:tr>
      <w:tr>
        <w:trPr>
          <w:trHeight w:val="210"/>
        </w:trPr>
        <w:tc>
          <w:tcPr>
            <w:tcW w:w="3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900" w:type="dxa"/>
            <w:vAlign w:val="bottom"/>
            <w:gridSpan w:val="3"/>
          </w:tcPr>
          <w:p>
            <w:pPr>
              <w:ind w:left="220"/>
              <w:spacing w:after="0" w:line="176" w:lineRule="exact"/>
              <w:rPr>
                <w:sz w:val="20"/>
                <w:szCs w:val="20"/>
                <w:color w:val="auto"/>
              </w:rPr>
            </w:pPr>
            <w:r>
              <w:rPr>
                <w:rFonts w:ascii="Arial" w:cs="Arial" w:eastAsia="Arial" w:hAnsi="Arial"/>
                <w:sz w:val="18"/>
                <w:szCs w:val="18"/>
                <w:color w:val="auto"/>
              </w:rPr>
              <w:t>Unrealized holding gains (losses) on</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gridSpan w:val="3"/>
          </w:tcPr>
          <w:p>
            <w:pPr>
              <w:ind w:left="40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00" w:type="dxa"/>
            <w:vAlign w:val="bottom"/>
            <w:gridSpan w:val="3"/>
            <w:shd w:val="clear" w:color="auto" w:fill="CCEEFF"/>
          </w:tcPr>
          <w:p>
            <w:pPr>
              <w:ind w:left="360"/>
              <w:spacing w:after="0" w:line="176" w:lineRule="exact"/>
              <w:rPr>
                <w:sz w:val="20"/>
                <w:szCs w:val="20"/>
                <w:color w:val="auto"/>
              </w:rPr>
            </w:pPr>
            <w:r>
              <w:rPr>
                <w:rFonts w:ascii="Arial" w:cs="Arial" w:eastAsia="Arial" w:hAnsi="Arial"/>
                <w:sz w:val="18"/>
                <w:szCs w:val="18"/>
                <w:color w:val="auto"/>
              </w:rPr>
              <w:t>Unrealized holding (losses) gains arising</w:t>
            </w: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76,690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(10,941)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65,749</w:t>
            </w:r>
          </w:p>
        </w:tc>
        <w:tc>
          <w:tcPr>
            <w:tcW w:w="0" w:type="dxa"/>
            <w:vAlign w:val="bottom"/>
          </w:tcPr>
          <w:p>
            <w:pPr>
              <w:spacing w:after="0"/>
              <w:rPr>
                <w:sz w:val="1"/>
                <w:szCs w:val="1"/>
                <w:color w:val="auto"/>
              </w:rPr>
            </w:pPr>
          </w:p>
        </w:tc>
      </w:tr>
      <w:tr>
        <w:trPr>
          <w:trHeight w:val="229"/>
        </w:trPr>
        <w:tc>
          <w:tcPr>
            <w:tcW w:w="39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during the period</w:t>
            </w: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00" w:type="dxa"/>
            <w:vAlign w:val="bottom"/>
            <w:gridSpan w:val="3"/>
          </w:tcPr>
          <w:p>
            <w:pPr>
              <w:ind w:left="360"/>
              <w:spacing w:after="0" w:line="176" w:lineRule="exact"/>
              <w:rPr>
                <w:sz w:val="20"/>
                <w:szCs w:val="20"/>
                <w:color w:val="auto"/>
              </w:rPr>
            </w:pPr>
            <w:r>
              <w:rPr>
                <w:rFonts w:ascii="Arial" w:cs="Arial" w:eastAsia="Arial" w:hAnsi="Arial"/>
                <w:sz w:val="18"/>
                <w:szCs w:val="18"/>
                <w:color w:val="auto"/>
              </w:rPr>
              <w:t>Less: Reclassification adjustment for gains</w:t>
            </w: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gridSpan w:val="3"/>
          </w:tcPr>
          <w:p>
            <w:pPr>
              <w:ind w:left="520"/>
              <w:spacing w:after="0"/>
              <w:rPr>
                <w:sz w:val="20"/>
                <w:szCs w:val="20"/>
                <w:color w:val="auto"/>
              </w:rPr>
            </w:pPr>
            <w:r>
              <w:rPr>
                <w:rFonts w:ascii="Arial" w:cs="Arial" w:eastAsia="Arial" w:hAnsi="Arial"/>
                <w:sz w:val="18"/>
                <w:szCs w:val="18"/>
                <w:color w:val="auto"/>
              </w:rPr>
              <w:t>included in net income (1)</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8"/>
              </w:rPr>
              <w:t>Net unrealized (losses) gains on investments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64,211</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64,211</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120,398</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180" w:type="dxa"/>
            <w:vAlign w:val="bottom"/>
            <w:tcBorders>
              <w:bottom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Included in net realized investment gains (losses) on our condensed consolidated statements of comprehensive income.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Instruments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21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 accessible at the measurement date.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Valuations derived from one or more significant inputs that are unobservable.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52" w:lineRule="exact"/>
        <w:rPr>
          <w:sz w:val="20"/>
          <w:szCs w:val="20"/>
          <w:color w:val="auto"/>
        </w:rPr>
      </w:pPr>
    </w:p>
    <w:p>
      <w:pPr>
        <w:ind w:left="660" w:hanging="328"/>
        <w:spacing w:after="0" w:line="293"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64" w:lineRule="exact"/>
        <w:rPr>
          <w:rFonts w:ascii="Arial" w:cs="Arial" w:eastAsia="Arial" w:hAnsi="Arial"/>
          <w:sz w:val="16"/>
          <w:szCs w:val="16"/>
          <w:color w:val="auto"/>
        </w:rPr>
      </w:pPr>
    </w:p>
    <w:p>
      <w:pPr>
        <w:ind w:left="660" w:right="20"/>
        <w:spacing w:after="0" w:line="287" w:lineRule="auto"/>
        <w:rPr>
          <w:rFonts w:ascii="Arial" w:cs="Arial" w:eastAsia="Arial" w:hAnsi="Arial"/>
          <w:sz w:val="16"/>
          <w:szCs w:val="16"/>
          <w:color w:val="auto"/>
        </w:rPr>
      </w:pPr>
      <w:r>
        <w:rPr>
          <w:rFonts w:ascii="Arial" w:cs="Arial" w:eastAsia="Arial" w:hAnsi="Arial"/>
          <w:sz w:val="16"/>
          <w:szCs w:val="16"/>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Quoted Prices</w:t>
            </w:r>
          </w:p>
        </w:tc>
        <w:tc>
          <w:tcPr>
            <w:tcW w:w="260" w:type="dxa"/>
            <w:vAlign w:val="bottom"/>
          </w:tcPr>
          <w:p>
            <w:pPr>
              <w:spacing w:after="0"/>
              <w:rPr>
                <w:sz w:val="14"/>
                <w:szCs w:val="14"/>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 Active</w:t>
            </w:r>
          </w:p>
        </w:tc>
        <w:tc>
          <w:tcPr>
            <w:tcW w:w="2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Unobservable</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June 30, 2021 (In thousands)</w:t>
            </w: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Instruments</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1"/>
                <w:szCs w:val="11"/>
                <w:color w:val="auto"/>
              </w:rPr>
            </w:pPr>
          </w:p>
        </w:tc>
        <w:tc>
          <w:tcPr>
            <w:tcW w:w="11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289,961</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U.S. agency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16,088</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1,006,655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1,006,655</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580,894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580,894</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81,528</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1,551,712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1,551,712</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461,985</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456,069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456,069</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301,436</w:t>
            </w:r>
          </w:p>
        </w:tc>
        <w:tc>
          <w:tcPr>
            <w:tcW w:w="0" w:type="dxa"/>
            <w:vAlign w:val="bottom"/>
          </w:tcPr>
          <w:p>
            <w:pPr>
              <w:spacing w:after="0"/>
              <w:rPr>
                <w:sz w:val="1"/>
                <w:szCs w:val="1"/>
                <w:color w:val="auto"/>
              </w:rPr>
            </w:pPr>
          </w:p>
        </w:tc>
      </w:tr>
      <w:tr>
        <w:trPr>
          <w:trHeight w:val="223"/>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Total assets at fair value (1)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591,397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4,154,931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4,746,328</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Quoted Prices</w:t>
            </w:r>
          </w:p>
        </w:tc>
        <w:tc>
          <w:tcPr>
            <w:tcW w:w="260" w:type="dxa"/>
            <w:vAlign w:val="bottom"/>
          </w:tcPr>
          <w:p>
            <w:pPr>
              <w:spacing w:after="0"/>
              <w:rPr>
                <w:sz w:val="24"/>
                <w:szCs w:val="24"/>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 Active</w:t>
            </w:r>
          </w:p>
        </w:tc>
        <w:tc>
          <w:tcPr>
            <w:tcW w:w="2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Unobservable</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2020 (In thousands)</w:t>
            </w: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Instruments</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1"/>
                <w:szCs w:val="11"/>
                <w:color w:val="auto"/>
              </w:rPr>
            </w:pPr>
          </w:p>
        </w:tc>
        <w:tc>
          <w:tcPr>
            <w:tcW w:w="11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268,444</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U.S. agency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18,085</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995,905</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551,517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551,517</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61,607</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1,126,512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1,126,512</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409,282</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454,717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454,717</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679,304</w:t>
            </w:r>
          </w:p>
        </w:tc>
        <w:tc>
          <w:tcPr>
            <w:tcW w:w="0" w:type="dxa"/>
            <w:vAlign w:val="bottom"/>
          </w:tcPr>
          <w:p>
            <w:pPr>
              <w:spacing w:after="0"/>
              <w:rPr>
                <w:sz w:val="1"/>
                <w:szCs w:val="1"/>
                <w:color w:val="auto"/>
              </w:rPr>
            </w:pPr>
          </w:p>
        </w:tc>
      </w:tr>
      <w:tr>
        <w:trPr>
          <w:trHeight w:val="223"/>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Total assets at fair value (1)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947,748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3,617,625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4,565,373</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60" w:hanging="328"/>
        <w:spacing w:after="0" w:line="277" w:lineRule="auto"/>
        <w:tabs>
          <w:tab w:leader="none" w:pos="6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not include the fair value of embedded derivatives, which we have accounted for separately as freestanding derivatives and included in other assets or other accrued liabilities in our condensed consolidated balance sheet. See Note 4 for more information.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Statutory Accounting</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six months ended June 30:</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6"/>
                <w:szCs w:val="16"/>
                <w:color w:val="auto"/>
              </w:rPr>
            </w:pPr>
          </w:p>
        </w:tc>
        <w:tc>
          <w:tcPr>
            <w:tcW w:w="1640" w:type="dxa"/>
            <w:vAlign w:val="bottom"/>
          </w:tcPr>
          <w:p>
            <w:pPr>
              <w:jc w:val="right"/>
              <w:ind w:right="8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tcPr>
          <w:p>
            <w:pPr>
              <w:jc w:val="right"/>
              <w:ind w:right="853"/>
              <w:spacing w:after="0"/>
              <w:rPr>
                <w:sz w:val="20"/>
                <w:szCs w:val="20"/>
                <w:color w:val="auto"/>
              </w:rPr>
            </w:pPr>
            <w:r>
              <w:rPr>
                <w:rFonts w:ascii="Arial" w:cs="Arial" w:eastAsia="Arial" w:hAnsi="Arial"/>
                <w:sz w:val="14"/>
                <w:szCs w:val="14"/>
                <w:b w:val="1"/>
                <w:bCs w:val="1"/>
                <w:color w:val="auto"/>
              </w:rPr>
              <w:t>2020</w:t>
            </w:r>
          </w:p>
        </w:tc>
      </w:tr>
      <w:tr>
        <w:trPr>
          <w:trHeight w:val="229"/>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Essent Guaranty</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29"/>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Statutory net income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234,354</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120,883</w:t>
            </w:r>
          </w:p>
        </w:tc>
      </w:tr>
      <w:tr>
        <w:trPr>
          <w:trHeight w:val="229"/>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Statutory surplus</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1,048,335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1,003,812</w:t>
            </w:r>
          </w:p>
        </w:tc>
      </w:tr>
      <w:tr>
        <w:trPr>
          <w:trHeight w:val="230"/>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Contingency reserve liability</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1,648,384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1,345,263</w:t>
            </w:r>
          </w:p>
        </w:tc>
      </w:tr>
      <w:tr>
        <w:trPr>
          <w:trHeight w:val="257"/>
        </w:trPr>
        <w:tc>
          <w:tcPr>
            <w:tcW w:w="6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Essent PA</w:t>
            </w: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Statutory net income</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r>
      <w:tr>
        <w:trPr>
          <w:trHeight w:val="230"/>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Statutory surplus</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55,374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53,432</w:t>
            </w:r>
          </w:p>
        </w:tc>
      </w:tr>
      <w:tr>
        <w:trPr>
          <w:trHeight w:val="229"/>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Contingency reserve liability</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54,685</w:t>
            </w:r>
          </w:p>
        </w:tc>
      </w:tr>
    </w:tbl>
    <w:p>
      <w:pPr>
        <w:spacing w:after="0" w:line="310"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Net income determined in accordance with statutory accounting practices differs from GAAP. In 2021 and 2020,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219" w:lineRule="exact"/>
        <w:rPr>
          <w:sz w:val="20"/>
          <w:szCs w:val="20"/>
          <w:color w:val="auto"/>
        </w:rPr>
      </w:pPr>
    </w:p>
    <w:p>
      <w:pPr>
        <w:ind w:right="800" w:firstLine="648"/>
        <w:spacing w:after="0" w:line="308" w:lineRule="auto"/>
        <w:rPr>
          <w:sz w:val="20"/>
          <w:szCs w:val="20"/>
          <w:color w:val="auto"/>
        </w:rPr>
      </w:pPr>
      <w:r>
        <w:rPr>
          <w:rFonts w:ascii="Arial" w:cs="Arial" w:eastAsia="Arial" w:hAnsi="Arial"/>
          <w:sz w:val="17"/>
          <w:szCs w:val="17"/>
          <w:color w:val="auto"/>
        </w:rPr>
        <w:t>At June 30, 2021 and 2020, the statutory capital of our U.S. insurance subsidiaries, which is defined as the total of statutory surplus and contingency reserves, was in excess of the statutory capital necessary to satisfy their regulatory requirements.</w:t>
      </w:r>
    </w:p>
    <w:p>
      <w:pPr>
        <w:spacing w:after="0" w:line="17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June 30, 2021, Essent Guaranty, our GSE-approved mortgage insurance company, was in compliance with PMIERs 2.0.</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Statement of Statutory Accounting Principles No. 58, </w:t>
      </w:r>
      <w:r>
        <w:rPr>
          <w:rFonts w:ascii="Arial" w:cs="Arial" w:eastAsia="Arial" w:hAnsi="Arial"/>
          <w:sz w:val="17"/>
          <w:szCs w:val="17"/>
          <w:i w:val="1"/>
          <w:iCs w:val="1"/>
          <w:color w:val="auto"/>
        </w:rPr>
        <w:t>Mortgage Guaranty Insurance,</w:t>
      </w:r>
      <w:r>
        <w:rPr>
          <w:rFonts w:ascii="Arial" w:cs="Arial" w:eastAsia="Arial" w:hAnsi="Arial"/>
          <w:sz w:val="17"/>
          <w:szCs w:val="17"/>
          <w:color w:val="auto"/>
        </w:rPr>
        <w:t xml:space="preserve"> requires mortgage insurers to establish a special contingency reserve for statutory accounting purposes included in total liabilities equal to 50% of earned premium for that year. During the six months ended June 30, 2021, Essent Guaranty increased its contingency reserve by $148.6 million and Essent PA increased its contingency reserve by $0.9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During the six months ended June 30, 2021, Essent Guaranty and Essent PA released contingency reserves of $0.9 million and $0.1 million,</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respectively, to unassigned funds upon completion of the 120 month holding period. Essent Guaranty and Essent PA did not release any amounts from their contingency reserves in the six months ended June 30, 2020.</w:t>
      </w:r>
    </w:p>
    <w:p>
      <w:pPr>
        <w:spacing w:after="0" w:line="197"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2020, all such requirements were met.</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Essent Re's statutory capital and surplus was $1.2 billion as of June 30, 2021 and $1.1 billion as of December 31, 2020. Essent Re's statutory net income was $104.4 million and $59.0 million for the six months ended June 30, 2021 and 2020, respectively. Statutory capital and surplus as of June 30, 2021 and December 31, 2020 and statutory net income in the six months ended June 30, 2021 and 2020 determined in accordance with statutory accounting practices were not significantly different than the amounts determined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i w:val="1"/>
          <w:iCs w:val="1"/>
          <w:color w:val="auto"/>
        </w:rPr>
        <w:t>The following discussion should be read together with the “Selected Financial Data” and our audited consolidated financial statements and related notes included in our Annual Report on Form 10-K as of and for the year ended December 31, 2020 as filed with the Securities and Exchange Commission and referred to herein as the “Annual Report,” and our condensed consolidated financial statements and related notes as of and for the three and six months ended June 30, 2021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and Part II, Item 1A “Risk Factors” in this Quarterly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an established and growing private mortgage insurance company. Essent Guaranty, Inc., our wholly-owned insurance subsidiary which we refer to as "Essent Guaranty," is licensed to write coverage in all 50 states and the District of Columbia. The financial strength ratings of Essent Guaranty are A3 with a stable outlook by Moody’s Investors Service (“Moody's”), BBB+ with a stable outlook by S&amp;P Global Ratings (“S&amp;P”) and A (Excellent) with a stable outlook by A.M. Best.</w:t>
      </w:r>
    </w:p>
    <w:p>
      <w:pPr>
        <w:spacing w:after="0" w:line="18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holding company is domiciled in Bermuda and our U.S. insurance business is headquartered in Radnor, Pennsylvania. We operate additional underwriting and service centers in Winston-Salem, North Carolina and Irvine, California. We have a highly experienced, talented team with 372 employees as of June 30, 2021. We generated new insurance written, or NIW, of approximately $25.0 billion and $44.3 billion for the three and six months ended June 30, 2021, respectively, compared to approximately $28.2 billion and $41.7 billion for the three and six months ended June 30, 2020, respectively. As of June 30, 2021, we had approximately $203.6 billion of insurance in force, due to our NIW which was offset by cancellations as the persistency rate on our portfolio was 58.3% at June 30, 2021 compared to 60.1% at December 31, 2020.</w:t>
      </w:r>
    </w:p>
    <w:p>
      <w:pPr>
        <w:spacing w:after="0" w:line="17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also offer mortgage-related insurance and reinsurance through our wholly-owned Bermuda-based subsidiary, Essent Reinsurance Ltd., which we refer to as "Essent Re." As of June 30, 2021, Essent Re provided insurance or reinsurance relating to GSE risk share and other reinsurance transactions covering approximately $1.5 billion of risk. Essent Re also reinsures Essent Guaranty’s NIW under a quota share reinsurance agreement. In April 2021, Essent Guaranty and Essent Re agreed to increase the quota share reinsurance coverage of Essent Guaranty’s NIW provided by Essent Re from 25% to 35% effective January 1, 2021. The quota share reinsurance coverage provided by Essent Re for Essent Guaranty’s NIW prior to January 1, 2021 will continue to be 25%, the quota share percentage in effect at the time NIW was first ceded. The insurer financial strength rating of Essent Re is BBB+ with a stable outlook by S&amp;P and A (Excellent) with a stable outlook by A.M. Best.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ind w:firstLine="180"/>
        <w:spacing w:after="0" w:line="288" w:lineRule="auto"/>
        <w:rPr>
          <w:sz w:val="20"/>
          <w:szCs w:val="20"/>
          <w:color w:val="auto"/>
        </w:rPr>
      </w:pPr>
      <w:r>
        <w:rPr>
          <w:rFonts w:ascii="Arial" w:cs="Arial" w:eastAsia="Arial" w:hAnsi="Arial"/>
          <w:sz w:val="16"/>
          <w:szCs w:val="16"/>
          <w:color w:val="auto"/>
        </w:rPr>
        <w:t>Due to COVID-19, we experienced a significant increase in the amount of new defaults reported, especially during the second and third quarters of 2020. We segmented these two quarters’ defaults as specifically COVID-19 related (“Early COVID Defaults”) and provided losses for these two cohorts differently as compared to our normal loss reserving methodology. Beginning in the fourth quarter of 2020, the credit characteristics of new defaults trended towards those of the pre-pandemic periods. As a result, for new defaults reported after September 30, 2020, we have reverted to our normal loss reserving methodology. It is our belief that the default-to-claim transition patterns of the Early COVID Defaults will be different as compared to our historical defaults. We believe that the borrowers associated with the Early COVID Defaults will be able to take advantage of foreclosure moratoriums and mortgage forbearance programs instituted by Federal legislation along with actions taken by the Federal Housing Finance Agency (“FHFA”), Fannie Mae and Freddie Mac (collectively the “GSEs”) which may extend traditional default-to-claim timelines. As a result of these programs, along with Federal stimulus, these borrowers associated with the Early COVID Defaults will have more resources and an extended time period to address the issues that triggered the default, resulting in a higher cure rate, and correspondingly lower claim payments than historical defaults.</w:t>
      </w:r>
    </w:p>
    <w:p>
      <w:pPr>
        <w:spacing w:after="0" w:line="195" w:lineRule="exact"/>
        <w:rPr>
          <w:sz w:val="20"/>
          <w:szCs w:val="20"/>
          <w:color w:val="auto"/>
        </w:rPr>
      </w:pPr>
    </w:p>
    <w:p>
      <w:pPr>
        <w:ind w:right="180" w:firstLine="180"/>
        <w:spacing w:after="0" w:line="277" w:lineRule="auto"/>
        <w:rPr>
          <w:sz w:val="20"/>
          <w:szCs w:val="20"/>
          <w:color w:val="auto"/>
        </w:rPr>
      </w:pPr>
      <w:r>
        <w:rPr>
          <w:rFonts w:ascii="Arial" w:cs="Arial" w:eastAsia="Arial" w:hAnsi="Arial"/>
          <w:sz w:val="18"/>
          <w:szCs w:val="18"/>
          <w:color w:val="auto"/>
        </w:rPr>
        <w:t>Over 90% of loans insured by Essent are federally backed by Fannie Mae or Freddie Mac. As a mortgage loan in forbearance is considered delinquent, we will provide loss reserves as loans in forbearance are reported to us as delinquent once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borrower has missed two consecutive payments. However, we believe providing borrowers time to recover from the adverse financial impact of the COVID-19 event may allow some families to be able to remain in their homes and avoid foreclosure. For borrowers that have the ability to begin to pay their mortgage at the end of the forbearance period, we expect that mortgage servicers will work with them to modify their loans at which time the mortgage will be removed from delinquency status.</w:t>
      </w:r>
    </w:p>
    <w:p>
      <w:pPr>
        <w:spacing w:after="0" w:line="214" w:lineRule="exact"/>
        <w:rPr>
          <w:sz w:val="20"/>
          <w:szCs w:val="20"/>
          <w:color w:val="auto"/>
        </w:rPr>
      </w:pPr>
    </w:p>
    <w:p>
      <w:pPr>
        <w:ind w:right="40" w:firstLine="180"/>
        <w:spacing w:after="0" w:line="291" w:lineRule="auto"/>
        <w:rPr>
          <w:sz w:val="20"/>
          <w:szCs w:val="20"/>
          <w:color w:val="auto"/>
        </w:rPr>
      </w:pPr>
      <w:r>
        <w:rPr>
          <w:rFonts w:ascii="Arial" w:cs="Arial" w:eastAsia="Arial" w:hAnsi="Arial"/>
          <w:sz w:val="16"/>
          <w:szCs w:val="16"/>
          <w:color w:val="auto"/>
        </w:rPr>
        <w:t>In the three and six months ended June 30, 2021, new defaults remained elevated although at lower levels than those reported in the second through fourth quarters of 2020. The impact on our reserves in future periods will be dependent upon the amount of delinquent notices received from loan servicers and our expectations for the amount of ultimate losses on these delinquencies. As noted in “— Liquidity and Capital Resources,” Essent had substantial liquidity and had Available Assets in excess of Minimum Required Assets under PMIERs 2.0 as of June 30, 2021. In order to maintain continuous MI coverage, mortgage servicers are required to advance MI premiums to us even if borrowers are in a forbearance plan. Future increases in defaults may result in an increase in our provisions for loss and loss adjustment expenses compared to prior periods, reduced profit commission under our quota share reinsurance agreement with a panel of third-party reinsurers ("the QSR Agreement") and an increase in our Minimum Required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214" w:lineRule="exact"/>
        <w:rPr>
          <w:sz w:val="20"/>
          <w:szCs w:val="20"/>
          <w:color w:val="auto"/>
        </w:rPr>
      </w:pPr>
    </w:p>
    <w:p>
      <w:pPr>
        <w:ind w:right="120" w:firstLine="177"/>
        <w:spacing w:after="0" w:line="257" w:lineRule="auto"/>
        <w:rPr>
          <w:sz w:val="20"/>
          <w:szCs w:val="20"/>
          <w:color w:val="auto"/>
        </w:rPr>
      </w:pPr>
      <w:r>
        <w:rPr>
          <w:rFonts w:ascii="Arial" w:cs="Arial" w:eastAsia="Arial" w:hAnsi="Arial"/>
          <w:sz w:val="18"/>
          <w:szCs w:val="18"/>
          <w:color w:val="auto"/>
        </w:rPr>
        <w:t>The U.S. Internal Revenue Service and Department of the Treasury published both final and newly proposed regulations in January 2021 relating to the tax treatment of passive foreign investment companies ("PFICs"). The final regulations provide guidance on various PFIC rules, including changes resulting from the 2017 Tax Cuts and Jobs Act. In addition, the Company is evaluating the potential impact of the newly proposed PFIC regulations to its shareholders and business operations. The newly proposed regulations, among other provisions, set a limit on the amount of assets that may be deemed “good assets” within the PFIC asset test of a foreign holding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Premiums associated with our U.S. mortgage insurance business are based on insurance in force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88" w:lineRule="exact"/>
        <w:rPr>
          <w:sz w:val="20"/>
          <w:szCs w:val="20"/>
          <w:color w:val="auto"/>
        </w:rPr>
      </w:pPr>
    </w:p>
    <w:p>
      <w:pPr>
        <w:ind w:left="660" w:right="120" w:hanging="328"/>
        <w:spacing w:after="0" w:line="311"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spacing w:after="0" w:line="148" w:lineRule="exact"/>
        <w:rPr>
          <w:rFonts w:ascii="Arial" w:cs="Arial" w:eastAsia="Arial" w:hAnsi="Arial"/>
          <w:sz w:val="16"/>
          <w:szCs w:val="16"/>
          <w:color w:val="auto"/>
        </w:rPr>
      </w:pPr>
    </w:p>
    <w:p>
      <w:pPr>
        <w:ind w:left="660" w:right="240" w:hanging="328"/>
        <w:spacing w:after="0" w:line="308"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46" w:lineRule="exact"/>
        <w:rPr>
          <w:rFonts w:ascii="Arial" w:cs="Arial" w:eastAsia="Arial" w:hAnsi="Arial"/>
          <w:sz w:val="17"/>
          <w:szCs w:val="17"/>
          <w:color w:val="auto"/>
        </w:rPr>
      </w:pPr>
    </w:p>
    <w:p>
      <w:pPr>
        <w:ind w:left="660" w:right="200" w:hanging="328"/>
        <w:spacing w:after="0" w:line="342"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Premiums ceded or assumed under reinsurance arrangements. See Note 4 to our condensed consolidated financial statements.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June 30, 2021 were non-refundable. Premiums collected on annual policies are recognized as net premiums earned on a straight-line basis over the year of coverage. For the six months ended June 30, 2021 and 2020, monthly premium policies comprised 95% and 90% of our NIW, respectively.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Premiums associated with our GSE and other risk share transactions are based on the level of risk in force and premium rates on the transactions.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58.3% at June 30, 2021. Generally, higher prepayment speeds lead to lower persistency.</w:t>
      </w:r>
    </w:p>
    <w:p>
      <w:pPr>
        <w:spacing w:after="0" w:line="211" w:lineRule="exact"/>
        <w:rPr>
          <w:sz w:val="20"/>
          <w:szCs w:val="20"/>
          <w:color w:val="auto"/>
        </w:rPr>
      </w:pPr>
    </w:p>
    <w:p>
      <w:pPr>
        <w:ind w:right="40" w:firstLine="693"/>
        <w:spacing w:after="0" w:line="273"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investment portfolio was predominantly comprised of investment-grade fixed income securities and money market funds as of June 30, 2021.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Other income includes revenues associated with contract underwriting services and underwriting consulting services to third-party reinsurers. The level of contract underwriting revenue is dependent upon the number of customers who have engaged us for this service and the number of loans underwritten for these customers. Revenue from underwriting consulting services to third-party reinsurers is dependent upon the number of customers who have engaged us for this service and the level of premiums associated with the transactions underwritten for these customers.</w:t>
      </w:r>
    </w:p>
    <w:p>
      <w:pPr>
        <w:spacing w:after="0" w:line="18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The services agreement provides for a flat monthly fee through November 30, 2021. The services agreement provides for two subsequent one-year renewals at Triad's option.</w:t>
      </w:r>
    </w:p>
    <w:p>
      <w:pPr>
        <w:spacing w:after="0" w:line="188" w:lineRule="exact"/>
        <w:rPr>
          <w:sz w:val="20"/>
          <w:szCs w:val="20"/>
          <w:color w:val="auto"/>
        </w:rPr>
      </w:pPr>
    </w:p>
    <w:p>
      <w:pPr>
        <w:ind w:right="100" w:firstLine="170"/>
        <w:spacing w:after="0" w:line="311" w:lineRule="auto"/>
        <w:rPr>
          <w:sz w:val="20"/>
          <w:szCs w:val="20"/>
          <w:color w:val="auto"/>
        </w:rPr>
      </w:pPr>
      <w:r>
        <w:rPr>
          <w:rFonts w:ascii="Arial" w:cs="Arial" w:eastAsia="Arial" w:hAnsi="Arial"/>
          <w:sz w:val="16"/>
          <w:szCs w:val="16"/>
          <w:color w:val="auto"/>
        </w:rPr>
        <w:t>As more fully described in Note 4 to our condensed consolidated financial statements, the premiums ceded under certain reinsurance contracts with unaffiliated third parties vary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660" w:right="20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70" w:lineRule="exact"/>
        <w:rPr>
          <w:rFonts w:ascii="Arial" w:cs="Arial" w:eastAsia="Arial" w:hAnsi="Arial"/>
          <w:sz w:val="18"/>
          <w:szCs w:val="18"/>
          <w:color w:val="auto"/>
        </w:rPr>
      </w:pPr>
    </w:p>
    <w:p>
      <w:pPr>
        <w:ind w:left="660" w:right="220" w:hanging="328"/>
        <w:spacing w:after="0" w:line="34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and amount of reinsurance coverage maintained with third parties;</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210" w:lineRule="exact"/>
        <w:rPr>
          <w:rFonts w:ascii="Arial" w:cs="Arial" w:eastAsia="Arial" w:hAnsi="Arial"/>
          <w:sz w:val="18"/>
          <w:szCs w:val="18"/>
          <w:color w:val="auto"/>
        </w:rPr>
      </w:pPr>
    </w:p>
    <w:p>
      <w:pPr>
        <w:ind w:left="660" w:right="60" w:hanging="328"/>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As of June 30, 2021, 80% of our IIF relates to business written since January 1, 2019 and was less than three years old. As a result, based on historical industry performance, we expect the number of defaults and claims we experience, as well as our provision for losses and loss adjustment expenses ("LAE"), to increase as our portfolio seasons. See “— Mortgage Insurance Earnings and Cash Flow Cycle” below.</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92" w:lineRule="exact"/>
        <w:rPr>
          <w:sz w:val="20"/>
          <w:szCs w:val="20"/>
          <w:color w:val="auto"/>
        </w:rPr>
      </w:pPr>
    </w:p>
    <w:p>
      <w:pPr>
        <w:ind w:right="80" w:firstLine="648"/>
        <w:spacing w:after="0" w:line="254" w:lineRule="auto"/>
        <w:rPr>
          <w:sz w:val="20"/>
          <w:szCs w:val="20"/>
          <w:color w:val="auto"/>
        </w:rPr>
      </w:pPr>
      <w:r>
        <w:rPr>
          <w:rFonts w:ascii="Arial" w:cs="Arial" w:eastAsia="Arial" w:hAnsi="Arial"/>
          <w:sz w:val="17"/>
          <w:szCs w:val="17"/>
          <w:color w:val="auto"/>
        </w:rPr>
        <w:t>Based upon our experience and industry data, claims incidence for mortgage insurance is generally highest in the third through sixth years after loan origination. Claims incidence for defaults associated with COVID-19 may not follow this pattern. As of June 30, 2021, 80% of our IIF relates to business written since January 1, 2019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208" w:lineRule="exact"/>
        <w:rPr>
          <w:sz w:val="20"/>
          <w:szCs w:val="20"/>
          <w:color w:val="auto"/>
        </w:rPr>
      </w:pPr>
    </w:p>
    <w:p>
      <w:pPr>
        <w:ind w:right="120" w:firstLine="180"/>
        <w:spacing w:after="0" w:line="263" w:lineRule="auto"/>
        <w:rPr>
          <w:sz w:val="20"/>
          <w:szCs w:val="20"/>
          <w:color w:val="auto"/>
        </w:rPr>
      </w:pPr>
      <w:r>
        <w:rPr>
          <w:rFonts w:ascii="Arial" w:cs="Arial" w:eastAsia="Arial" w:hAnsi="Arial"/>
          <w:sz w:val="18"/>
          <w:szCs w:val="18"/>
          <w:color w:val="auto"/>
        </w:rPr>
        <w:t>Due to business restrictions, stay-at-home orders and travel restrictions implemented in March 2020 as a result of COVID-19, unemployment in the United States increased significantly in the second quarter of 2020 and remained elevated at June 30, 2021. As unemployment is one of the most common reasons for borrowers to default on their mortgage, the increase in</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unemployment has increased the number of delinquencies on the mortgages we insure, and has the potential to increase claim frequencies on defaults. As of June 30, 2021, insured loans in default totaled 23,504 and included 21,648 defaults classified as COVID-19 defaults compared to 5,841 total defaults and no COVID-19 defaults as of March 31, 2020. For borrowers that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 Based on the forbearance programs in place and the credit characteristics of the Early COVID Defaults, we expect the ultimate number of Early COVID Defaults that result in claims will be less than our historical default-to-claim experience. We applied a lower reserve rate to the Early COVID Defaults than the rate used for defaults that had missed a comparable number of payments as of March 31, 2020 due to the sudden impact on the economy following the onset of the pandemic. The credit characteristics of defaults reported in October 2020 through June 2021 have trended towards those of the pre-pandemic periods and we have observed the normalization of other default patterns during this period. In addition, the economic conditions beginning in the fourth quarter of 2020 have been different than those experienced in the second and third quarters of 2020. We believe that while defaults in October 2020 through June 2021 were impacted by the pandemic’s effect on the economy, the underlying credit performance of these defaults may not be the same as the expected performance for Early COVID Defaults that occurred following the onset of the pandemic and these defaults are more likely to transition like pre-pandemic defaults. Accordingly, although defaults reported in October 2020 through June 2021 are classified as COVID-19 defaults, beginning in the fourth quarter of 2020, we resumed establishing reserves for defaults reported after September 30, 2020 using our normal reserve methodology. It is reasonably possible that our estimate of the losses for the COVID-19 defaults could change in the near term as a result of the continued impact of the pandemic on the economic environment, the results of existing and future governmental programs designed to assist individuals and businesses impacted by the virus and the performance of the COVID-19 defaults in the forbearance programs. As more fully described in Note 4 to our condensed consolidated financial statements, at June 30, 2021, we had approximately $2.4 billion of excess of loss reinsurance covering NIW from January 1, 2015 to March 31, 2021 and a quota share reinsurance transaction on a portion of our NIW effective September 1, 2019 through December 31, 2020. The impact on our reserves in future periods will be dependent upon the amount of delinquent notices received from loan servicers, the performance of COVID-19 defaults and our expectations for the amount of ultimate losses on these delinquencies.</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Third-Party Reinsurance</w:t>
      </w:r>
    </w:p>
    <w:p>
      <w:pPr>
        <w:spacing w:after="0" w:line="252"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ind w:right="640" w:firstLine="648"/>
        <w:spacing w:after="0" w:line="259" w:lineRule="auto"/>
        <w:rPr>
          <w:sz w:val="20"/>
          <w:szCs w:val="20"/>
          <w:color w:val="auto"/>
        </w:rPr>
      </w:pPr>
      <w:r>
        <w:rPr>
          <w:rFonts w:ascii="Arial" w:cs="Arial" w:eastAsia="Arial" w:hAnsi="Arial"/>
          <w:sz w:val="18"/>
          <w:szCs w:val="18"/>
          <w:color w:val="auto"/>
        </w:rPr>
        <w:t>Our most significant expense is compensation and benefits for our employees, which represented 62% and 60% of other underwriting and operating expenses for the three and six months ended June 30, 2021, respectively, compared to 62% and 61% of other underwriting and operating expenses for the three and six months ended June 30, 2020, respectively. Compensation and benefits expense includes base and incentive cash compensation, stock compensation expense, benefits and payroll taxes.</w:t>
      </w:r>
    </w:p>
    <w:p>
      <w:pPr>
        <w:spacing w:after="0" w:line="18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IIF, our expenses will also continue to increase.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Interest expense is incurred as a result of borrowings under our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w:t>
      </w:r>
    </w:p>
    <w:p>
      <w:pPr>
        <w:spacing w:after="0" w:line="200" w:lineRule="exact"/>
        <w:rPr>
          <w:sz w:val="20"/>
          <w:szCs w:val="20"/>
          <w:color w:val="auto"/>
        </w:rPr>
      </w:pPr>
    </w:p>
    <w:p>
      <w:pPr>
        <w:jc w:val="both"/>
        <w:ind w:right="420" w:firstLine="648"/>
        <w:spacing w:after="0" w:line="276" w:lineRule="auto"/>
        <w:rPr>
          <w:sz w:val="20"/>
          <w:szCs w:val="20"/>
          <w:color w:val="auto"/>
        </w:rPr>
      </w:pPr>
      <w:r>
        <w:rPr>
          <w:rFonts w:ascii="Arial" w:cs="Arial" w:eastAsia="Arial" w:hAnsi="Arial"/>
          <w:sz w:val="16"/>
          <w:szCs w:val="16"/>
          <w:color w:val="auto"/>
        </w:rPr>
        <w:t>Essent Group Ltd. ("Essent Group") and its wholly-owned subsidiary, Essent Re, are domiciled in Bermuda, which does not have a corporate income tax. Under a quota share reinsurance agreement, Essent Re reinsures 25% of Essent Guaranty’s NIW through December 31, 2020 and 35% of Essent Guaranty’s NIW after December 31, 2020. Essent Re also provides insurance and reinsurance to Freddie Mac and Fannie Mae.</w:t>
      </w:r>
    </w:p>
    <w:p>
      <w:pPr>
        <w:spacing w:after="0" w:line="18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amount of income tax expense or benefit recorded in future periods will be dependent on the jurisdictions in which we operate and the tax laws and regulations in effect.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The following table includes a summary of the change in our IIF for the three and six months ended June 30, 2021 and 2020 for our U.S. mortgage insurance portfolio. In addition, this table includes RIF at the end of each period.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80" w:type="dxa"/>
            <w:vAlign w:val="bottom"/>
            <w:gridSpan w:val="7"/>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2820" w:type="dxa"/>
            <w:vAlign w:val="bottom"/>
            <w:gridSpan w:val="7"/>
          </w:tcPr>
          <w:p>
            <w:pPr>
              <w:ind w:lef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8"/>
        </w:trPr>
        <w:tc>
          <w:tcPr>
            <w:tcW w:w="5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IIF,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197,091,191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165,615,503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198,882,352</w:t>
            </w: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164,005,853</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NIW - Flow</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25,004,854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28,163,212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44,258,868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41,712,511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NIW - Bulk</w:t>
            </w:r>
          </w:p>
        </w:tc>
        <w:tc>
          <w:tcPr>
            <w:tcW w:w="3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Cancellations</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(18,536,186)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(19,132,442)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(39,581,361)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2"/>
              </w:rPr>
              <w:t>(31,072,242)</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IIF, end of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203,559,859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174,646,273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203,559,859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174,646,273</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Average IIF during the period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gridSpan w:val="2"/>
            <w:vMerge w:val="continue"/>
          </w:tcPr>
          <w:p>
            <w:pPr>
              <w:spacing w:after="0"/>
              <w:rPr>
                <w:sz w:val="17"/>
                <w:szCs w:val="17"/>
                <w:color w:val="auto"/>
              </w:rPr>
            </w:pPr>
          </w:p>
        </w:tc>
        <w:tc>
          <w:tcPr>
            <w:tcW w:w="38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w w:val="95"/>
              </w:rPr>
              <w:t>199,739,297</w:t>
            </w:r>
          </w:p>
        </w:tc>
        <w:tc>
          <w:tcPr>
            <w:tcW w:w="120" w:type="dxa"/>
            <w:vAlign w:val="bottom"/>
          </w:tcPr>
          <w:p>
            <w:pPr>
              <w:spacing w:after="0"/>
              <w:rPr>
                <w:sz w:val="17"/>
                <w:szCs w:val="17"/>
                <w:color w:val="auto"/>
              </w:rPr>
            </w:pPr>
          </w:p>
        </w:tc>
        <w:tc>
          <w:tcPr>
            <w:tcW w:w="280" w:type="dxa"/>
            <w:vAlign w:val="bottom"/>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168,635,275</w:t>
            </w:r>
          </w:p>
        </w:tc>
        <w:tc>
          <w:tcPr>
            <w:tcW w:w="1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gridSpan w:val="3"/>
          </w:tcPr>
          <w:p>
            <w:pPr>
              <w:jc w:val="right"/>
              <w:ind w:right="80"/>
              <w:spacing w:after="0" w:line="203" w:lineRule="exact"/>
              <w:rPr>
                <w:sz w:val="20"/>
                <w:szCs w:val="20"/>
                <w:color w:val="auto"/>
              </w:rPr>
            </w:pPr>
            <w:r>
              <w:rPr>
                <w:rFonts w:ascii="Arial" w:cs="Arial" w:eastAsia="Arial" w:hAnsi="Arial"/>
                <w:sz w:val="18"/>
                <w:szCs w:val="18"/>
                <w:color w:val="auto"/>
              </w:rPr>
              <w:t>198,980,667</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166,865,006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RIF, end of period</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42,906,519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39,113,879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42,906,519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39,113,879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5580" w:type="dxa"/>
            <w:vAlign w:val="bottom"/>
            <w:gridSpan w:val="3"/>
          </w:tcPr>
          <w:p>
            <w:pPr>
              <w:ind w:left="660"/>
              <w:spacing w:after="0"/>
              <w:rPr>
                <w:sz w:val="20"/>
                <w:szCs w:val="20"/>
                <w:color w:val="auto"/>
              </w:rPr>
            </w:pPr>
            <w:r>
              <w:rPr>
                <w:rFonts w:ascii="Arial" w:cs="Arial" w:eastAsia="Arial" w:hAnsi="Arial"/>
                <w:sz w:val="18"/>
                <w:szCs w:val="18"/>
                <w:color w:val="auto"/>
                <w:w w:val="93"/>
              </w:rPr>
              <w:t>The following is a summary of our IIF at June 30, 2021 by vintage:</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 (through June 30)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43,471,767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91,202,454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44.8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27,678,727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12,993,723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11,454,788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2016 and prior</w:t>
            </w:r>
          </w:p>
        </w:tc>
        <w:tc>
          <w:tcPr>
            <w:tcW w:w="3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16,758,400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203,559,859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Average Net Premium Rate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average net premium rate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for NIW; and (5) premiums ceded under third-party reinsurance agreements. For each of the three and six months ended June 30, 2021, our average net premium rate was 0.41%, compared to 0.48% for each of the three and six months ended June 30, 2020. We anticipate that the continued use of third-party reinsurance along with changes to the level of future cancellations of non-refundable single premium policies and mix of IIF will reduce our average net premium rate in future periods.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Risk-to-Capital</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5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As of June 30, 2021, our combined net risk in force for our U.S. insurance companies was $29.6 billion and our combined statutory capital was $2.8 billion, resulting in a risk-to-capital ratio of 10.6 to 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Summary of Operations</w:t>
            </w: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24"/>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Net premiums written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202,287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205,904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406,648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397,647</w:t>
            </w:r>
          </w:p>
        </w:tc>
      </w:tr>
      <w:tr>
        <w:trPr>
          <w:trHeight w:val="229"/>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Decrease in unearned premiums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20,320</w:t>
            </w:r>
          </w:p>
        </w:tc>
      </w:tr>
      <w:tr>
        <w:trPr>
          <w:trHeight w:val="22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Net premiums earned</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217,437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211,471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436,504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417,967</w:t>
            </w: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40,499</w:t>
            </w: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Realized investment (losses) gains,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1,866</w:t>
            </w: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4,585</w:t>
            </w:r>
          </w:p>
        </w:tc>
      </w:tr>
      <w:tr>
        <w:trPr>
          <w:trHeight w:val="223"/>
        </w:trPr>
        <w:tc>
          <w:tcPr>
            <w:tcW w:w="52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243,261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464,917</w:t>
            </w:r>
          </w:p>
        </w:tc>
      </w:tr>
      <w:tr>
        <w:trPr>
          <w:trHeight w:val="196"/>
        </w:trPr>
        <w:tc>
          <w:tcPr>
            <w:tcW w:w="5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Losses and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losses and LAE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183,940</w:t>
            </w: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 underwriting and operating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41,114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83,353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80,766</w:t>
            </w: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4,698</w:t>
            </w:r>
          </w:p>
        </w:tc>
      </w:tr>
      <w:tr>
        <w:trPr>
          <w:trHeight w:val="223"/>
        </w:trPr>
        <w:tc>
          <w:tcPr>
            <w:tcW w:w="52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losses and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52,838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269,404</w:t>
            </w:r>
          </w:p>
        </w:tc>
      </w:tr>
      <w:tr>
        <w:trPr>
          <w:trHeight w:val="22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195,513</w:t>
            </w:r>
          </w:p>
        </w:tc>
      </w:tr>
      <w:tr>
        <w:trPr>
          <w:trHeight w:val="230"/>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30,610</w:t>
            </w:r>
          </w:p>
        </w:tc>
      </w:tr>
      <w:tr>
        <w:trPr>
          <w:trHeight w:val="248"/>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159,795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295,443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164,903</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2021 Compared to the Three and Six Months Ended June 30, 2020</w:t>
      </w:r>
    </w:p>
    <w:p>
      <w:pPr>
        <w:spacing w:after="0" w:line="229"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For the three months ended June 30, 2021, we reported net income of $159.8 million, compared to net income of $15.4 million for the three months ended June 30, 2020. For the six months ended June 30, 2021, we reported net income of $295.4 million, compared to net income of $164.9 million for the six months ended June 30, 2020. The increase in our operating results in 2021 over the same periods in 2020 was primarily due to decreases in the provision for losses and LAE and increases in net premiums earned and net investment income, partially offset by increases in income tax expense.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Net premiums earned increased in the three months ended June 30, 2021 by 3%, compared to the three months ended June 30, 2020 primarily due to the increase in our average IIF from $168.6 billion at June 30, 2020 to $199.7 billion at June 30, 2021. Net premiums earned increased in the six months ended June 30, 2021 by 4% compared to the six months ended June 30, 2020 due to the increase in our average IIF from $166.9 billion at June 30, 2020 to $199.0 billion at June 30, 2021. The average net premium rate was 0.41% for the three and six months ended June 30, 2021 and 0.48% for the three and six months ended June 30, 2020. The decrease in the average net premium rate in the three and six month periods ended June 30, 2021 was a result of an increase in ceded premiums, changes in the mix of mortgages we insure, in part due to lower persistency, changes in our pricing and a decrease in premiums earned on the cancellation of non-refundable single premium policies. In the three and six months ended June 30, 2021, ceded premiums increased to $26.7 million and $57.6 million, respectively, from $22.1 million and $36.4 million in the three and six months ended June 30, 2020, respectively, due to additional risk ceded under our QSR Agreement and new third-party reinsurance agreements entered in 2020. In the three and six months ended June 30, 2021, premiums earned on the cancellation of non-refundable single premium policies decreased to $15.6 million and $35.4 million, respectively, from $26.7 million and $41.3 million in the three and six months ended June 30, 2020, respectively, as a result of a decrease in existing borrowers refinancing their mortgages during the three months ended June 30, 2021.</w:t>
      </w:r>
    </w:p>
    <w:p>
      <w:pPr>
        <w:spacing w:after="0" w:line="16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Net premiums written decreased in the three months ended June 30, 2021 by 2%, compared to the three months ended June 30, 2020 primarily due to an increase in premiums ceded under third-party reinsurance agreements, a decrease in new single premium policies written, changes in the mix of mortgages we insure and changes in our pricing, partially offset by the increase in average IIF in the respective period. Net premiums written increased in the six months ended June 30, 2021 by 2%, compared to the six months ended June 30, 2020 primarily due to an increase in average IIF in the respective periods, partially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offset by an increase in premiums ceded under third-party reinsurance agreements, a decrease in new single premium policies written, changes in the mix of mortgages we insure and changes in our pricing.</w:t>
      </w:r>
    </w:p>
    <w:p>
      <w:pPr>
        <w:spacing w:after="0" w:line="19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the three months ended June 30, 2021 and 2020, unearned premiums decreased by $15.2 million and $5.6 million, respectively. The change in unearned premiums was a result of net premiums written on single premium policies of $12.5 million and $36.8 million, respectively, which was offset by $27.7 million and $42.4 million, respectively, of unearned premium that was recognized in earnings during the periods. In the six months ended June 30, 2021 and 2020, unearned premiums decreased by $29.9 million and $20.3 million, respectively. This was a result of net premiums written on single premium policies of $30.8 million and $52.9 million, respectively, which was offset by $60.7 million and $73.2 million, respectively, of unearned premium that was recognized in earnings during the periods.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investment income was derived from the following sources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4"/>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46,036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41,183</w:t>
            </w:r>
          </w:p>
        </w:tc>
      </w:tr>
      <w:tr>
        <w:trPr>
          <w:trHeight w:val="229"/>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r>
      <w:tr>
        <w:trPr>
          <w:trHeight w:val="22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42,663</w:t>
            </w:r>
          </w:p>
        </w:tc>
      </w:tr>
      <w:tr>
        <w:trPr>
          <w:trHeight w:val="229"/>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Investment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w:t>
            </w:r>
          </w:p>
        </w:tc>
      </w:tr>
      <w:tr>
        <w:trPr>
          <w:trHeight w:val="248"/>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40,499</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increase in net investment income for the three and six months ended June 30, 2021 as compared to the same periods in 2020 was due to the increase in the weighted average balance of our investment portfolio partially offset by a decrease in the pre-tax investment income yield. The average cash and investment portfolio balance increased to $4.7 billion for the three months ended June 30, 2021 from $3.9 billion for the three months ended June 30, 2020. The average cash and investment portfolio balance increased to $4.6 billion for the six months ended June 30, 2021 from $3.7 billion for the six months ended June 30, 2020. The increase in the average cash and investment portfolio was primarily due to investing cash flows from operations, proceeds from the public offering of common shares completed in June 2020 and increased borrowings under the Credit Facility. The pre-tax investment income yield decreased from 2.2% and 2.3% in the three and six months ended June 30, 2020, respectively, to 2.0% in each of the three and six months ended June 30, 2021, primarily due to a general decline in investment yields due to declining interest rates and an increase in premium amortization on mortgage-backed and asset-backed securities. The pre-tax investment income yields are calculated based on amortized cost and exclude investment expenses. See “— Liquidity and Capital Resources” for further details of our investment portfolio.</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200" w:firstLine="648"/>
        <w:spacing w:after="0" w:line="290" w:lineRule="auto"/>
        <w:rPr>
          <w:sz w:val="20"/>
          <w:szCs w:val="20"/>
          <w:color w:val="auto"/>
        </w:rPr>
      </w:pPr>
      <w:r>
        <w:rPr>
          <w:rFonts w:ascii="Arial" w:cs="Arial" w:eastAsia="Arial" w:hAnsi="Arial"/>
          <w:sz w:val="16"/>
          <w:szCs w:val="16"/>
          <w:color w:val="auto"/>
        </w:rPr>
        <w:t xml:space="preserve">Other income for the three months ended June 30, 2021 was $4.3 million as compared to $6.0 million for the three months ended June 30, 2020. Other income for the six months ended June 30, 2021 was $7.6 million compared to $4.6 million for the six months ended June 30, 2020. The changes in other income for the three and six months ended June 30, 2021 as compared to the comparable periods of 2020 were primarily due to changes in the fair value of the embedded derivatives contained in certain of our reinsurance agreements. In the three months ended June 30, 2021, we recorded a favorable increase in the fair value of these embedded derivatives of $1.0 million compared to a favorable increase in the fair value of the embedded derivatives of $2.5 million in the three months ended June 30, 2020. In the six months ended June 30, 2021 we recorded a net favorable increase in the fair value of the embedded derivatives of $0.3 million compared to a net unfavorable decrease of $1.7 million in </w:t>
      </w:r>
      <w:r>
        <w:rPr>
          <w:rFonts w:ascii="Arial" w:cs="Arial" w:eastAsia="Arial" w:hAnsi="Arial"/>
          <w:sz w:val="16"/>
          <w:szCs w:val="16"/>
          <w:color w:val="242021"/>
        </w:rPr>
        <w:t>the</w:t>
      </w:r>
      <w:r>
        <w:rPr>
          <w:rFonts w:ascii="Arial" w:cs="Arial" w:eastAsia="Arial" w:hAnsi="Arial"/>
          <w:sz w:val="16"/>
          <w:szCs w:val="16"/>
          <w:color w:val="auto"/>
        </w:rPr>
        <w:t xml:space="preserve"> six months ended June 30, 2020. Other income also includes Triad service fee income, contract underwriting revenues and underwriting consulting services to third-party reinsurers.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The decrease in the provision for losses and LAE in the three and six months ended June 30, 2021 as compared to the same periods in 2020 was primarily due to a decrease in new defaults reported and an increase in cure activity in the three and six months ended June 30, 2021 as compared to the comparable periods of 2020.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a rollforward of insured loans in default for our U.S. mortgage insurance portfolio for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040" w:type="dxa"/>
            <w:vAlign w:val="bottom"/>
            <w:gridSpan w:val="4"/>
          </w:tcPr>
          <w:p>
            <w:pPr>
              <w:ind w:left="540"/>
              <w:spacing w:after="0"/>
              <w:rPr>
                <w:sz w:val="20"/>
                <w:szCs w:val="20"/>
                <w:color w:val="auto"/>
              </w:rPr>
            </w:pPr>
            <w:r>
              <w:rPr>
                <w:rFonts w:ascii="Arial" w:cs="Arial" w:eastAsia="Arial" w:hAnsi="Arial"/>
                <w:sz w:val="14"/>
                <w:szCs w:val="14"/>
                <w:b w:val="1"/>
                <w:bCs w:val="1"/>
                <w:color w:val="auto"/>
              </w:rPr>
              <w:t>Three Months Ended June 30,</w:t>
            </w:r>
          </w:p>
        </w:tc>
        <w:tc>
          <w:tcPr>
            <w:tcW w:w="2980" w:type="dxa"/>
            <w:vAlign w:val="bottom"/>
            <w:gridSpan w:val="3"/>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22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default inventory</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Plus: new defaults</w:t>
            </w:r>
          </w:p>
        </w:tc>
        <w:tc>
          <w:tcPr>
            <w:tcW w:w="1420" w:type="dxa"/>
            <w:vAlign w:val="bottom"/>
          </w:tcPr>
          <w:p>
            <w:pPr>
              <w:jc w:val="right"/>
              <w:spacing w:after="0"/>
              <w:rPr>
                <w:sz w:val="20"/>
                <w:szCs w:val="20"/>
                <w:color w:val="auto"/>
              </w:rPr>
            </w:pPr>
            <w:r>
              <w:rPr>
                <w:rFonts w:ascii="Arial" w:cs="Arial" w:eastAsia="Arial" w:hAnsi="Arial"/>
                <w:sz w:val="18"/>
                <w:szCs w:val="18"/>
                <w:color w:val="auto"/>
              </w:rPr>
              <w:t>4,934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37,357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12,356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41,290</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Less: claims paid</w:t>
            </w: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rescissions and denials, net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Ending default inventory</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23,504</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38,068</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23,504</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38,068</w:t>
            </w:r>
          </w:p>
        </w:tc>
      </w:tr>
      <w:tr>
        <w:trPr>
          <w:trHeight w:val="21"/>
        </w:trPr>
        <w:tc>
          <w:tcPr>
            <w:tcW w:w="5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2021, the ending default inventory included 21,648 defaults classified as COVID-19 defaults.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additional information about our loans in default as of the dates indicated for our U.S. mortgage insurance portfolio:</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As of June 30,</w:t>
            </w:r>
          </w:p>
        </w:tc>
        <w:tc>
          <w:tcPr>
            <w:tcW w:w="1120" w:type="dxa"/>
            <w:vAlign w:val="bottom"/>
            <w:tcBorders>
              <w:bottom w:val="single" w:sz="8" w:color="auto"/>
            </w:tcBorders>
          </w:tcPr>
          <w:p>
            <w:pPr>
              <w:spacing w:after="0"/>
              <w:rPr>
                <w:sz w:val="16"/>
                <w:szCs w:val="16"/>
                <w:color w:val="auto"/>
              </w:rPr>
            </w:pPr>
          </w:p>
        </w:tc>
      </w:tr>
      <w:tr>
        <w:trPr>
          <w:trHeight w:val="187"/>
        </w:trPr>
        <w:tc>
          <w:tcPr>
            <w:tcW w:w="77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Case reserves (in thousands) </w:t>
            </w:r>
            <w:r>
              <w:rPr>
                <w:rFonts w:ascii="Arial" w:cs="Arial" w:eastAsia="Arial" w:hAnsi="Arial"/>
                <w:sz w:val="18"/>
                <w:szCs w:val="18"/>
                <w:b w:val="1"/>
                <w:bCs w:val="1"/>
                <w:color w:val="auto"/>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387,690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227,786</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 xml:space="preserve">Total reserves (in thousands) </w:t>
            </w:r>
            <w:r>
              <w:rPr>
                <w:rFonts w:ascii="Arial" w:cs="Arial" w:eastAsia="Arial" w:hAnsi="Arial"/>
                <w:sz w:val="18"/>
                <w:szCs w:val="18"/>
                <w:b w:val="1"/>
                <w:bCs w:val="1"/>
                <w:color w:val="auto"/>
              </w:rPr>
              <w:t>(1)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420,482</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250,862</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default inventory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23,504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38,068</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Average case reserve per default (in thousands)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6.0</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total reserve per default (in thousands)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6.6</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Default rate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2.96 %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5.19 %</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Claims received included in ending default inventory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36" w:lineRule="exact"/>
        <w:rPr>
          <w:sz w:val="20"/>
          <w:szCs w:val="20"/>
          <w:color w:val="auto"/>
        </w:rPr>
      </w:pPr>
    </w:p>
    <w:p>
      <w:pPr>
        <w:ind w:left="660" w:right="280" w:hanging="328"/>
        <w:spacing w:after="0" w:line="277" w:lineRule="auto"/>
        <w:tabs>
          <w:tab w:leader="none" w:pos="6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U.S. mortgage insurance portfolio reserves exclude reserves on GSE and other risk share risk in force at Essent Re of $1.4 million and $28 thousand as of June 30, 2021 and 2020, respectively.</w:t>
      </w:r>
    </w:p>
    <w:p>
      <w:pPr>
        <w:spacing w:after="0" w:line="184" w:lineRule="exact"/>
        <w:rPr>
          <w:sz w:val="20"/>
          <w:szCs w:val="20"/>
          <w:color w:val="auto"/>
        </w:rPr>
      </w:pPr>
    </w:p>
    <w:p>
      <w:pPr>
        <w:ind w:firstLine="648"/>
        <w:spacing w:after="0" w:line="235" w:lineRule="auto"/>
        <w:rPr>
          <w:sz w:val="20"/>
          <w:szCs w:val="20"/>
          <w:color w:val="auto"/>
        </w:rPr>
      </w:pPr>
      <w:r>
        <w:rPr>
          <w:rFonts w:ascii="Arial" w:cs="Arial" w:eastAsia="Arial" w:hAnsi="Arial"/>
          <w:sz w:val="17"/>
          <w:szCs w:val="17"/>
          <w:color w:val="auto"/>
        </w:rPr>
        <w:t>The increase in the average case reserve per default was primarily due to cure activity for Early COVID Defaults. Based on the forbearance programs in place and the credit characteristics of the defaulted loans, we expect the ultimate number of Early COVID Defaults that result in claims will be less than our historical default-to-claim experience. Accordingly, we recorded a reserve equal to approximately 7% of the risk in force for the Early COVID Defaults. We have not adjusted the loss reserves associated with the Early COVID Defaults as we continue to believe that these reserves represent the best estimate of the ultimate loss. As a result of cure activity for the Early COVID Defaults during the six months ended June 30, 2021, the average reserve per Early COVID Default has increased from approximately 16% as of December 31, 2020 to approximately 24% as of June 30, 2021. The credit characteristics of defaults reported in October 2020 through June 2021 have trended towards those of the pre-pandemic periods and we have observed the normalization of other default patterns during this period. In addition, the economic conditions during the fourth quarter of 2020 through the second quarter of 2021 have been different than those experienced in the second and third quarters of 2020. We believe that while defaults in October 2020 through June 2021 were impacted by the pandemic’s effect on the economy, the underlying credit performance of these defaults may not be the same as the expected performance for the Early COVID Defaults that occurred following the onset of the pandemic and defaults after September 30, 2020 are more likely to transition like pre-pandemic defaults. Accordingly, beginning in the fourth quarter of 2020, we resumed establishing reserves for defaults reported after September 30, 2020 using our normal reserve methodology. The reserve for losses and LAE on COVID-19 defaults was $380.7 million at June 30, 2021 and includes $244.0 million of reserves for Early COVID Defaults.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the beginning and ending reserve balances for losses and LAE: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2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24"/>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Reserve for losses and LAE at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411,123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73,341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374,941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69,362</w:t>
            </w:r>
          </w:p>
        </w:tc>
      </w:tr>
      <w:tr>
        <w:trPr>
          <w:trHeight w:val="229"/>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Reinsurance recoverables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reserve for losses and LAE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69,291</w:t>
            </w:r>
          </w:p>
        </w:tc>
      </w:tr>
      <w:tr>
        <w:trPr>
          <w:trHeight w:val="20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Add provision for losses and LAE occurring in:</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period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197,195</w:t>
            </w:r>
          </w:p>
        </w:tc>
      </w:tr>
      <w:tr>
        <w:trPr>
          <w:trHeight w:val="229"/>
        </w:trPr>
        <w:tc>
          <w:tcPr>
            <w:tcW w:w="5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Prior years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(13,255)</w:t>
            </w:r>
          </w:p>
        </w:tc>
      </w:tr>
      <w:tr>
        <w:trPr>
          <w:trHeight w:val="22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Incurred losses and LAE during the current period</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183,940</w:t>
            </w:r>
          </w:p>
        </w:tc>
      </w:tr>
      <w:tr>
        <w:trPr>
          <w:trHeight w:val="20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Deduct payments for losses and LAE occurring in:</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period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5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Prior years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9,813</w:t>
            </w:r>
          </w:p>
        </w:tc>
      </w:tr>
      <w:tr>
        <w:trPr>
          <w:trHeight w:val="22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and LAE payments during the current period</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10,102</w:t>
            </w:r>
          </w:p>
        </w:tc>
      </w:tr>
      <w:tr>
        <w:trPr>
          <w:trHeight w:val="223"/>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Net reserve for losses and LAE at end of period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394,586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243,129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394,586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243,129</w:t>
            </w: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Plus: Reinsurance recoverables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7,761</w:t>
            </w:r>
          </w:p>
        </w:tc>
      </w:tr>
      <w:tr>
        <w:trPr>
          <w:trHeight w:val="223"/>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Reserve for losses and LAE at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250,890</w:t>
            </w: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tables provide a detail of reserves and defaulted RIF by the number of missed payments and pending claims for our U.S. mortgage insurance portfolio:</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As of June 30, 2021</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Number of</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Percentage of</w:t>
            </w:r>
          </w:p>
        </w:tc>
        <w:tc>
          <w:tcPr>
            <w:tcW w:w="140" w:type="dxa"/>
            <w:vAlign w:val="bottom"/>
          </w:tcPr>
          <w:p>
            <w:pPr>
              <w:spacing w:after="0"/>
              <w:rPr>
                <w:sz w:val="11"/>
                <w:szCs w:val="11"/>
                <w:color w:val="auto"/>
              </w:rPr>
            </w:pP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Amount of</w:t>
            </w:r>
          </w:p>
        </w:tc>
        <w:tc>
          <w:tcPr>
            <w:tcW w:w="120" w:type="dxa"/>
            <w:vAlign w:val="bottom"/>
          </w:tcPr>
          <w:p>
            <w:pPr>
              <w:spacing w:after="0"/>
              <w:rPr>
                <w:sz w:val="11"/>
                <w:szCs w:val="11"/>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Percentage of</w:t>
            </w:r>
          </w:p>
        </w:tc>
        <w:tc>
          <w:tcPr>
            <w:tcW w:w="180" w:type="dxa"/>
            <w:vAlign w:val="bottom"/>
          </w:tcPr>
          <w:p>
            <w:pPr>
              <w:spacing w:after="0"/>
              <w:rPr>
                <w:sz w:val="11"/>
                <w:szCs w:val="11"/>
                <w:color w:val="auto"/>
              </w:rPr>
            </w:pPr>
          </w:p>
        </w:tc>
        <w:tc>
          <w:tcPr>
            <w:tcW w:w="9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0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Reserves as a</w:t>
            </w:r>
          </w:p>
        </w:tc>
        <w:tc>
          <w:tcPr>
            <w:tcW w:w="0" w:type="dxa"/>
            <w:vAlign w:val="bottom"/>
          </w:tcPr>
          <w:p>
            <w:pPr>
              <w:spacing w:after="0"/>
              <w:rPr>
                <w:sz w:val="1"/>
                <w:szCs w:val="1"/>
                <w:color w:val="auto"/>
              </w:rPr>
            </w:pPr>
          </w:p>
        </w:tc>
      </w:tr>
      <w:tr>
        <w:trPr>
          <w:trHeight w:val="135"/>
        </w:trPr>
        <w:tc>
          <w:tcPr>
            <w:tcW w:w="3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Policies in</w:t>
            </w: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88"/>
        </w:trPr>
        <w:tc>
          <w:tcPr>
            <w:tcW w:w="3400" w:type="dxa"/>
            <w:vAlign w:val="bottom"/>
            <w:gridSpan w:val="3"/>
            <w:vMerge w:val="continue"/>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Default</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Default</w:t>
            </w:r>
          </w:p>
        </w:tc>
        <w:tc>
          <w:tcPr>
            <w:tcW w:w="140" w:type="dxa"/>
            <w:vAlign w:val="bottom"/>
          </w:tcPr>
          <w:p>
            <w:pPr>
              <w:spacing w:after="0"/>
              <w:rPr>
                <w:sz w:val="16"/>
                <w:szCs w:val="16"/>
                <w:color w:val="auto"/>
              </w:rPr>
            </w:pPr>
          </w:p>
        </w:tc>
        <w:tc>
          <w:tcPr>
            <w:tcW w:w="880" w:type="dxa"/>
            <w:vAlign w:val="bottom"/>
          </w:tcPr>
          <w:p>
            <w:pPr>
              <w:jc w:val="right"/>
              <w:ind w:right="155"/>
              <w:spacing w:after="0"/>
              <w:rPr>
                <w:sz w:val="20"/>
                <w:szCs w:val="20"/>
                <w:color w:val="auto"/>
              </w:rPr>
            </w:pPr>
            <w:r>
              <w:rPr>
                <w:rFonts w:ascii="Arial" w:cs="Arial" w:eastAsia="Arial" w:hAnsi="Arial"/>
                <w:sz w:val="14"/>
                <w:szCs w:val="14"/>
                <w:b w:val="1"/>
                <w:bCs w:val="1"/>
                <w:color w:val="auto"/>
                <w:w w:val="99"/>
              </w:rPr>
              <w:t>Reserves</w:t>
            </w: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Reserves</w:t>
            </w:r>
          </w:p>
        </w:tc>
        <w:tc>
          <w:tcPr>
            <w:tcW w:w="180" w:type="dxa"/>
            <w:vAlign w:val="bottom"/>
          </w:tcPr>
          <w:p>
            <w:pPr>
              <w:spacing w:after="0"/>
              <w:rPr>
                <w:sz w:val="16"/>
                <w:szCs w:val="16"/>
                <w:color w:val="auto"/>
              </w:rPr>
            </w:pPr>
          </w:p>
        </w:tc>
        <w:tc>
          <w:tcPr>
            <w:tcW w:w="920" w:type="dxa"/>
            <w:vAlign w:val="bottom"/>
          </w:tcPr>
          <w:p>
            <w:pPr>
              <w:jc w:val="right"/>
              <w:ind w:right="335"/>
              <w:spacing w:after="0"/>
              <w:rPr>
                <w:sz w:val="20"/>
                <w:szCs w:val="20"/>
                <w:color w:val="auto"/>
              </w:rPr>
            </w:pPr>
            <w:r>
              <w:rPr>
                <w:rFonts w:ascii="Arial" w:cs="Arial" w:eastAsia="Arial" w:hAnsi="Arial"/>
                <w:sz w:val="14"/>
                <w:szCs w:val="14"/>
                <w:b w:val="1"/>
                <w:bCs w:val="1"/>
                <w:color w:val="auto"/>
              </w:rPr>
              <w:t>RIF</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9"/>
              </w:rPr>
              <w:t>Defaulted RIF</w:t>
            </w:r>
          </w:p>
        </w:tc>
        <w:tc>
          <w:tcPr>
            <w:tcW w:w="0" w:type="dxa"/>
            <w:vAlign w:val="bottom"/>
          </w:tcPr>
          <w:p>
            <w:pPr>
              <w:spacing w:after="0"/>
              <w:rPr>
                <w:sz w:val="1"/>
                <w:szCs w:val="1"/>
                <w:color w:val="auto"/>
              </w:rPr>
            </w:pPr>
          </w:p>
        </w:tc>
      </w:tr>
      <w:tr>
        <w:trPr>
          <w:trHeight w:val="224"/>
        </w:trPr>
        <w:tc>
          <w:tcPr>
            <w:tcW w:w="32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Missed payments: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gridSpan w:val="3"/>
          </w:tcPr>
          <w:p>
            <w:pPr>
              <w:ind w:left="140"/>
              <w:spacing w:after="0"/>
              <w:rPr>
                <w:sz w:val="20"/>
                <w:szCs w:val="20"/>
                <w:color w:val="auto"/>
              </w:rPr>
            </w:pPr>
            <w:r>
              <w:rPr>
                <w:rFonts w:ascii="Arial" w:cs="Arial" w:eastAsia="Arial" w:hAnsi="Arial"/>
                <w:sz w:val="18"/>
                <w:szCs w:val="18"/>
                <w:color w:val="auto"/>
              </w:rPr>
              <w:t>Three payments or less</w:t>
            </w:r>
          </w:p>
        </w:tc>
        <w:tc>
          <w:tcPr>
            <w:tcW w:w="1080" w:type="dxa"/>
            <w:vAlign w:val="bottom"/>
          </w:tcPr>
          <w:p>
            <w:pPr>
              <w:jc w:val="right"/>
              <w:spacing w:after="0"/>
              <w:rPr>
                <w:sz w:val="20"/>
                <w:szCs w:val="20"/>
                <w:color w:val="auto"/>
              </w:rPr>
            </w:pPr>
            <w:r>
              <w:rPr>
                <w:rFonts w:ascii="Arial" w:cs="Arial" w:eastAsia="Arial" w:hAnsi="Arial"/>
                <w:sz w:val="18"/>
                <w:szCs w:val="18"/>
                <w:color w:val="auto"/>
              </w:rPr>
              <w:t>3,926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25,915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234,604</w:t>
            </w: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w w:val="92"/>
              </w:rPr>
              <w:t>11 %</w:t>
            </w: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Four to eleven payments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147,383</w:t>
            </w:r>
          </w:p>
        </w:tc>
        <w:tc>
          <w:tcPr>
            <w:tcW w:w="14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585,390</w:t>
            </w:r>
          </w:p>
        </w:tc>
        <w:tc>
          <w:tcPr>
            <w:tcW w:w="14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400" w:type="dxa"/>
            <w:vAlign w:val="bottom"/>
            <w:gridSpan w:val="3"/>
          </w:tcPr>
          <w:p>
            <w:pPr>
              <w:ind w:left="140"/>
              <w:spacing w:after="0"/>
              <w:rPr>
                <w:sz w:val="20"/>
                <w:szCs w:val="20"/>
                <w:color w:val="auto"/>
              </w:rPr>
            </w:pPr>
            <w:r>
              <w:rPr>
                <w:rFonts w:ascii="Arial" w:cs="Arial" w:eastAsia="Arial" w:hAnsi="Arial"/>
                <w:sz w:val="18"/>
                <w:szCs w:val="18"/>
                <w:color w:val="auto"/>
              </w:rPr>
              <w:t>Twelve or more payments</w:t>
            </w:r>
          </w:p>
        </w:tc>
        <w:tc>
          <w:tcPr>
            <w:tcW w:w="1080" w:type="dxa"/>
            <w:vAlign w:val="bottom"/>
          </w:tcPr>
          <w:p>
            <w:pPr>
              <w:jc w:val="right"/>
              <w:spacing w:after="0"/>
              <w:rPr>
                <w:sz w:val="20"/>
                <w:szCs w:val="20"/>
                <w:color w:val="auto"/>
              </w:rPr>
            </w:pPr>
            <w:r>
              <w:rPr>
                <w:rFonts w:ascii="Arial" w:cs="Arial" w:eastAsia="Arial" w:hAnsi="Arial"/>
                <w:sz w:val="18"/>
                <w:szCs w:val="18"/>
                <w:color w:val="auto"/>
              </w:rPr>
              <w:t>10,217</w:t>
            </w:r>
          </w:p>
        </w:tc>
        <w:tc>
          <w:tcPr>
            <w:tcW w:w="10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212,634</w:t>
            </w:r>
          </w:p>
        </w:tc>
        <w:tc>
          <w:tcPr>
            <w:tcW w:w="1460" w:type="dxa"/>
            <w:vAlign w:val="bottom"/>
            <w:gridSpan w:val="2"/>
          </w:tcPr>
          <w:p>
            <w:pPr>
              <w:jc w:val="right"/>
              <w:ind w:right="139"/>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680,733</w:t>
            </w: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Pending claims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4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3400" w:type="dxa"/>
            <w:vAlign w:val="bottom"/>
            <w:gridSpan w:val="3"/>
          </w:tcPr>
          <w:p>
            <w:pPr>
              <w:ind w:left="220"/>
              <w:spacing w:after="0"/>
              <w:rPr>
                <w:sz w:val="20"/>
                <w:szCs w:val="20"/>
                <w:color w:val="auto"/>
              </w:rPr>
            </w:pPr>
            <w:r>
              <w:rPr>
                <w:rFonts w:ascii="Arial" w:cs="Arial" w:eastAsia="Arial" w:hAnsi="Arial"/>
                <w:sz w:val="18"/>
                <w:szCs w:val="18"/>
                <w:color w:val="auto"/>
              </w:rPr>
              <w:t xml:space="preserve">Total case reserves </w:t>
            </w:r>
            <w:r>
              <w:rPr>
                <w:rFonts w:ascii="Arial" w:cs="Arial" w:eastAsia="Arial" w:hAnsi="Arial"/>
                <w:sz w:val="18"/>
                <w:szCs w:val="18"/>
                <w:b w:val="1"/>
                <w:bCs w:val="1"/>
                <w:color w:val="auto"/>
              </w:rPr>
              <w:t>(1)</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23,504</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387,690</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1,502,866</w:t>
            </w: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IBNR</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29,077</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LAE</w:t>
            </w: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3,715</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 xml:space="preserve">Total reserves for losses and LAE </w:t>
            </w:r>
            <w:r>
              <w:rPr>
                <w:rFonts w:ascii="Arial" w:cs="Arial" w:eastAsia="Arial" w:hAnsi="Arial"/>
                <w:sz w:val="18"/>
                <w:szCs w:val="18"/>
                <w:b w:val="1"/>
                <w:bCs w:val="1"/>
                <w:color w:val="auto"/>
              </w:rPr>
              <w:t>(1)</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420,482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80" w:type="dxa"/>
            <w:vAlign w:val="bottom"/>
            <w:tcBorders>
              <w:bottom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520" w:hanging="328"/>
        <w:spacing w:after="0" w:line="277" w:lineRule="auto"/>
        <w:tabs>
          <w:tab w:leader="none" w:pos="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 mortgage insurance portfolio reserves exclude reserves on GSE and other risk share risk in force at Essent Re of $1.4 million as of June 30,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As of June 30, 2020</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Number of</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Percentage of</w:t>
            </w:r>
          </w:p>
        </w:tc>
        <w:tc>
          <w:tcPr>
            <w:tcW w:w="140" w:type="dxa"/>
            <w:vAlign w:val="bottom"/>
          </w:tcPr>
          <w:p>
            <w:pPr>
              <w:spacing w:after="0"/>
              <w:rPr>
                <w:sz w:val="11"/>
                <w:szCs w:val="11"/>
                <w:color w:val="auto"/>
              </w:rPr>
            </w:pP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Amount of</w:t>
            </w:r>
          </w:p>
        </w:tc>
        <w:tc>
          <w:tcPr>
            <w:tcW w:w="120" w:type="dxa"/>
            <w:vAlign w:val="bottom"/>
          </w:tcPr>
          <w:p>
            <w:pPr>
              <w:spacing w:after="0"/>
              <w:rPr>
                <w:sz w:val="11"/>
                <w:szCs w:val="11"/>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Percentage of</w:t>
            </w:r>
          </w:p>
        </w:tc>
        <w:tc>
          <w:tcPr>
            <w:tcW w:w="180" w:type="dxa"/>
            <w:vAlign w:val="bottom"/>
          </w:tcPr>
          <w:p>
            <w:pPr>
              <w:spacing w:after="0"/>
              <w:rPr>
                <w:sz w:val="11"/>
                <w:szCs w:val="11"/>
                <w:color w:val="auto"/>
              </w:rPr>
            </w:pPr>
          </w:p>
        </w:tc>
        <w:tc>
          <w:tcPr>
            <w:tcW w:w="9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0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Reserves as a</w:t>
            </w:r>
          </w:p>
        </w:tc>
        <w:tc>
          <w:tcPr>
            <w:tcW w:w="0" w:type="dxa"/>
            <w:vAlign w:val="bottom"/>
          </w:tcPr>
          <w:p>
            <w:pPr>
              <w:spacing w:after="0"/>
              <w:rPr>
                <w:sz w:val="1"/>
                <w:szCs w:val="1"/>
                <w:color w:val="auto"/>
              </w:rPr>
            </w:pPr>
          </w:p>
        </w:tc>
      </w:tr>
      <w:tr>
        <w:trPr>
          <w:trHeight w:val="135"/>
        </w:trPr>
        <w:tc>
          <w:tcPr>
            <w:tcW w:w="3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Policies in</w:t>
            </w: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88"/>
        </w:trPr>
        <w:tc>
          <w:tcPr>
            <w:tcW w:w="3400" w:type="dxa"/>
            <w:vAlign w:val="bottom"/>
            <w:gridSpan w:val="3"/>
            <w:vMerge w:val="continue"/>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Default</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Default</w:t>
            </w:r>
          </w:p>
        </w:tc>
        <w:tc>
          <w:tcPr>
            <w:tcW w:w="140" w:type="dxa"/>
            <w:vAlign w:val="bottom"/>
          </w:tcPr>
          <w:p>
            <w:pPr>
              <w:spacing w:after="0"/>
              <w:rPr>
                <w:sz w:val="16"/>
                <w:szCs w:val="16"/>
                <w:color w:val="auto"/>
              </w:rPr>
            </w:pPr>
          </w:p>
        </w:tc>
        <w:tc>
          <w:tcPr>
            <w:tcW w:w="880" w:type="dxa"/>
            <w:vAlign w:val="bottom"/>
          </w:tcPr>
          <w:p>
            <w:pPr>
              <w:jc w:val="right"/>
              <w:ind w:right="155"/>
              <w:spacing w:after="0"/>
              <w:rPr>
                <w:sz w:val="20"/>
                <w:szCs w:val="20"/>
                <w:color w:val="auto"/>
              </w:rPr>
            </w:pPr>
            <w:r>
              <w:rPr>
                <w:rFonts w:ascii="Arial" w:cs="Arial" w:eastAsia="Arial" w:hAnsi="Arial"/>
                <w:sz w:val="14"/>
                <w:szCs w:val="14"/>
                <w:b w:val="1"/>
                <w:bCs w:val="1"/>
                <w:color w:val="auto"/>
                <w:w w:val="99"/>
              </w:rPr>
              <w:t>Reserves</w:t>
            </w: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Reserves</w:t>
            </w:r>
          </w:p>
        </w:tc>
        <w:tc>
          <w:tcPr>
            <w:tcW w:w="180" w:type="dxa"/>
            <w:vAlign w:val="bottom"/>
          </w:tcPr>
          <w:p>
            <w:pPr>
              <w:spacing w:after="0"/>
              <w:rPr>
                <w:sz w:val="16"/>
                <w:szCs w:val="16"/>
                <w:color w:val="auto"/>
              </w:rPr>
            </w:pPr>
          </w:p>
        </w:tc>
        <w:tc>
          <w:tcPr>
            <w:tcW w:w="920" w:type="dxa"/>
            <w:vAlign w:val="bottom"/>
          </w:tcPr>
          <w:p>
            <w:pPr>
              <w:jc w:val="right"/>
              <w:ind w:right="335"/>
              <w:spacing w:after="0"/>
              <w:rPr>
                <w:sz w:val="20"/>
                <w:szCs w:val="20"/>
                <w:color w:val="auto"/>
              </w:rPr>
            </w:pPr>
            <w:r>
              <w:rPr>
                <w:rFonts w:ascii="Arial" w:cs="Arial" w:eastAsia="Arial" w:hAnsi="Arial"/>
                <w:sz w:val="14"/>
                <w:szCs w:val="14"/>
                <w:b w:val="1"/>
                <w:bCs w:val="1"/>
                <w:color w:val="auto"/>
              </w:rPr>
              <w:t>RIF</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9"/>
              </w:rPr>
              <w:t>Defaulted RIF</w:t>
            </w:r>
          </w:p>
        </w:tc>
        <w:tc>
          <w:tcPr>
            <w:tcW w:w="0" w:type="dxa"/>
            <w:vAlign w:val="bottom"/>
          </w:tcPr>
          <w:p>
            <w:pPr>
              <w:spacing w:after="0"/>
              <w:rPr>
                <w:sz w:val="1"/>
                <w:szCs w:val="1"/>
                <w:color w:val="auto"/>
              </w:rPr>
            </w:pPr>
          </w:p>
        </w:tc>
      </w:tr>
      <w:tr>
        <w:trPr>
          <w:trHeight w:val="224"/>
        </w:trPr>
        <w:tc>
          <w:tcPr>
            <w:tcW w:w="32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Missed payments: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ind w:left="140"/>
              <w:spacing w:after="0"/>
              <w:rPr>
                <w:sz w:val="20"/>
                <w:szCs w:val="20"/>
                <w:color w:val="auto"/>
              </w:rPr>
            </w:pPr>
            <w:r>
              <w:rPr>
                <w:rFonts w:ascii="Arial" w:cs="Arial" w:eastAsia="Arial" w:hAnsi="Arial"/>
                <w:sz w:val="18"/>
                <w:szCs w:val="18"/>
                <w:color w:val="auto"/>
              </w:rPr>
              <w:t>Three payments or less</w:t>
            </w:r>
          </w:p>
        </w:tc>
        <w:tc>
          <w:tcPr>
            <w:tcW w:w="1080" w:type="dxa"/>
            <w:vAlign w:val="bottom"/>
          </w:tcPr>
          <w:p>
            <w:pPr>
              <w:jc w:val="right"/>
              <w:spacing w:after="0"/>
              <w:rPr>
                <w:sz w:val="20"/>
                <w:szCs w:val="20"/>
                <w:color w:val="auto"/>
              </w:rPr>
            </w:pPr>
            <w:r>
              <w:rPr>
                <w:rFonts w:ascii="Arial" w:cs="Arial" w:eastAsia="Arial" w:hAnsi="Arial"/>
                <w:sz w:val="18"/>
                <w:szCs w:val="18"/>
                <w:color w:val="auto"/>
              </w:rPr>
              <w:t>33,514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166,897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73 %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2,233,678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3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Four to eleven payments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39,028</w:t>
            </w:r>
          </w:p>
        </w:tc>
        <w:tc>
          <w:tcPr>
            <w:tcW w:w="14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234,152</w:t>
            </w:r>
          </w:p>
        </w:tc>
        <w:tc>
          <w:tcPr>
            <w:tcW w:w="1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400" w:type="dxa"/>
            <w:vAlign w:val="bottom"/>
            <w:gridSpan w:val="3"/>
          </w:tcPr>
          <w:p>
            <w:pPr>
              <w:ind w:left="140"/>
              <w:spacing w:after="0"/>
              <w:rPr>
                <w:sz w:val="20"/>
                <w:szCs w:val="20"/>
                <w:color w:val="auto"/>
              </w:rPr>
            </w:pPr>
            <w:r>
              <w:rPr>
                <w:rFonts w:ascii="Arial" w:cs="Arial" w:eastAsia="Arial" w:hAnsi="Arial"/>
                <w:sz w:val="18"/>
                <w:szCs w:val="18"/>
                <w:color w:val="auto"/>
              </w:rPr>
              <w:t>Twelve or more payments</w:t>
            </w:r>
          </w:p>
        </w:tc>
        <w:tc>
          <w:tcPr>
            <w:tcW w:w="108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18,590</w:t>
            </w:r>
          </w:p>
        </w:tc>
        <w:tc>
          <w:tcPr>
            <w:tcW w:w="1460" w:type="dxa"/>
            <w:vAlign w:val="bottom"/>
            <w:gridSpan w:val="2"/>
          </w:tcPr>
          <w:p>
            <w:pPr>
              <w:jc w:val="right"/>
              <w:ind w:right="14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36,694</w:t>
            </w:r>
          </w:p>
        </w:tc>
        <w:tc>
          <w:tcPr>
            <w:tcW w:w="1480" w:type="dxa"/>
            <w:vAlign w:val="bottom"/>
            <w:gridSpan w:val="2"/>
          </w:tcPr>
          <w:p>
            <w:pPr>
              <w:jc w:val="right"/>
              <w:ind w:right="148"/>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Pending claims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14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1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3400" w:type="dxa"/>
            <w:vAlign w:val="bottom"/>
            <w:gridSpan w:val="3"/>
          </w:tcPr>
          <w:p>
            <w:pPr>
              <w:ind w:left="220"/>
              <w:spacing w:after="0"/>
              <w:rPr>
                <w:sz w:val="20"/>
                <w:szCs w:val="20"/>
                <w:color w:val="auto"/>
              </w:rPr>
            </w:pPr>
            <w:r>
              <w:rPr>
                <w:rFonts w:ascii="Arial" w:cs="Arial" w:eastAsia="Arial" w:hAnsi="Arial"/>
                <w:sz w:val="18"/>
                <w:szCs w:val="18"/>
                <w:color w:val="auto"/>
              </w:rPr>
              <w:t xml:space="preserve">Total case reserves </w:t>
            </w:r>
            <w:r>
              <w:rPr>
                <w:rFonts w:ascii="Arial" w:cs="Arial" w:eastAsia="Arial" w:hAnsi="Arial"/>
                <w:sz w:val="18"/>
                <w:szCs w:val="18"/>
                <w:b w:val="1"/>
                <w:bCs w:val="1"/>
                <w:color w:val="auto"/>
              </w:rPr>
              <w:t>(2)</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38,068</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227,786</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2,508,370</w:t>
            </w:r>
          </w:p>
        </w:tc>
        <w:tc>
          <w:tcPr>
            <w:tcW w:w="1480" w:type="dxa"/>
            <w:vAlign w:val="bottom"/>
            <w:gridSpan w:val="2"/>
          </w:tcPr>
          <w:p>
            <w:pPr>
              <w:jc w:val="right"/>
              <w:ind w:right="148"/>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IBNR</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17,084</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LAE</w:t>
            </w: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5,992</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 xml:space="preserve">Total reserves for losses and LAE </w:t>
            </w:r>
            <w:r>
              <w:rPr>
                <w:rFonts w:ascii="Arial" w:cs="Arial" w:eastAsia="Arial" w:hAnsi="Arial"/>
                <w:sz w:val="18"/>
                <w:szCs w:val="18"/>
                <w:b w:val="1"/>
                <w:bCs w:val="1"/>
                <w:color w:val="auto"/>
              </w:rPr>
              <w:t>(2)</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250,862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80" w:type="dxa"/>
            <w:vAlign w:val="bottom"/>
            <w:tcBorders>
              <w:bottom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420" w:hanging="328"/>
        <w:spacing w:after="0" w:line="277" w:lineRule="auto"/>
        <w:tabs>
          <w:tab w:leader="none" w:pos="6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U.S. mortgage insurance portfolio reserves exclude reserves on GSE and other risk share risk in force at Essent Re of $28 thousand as of June 30, 2020.</w:t>
      </w:r>
    </w:p>
    <w:p>
      <w:pPr>
        <w:spacing w:after="0" w:line="19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During the three months ended June 30, 2021, the provision for losses and LAE was $9.7 million, comprised of $24.6 million of current year losses partially offset by $15.0 million of favorable prior years’ loss development. During the three months ended June 30, 2020, the provision for losses and LAE was $175.9 million, comprised of $181.8 million of current year losses partially offset by $5.9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21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six months ended June 30, 2021, the provision for losses and LAE was $42.0 million, comprised of $72.6 million of current year losses partially offset by $30.6 million of favorable prior years’ loss development. During the six months ended June 30, 2020, the provision for losses and LAE was $183.9 million, comprised of $197.2 million of current year losses partially offset by $13.3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claims paid and claim severity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8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9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4"/>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Number of claims paid</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262</w:t>
            </w:r>
          </w:p>
        </w:tc>
      </w:tr>
      <w:tr>
        <w:trPr>
          <w:trHeight w:val="229"/>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Amount of claims paid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5"/>
              <w:spacing w:after="0"/>
              <w:rPr>
                <w:sz w:val="20"/>
                <w:szCs w:val="20"/>
                <w:color w:val="auto"/>
              </w:rPr>
            </w:pPr>
            <w:r>
              <w:rPr>
                <w:rFonts w:ascii="Arial" w:cs="Arial" w:eastAsia="Arial" w:hAnsi="Arial"/>
                <w:sz w:val="18"/>
                <w:szCs w:val="18"/>
                <w:color w:val="auto"/>
              </w:rPr>
              <w:t>5,718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3,143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9,875</w:t>
            </w:r>
          </w:p>
        </w:tc>
      </w:tr>
      <w:tr>
        <w:trPr>
          <w:trHeight w:val="23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Claim severity</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4"/>
                <w:szCs w:val="14"/>
                <w:b w:val="1"/>
                <w:bCs w:val="1"/>
                <w:color w:val="auto"/>
                <w:w w:val="95"/>
              </w:rPr>
              <w:t>Three Months Ended June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2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5"/>
                <w:szCs w:val="15"/>
                <w:color w:val="auto"/>
              </w:rPr>
            </w:pPr>
          </w:p>
        </w:tc>
        <w:tc>
          <w:tcPr>
            <w:tcW w:w="720" w:type="dxa"/>
            <w:vAlign w:val="bottom"/>
          </w:tcPr>
          <w:p>
            <w:pPr>
              <w:jc w:val="right"/>
              <w:ind w:right="37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23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39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5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37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right"/>
              <w:ind w:right="25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ind w:right="37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50,390</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29"/>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Premium taxes</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3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9,052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jc w:val="right"/>
              <w:ind w:right="1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3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23,911</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55"/>
        </w:trPr>
        <w:tc>
          <w:tcPr>
            <w:tcW w:w="322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Total other underwriting and operating</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41,114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38,819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83,353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3"/>
                <w:szCs w:val="13"/>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80,766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32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expenses</w:t>
            </w:r>
          </w:p>
        </w:tc>
        <w:tc>
          <w:tcPr>
            <w:tcW w:w="26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Number of employees at end of period</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jc w:val="right"/>
              <w:ind w:right="135"/>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33"/>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20" w:hanging="328"/>
        <w:spacing w:after="0" w:line="311"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Compensation and benefits increased in the three and six months ended June 30, 2021 as compared to the three and six months ended June 30, 2020 due to an increase in salaries, wages and bonuses primarily due to an increase in stock compensation expense largely due to shares granted in 2020 and 2021. Compensation and benefits includes salaries, wages and bonus, stock compensation expense, benefits and payroll taxes.</w:t>
      </w:r>
    </w:p>
    <w:p>
      <w:pPr>
        <w:spacing w:after="0" w:line="17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Premium taxes decreased primarily due to a decrease in our effective premium tax rate.</w:t>
      </w:r>
    </w:p>
    <w:p>
      <w:pPr>
        <w:spacing w:after="0" w:line="252"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expenses increased primarily as a result of an increase in professional fees partially offset by an increase in ceding commission earned under the QSR Agreement and lower travel expenses. Other expenses include professional fees, travel, marketing, hardware, software, rent, depreciation and amortization and other facilities expenses.</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For the three and six months ended June 30, 2021, we incurred interest expense of $2.1 million and $4.1 million, respectively, as compared to $2.6 million and $4.7 million for the three and six months ended June 30, 2020, respectively. Interest expense decreased primarily due to a decrease in the average amounts outstanding under the Credit Facility and a decrease in the weighted average interest rate for borrowings outstanding. For the three and six months ended June 30, 2021, the average amount outstanding under the Credit Facility was $327.7 million and $326.4 million, respectively, as compared to $425.0 million and $330.5 million for the three and six months ended June 30, 2020, respectively. For the three and six months ended June 30, 2021, the borrowings under the Credit Facility had a weighted average interest rate of 2.29% and 2.30%, respectively, as compared to 2.30% and 2.61% for the three and six months ended June 30, 2020, respectively.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subsidiaries in the United States file a consolidated U.S. Federal income tax return. Our income tax expense was $30.6 million and $3.4 million for the three months ended June 30, 2021 and 2020, respectively, and $63.2 million and $30.6 million for the six months ended June 30, 2021 and 2020, respectively. The provision for income taxes for the six months ended June 30, 2021 was calculated using an estimated annual effective tax rate of 16.0%. The provision for income taxes for the six months ended June 30, 2020 was based on the actual effective tax rate of 15.7% for the year to date period due to the uncertainty regarding the potential impacts of COVID-19 on our results of operations. For the six months ended June 30, 2021, income tax expense includes $5.7 million of discrete tax expense associated with an increase in the estimate of our beginning of the year deferred state income tax liability. For the six months ended June 30, 2020, income tax expense was reduced by excess tax benefits associated with the vesting of common shares and common share units of $0.6 million. The tax effects associated with the increase to our deferred state income tax liability is treated as a discrete item in the reporting period in which it occurs and is not considered in determining the 2021 annual effective tax rate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borrowings under our Credit Facility;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obligations consist primarily of:</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claim payments under our policies;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payments and repayment of borrowings under our Credit Facility;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repurchase of common shares under the share repurchase plan approved by our Board of Directors;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payment of dividends on our common shares.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June 30, 2021, we had substantial liquidity with cash of $142.1 million, short-term investments of $372.3 million and fixed maturity investments of $4.4 billion. We also had $300 million available capacity under the revolving credit component of our Credit Facility, with $325 million of borrowings outstanding under our Credit Facility. Borrowings under the Credit Facility contractually mature on October 16, 2023. At June 30, 2021, net cash and investments at the holding company were $509.8 million.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June 30, 2021.</w:t>
      </w:r>
    </w:p>
    <w:p>
      <w:pPr>
        <w:spacing w:after="0" w:line="21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57" w:lineRule="exact"/>
        <w:rPr>
          <w:sz w:val="20"/>
          <w:szCs w:val="20"/>
          <w:color w:val="auto"/>
        </w:rPr>
      </w:pPr>
    </w:p>
    <w:p>
      <w:pPr>
        <w:ind w:firstLine="648"/>
        <w:spacing w:after="0" w:line="225" w:lineRule="auto"/>
        <w:rPr>
          <w:sz w:val="20"/>
          <w:szCs w:val="20"/>
          <w:color w:val="auto"/>
        </w:rPr>
      </w:pPr>
      <w:r>
        <w:rPr>
          <w:rFonts w:ascii="Arial" w:cs="Arial" w:eastAsia="Arial" w:hAnsi="Arial"/>
          <w:sz w:val="18"/>
          <w:szCs w:val="18"/>
          <w:color w:val="auto"/>
        </w:rPr>
        <w:t>While the Company and all of its subsidiaries are expected to have sufficient liquidity to meet all their expected obligations, additional capital may be required to meet any new capital requirements that are adopted by regulatory authorities or the GSEs, to respond to changes in the business or economic environment related to COVID-19, to provide additional capital related to the growth of our risk in force in our mortgage insurance portfolio, or to fund new business initiatives. We regularly review potential investments and acquisitions, some of which may be material, that, if consummated, would expand our existing business or result in new lines of business, and at any given time we may be in discussions concerning possible transactions.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39" w:lineRule="exact"/>
        <w:rPr>
          <w:sz w:val="20"/>
          <w:szCs w:val="20"/>
          <w:color w:val="auto"/>
        </w:rPr>
      </w:pPr>
    </w:p>
    <w:p>
      <w:pPr>
        <w:ind w:right="20" w:firstLine="648"/>
        <w:spacing w:after="0" w:line="235" w:lineRule="auto"/>
        <w:rPr>
          <w:sz w:val="20"/>
          <w:szCs w:val="20"/>
          <w:color w:val="auto"/>
        </w:rPr>
      </w:pPr>
      <w:r>
        <w:rPr>
          <w:rFonts w:ascii="Arial" w:cs="Arial" w:eastAsia="Arial" w:hAnsi="Arial"/>
          <w:sz w:val="17"/>
          <w:szCs w:val="17"/>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For 2021, Essent Guaranty has dividend capacity of $312.1 million and Essent PA has dividend capacity of $5.4 million. The Pennsylvania statute also requires that dividends and other distributions be paid out of positive unassigned surplus without prior approval. At June 30, 2021, Essent Guaranty had unassigned surplus of approximately $343.0 million and Essent PA had unassigned surplus of approximately $16.4 million. As a result of PMIERs guidance issued by the GSEs, Essent Guaranty may pay a dividend without prior GSE approval in the three months ended September 30, 2021 as long as the dividend payment would not cause its Available Assets to fall below 150% of its Minimum Required Assets. In addition, the guidance specifies that Essent Guaranty and may pay a dividend without prior GSE approval in the three months ended December 31, 2021 as long as the dividend payment would not cause its Available Assets to fall below 115% of its Minimum Required Assets.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June 30, 2021, Essent Re had total equity of $1.2 billion. In connection with its insurance and reinsurance activities, Essent Re is required to maintain assets in trusts for the benefit of its contractual counterparties. See Note 3 to our condensed consolidated financial statements. At June 30, 2021, our insurance subsidiaries were in compliance with these rules, regulations and agreements.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76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6"/>
                <w:szCs w:val="16"/>
                <w:color w:val="auto"/>
              </w:rPr>
            </w:pPr>
          </w:p>
        </w:tc>
        <w:tc>
          <w:tcPr>
            <w:tcW w:w="1320" w:type="dxa"/>
            <w:vAlign w:val="bottom"/>
          </w:tcPr>
          <w:p>
            <w:pPr>
              <w:jc w:val="right"/>
              <w:ind w:right="63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224"/>
        </w:trPr>
        <w:tc>
          <w:tcPr>
            <w:tcW w:w="7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339,795</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345,785</w:t>
            </w:r>
          </w:p>
        </w:tc>
      </w:tr>
      <w:tr>
        <w:trPr>
          <w:trHeight w:val="229"/>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(239,516)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(944,893)</w:t>
            </w:r>
          </w:p>
        </w:tc>
      </w:tr>
      <w:tr>
        <w:trPr>
          <w:trHeight w:val="22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600,545</w:t>
            </w:r>
          </w:p>
        </w:tc>
      </w:tr>
      <w:tr>
        <w:trPr>
          <w:trHeight w:val="223"/>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Net increase in cash</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39,310</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w:t>
            </w: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Cash flow provided by operating activities totaled $339.8 million for the six months ended June 30, 2021, as compared to $345.8 million for the six months ended June 30, 2020. The decrease in cash flow provided by operating activities was primarily due to an increase in income tax payments and higher T&amp;L Bond purchases in 2021, largely offset by an increase in premiums collected.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Cash flow used in investing activities totaled $239.5 million and $944.9 million for the six months ended June 30, 2021 and 2020, respectively. In both periods, cash flow used in investing activities related to investing cash flows from operations. Additionally, in 2020 cash flow used in investing activities included investing $440 million of net proceeds from the completion of a public offering of common shares in June and $200 million of increased borrowings under the Credit Facility.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Cash flow used in financing activities totaled $61.0 million for the six months ended June 30, 2021, primarily related to the quarterly cash dividends paid in March and June, repurchases of common stock as part of our share repurchase plan and treasury stock acquired from employees to satisfy tax withholding obligations. Cash flow provided by financing activities totaled $600.5 million for the six months ended June 30, 2020 primarily related to $440 million of net proceeds from the completion of a public offering of common shares in June and $200 million of increased borrowings under the Credit Facility, partially offset by the quarterly cash dividends paid in March and June and treasury stock acquired from employees to satisfy tax withholding obligations.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20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During the six months ended June 30, 2021, no capital contributions were made to our U.S. insurance subsidiaries and Essent Guaranty paid a dividend to Essent US Holdings, Inc. of $100 million.</w:t>
      </w:r>
    </w:p>
    <w:p>
      <w:pPr>
        <w:spacing w:after="0" w:line="197" w:lineRule="exact"/>
        <w:rPr>
          <w:sz w:val="20"/>
          <w:szCs w:val="20"/>
          <w:color w:val="auto"/>
        </w:rPr>
      </w:pPr>
    </w:p>
    <w:p>
      <w:pPr>
        <w:ind w:right="100" w:firstLine="180"/>
        <w:spacing w:after="0" w:line="296" w:lineRule="auto"/>
        <w:rPr>
          <w:sz w:val="20"/>
          <w:szCs w:val="20"/>
          <w:color w:val="auto"/>
        </w:rPr>
      </w:pPr>
      <w:r>
        <w:rPr>
          <w:rFonts w:ascii="Arial" w:cs="Arial" w:eastAsia="Arial" w:hAnsi="Arial"/>
          <w:sz w:val="16"/>
          <w:szCs w:val="16"/>
          <w:color w:val="auto"/>
        </w:rPr>
        <w:t>Essent Guaranty has entered into reinsurance agreements that provide excess of loss reinsurance coverage for new defaults on portfolios of mortgage insurance policies issued in 2015 through March 31, 2021. The aggregate excess of loss reinsurance coverages decrease over a ten-year period as the underlying covered mortgages amortize. Based on the level of delinquencies reported to us, the insurance-linked note transactions (the "ILNs") that Essent Guaranty has entered into prior to March 31, 2020 became subject to a "trigger event" as of June 25, 2020. The aggregate excess of loss reinsurance coverage will not amortize during the continuation of a trigger event. Effective September 1, 2019, Essent Guaranty entered into a quota share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reinsurance agreement with a panel of third-party reinsurers (the "QSR Agreement"). Under the QSR Agreement,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60% that varies directly and inversely with ceded claims. These reinsurance coverages also reduces net risk in force and PMIERs Minimum Required Assets. See Note 4 to our condensed consolidated financial statements.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combined risk-to-capital calculation for our U.S. insurance subsidiaries as of June 30, 2021 was as follows:</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Combined statutory capital:</w:t>
      </w:r>
    </w:p>
    <w:p>
      <w:pPr>
        <w:ind w:left="2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Policyholders’ surplus</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1,103,784</w:t>
            </w:r>
          </w:p>
        </w:tc>
        <w:tc>
          <w:tcPr>
            <w:tcW w:w="0" w:type="dxa"/>
            <w:vAlign w:val="bottom"/>
          </w:tcPr>
          <w:p>
            <w:pPr>
              <w:spacing w:after="0"/>
              <w:rPr>
                <w:sz w:val="1"/>
                <w:szCs w:val="1"/>
                <w:color w:val="auto"/>
              </w:rPr>
            </w:pPr>
          </w:p>
        </w:tc>
      </w:tr>
      <w:tr>
        <w:trPr>
          <w:trHeight w:val="230"/>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Contingency reserves</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1,705,303</w:t>
            </w:r>
          </w:p>
        </w:tc>
        <w:tc>
          <w:tcPr>
            <w:tcW w:w="0" w:type="dxa"/>
            <w:vAlign w:val="bottom"/>
          </w:tcPr>
          <w:p>
            <w:pPr>
              <w:spacing w:after="0"/>
              <w:rPr>
                <w:sz w:val="1"/>
                <w:szCs w:val="1"/>
                <w:color w:val="auto"/>
              </w:rPr>
            </w:pP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Combined statutory capital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2,809,087</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Combined net risk in force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20" w:type="dxa"/>
            <w:vAlign w:val="bottom"/>
            <w:tcBorders>
              <w:bottom w:val="single" w:sz="8" w:color="CCEEFF"/>
            </w:tcBorders>
            <w:vMerge w:val="continue"/>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29,646,042</w:t>
            </w:r>
          </w:p>
        </w:tc>
        <w:tc>
          <w:tcPr>
            <w:tcW w:w="0" w:type="dxa"/>
            <w:vAlign w:val="bottom"/>
          </w:tcPr>
          <w:p>
            <w:pPr>
              <w:spacing w:after="0"/>
              <w:rPr>
                <w:sz w:val="1"/>
                <w:szCs w:val="1"/>
                <w:color w:val="auto"/>
              </w:rPr>
            </w:pP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Combined risk-to-capital ratio</w:t>
            </w:r>
          </w:p>
        </w:tc>
        <w:tc>
          <w:tcPr>
            <w:tcW w:w="5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For additional information regarding regulatory capital, see Note 14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6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Essent Re has entered into GSE and other risk share transactions, including insurance and reinsurance transactions with Freddie Mac and Fannie Mae. Under a quota share reinsurance agreement, Essent Re reinsures 25% of Essent Guaranty’s NIW through December 31, 2020 and 35% of Essent Guaranty’s NIW after December 31, 2020. During the six months ended June 30, 2021 and 2020, Essent Re paid no dividends to Essent Group and Essent Group made no capital contributions to Essent Re. As of June 30, 2021, Essent Re had total stockholders’ equity of $1.2 billion and net risk in force of $14.3 billion.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The insurer financial strength rating of Essent Guaranty, our principal mortgage insurance subsidiary, is rated A3 with a stable outlook by Moody’s Investors Service (“Moody's”), BBB+ with a stable outlook by S&amp;P and A (Excellent) with stable outlook by A.M. Best. The insurer financial strength rating of Essent Re is BBB+ with a stable outlook by S&amp;P and A (Excellent) with stable outlook by A.M. Best.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June 30, 2021, Essent Guaranty, our GSE-approved mortgage insurance company, was in compliance with PMIERs 2.0. As of June 30, 2021, Essent Guaranty's Available Assets were $3.02 billion and its Minimum Required Assets were $1.73 billion based on our interpretation of PMIERs 2.0.</w:t>
      </w:r>
    </w:p>
    <w:p>
      <w:pPr>
        <w:spacing w:after="0" w:line="193" w:lineRule="exact"/>
        <w:rPr>
          <w:sz w:val="20"/>
          <w:szCs w:val="20"/>
          <w:color w:val="auto"/>
        </w:rPr>
      </w:pPr>
    </w:p>
    <w:p>
      <w:pPr>
        <w:ind w:right="180" w:firstLine="180"/>
        <w:spacing w:after="0" w:line="259" w:lineRule="auto"/>
        <w:rPr>
          <w:sz w:val="20"/>
          <w:szCs w:val="20"/>
          <w:color w:val="auto"/>
        </w:rPr>
      </w:pPr>
      <w:r>
        <w:rPr>
          <w:rFonts w:ascii="Arial" w:cs="Arial" w:eastAsia="Arial" w:hAnsi="Arial"/>
          <w:sz w:val="18"/>
          <w:szCs w:val="18"/>
          <w:color w:val="auto"/>
        </w:rPr>
        <w:t>Under PMIERs guidance issued by the GSEs effective June 30, 2020, Essent will apply a 0.30 multiplier to the risk-based required asset amount factor for each insured loan in default backed by a property located in a Federal Emergency Management Agency (“FEMA”) Declared Major Disaster Area eligible for Individual Assistance and that either 1) is subject to a forbearance plan granted in response to a FEMA Declared Major Disaster, the terms of which are materially consistent with</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a non-performing primary mortgage guaranty insurance loan for no longer than three calendar months beginning with the month the loan becomes a non-performing primary mortgage guaranty insurance loan by reaching two missed monthly payments absent a forbearance plan described in 1) above. Further, under temporary provisions provided by the PMIERs guidance, Essent will apply a 0.30 multiplier to the risk-based required asset amount factor for each insured loan in default backed by a property that has an initial missed payment occurring on or after March 1, 2020 and prior to April 1, 2021 (COVID-19 Crisis Period). The 0.30 multiplier will be applicable for insured loans in default 1) subject to a forbearance plan granted in response to a financial hardship related to COVID-19 (which shall be assumed to be the case for any loan that has an initial missed payment occurring during the COVID-19 Crisis Period and is subject to a forbearance plan, repayment plan or loan modification trial period), the terms of which are materially consistent with terms offered by Fannie Mae or Freddie Mac or 2) for no longer than three calendar months beginning with the month the loan becomes a non-performing primary mortgage guaranty insurance loan by reaching two missed monthly payments. The 21,648 COVID-19 defaults included in our June 30, 2021 default inventory fall into categories 1) and 2) above and received the 0.30 multiplier in calculating the PMIERs required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As of June 30, 2021, stockholders’ equity was $4.08 billion, compared to $3.86 billion as of December 31, 2020. Stockholders' equity increased primarily due to net income generated in 2021 partially offset by dividends paid, a decrease in accumulated other comprehensive income related to a decrease in our net unrealized investment gains and the repurchase of common shares under our share repurchase plan.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right="300" w:firstLine="648"/>
        <w:spacing w:after="0" w:line="311" w:lineRule="auto"/>
        <w:rPr>
          <w:sz w:val="20"/>
          <w:szCs w:val="20"/>
          <w:color w:val="auto"/>
        </w:rPr>
      </w:pPr>
      <w:r>
        <w:rPr>
          <w:rFonts w:ascii="Arial" w:cs="Arial" w:eastAsia="Arial" w:hAnsi="Arial"/>
          <w:sz w:val="16"/>
          <w:szCs w:val="16"/>
          <w:color w:val="auto"/>
        </w:rPr>
        <w:t>As of June 30, 2021, investments totaled $4.9 billion compared to $4.7 billion as of December 31, 2020. In addition, our total cash was $142.1 million as of June 30, 2021, compared to $102.8 million as of December 31, 2020. The increase in investments was primarily due to investing net cash flows from operations during the six months ended June 30, 2021 partially offset by a decrease in our net unrealized investment gains.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Investments Available for Sale by Asset Class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 Class</w:t>
            </w:r>
          </w:p>
        </w:tc>
        <w:tc>
          <w:tcPr>
            <w:tcW w:w="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w w:val="98"/>
              </w:rPr>
              <w:t>June 30, 2021</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11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8"/>
        </w:trPr>
        <w:tc>
          <w:tcPr>
            <w:tcW w:w="4240" w:type="dxa"/>
            <w:vAlign w:val="bottom"/>
            <w:gridSpan w:val="4"/>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6"/>
                <w:szCs w:val="16"/>
                <w:color w:val="auto"/>
              </w:rPr>
            </w:pPr>
          </w:p>
        </w:tc>
        <w:tc>
          <w:tcPr>
            <w:tcW w:w="1920" w:type="dxa"/>
            <w:vAlign w:val="bottom"/>
            <w:gridSpan w:val="3"/>
          </w:tcPr>
          <w:p>
            <w:pPr>
              <w:ind w:left="160"/>
              <w:spacing w:after="0"/>
              <w:rPr>
                <w:sz w:val="20"/>
                <w:szCs w:val="20"/>
                <w:color w:val="auto"/>
              </w:rPr>
            </w:pPr>
            <w:r>
              <w:rPr>
                <w:rFonts w:ascii="Arial" w:cs="Arial" w:eastAsia="Arial" w:hAnsi="Arial"/>
                <w:sz w:val="14"/>
                <w:szCs w:val="14"/>
                <w:b w:val="1"/>
                <w:bCs w:val="1"/>
                <w:color w:val="auto"/>
              </w:rPr>
              <w:t>Fair Value</w:t>
            </w: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Percent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4"/>
          </w:tcPr>
          <w:p>
            <w:pPr>
              <w:ind w:left="20"/>
              <w:spacing w:after="0"/>
              <w:rPr>
                <w:sz w:val="20"/>
                <w:szCs w:val="20"/>
                <w:color w:val="auto"/>
              </w:rPr>
            </w:pPr>
            <w:r>
              <w:rPr>
                <w:rFonts w:ascii="Arial" w:cs="Arial" w:eastAsia="Arial" w:hAnsi="Arial"/>
                <w:sz w:val="14"/>
                <w:szCs w:val="14"/>
                <w:b w:val="1"/>
                <w:bCs w:val="1"/>
                <w:color w:val="auto"/>
              </w:rPr>
              <w:t>Fair Value</w:t>
            </w: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24"/>
        </w:trPr>
        <w:tc>
          <w:tcPr>
            <w:tcW w:w="41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289,961</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268,444</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30"/>
        </w:trPr>
        <w:tc>
          <w:tcPr>
            <w:tcW w:w="4240" w:type="dxa"/>
            <w:vAlign w:val="bottom"/>
            <w:gridSpan w:val="4"/>
          </w:tcPr>
          <w:p>
            <w:pPr>
              <w:ind w:left="20"/>
              <w:spacing w:after="0"/>
              <w:rPr>
                <w:sz w:val="20"/>
                <w:szCs w:val="20"/>
                <w:color w:val="auto"/>
              </w:rPr>
            </w:pPr>
            <w:r>
              <w:rPr>
                <w:rFonts w:ascii="Arial" w:cs="Arial" w:eastAsia="Arial" w:hAnsi="Arial"/>
                <w:sz w:val="18"/>
                <w:szCs w:val="18"/>
                <w:color w:val="auto"/>
              </w:rPr>
              <w:t>U.S. agency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16,088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1,006,655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995,905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tcPr>
          <w:p>
            <w:pPr>
              <w:ind w:left="20"/>
              <w:spacing w:after="0"/>
              <w:rPr>
                <w:sz w:val="20"/>
                <w:szCs w:val="20"/>
                <w:color w:val="auto"/>
              </w:rPr>
            </w:pPr>
            <w:r>
              <w:rPr>
                <w:rFonts w:ascii="Arial" w:cs="Arial" w:eastAsia="Arial" w:hAnsi="Arial"/>
                <w:sz w:val="18"/>
                <w:szCs w:val="18"/>
                <w:color w:val="auto"/>
              </w:rPr>
              <w:t>Municipal debt securities(1)</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580,894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551,517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tcPr>
          <w:p>
            <w:pPr>
              <w:ind w:left="20"/>
              <w:spacing w:after="0"/>
              <w:rPr>
                <w:sz w:val="20"/>
                <w:szCs w:val="20"/>
                <w:color w:val="auto"/>
              </w:rPr>
            </w:pPr>
            <w:r>
              <w:rPr>
                <w:rFonts w:ascii="Arial" w:cs="Arial" w:eastAsia="Arial" w:hAnsi="Arial"/>
                <w:sz w:val="18"/>
                <w:szCs w:val="18"/>
                <w:color w:val="auto"/>
              </w:rPr>
              <w:t>Corporate debt securities(2)</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1,551,712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1,126,512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461,985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409,282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tcPr>
          <w:p>
            <w:pPr>
              <w:ind w:left="2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456,069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454,717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301,436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679,304</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4,746,328</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4,565,373</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2"/>
              </w:rPr>
              <w:t>June 30,</w:t>
            </w:r>
          </w:p>
        </w:tc>
        <w:tc>
          <w:tcPr>
            <w:tcW w:w="15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92"/>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15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43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(1) The following table summarizes municipal debt securities as of :</w:t>
            </w: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9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77.1 %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Tax allocation bonds</w:t>
            </w:r>
          </w:p>
        </w:tc>
        <w:tc>
          <w:tcPr>
            <w:tcW w:w="3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20" w:type="dxa"/>
            <w:vAlign w:val="bottom"/>
          </w:tcPr>
          <w:p>
            <w:pPr>
              <w:spacing w:after="0"/>
              <w:rPr>
                <w:sz w:val="21"/>
                <w:szCs w:val="21"/>
                <w:color w:val="auto"/>
              </w:rPr>
            </w:pPr>
          </w:p>
        </w:tc>
        <w:tc>
          <w:tcPr>
            <w:tcW w:w="40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June 30,</w:t>
            </w: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43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(2) The following table summarizes corporate debt securities as of :</w:t>
            </w: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9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34.3 %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Consumer, non-cyclical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Industrial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Consumer, cyclical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Energy</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Utilities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Government</w:t>
            </w:r>
          </w:p>
        </w:tc>
        <w:tc>
          <w:tcPr>
            <w:tcW w:w="3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20" w:type="dxa"/>
            <w:vAlign w:val="bottom"/>
          </w:tcPr>
          <w:p>
            <w:pPr>
              <w:spacing w:after="0"/>
              <w:rPr>
                <w:sz w:val="21"/>
                <w:szCs w:val="21"/>
                <w:color w:val="auto"/>
              </w:rPr>
            </w:pPr>
          </w:p>
        </w:tc>
        <w:tc>
          <w:tcPr>
            <w:tcW w:w="40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Investments Available for Sale by Rating</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gridSpan w:val="3"/>
          </w:tcPr>
          <w:p>
            <w:pPr>
              <w:ind w:left="20"/>
              <w:spacing w:after="0"/>
              <w:rPr>
                <w:sz w:val="20"/>
                <w:szCs w:val="20"/>
                <w:color w:val="auto"/>
              </w:rPr>
            </w:pPr>
            <w:r>
              <w:rPr>
                <w:rFonts w:ascii="Arial" w:cs="Arial" w:eastAsia="Arial" w:hAnsi="Arial"/>
                <w:sz w:val="14"/>
                <w:szCs w:val="14"/>
                <w:b w:val="1"/>
                <w:bCs w:val="1"/>
                <w:color w:val="auto"/>
              </w:rPr>
              <w:t>Rating(1)</w:t>
            </w:r>
          </w:p>
        </w:tc>
        <w:tc>
          <w:tcPr>
            <w:tcW w:w="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June 30, 2021</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3"/>
              </w:rPr>
              <w:t>December 31, 2020</w:t>
            </w:r>
          </w:p>
        </w:tc>
        <w:tc>
          <w:tcPr>
            <w:tcW w:w="1180" w:type="dxa"/>
            <w:vAlign w:val="bottom"/>
            <w:tcBorders>
              <w:bottom w:val="single" w:sz="8" w:color="auto"/>
            </w:tcBorders>
          </w:tcPr>
          <w:p>
            <w:pPr>
              <w:spacing w:after="0"/>
              <w:rPr>
                <w:sz w:val="16"/>
                <w:szCs w:val="16"/>
                <w:color w:val="auto"/>
              </w:rPr>
            </w:pPr>
          </w:p>
        </w:tc>
      </w:tr>
      <w:tr>
        <w:trPr>
          <w:trHeight w:val="188"/>
        </w:trPr>
        <w:tc>
          <w:tcPr>
            <w:tcW w:w="400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6"/>
                <w:szCs w:val="16"/>
                <w:color w:val="auto"/>
              </w:rPr>
            </w:pPr>
          </w:p>
        </w:tc>
        <w:tc>
          <w:tcPr>
            <w:tcW w:w="2000" w:type="dxa"/>
            <w:vAlign w:val="bottom"/>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240" w:type="dxa"/>
            <w:vAlign w:val="bottom"/>
          </w:tcPr>
          <w:p>
            <w:pPr>
              <w:jc w:val="right"/>
              <w:ind w:right="571"/>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Pr>
          <w:p>
            <w:pPr>
              <w:jc w:val="right"/>
              <w:ind w:right="591"/>
              <w:spacing w:after="0"/>
              <w:rPr>
                <w:sz w:val="20"/>
                <w:szCs w:val="20"/>
                <w:color w:val="auto"/>
              </w:rPr>
            </w:pPr>
            <w:r>
              <w:rPr>
                <w:rFonts w:ascii="Arial" w:cs="Arial" w:eastAsia="Arial" w:hAnsi="Arial"/>
                <w:sz w:val="14"/>
                <w:szCs w:val="14"/>
                <w:b w:val="1"/>
                <w:bCs w:val="1"/>
                <w:color w:val="auto"/>
                <w:w w:val="93"/>
              </w:rPr>
              <w:t>Percent</w:t>
            </w:r>
          </w:p>
        </w:tc>
      </w:tr>
      <w:tr>
        <w:trPr>
          <w:trHeight w:val="224"/>
        </w:trPr>
        <w:tc>
          <w:tcPr>
            <w:tcW w:w="38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2,251,468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2,564,746</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56.2 %</w:t>
            </w:r>
          </w:p>
        </w:tc>
      </w:tr>
      <w:tr>
        <w:trPr>
          <w:trHeight w:val="230"/>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Aa1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105,851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133,100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2.9</w:t>
            </w:r>
          </w:p>
        </w:tc>
      </w:tr>
      <w:tr>
        <w:trPr>
          <w:trHeight w:val="229"/>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Aa2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291,517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260,462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5.7</w:t>
            </w:r>
          </w:p>
        </w:tc>
      </w:tr>
      <w:tr>
        <w:trPr>
          <w:trHeight w:val="229"/>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Aa3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226,011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204,917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4.5</w:t>
            </w:r>
          </w:p>
        </w:tc>
      </w:tr>
      <w:tr>
        <w:trPr>
          <w:trHeight w:val="230"/>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A1</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306,340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249,710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5.5</w:t>
            </w:r>
          </w:p>
        </w:tc>
      </w:tr>
      <w:tr>
        <w:trPr>
          <w:trHeight w:val="229"/>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A2</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477,726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401,175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8.8</w:t>
            </w:r>
          </w:p>
        </w:tc>
      </w:tr>
      <w:tr>
        <w:trPr>
          <w:trHeight w:val="230"/>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A3</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283,669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229,882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5.0</w:t>
            </w:r>
          </w:p>
        </w:tc>
      </w:tr>
      <w:tr>
        <w:trPr>
          <w:trHeight w:val="229"/>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Baa1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314,072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260,602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5.7</w:t>
            </w:r>
          </w:p>
        </w:tc>
      </w:tr>
      <w:tr>
        <w:trPr>
          <w:trHeight w:val="229"/>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Baa2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272,914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178,926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3.9</w:t>
            </w:r>
          </w:p>
        </w:tc>
      </w:tr>
      <w:tr>
        <w:trPr>
          <w:trHeight w:val="230"/>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Baa3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150,425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48,199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1.1</w:t>
            </w:r>
          </w:p>
        </w:tc>
      </w:tr>
      <w:tr>
        <w:trPr>
          <w:trHeight w:val="229"/>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Below Baa3</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33,654</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0.7</w:t>
            </w:r>
          </w:p>
        </w:tc>
      </w:tr>
      <w:tr>
        <w:trPr>
          <w:trHeight w:val="223"/>
        </w:trPr>
        <w:tc>
          <w:tcPr>
            <w:tcW w:w="40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4,746,328</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4,565,373</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r>
      <w:tr>
        <w:trPr>
          <w:trHeight w:val="20"/>
        </w:trPr>
        <w:tc>
          <w:tcPr>
            <w:tcW w:w="2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56"/>
        </w:trPr>
        <w:tc>
          <w:tcPr>
            <w:tcW w:w="2180" w:type="dxa"/>
            <w:vAlign w:val="bottom"/>
            <w:tcBorders>
              <w:bottom w:val="single" w:sz="8" w:color="auto"/>
            </w:tcBorders>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spacing w:after="0" w:line="80"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Ratings ("Fitch") rating utilized if Moody’s not available.</w:t>
      </w:r>
    </w:p>
    <w:p>
      <w:pPr>
        <w:spacing w:after="0" w:line="221" w:lineRule="exact"/>
        <w:rPr>
          <w:rFonts w:ascii="Arial" w:cs="Arial" w:eastAsia="Arial" w:hAnsi="Arial"/>
          <w:sz w:val="18"/>
          <w:szCs w:val="18"/>
          <w:color w:val="auto"/>
        </w:rPr>
      </w:pPr>
    </w:p>
    <w:p>
      <w:pPr>
        <w:ind w:left="3600"/>
        <w:spacing w:after="0"/>
        <w:rPr>
          <w:rFonts w:ascii="Arial" w:cs="Arial" w:eastAsia="Arial" w:hAnsi="Arial"/>
          <w:sz w:val="18"/>
          <w:szCs w:val="18"/>
          <w:color w:val="auto"/>
        </w:rPr>
      </w:pPr>
      <w:r>
        <w:rPr>
          <w:rFonts w:ascii="Arial" w:cs="Arial" w:eastAsia="Arial" w:hAnsi="Arial"/>
          <w:sz w:val="18"/>
          <w:szCs w:val="18"/>
          <w:b w:val="1"/>
          <w:bCs w:val="1"/>
          <w:color w:val="auto"/>
        </w:rPr>
        <w:t>Investments Available for Sale by Effective Duration</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Effective Duration</w:t>
            </w:r>
          </w:p>
        </w:tc>
        <w:tc>
          <w:tcPr>
            <w:tcW w:w="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June 30, 2021</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3"/>
              </w:rPr>
              <w:t>December 31, 2020</w:t>
            </w:r>
          </w:p>
        </w:tc>
        <w:tc>
          <w:tcPr>
            <w:tcW w:w="1180" w:type="dxa"/>
            <w:vAlign w:val="bottom"/>
            <w:tcBorders>
              <w:bottom w:val="single" w:sz="8" w:color="auto"/>
            </w:tcBorders>
          </w:tcPr>
          <w:p>
            <w:pPr>
              <w:spacing w:after="0"/>
              <w:rPr>
                <w:sz w:val="16"/>
                <w:szCs w:val="16"/>
                <w:color w:val="auto"/>
              </w:rPr>
            </w:pPr>
          </w:p>
        </w:tc>
      </w:tr>
      <w:tr>
        <w:trPr>
          <w:trHeight w:val="188"/>
        </w:trPr>
        <w:tc>
          <w:tcPr>
            <w:tcW w:w="40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6"/>
                <w:szCs w:val="16"/>
                <w:color w:val="auto"/>
              </w:rPr>
            </w:pPr>
          </w:p>
        </w:tc>
        <w:tc>
          <w:tcPr>
            <w:tcW w:w="2000" w:type="dxa"/>
            <w:vAlign w:val="bottom"/>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240" w:type="dxa"/>
            <w:vAlign w:val="bottom"/>
          </w:tcPr>
          <w:p>
            <w:pPr>
              <w:jc w:val="right"/>
              <w:ind w:right="572"/>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Pr>
          <w:p>
            <w:pPr>
              <w:jc w:val="right"/>
              <w:ind w:right="592"/>
              <w:spacing w:after="0"/>
              <w:rPr>
                <w:sz w:val="20"/>
                <w:szCs w:val="20"/>
                <w:color w:val="auto"/>
              </w:rPr>
            </w:pPr>
            <w:r>
              <w:rPr>
                <w:rFonts w:ascii="Arial" w:cs="Arial" w:eastAsia="Arial" w:hAnsi="Arial"/>
                <w:sz w:val="14"/>
                <w:szCs w:val="14"/>
                <w:b w:val="1"/>
                <w:bCs w:val="1"/>
                <w:color w:val="auto"/>
                <w:w w:val="93"/>
              </w:rPr>
              <w:t>Percent</w:t>
            </w:r>
          </w:p>
        </w:tc>
      </w:tr>
      <w:tr>
        <w:trPr>
          <w:trHeight w:val="224"/>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&lt; 1 Year</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1,094,953</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1,568,505</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34.4 %</w:t>
            </w:r>
          </w:p>
        </w:tc>
      </w:tr>
      <w:tr>
        <w:trPr>
          <w:trHeight w:val="230"/>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1 to &lt; 2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549,219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581,003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12.7</w:t>
            </w:r>
          </w:p>
        </w:tc>
      </w:tr>
      <w:tr>
        <w:trPr>
          <w:trHeight w:val="23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 to &lt; 3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682,585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616,069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13.5</w:t>
            </w:r>
          </w:p>
        </w:tc>
      </w:tr>
      <w:tr>
        <w:trPr>
          <w:trHeight w:val="230"/>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3 to &lt; 4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601,629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426,333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9.3</w:t>
            </w:r>
          </w:p>
        </w:tc>
      </w:tr>
      <w:tr>
        <w:trPr>
          <w:trHeight w:val="23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 to &lt; 5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367,633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8.1</w:t>
            </w:r>
          </w:p>
        </w:tc>
      </w:tr>
      <w:tr>
        <w:trPr>
          <w:trHeight w:val="229"/>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5 or more Years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1,371,167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1,005,830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22.0</w:t>
            </w:r>
          </w:p>
        </w:tc>
      </w:tr>
      <w:tr>
        <w:trPr>
          <w:trHeight w:val="24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4,746,328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4,565,373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Top Ten Investments Available for Sale Holdings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Rank</w:t>
            </w:r>
          </w:p>
        </w:tc>
        <w:tc>
          <w:tcPr>
            <w:tcW w:w="3920" w:type="dxa"/>
            <w:vAlign w:val="bottom"/>
            <w:gridSpan w:val="2"/>
            <w:vMerge w:val="restart"/>
          </w:tcPr>
          <w:p>
            <w:pPr>
              <w:ind w:left="1660"/>
              <w:spacing w:after="0"/>
              <w:rPr>
                <w:sz w:val="20"/>
                <w:szCs w:val="20"/>
                <w:color w:val="auto"/>
              </w:rPr>
            </w:pPr>
            <w:r>
              <w:rPr>
                <w:rFonts w:ascii="Arial" w:cs="Arial" w:eastAsia="Arial" w:hAnsi="Arial"/>
                <w:sz w:val="14"/>
                <w:szCs w:val="14"/>
                <w:b w:val="1"/>
                <w:bCs w:val="1"/>
                <w:color w:val="auto"/>
              </w:rPr>
              <w:t>Security</w:t>
            </w:r>
          </w:p>
        </w:tc>
        <w:tc>
          <w:tcPr>
            <w:tcW w:w="240" w:type="dxa"/>
            <w:vAlign w:val="bottom"/>
          </w:tcPr>
          <w:p>
            <w:pPr>
              <w:spacing w:after="0"/>
              <w:rPr>
                <w:sz w:val="11"/>
                <w:szCs w:val="11"/>
                <w:color w:val="auto"/>
              </w:rPr>
            </w:pPr>
          </w:p>
        </w:tc>
        <w:tc>
          <w:tcPr>
            <w:tcW w:w="11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1"/>
                <w:szCs w:val="11"/>
                <w:color w:val="auto"/>
              </w:rPr>
            </w:pPr>
          </w:p>
        </w:tc>
        <w:tc>
          <w:tcPr>
            <w:tcW w:w="1120" w:type="dxa"/>
            <w:vAlign w:val="bottom"/>
          </w:tcPr>
          <w:p>
            <w:pPr>
              <w:jc w:val="right"/>
              <w:ind w:right="213"/>
              <w:spacing w:after="0" w:line="135"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88"/>
        </w:trPr>
        <w:tc>
          <w:tcPr>
            <w:tcW w:w="246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thousands)</w:t>
            </w:r>
          </w:p>
        </w:tc>
        <w:tc>
          <w:tcPr>
            <w:tcW w:w="3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6"/>
                <w:szCs w:val="16"/>
                <w:color w:val="auto"/>
              </w:rPr>
            </w:pPr>
          </w:p>
        </w:tc>
        <w:tc>
          <w:tcPr>
            <w:tcW w:w="11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Gain (Loss)(1)</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Rating(2)</w:t>
            </w:r>
          </w:p>
        </w:tc>
        <w:tc>
          <w:tcPr>
            <w:tcW w:w="0" w:type="dxa"/>
            <w:vAlign w:val="bottom"/>
          </w:tcPr>
          <w:p>
            <w:pPr>
              <w:spacing w:after="0"/>
              <w:rPr>
                <w:sz w:val="1"/>
                <w:szCs w:val="1"/>
                <w:color w:val="auto"/>
              </w:rPr>
            </w:pPr>
          </w:p>
        </w:tc>
      </w:tr>
      <w:tr>
        <w:trPr>
          <w:trHeight w:val="224"/>
        </w:trPr>
        <w:tc>
          <w:tcPr>
            <w:tcW w:w="2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Treasury 0.250% 5/31/2025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25,190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Fannie Mae 3.500% 1/1/2058</w:t>
            </w: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24,349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Treasury 2.625% 6/30/2023</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20,685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U.S. Treasury 5.250% 11/15/2028</w:t>
            </w: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19,572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Treasury 0.875% 6/30/2026</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18,250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U.S. Treasury 1.500% 8/15/2026</w:t>
            </w: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18,028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Fannie Mae 2.000% 8/1/2050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17,624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U.S. Treasury 0.125% 10/15/2023</w:t>
            </w: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17,551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Freddie Mac 4.000% 11/1/2048</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15,768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30"/>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Freddie Mac 2.500% 7/1/2050</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15,464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8"/>
        </w:trPr>
        <w:tc>
          <w:tcPr>
            <w:tcW w:w="2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192,481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80" w:type="dxa"/>
            <w:vAlign w:val="bottom"/>
            <w:gridSpan w:val="5"/>
          </w:tcPr>
          <w:p>
            <w:pPr>
              <w:ind w:left="20"/>
              <w:spacing w:after="0" w:line="203" w:lineRule="exact"/>
              <w:rPr>
                <w:sz w:val="20"/>
                <w:szCs w:val="20"/>
                <w:color w:val="auto"/>
              </w:rPr>
            </w:pPr>
            <w:r>
              <w:rPr>
                <w:rFonts w:ascii="Arial" w:cs="Arial" w:eastAsia="Arial" w:hAnsi="Arial"/>
                <w:sz w:val="18"/>
                <w:szCs w:val="18"/>
                <w:b w:val="1"/>
                <w:bCs w:val="1"/>
                <w:color w:val="auto"/>
              </w:rPr>
              <w:t>Percent of Investments Available for Sale</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4.1 %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1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60" w:hanging="328"/>
        <w:spacing w:after="0" w:line="259"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June 30, 2021, for securities in an unrealized loss position, management believes the declines in fair value are principally associated with the changes in the interest rate environment subsequent to its purchase. Also, see Note 3 to our condensed consolidated financial statements, which summarizes the aggregate amount of gross unrealized losses by asset class in which the fair value of investments available for sale has been less than cost for less than 12 months and for 12 months or more.</w:t>
      </w:r>
    </w:p>
    <w:p>
      <w:pPr>
        <w:spacing w:after="0" w:line="213" w:lineRule="exact"/>
        <w:rPr>
          <w:rFonts w:ascii="Arial" w:cs="Arial" w:eastAsia="Arial" w:hAnsi="Arial"/>
          <w:sz w:val="18"/>
          <w:szCs w:val="18"/>
          <w:color w:val="auto"/>
        </w:rPr>
      </w:pPr>
    </w:p>
    <w:p>
      <w:pPr>
        <w:ind w:left="640" w:hanging="30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gridSpan w:val="2"/>
          </w:tcPr>
          <w:p>
            <w:pPr>
              <w:ind w:left="20"/>
              <w:spacing w:after="0"/>
              <w:rPr>
                <w:sz w:val="20"/>
                <w:szCs w:val="20"/>
                <w:color w:val="auto"/>
              </w:rPr>
            </w:pPr>
            <w:r>
              <w:rPr>
                <w:rFonts w:ascii="Arial" w:cs="Arial" w:eastAsia="Arial" w:hAnsi="Arial"/>
                <w:sz w:val="14"/>
                <w:szCs w:val="14"/>
                <w:b w:val="1"/>
                <w:bCs w:val="1"/>
                <w:color w:val="auto"/>
              </w:rPr>
              <w:t>Rank</w:t>
            </w:r>
          </w:p>
        </w:tc>
        <w:tc>
          <w:tcPr>
            <w:tcW w:w="1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3"/>
          </w:tcPr>
          <w:p>
            <w:pPr>
              <w:jc w:val="right"/>
              <w:ind w:right="2070"/>
              <w:spacing w:after="0"/>
              <w:rPr>
                <w:sz w:val="20"/>
                <w:szCs w:val="20"/>
                <w:color w:val="auto"/>
              </w:rPr>
            </w:pPr>
            <w:r>
              <w:rPr>
                <w:rFonts w:ascii="Arial" w:cs="Arial" w:eastAsia="Arial" w:hAnsi="Arial"/>
                <w:sz w:val="14"/>
                <w:szCs w:val="14"/>
                <w:b w:val="1"/>
                <w:bCs w:val="1"/>
                <w:color w:val="auto"/>
              </w:rPr>
              <w:t>December 31, 2020</w:t>
            </w:r>
          </w:p>
        </w:tc>
        <w:tc>
          <w:tcPr>
            <w:tcW w:w="1220" w:type="dxa"/>
            <w:vAlign w:val="bottom"/>
            <w:tcBorders>
              <w:bottom w:val="single" w:sz="8" w:color="auto"/>
            </w:tcBorders>
          </w:tcPr>
          <w:p>
            <w:pPr>
              <w:spacing w:after="0"/>
              <w:rPr>
                <w:sz w:val="16"/>
                <w:szCs w:val="16"/>
                <w:color w:val="auto"/>
              </w:rPr>
            </w:pPr>
          </w:p>
        </w:tc>
      </w:tr>
      <w:tr>
        <w:trPr>
          <w:trHeight w:val="188"/>
        </w:trPr>
        <w:tc>
          <w:tcPr>
            <w:tcW w:w="326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20" w:type="dxa"/>
            <w:vAlign w:val="bottom"/>
            <w:gridSpan w:val="3"/>
          </w:tcPr>
          <w:p>
            <w:pPr>
              <w:jc w:val="right"/>
              <w:ind w:right="3210"/>
              <w:spacing w:after="0"/>
              <w:rPr>
                <w:sz w:val="20"/>
                <w:szCs w:val="20"/>
                <w:color w:val="auto"/>
              </w:rPr>
            </w:pPr>
            <w:r>
              <w:rPr>
                <w:rFonts w:ascii="Arial" w:cs="Arial" w:eastAsia="Arial" w:hAnsi="Arial"/>
                <w:sz w:val="14"/>
                <w:szCs w:val="14"/>
                <w:b w:val="1"/>
                <w:bCs w:val="1"/>
                <w:color w:val="auto"/>
              </w:rPr>
              <w:t>Security</w:t>
            </w:r>
          </w:p>
        </w:tc>
        <w:tc>
          <w:tcPr>
            <w:tcW w:w="1220" w:type="dxa"/>
            <w:vAlign w:val="bottom"/>
          </w:tcPr>
          <w:p>
            <w:pPr>
              <w:jc w:val="right"/>
              <w:ind w:right="331"/>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Fannie Mae 3.500% 1/1/2058</w:t>
            </w:r>
          </w:p>
        </w:tc>
        <w:tc>
          <w:tcPr>
            <w:tcW w:w="3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26,634</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U.S. Treasury 0.250% 5/31/2025</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25,558</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Treasury 2.625% 6/30/2023</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20,966</w:t>
            </w: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Fannie Mae 2.000% 8/1/2050</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20,549</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U.S. Treasury 5.250%</w:t>
            </w: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11/15/2028</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20,540</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Freddie Mac 4.000% 11/1/2048</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20,371</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U.S. Treasury 1.500%</w:t>
            </w: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8/15/2026</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18,525</w:t>
            </w: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0.125%</w:t>
            </w:r>
          </w:p>
        </w:tc>
        <w:tc>
          <w:tcPr>
            <w:tcW w:w="1060" w:type="dxa"/>
            <w:vAlign w:val="bottom"/>
          </w:tcPr>
          <w:p>
            <w:pPr>
              <w:ind w:left="20"/>
              <w:spacing w:after="0"/>
              <w:rPr>
                <w:sz w:val="20"/>
                <w:szCs w:val="20"/>
                <w:color w:val="auto"/>
              </w:rPr>
            </w:pPr>
            <w:r>
              <w:rPr>
                <w:rFonts w:ascii="Arial" w:cs="Arial" w:eastAsia="Arial" w:hAnsi="Arial"/>
                <w:sz w:val="18"/>
                <w:szCs w:val="18"/>
                <w:color w:val="auto"/>
              </w:rPr>
              <w:t>10/15/2023</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17,611</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Freddie Mac 2.500% 7/1/2050</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17,063</w:t>
            </w:r>
          </w:p>
        </w:tc>
      </w:tr>
      <w:tr>
        <w:trPr>
          <w:trHeight w:val="23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0"/>
              </w:rPr>
              <w:t>U.S. Treasury 2.625%</w:t>
            </w:r>
          </w:p>
        </w:tc>
        <w:tc>
          <w:tcPr>
            <w:tcW w:w="1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7/15/2021</w:t>
            </w:r>
          </w:p>
        </w:tc>
        <w:tc>
          <w:tcPr>
            <w:tcW w:w="3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14,946</w:t>
            </w:r>
          </w:p>
        </w:tc>
      </w:tr>
      <w:tr>
        <w:trPr>
          <w:trHeight w:val="248"/>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202,763</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260" w:type="dxa"/>
            <w:vAlign w:val="bottom"/>
            <w:gridSpan w:val="2"/>
          </w:tcPr>
          <w:p>
            <w:pPr>
              <w:ind w:left="20"/>
              <w:spacing w:after="0" w:line="203" w:lineRule="exact"/>
              <w:rPr>
                <w:sz w:val="20"/>
                <w:szCs w:val="20"/>
                <w:color w:val="auto"/>
              </w:rPr>
            </w:pPr>
            <w:r>
              <w:rPr>
                <w:rFonts w:ascii="Arial" w:cs="Arial" w:eastAsia="Arial" w:hAnsi="Arial"/>
                <w:sz w:val="18"/>
                <w:szCs w:val="18"/>
                <w:b w:val="1"/>
                <w:bCs w:val="1"/>
                <w:color w:val="auto"/>
                <w:w w:val="91"/>
              </w:rPr>
              <w:t>Percent of Investments Available for Sale</w:t>
            </w:r>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4.4 %</w:t>
            </w:r>
          </w:p>
        </w:tc>
      </w:tr>
      <w:tr>
        <w:trPr>
          <w:trHeight w:val="21"/>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include municipal debt securities for states that represent more than 10% of the total municipal bond position as of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4"/>
                <w:szCs w:val="14"/>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1380" w:type="dxa"/>
            <w:vAlign w:val="bottom"/>
          </w:tcPr>
          <w:p>
            <w:pPr>
              <w:jc w:val="right"/>
              <w:ind w:right="431"/>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611"/>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North Texas Tollway System</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9,298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8,892</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University of Houston</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Texas A&amp;M University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5,785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State of Texas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City of Houston TX Combined Utility System Revenue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4,584</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LCRA Transmission Services Corp</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Dallas Fort Worth International Airport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City of Austin TX Electric Utility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Harris County-Houston Sports Authority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City of Houston TX</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North Texas Municipal Water District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1,911</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Lifeschool of Dallas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City of Dallas TX</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City of Houston TX Airport System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Houston Community College System</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City of Fort Worth TX Water &amp; Sewer System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Tarrant Regional Water District Water Supply System Revenue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City of San Antonio TX Airport System</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City of Corpus Christi TX Utility System Revenue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Harris County Toll Road Authority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Texas Tech University System</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Central Texas Turnpike System</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Baa1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w w:val="96"/>
              </w:rPr>
              <w:t>Metropolitan Transit Authority of Harris County Sales &amp; Use Tax Revenue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Denton Independent School District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Frisco Independent School District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County of Fort Bend TX</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Austin-Bergstrom Landhost Enterprises, Inc.</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San Jacinto Community College District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City of Houston TX Reinvestment Zone No 16</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Austin Independent School District</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69,150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65,180</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8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1380" w:type="dxa"/>
            <w:vAlign w:val="bottom"/>
          </w:tcPr>
          <w:p>
            <w:pPr>
              <w:jc w:val="right"/>
              <w:ind w:right="432"/>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40" w:type="dxa"/>
            <w:vAlign w:val="bottom"/>
            <w:gridSpan w:val="3"/>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61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tcPr>
          <w:p>
            <w:pPr>
              <w:ind w:left="240"/>
              <w:spacing w:after="0"/>
              <w:rPr>
                <w:sz w:val="20"/>
                <w:szCs w:val="20"/>
                <w:color w:val="auto"/>
              </w:rPr>
            </w:pPr>
            <w:r>
              <w:rPr>
                <w:rFonts w:ascii="Arial" w:cs="Arial" w:eastAsia="Arial" w:hAnsi="Arial"/>
                <w:sz w:val="18"/>
                <w:szCs w:val="18"/>
                <w:color w:val="auto"/>
                <w:w w:val="95"/>
              </w:rPr>
              <w:t>New York City Transitional Finance Authority Future Tax Secured Revenue   $</w:t>
            </w:r>
          </w:p>
        </w:tc>
        <w:tc>
          <w:tcPr>
            <w:tcW w:w="1360" w:type="dxa"/>
            <w:vAlign w:val="bottom"/>
          </w:tcPr>
          <w:p>
            <w:pPr>
              <w:jc w:val="right"/>
              <w:spacing w:after="0"/>
              <w:rPr>
                <w:sz w:val="20"/>
                <w:szCs w:val="20"/>
                <w:color w:val="auto"/>
              </w:rPr>
            </w:pPr>
            <w:r>
              <w:rPr>
                <w:rFonts w:ascii="Arial" w:cs="Arial" w:eastAsia="Arial" w:hAnsi="Arial"/>
                <w:sz w:val="18"/>
                <w:szCs w:val="18"/>
                <w:color w:val="auto"/>
              </w:rPr>
              <w:t>12,963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12,099</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Metropolitan Transportation Authority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3"/>
          </w:tcPr>
          <w:p>
            <w:pPr>
              <w:ind w:left="240"/>
              <w:spacing w:after="0"/>
              <w:rPr>
                <w:sz w:val="20"/>
                <w:szCs w:val="20"/>
                <w:color w:val="auto"/>
              </w:rPr>
            </w:pPr>
            <w:r>
              <w:rPr>
                <w:rFonts w:ascii="Arial" w:cs="Arial" w:eastAsia="Arial" w:hAnsi="Arial"/>
                <w:sz w:val="18"/>
                <w:szCs w:val="18"/>
                <w:color w:val="auto"/>
              </w:rPr>
              <w:t>The Port Authority of New York and New Jersey</w:t>
            </w:r>
          </w:p>
        </w:tc>
        <w:tc>
          <w:tcPr>
            <w:tcW w:w="1360" w:type="dxa"/>
            <w:vAlign w:val="bottom"/>
          </w:tcPr>
          <w:p>
            <w:pPr>
              <w:jc w:val="right"/>
              <w:spacing w:after="0"/>
              <w:rPr>
                <w:sz w:val="20"/>
                <w:szCs w:val="20"/>
                <w:color w:val="auto"/>
              </w:rPr>
            </w:pPr>
            <w:r>
              <w:rPr>
                <w:rFonts w:ascii="Arial" w:cs="Arial" w:eastAsia="Arial" w:hAnsi="Arial"/>
                <w:sz w:val="18"/>
                <w:szCs w:val="18"/>
                <w:color w:val="auto"/>
              </w:rPr>
              <w:t>7,641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7,200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State of New York Personal Income Tax Revenue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3"/>
          </w:tcPr>
          <w:p>
            <w:pPr>
              <w:ind w:left="240"/>
              <w:spacing w:after="0"/>
              <w:rPr>
                <w:sz w:val="20"/>
                <w:szCs w:val="20"/>
                <w:color w:val="auto"/>
              </w:rPr>
            </w:pPr>
            <w:r>
              <w:rPr>
                <w:rFonts w:ascii="Arial" w:cs="Arial" w:eastAsia="Arial" w:hAnsi="Arial"/>
                <w:sz w:val="18"/>
                <w:szCs w:val="18"/>
                <w:color w:val="auto"/>
              </w:rPr>
              <w:t>City of New York NY</w:t>
            </w:r>
          </w:p>
        </w:tc>
        <w:tc>
          <w:tcPr>
            <w:tcW w:w="1360" w:type="dxa"/>
            <w:vAlign w:val="bottom"/>
          </w:tcPr>
          <w:p>
            <w:pPr>
              <w:jc w:val="right"/>
              <w:spacing w:after="0"/>
              <w:rPr>
                <w:sz w:val="20"/>
                <w:szCs w:val="20"/>
                <w:color w:val="auto"/>
              </w:rPr>
            </w:pPr>
            <w:r>
              <w:rPr>
                <w:rFonts w:ascii="Arial" w:cs="Arial" w:eastAsia="Arial" w:hAnsi="Arial"/>
                <w:sz w:val="18"/>
                <w:szCs w:val="18"/>
                <w:color w:val="auto"/>
              </w:rPr>
              <w:t>7,226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6,475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New York City Water &amp; Sewer System</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tcPr>
          <w:p>
            <w:pPr>
              <w:ind w:left="240"/>
              <w:spacing w:after="0"/>
              <w:rPr>
                <w:sz w:val="20"/>
                <w:szCs w:val="20"/>
                <w:color w:val="auto"/>
              </w:rPr>
            </w:pPr>
            <w:r>
              <w:rPr>
                <w:rFonts w:ascii="Arial" w:cs="Arial" w:eastAsia="Arial" w:hAnsi="Arial"/>
                <w:sz w:val="18"/>
                <w:szCs w:val="18"/>
                <w:color w:val="auto"/>
              </w:rPr>
              <w:t>Long Island Power Authority</w:t>
            </w:r>
          </w:p>
        </w:tc>
        <w:tc>
          <w:tcPr>
            <w:tcW w:w="1360" w:type="dxa"/>
            <w:vAlign w:val="bottom"/>
          </w:tcPr>
          <w:p>
            <w:pPr>
              <w:jc w:val="right"/>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The Research Foundation of State University of New York</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tcPr>
          <w:p>
            <w:pPr>
              <w:ind w:left="240"/>
              <w:spacing w:after="0"/>
              <w:rPr>
                <w:sz w:val="20"/>
                <w:szCs w:val="20"/>
                <w:color w:val="auto"/>
              </w:rPr>
            </w:pPr>
            <w:r>
              <w:rPr>
                <w:rFonts w:ascii="Arial" w:cs="Arial" w:eastAsia="Arial" w:hAnsi="Arial"/>
                <w:sz w:val="18"/>
                <w:szCs w:val="18"/>
                <w:color w:val="auto"/>
              </w:rPr>
              <w:t>New York State Dormitory Authority</w:t>
            </w:r>
          </w:p>
        </w:tc>
        <w:tc>
          <w:tcPr>
            <w:tcW w:w="1360" w:type="dxa"/>
            <w:vAlign w:val="bottom"/>
          </w:tcPr>
          <w:p>
            <w:pPr>
              <w:jc w:val="right"/>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TSASC, Inc.</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3"/>
          </w:tcPr>
          <w:p>
            <w:pPr>
              <w:ind w:left="240"/>
              <w:spacing w:after="0"/>
              <w:rPr>
                <w:sz w:val="20"/>
                <w:szCs w:val="20"/>
                <w:color w:val="auto"/>
              </w:rPr>
            </w:pPr>
            <w:r>
              <w:rPr>
                <w:rFonts w:ascii="Arial" w:cs="Arial" w:eastAsia="Arial" w:hAnsi="Arial"/>
                <w:sz w:val="18"/>
                <w:szCs w:val="18"/>
                <w:color w:val="auto"/>
              </w:rPr>
              <w:t>City of Yonkers NY</w:t>
            </w:r>
          </w:p>
        </w:tc>
        <w:tc>
          <w:tcPr>
            <w:tcW w:w="1360" w:type="dxa"/>
            <w:vAlign w:val="bottom"/>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County of Nassau NY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3"/>
          </w:tcPr>
          <w:p>
            <w:pPr>
              <w:ind w:left="240"/>
              <w:spacing w:after="0"/>
              <w:rPr>
                <w:sz w:val="20"/>
                <w:szCs w:val="20"/>
                <w:color w:val="auto"/>
              </w:rPr>
            </w:pPr>
            <w:r>
              <w:rPr>
                <w:rFonts w:ascii="Arial" w:cs="Arial" w:eastAsia="Arial" w:hAnsi="Arial"/>
                <w:sz w:val="18"/>
                <w:szCs w:val="18"/>
                <w:color w:val="auto"/>
              </w:rPr>
              <w:t>New York City Transitional Finance Authority Building Aid Revenue</w:t>
            </w:r>
          </w:p>
        </w:tc>
        <w:tc>
          <w:tcPr>
            <w:tcW w:w="1360" w:type="dxa"/>
            <w:vAlign w:val="bottom"/>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Town of Oyster Bay NY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tcPr>
          <w:p>
            <w:pPr>
              <w:ind w:left="240"/>
              <w:spacing w:after="0"/>
              <w:rPr>
                <w:sz w:val="20"/>
                <w:szCs w:val="20"/>
                <w:color w:val="auto"/>
              </w:rPr>
            </w:pPr>
            <w:r>
              <w:rPr>
                <w:rFonts w:ascii="Arial" w:cs="Arial" w:eastAsia="Arial" w:hAnsi="Arial"/>
                <w:sz w:val="18"/>
                <w:szCs w:val="18"/>
                <w:color w:val="auto"/>
              </w:rPr>
              <w:t>Yankee Stadium LLC</w:t>
            </w:r>
          </w:p>
        </w:tc>
        <w:tc>
          <w:tcPr>
            <w:tcW w:w="1360" w:type="dxa"/>
            <w:vAlign w:val="bottom"/>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8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0" w:type="dxa"/>
            <w:vAlign w:val="bottom"/>
            <w:vMerge w:val="continue"/>
          </w:tcPr>
          <w:p>
            <w:pPr>
              <w:spacing w:after="0"/>
              <w:rPr>
                <w:sz w:val="24"/>
                <w:szCs w:val="24"/>
                <w:color w:val="auto"/>
              </w:rPr>
            </w:pPr>
          </w:p>
        </w:tc>
        <w:tc>
          <w:tcPr>
            <w:tcW w:w="5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4"/>
                <w:szCs w:val="14"/>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4"/>
                <w:szCs w:val="14"/>
                <w:color w:val="auto"/>
              </w:rPr>
            </w:pPr>
          </w:p>
        </w:tc>
        <w:tc>
          <w:tcPr>
            <w:tcW w:w="1380" w:type="dxa"/>
            <w:vAlign w:val="bottom"/>
          </w:tcPr>
          <w:p>
            <w:pPr>
              <w:jc w:val="right"/>
              <w:ind w:right="431"/>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Credit</w:t>
            </w:r>
          </w:p>
        </w:tc>
        <w:tc>
          <w:tcPr>
            <w:tcW w:w="0" w:type="dxa"/>
            <w:vAlign w:val="bottom"/>
          </w:tcPr>
          <w:p>
            <w:pPr>
              <w:spacing w:after="0"/>
              <w:rPr>
                <w:sz w:val="1"/>
                <w:szCs w:val="1"/>
                <w:color w:val="auto"/>
              </w:rPr>
            </w:pPr>
          </w:p>
        </w:tc>
      </w:tr>
      <w:tr>
        <w:trPr>
          <w:trHeight w:val="188"/>
        </w:trPr>
        <w:tc>
          <w:tcPr>
            <w:tcW w:w="59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right"/>
              <w:ind w:right="611"/>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24"/>
        </w:trPr>
        <w:tc>
          <w:tcPr>
            <w:tcW w:w="58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State of California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7,630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6,828</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City of Carson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San Jose Unified School District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4,090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California Infrastructure &amp; Economic Development Bank</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City of Long Beach CA Harbor Revenue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3,211</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City of Los Angeles Department of Airports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County of Kern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Baa2</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City of San Francisco CA Public Utilities Commission Water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County of Riverside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Foothill-Eastern Transportation Corridor Agency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Bay Area Toll Authority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Compton Community College District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Los Angeles Unified School District/CA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Kaiser Foundation Hospitals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University of California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City of Los Angeles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City of El Cajon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Port of Oakland</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City of Torrance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Pomona Redevelopment Agency Successor Agency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Cathedral City Redevelopment Agency Successor Agency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City of El Monte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County of Sacramento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Alameda Corridor Transportation Authority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County of San Bernardino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California Independent System Operator Corp</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California County Tobacco Securitization Agency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San Bernardino City Unified School District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Oxnard Union High School District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City of San Jose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City of Riverside CA</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8"/>
        </w:trPr>
        <w:tc>
          <w:tcPr>
            <w:tcW w:w="218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56,520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180" w:type="dxa"/>
            <w:vAlign w:val="bottom"/>
            <w:tcBorders>
              <w:bottom w:val="single" w:sz="8" w:color="auto"/>
            </w:tcBorders>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60" w:right="20" w:hanging="328"/>
        <w:spacing w:after="0" w:line="277" w:lineRule="auto"/>
        <w:tabs>
          <w:tab w:leader="none" w:pos="6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of the above securities may include financial guaranty insurance or state enhancements. The above ratings include the effect of these credit enhancements, if applicable.</w:t>
      </w:r>
    </w:p>
    <w:p>
      <w:pPr>
        <w:spacing w:after="0" w:line="197" w:lineRule="exact"/>
        <w:rPr>
          <w:rFonts w:ascii="Arial" w:cs="Arial" w:eastAsia="Arial" w:hAnsi="Arial"/>
          <w:sz w:val="18"/>
          <w:szCs w:val="18"/>
          <w:color w:val="auto"/>
        </w:rPr>
      </w:pPr>
    </w:p>
    <w:p>
      <w:pPr>
        <w:ind w:left="640" w:hanging="30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180"/>
        <w:spacing w:after="0" w:line="255" w:lineRule="auto"/>
        <w:rPr>
          <w:sz w:val="20"/>
          <w:szCs w:val="20"/>
          <w:color w:val="auto"/>
        </w:rPr>
      </w:pPr>
      <w:r>
        <w:rPr>
          <w:rFonts w:ascii="Arial" w:cs="Arial" w:eastAsia="Arial" w:hAnsi="Arial"/>
          <w:sz w:val="18"/>
          <w:szCs w:val="18"/>
          <w:color w:val="auto"/>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condensed consolidated financial statements because we do not have the unilateral power to direct those activities that are significant to their economic performance. As of June 30, 2021, our estimated off-balance sheet maximum exposure to loss from the Radnor Re entities was $0.6 million, representing the estimated net present value of investment earnings on the assets in the reinsurance trusts. See Note 4 to our condensed consolidated financial statements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As of the filing date of this report, there were no significant changes in our critical accounting policies from those discussed in our 2020 Form 10-K. See Note 2 to our condensed consolidated financial statements for recently issued accounting standards adopted or under evaluation.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46" w:lineRule="exact"/>
        <w:rPr>
          <w:sz w:val="20"/>
          <w:szCs w:val="20"/>
          <w:color w:val="auto"/>
        </w:rPr>
      </w:pPr>
    </w:p>
    <w:p>
      <w:pPr>
        <w:jc w:val="both"/>
        <w:ind w:left="660" w:right="220" w:hanging="328"/>
        <w:spacing w:after="0" w:line="301" w:lineRule="auto"/>
        <w:tabs>
          <w:tab w:leader="none" w:pos="655"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7" w:lineRule="exact"/>
        <w:rPr>
          <w:rFonts w:ascii="Arial" w:cs="Arial" w:eastAsia="Arial" w:hAnsi="Arial"/>
          <w:sz w:val="16"/>
          <w:szCs w:val="16"/>
          <w:i w:val="1"/>
          <w:iCs w:val="1"/>
          <w:color w:val="auto"/>
        </w:rPr>
      </w:pPr>
    </w:p>
    <w:p>
      <w:pPr>
        <w:ind w:left="660" w:right="100" w:hanging="328"/>
        <w:spacing w:after="0" w:line="277" w:lineRule="auto"/>
        <w:tabs>
          <w:tab w:leader="none" w:pos="65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97" w:lineRule="exact"/>
        <w:rPr>
          <w:rFonts w:ascii="Arial" w:cs="Arial" w:eastAsia="Arial" w:hAnsi="Arial"/>
          <w:sz w:val="18"/>
          <w:szCs w:val="18"/>
          <w:i w:val="1"/>
          <w:iCs w:val="1"/>
          <w:color w:val="auto"/>
        </w:rPr>
      </w:pPr>
    </w:p>
    <w:p>
      <w:pPr>
        <w:ind w:left="660" w:right="380" w:hanging="328"/>
        <w:spacing w:after="0" w:line="342" w:lineRule="auto"/>
        <w:tabs>
          <w:tab w:leader="none" w:pos="655"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50" w:lineRule="exact"/>
        <w:rPr>
          <w:rFonts w:ascii="Arial" w:cs="Arial" w:eastAsia="Arial" w:hAnsi="Arial"/>
          <w:sz w:val="16"/>
          <w:szCs w:val="16"/>
          <w:i w:val="1"/>
          <w:iCs w:val="1"/>
          <w:color w:val="auto"/>
        </w:rPr>
      </w:pPr>
    </w:p>
    <w:p>
      <w:pPr>
        <w:ind w:left="660" w:right="260" w:hanging="328"/>
        <w:spacing w:after="0" w:line="342" w:lineRule="auto"/>
        <w:tabs>
          <w:tab w:leader="none" w:pos="655"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50" w:lineRule="exact"/>
        <w:rPr>
          <w:rFonts w:ascii="Arial" w:cs="Arial" w:eastAsia="Arial" w:hAnsi="Arial"/>
          <w:sz w:val="16"/>
          <w:szCs w:val="16"/>
          <w:i w:val="1"/>
          <w:iCs w:val="1"/>
          <w:color w:val="auto"/>
        </w:rPr>
      </w:pPr>
    </w:p>
    <w:p>
      <w:pPr>
        <w:ind w:left="660" w:right="500" w:hanging="328"/>
        <w:spacing w:after="0" w:line="277" w:lineRule="auto"/>
        <w:tabs>
          <w:tab w:leader="none" w:pos="65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when rates fall below the interest rate of the debt.</w:t>
      </w:r>
    </w:p>
    <w:p>
      <w:pPr>
        <w:spacing w:after="0" w:line="170"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4" w:lineRule="exact"/>
        <w:rPr>
          <w:sz w:val="20"/>
          <w:szCs w:val="20"/>
          <w:color w:val="auto"/>
        </w:rPr>
      </w:pPr>
    </w:p>
    <w:p>
      <w:pPr>
        <w:ind w:right="420" w:firstLine="648"/>
        <w:spacing w:after="0" w:line="301" w:lineRule="auto"/>
        <w:rPr>
          <w:sz w:val="20"/>
          <w:szCs w:val="20"/>
          <w:color w:val="auto"/>
        </w:rPr>
      </w:pPr>
      <w:r>
        <w:rPr>
          <w:rFonts w:ascii="Arial" w:cs="Arial" w:eastAsia="Arial" w:hAnsi="Arial"/>
          <w:sz w:val="16"/>
          <w:szCs w:val="16"/>
          <w:color w:val="auto"/>
        </w:rPr>
        <w:t>At June 30, 2021, the effective duration of our investments available for sale was 4.0 years, which means that an instantaneous parallel shift (movement up or down) in the yield curve of 100 basis points would result in a change of 4.0% in fair value of our investments available for sale. Excluding short-term investments, our investments available for sale effective duration was 4.3 years, which means that an instantaneous parallel shift (movement up or down) in the yield curve of 100 basis points would result in a change of 4.3% in fair value of our investments available for sale.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June 30, 2021, the end of the period covered by this Quarterly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Risk factors that affect our business and financial results are discussed in Part I, Item 1A. “Risk Factors” in our Annual Report on Form 10-K for the year ended December 31, 2020. Except as discussed below,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along with the disclosure below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information regarding repurchases of our common shares during the three months ended June 30,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180" w:type="dxa"/>
            <w:vAlign w:val="bottom"/>
          </w:tcPr>
          <w:p>
            <w:pPr>
              <w:spacing w:after="0"/>
              <w:rPr>
                <w:sz w:val="14"/>
                <w:szCs w:val="14"/>
                <w:color w:val="auto"/>
              </w:rPr>
            </w:pPr>
          </w:p>
        </w:tc>
        <w:tc>
          <w:tcPr>
            <w:tcW w:w="1580" w:type="dxa"/>
            <w:vAlign w:val="bottom"/>
          </w:tcPr>
          <w:p>
            <w:pPr>
              <w:jc w:val="center"/>
              <w:ind w:right="10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105"/>
              <w:spacing w:after="0" w:line="135"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Shares Purchased</w:t>
            </w:r>
          </w:p>
        </w:tc>
        <w:tc>
          <w:tcPr>
            <w:tcW w:w="180" w:type="dxa"/>
            <w:vAlign w:val="bottom"/>
          </w:tcPr>
          <w:p>
            <w:pPr>
              <w:spacing w:after="0"/>
              <w:rPr>
                <w:sz w:val="11"/>
                <w:szCs w:val="11"/>
                <w:color w:val="auto"/>
              </w:rPr>
            </w:pPr>
          </w:p>
        </w:tc>
        <w:tc>
          <w:tcPr>
            <w:tcW w:w="1580" w:type="dxa"/>
            <w:vAlign w:val="bottom"/>
          </w:tcPr>
          <w:p>
            <w:pPr>
              <w:jc w:val="center"/>
              <w:ind w:right="105"/>
              <w:spacing w:after="0" w:line="135"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35"/>
        </w:trPr>
        <w:tc>
          <w:tcPr>
            <w:tcW w:w="3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8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as Part of Publicly</w:t>
            </w:r>
          </w:p>
        </w:tc>
        <w:tc>
          <w:tcPr>
            <w:tcW w:w="180" w:type="dxa"/>
            <w:vAlign w:val="bottom"/>
          </w:tcPr>
          <w:p>
            <w:pPr>
              <w:spacing w:after="0"/>
              <w:rPr>
                <w:sz w:val="11"/>
                <w:szCs w:val="11"/>
                <w:color w:val="auto"/>
              </w:rPr>
            </w:pPr>
          </w:p>
        </w:tc>
        <w:tc>
          <w:tcPr>
            <w:tcW w:w="1580" w:type="dxa"/>
            <w:vAlign w:val="bottom"/>
          </w:tcPr>
          <w:p>
            <w:pPr>
              <w:jc w:val="center"/>
              <w:ind w:right="105"/>
              <w:spacing w:after="0" w:line="135"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35"/>
        </w:trPr>
        <w:tc>
          <w:tcPr>
            <w:tcW w:w="3880" w:type="dxa"/>
            <w:vAlign w:val="bottom"/>
            <w:gridSpan w:val="3"/>
            <w:vMerge w:val="continue"/>
          </w:tcPr>
          <w:p>
            <w:pPr>
              <w:spacing w:after="0"/>
              <w:rPr>
                <w:sz w:val="11"/>
                <w:szCs w:val="11"/>
                <w:color w:val="auto"/>
              </w:rPr>
            </w:pPr>
          </w:p>
        </w:tc>
        <w:tc>
          <w:tcPr>
            <w:tcW w:w="1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8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Announced Plans</w:t>
            </w:r>
          </w:p>
        </w:tc>
        <w:tc>
          <w:tcPr>
            <w:tcW w:w="180" w:type="dxa"/>
            <w:vAlign w:val="bottom"/>
          </w:tcPr>
          <w:p>
            <w:pPr>
              <w:spacing w:after="0"/>
              <w:rPr>
                <w:sz w:val="11"/>
                <w:szCs w:val="11"/>
                <w:color w:val="auto"/>
              </w:rPr>
            </w:pPr>
          </w:p>
        </w:tc>
        <w:tc>
          <w:tcPr>
            <w:tcW w:w="1580" w:type="dxa"/>
            <w:vAlign w:val="bottom"/>
          </w:tcPr>
          <w:p>
            <w:pPr>
              <w:jc w:val="center"/>
              <w:ind w:right="105"/>
              <w:spacing w:after="0" w:line="135"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88"/>
        </w:trPr>
        <w:tc>
          <w:tcPr>
            <w:tcW w:w="388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thousands, except per share amounts)</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Paid Per Share</w:t>
            </w: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or Programs</w:t>
            </w:r>
          </w:p>
        </w:tc>
        <w:tc>
          <w:tcPr>
            <w:tcW w:w="180" w:type="dxa"/>
            <w:vAlign w:val="bottom"/>
          </w:tcPr>
          <w:p>
            <w:pPr>
              <w:spacing w:after="0"/>
              <w:rPr>
                <w:sz w:val="16"/>
                <w:szCs w:val="16"/>
                <w:color w:val="auto"/>
              </w:rPr>
            </w:pPr>
          </w:p>
        </w:tc>
        <w:tc>
          <w:tcPr>
            <w:tcW w:w="1580" w:type="dxa"/>
            <w:vAlign w:val="bottom"/>
          </w:tcPr>
          <w:p>
            <w:pPr>
              <w:jc w:val="center"/>
              <w:ind w:right="105"/>
              <w:spacing w:after="0"/>
              <w:rPr>
                <w:sz w:val="20"/>
                <w:szCs w:val="20"/>
                <w:color w:val="auto"/>
              </w:rPr>
            </w:pPr>
            <w:r>
              <w:rPr>
                <w:rFonts w:ascii="Arial" w:cs="Arial" w:eastAsia="Arial" w:hAnsi="Arial"/>
                <w:sz w:val="14"/>
                <w:szCs w:val="14"/>
                <w:b w:val="1"/>
                <w:bCs w:val="1"/>
                <w:color w:val="auto"/>
                <w:w w:val="92"/>
              </w:rPr>
              <w:t>Programs (1)</w:t>
            </w:r>
          </w:p>
        </w:tc>
        <w:tc>
          <w:tcPr>
            <w:tcW w:w="0" w:type="dxa"/>
            <w:vAlign w:val="bottom"/>
          </w:tcPr>
          <w:p>
            <w:pPr>
              <w:spacing w:after="0"/>
              <w:rPr>
                <w:sz w:val="1"/>
                <w:szCs w:val="1"/>
                <w:color w:val="auto"/>
              </w:rPr>
            </w:pPr>
          </w:p>
        </w:tc>
      </w:tr>
      <w:tr>
        <w:trPr>
          <w:trHeight w:val="224"/>
        </w:trPr>
        <w:tc>
          <w:tcPr>
            <w:tcW w:w="37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1 - April 30, 2021</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May 1 - May 31, 2021</w:t>
            </w:r>
          </w:p>
        </w:tc>
        <w:tc>
          <w:tcPr>
            <w:tcW w:w="1780" w:type="dxa"/>
            <w:vAlign w:val="bottom"/>
          </w:tcPr>
          <w:p>
            <w:pPr>
              <w:jc w:val="right"/>
              <w:spacing w:after="0"/>
              <w:rPr>
                <w:sz w:val="20"/>
                <w:szCs w:val="20"/>
                <w:color w:val="auto"/>
              </w:rPr>
            </w:pPr>
            <w:r>
              <w:rPr>
                <w:rFonts w:ascii="Arial" w:cs="Arial" w:eastAsia="Arial" w:hAnsi="Arial"/>
                <w:sz w:val="18"/>
                <w:szCs w:val="18"/>
                <w:color w:val="auto"/>
              </w:rPr>
              <w:t>2,465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47.99</w:t>
            </w:r>
          </w:p>
        </w:tc>
        <w:tc>
          <w:tcPr>
            <w:tcW w:w="10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June 1 - June 30, 2021</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391,316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391,316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231,614</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180" w:type="dxa"/>
            <w:vAlign w:val="bottom"/>
            <w:tcBorders>
              <w:bottom w:val="single" w:sz="8" w:color="auto"/>
            </w:tcBorders>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9"/>
          <w:szCs w:val="19"/>
          <w:color w:val="auto"/>
        </w:rPr>
      </w:pPr>
      <w:r>
        <w:rPr>
          <w:rFonts w:ascii="Arial" w:cs="Arial" w:eastAsia="Arial" w:hAnsi="Arial"/>
          <w:sz w:val="17"/>
          <w:szCs w:val="17"/>
          <w:color w:val="auto"/>
        </w:rPr>
        <w:t>As of June 30, 2021, the Company was authorized to purchase up to $250 million of its common shares, announced in May 2021, of which</w:t>
      </w:r>
    </w:p>
    <w:p>
      <w:pPr>
        <w:jc w:val="both"/>
        <w:ind w:left="660" w:right="180"/>
        <w:spacing w:after="0" w:line="243" w:lineRule="auto"/>
        <w:rPr>
          <w:rFonts w:ascii="Arial" w:cs="Arial" w:eastAsia="Arial" w:hAnsi="Arial"/>
          <w:sz w:val="19"/>
          <w:szCs w:val="19"/>
          <w:color w:val="auto"/>
        </w:rPr>
      </w:pPr>
      <w:r>
        <w:rPr>
          <w:rFonts w:ascii="Arial" w:cs="Arial" w:eastAsia="Arial" w:hAnsi="Arial"/>
          <w:sz w:val="17"/>
          <w:szCs w:val="17"/>
          <w:color w:val="auto"/>
        </w:rPr>
        <w:t>$18.4 million had been utilized. The remaining $231.6 million in the table represents the amount available to repurchase shares under the share repurchase plan as of June 30, 2021. In July 2021, the Company repurchased an additional 586 thousand shares at a total cost of $25.8 million. After the July repurchases, the amount remaining under the share repurchase plan was $205.8 million.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44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2"/>
        </w:trPr>
        <w:tc>
          <w:tcPr>
            <w:tcW w:w="620" w:type="dxa"/>
            <w:vAlign w:val="bottom"/>
            <w:gridSpan w:val="3"/>
          </w:tcPr>
          <w:p>
            <w:pPr>
              <w:spacing w:after="0"/>
              <w:rPr>
                <w:sz w:val="20"/>
                <w:szCs w:val="20"/>
                <w:color w:val="auto"/>
              </w:rPr>
            </w:pPr>
            <w:r>
              <w:rPr>
                <w:rFonts w:ascii="Arial" w:cs="Arial" w:eastAsia="Arial" w:hAnsi="Arial"/>
                <w:sz w:val="18"/>
                <w:szCs w:val="18"/>
                <w:color w:val="auto"/>
              </w:rPr>
              <w:t>(a)</w:t>
            </w:r>
          </w:p>
        </w:tc>
        <w:tc>
          <w:tcPr>
            <w:tcW w:w="10440" w:type="dxa"/>
            <w:vAlign w:val="bottom"/>
            <w:gridSpan w:val="2"/>
          </w:tcPr>
          <w:p>
            <w:pPr>
              <w:ind w:left="6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24"/>
                <w:szCs w:val="24"/>
                <w:color w:val="auto"/>
              </w:rPr>
            </w:pPr>
          </w:p>
        </w:tc>
        <w:tc>
          <w:tcPr>
            <w:tcW w:w="9940" w:type="dxa"/>
            <w:vAlign w:val="bottom"/>
            <w:vMerge w:val="restart"/>
          </w:tcPr>
          <w:p>
            <w:pPr>
              <w:ind w:left="4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No.</w:t>
            </w:r>
          </w:p>
        </w:tc>
        <w:tc>
          <w:tcPr>
            <w:tcW w:w="500" w:type="dxa"/>
            <w:vAlign w:val="bottom"/>
            <w:tcBorders>
              <w:bottom w:val="single" w:sz="8" w:color="auto"/>
            </w:tcBorders>
          </w:tcPr>
          <w:p>
            <w:pPr>
              <w:spacing w:after="0"/>
              <w:rPr>
                <w:sz w:val="16"/>
                <w:szCs w:val="16"/>
                <w:color w:val="auto"/>
              </w:rPr>
            </w:pPr>
          </w:p>
        </w:tc>
        <w:tc>
          <w:tcPr>
            <w:tcW w:w="9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20" w:type="dxa"/>
            <w:vAlign w:val="bottom"/>
            <w:gridSpan w:val="3"/>
          </w:tcPr>
          <w:p>
            <w:pPr>
              <w:ind w:left="20"/>
              <w:spacing w:after="0" w:line="172" w:lineRule="exact"/>
              <w:rPr>
                <w:rFonts w:ascii="Arial" w:cs="Arial" w:eastAsia="Arial" w:hAnsi="Arial"/>
                <w:sz w:val="18"/>
                <w:szCs w:val="18"/>
                <w:color w:val="0000FF"/>
              </w:rPr>
            </w:pPr>
            <w:hyperlink w:anchor="page54">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500" w:type="dxa"/>
            <w:vAlign w:val="bottom"/>
          </w:tcPr>
          <w:p>
            <w:pPr>
              <w:spacing w:after="0"/>
              <w:rPr>
                <w:sz w:val="15"/>
                <w:szCs w:val="15"/>
                <w:color w:val="auto"/>
              </w:rPr>
            </w:pPr>
          </w:p>
        </w:tc>
        <w:tc>
          <w:tcPr>
            <w:tcW w:w="9940" w:type="dxa"/>
            <w:vAlign w:val="bottom"/>
          </w:tcPr>
          <w:p>
            <w:pPr>
              <w:ind w:left="440"/>
              <w:spacing w:after="0" w:line="172" w:lineRule="exact"/>
              <w:rPr>
                <w:sz w:val="20"/>
                <w:szCs w:val="20"/>
                <w:color w:val="auto"/>
              </w:rPr>
            </w:pPr>
            <w:r>
              <w:rPr>
                <w:rFonts w:ascii="Arial" w:cs="Arial" w:eastAsia="Arial" w:hAnsi="Arial"/>
                <w:sz w:val="18"/>
                <w:szCs w:val="18"/>
                <w:color w:val="auto"/>
                <w:w w:val="93"/>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tcPr>
          <w:p>
            <w:pPr>
              <w:ind w:left="440"/>
              <w:spacing w:after="0" w:line="189" w:lineRule="exact"/>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190"/>
        </w:trPr>
        <w:tc>
          <w:tcPr>
            <w:tcW w:w="620" w:type="dxa"/>
            <w:vAlign w:val="bottom"/>
            <w:gridSpan w:val="3"/>
          </w:tcPr>
          <w:p>
            <w:pPr>
              <w:ind w:left="20"/>
              <w:spacing w:after="0" w:line="190" w:lineRule="exact"/>
              <w:rPr>
                <w:rFonts w:ascii="Arial" w:cs="Arial" w:eastAsia="Arial" w:hAnsi="Arial"/>
                <w:sz w:val="18"/>
                <w:szCs w:val="18"/>
                <w:color w:val="0000FF"/>
              </w:rPr>
            </w:pPr>
            <w:hyperlink w:anchor="page55">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500" w:type="dxa"/>
            <w:vAlign w:val="bottom"/>
          </w:tcPr>
          <w:p>
            <w:pPr>
              <w:spacing w:after="0"/>
              <w:rPr>
                <w:sz w:val="16"/>
                <w:szCs w:val="16"/>
                <w:color w:val="auto"/>
              </w:rPr>
            </w:pPr>
          </w:p>
        </w:tc>
        <w:tc>
          <w:tcPr>
            <w:tcW w:w="9940" w:type="dxa"/>
            <w:vAlign w:val="bottom"/>
          </w:tcPr>
          <w:p>
            <w:pPr>
              <w:ind w:left="440"/>
              <w:spacing w:after="0" w:line="190" w:lineRule="exact"/>
              <w:rPr>
                <w:sz w:val="20"/>
                <w:szCs w:val="20"/>
                <w:color w:val="auto"/>
              </w:rPr>
            </w:pPr>
            <w:r>
              <w:rPr>
                <w:rFonts w:ascii="Arial" w:cs="Arial" w:eastAsia="Arial" w:hAnsi="Arial"/>
                <w:sz w:val="18"/>
                <w:szCs w:val="18"/>
                <w:color w:val="auto"/>
                <w:w w:val="94"/>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tcPr>
          <w:p>
            <w:pPr>
              <w:ind w:left="440"/>
              <w:spacing w:after="0" w:line="195" w:lineRule="exact"/>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190"/>
        </w:trPr>
        <w:tc>
          <w:tcPr>
            <w:tcW w:w="620" w:type="dxa"/>
            <w:vAlign w:val="bottom"/>
            <w:gridSpan w:val="3"/>
          </w:tcPr>
          <w:p>
            <w:pPr>
              <w:ind w:left="20"/>
              <w:spacing w:after="0" w:line="190" w:lineRule="exact"/>
              <w:rPr>
                <w:rFonts w:ascii="Arial" w:cs="Arial" w:eastAsia="Arial" w:hAnsi="Arial"/>
                <w:sz w:val="18"/>
                <w:szCs w:val="18"/>
                <w:color w:val="0000FF"/>
              </w:rPr>
            </w:pPr>
            <w:hyperlink w:anchor="page56">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500" w:type="dxa"/>
            <w:vAlign w:val="bottom"/>
          </w:tcPr>
          <w:p>
            <w:pPr>
              <w:spacing w:after="0"/>
              <w:rPr>
                <w:sz w:val="16"/>
                <w:szCs w:val="16"/>
                <w:color w:val="auto"/>
              </w:rPr>
            </w:pPr>
          </w:p>
        </w:tc>
        <w:tc>
          <w:tcPr>
            <w:tcW w:w="9940" w:type="dxa"/>
            <w:vAlign w:val="bottom"/>
          </w:tcPr>
          <w:p>
            <w:pPr>
              <w:ind w:left="440"/>
              <w:spacing w:after="0" w:line="190" w:lineRule="exact"/>
              <w:rPr>
                <w:sz w:val="20"/>
                <w:szCs w:val="20"/>
                <w:color w:val="auto"/>
              </w:rPr>
            </w:pPr>
            <w:r>
              <w:rPr>
                <w:rFonts w:ascii="Arial" w:cs="Arial" w:eastAsia="Arial" w:hAnsi="Arial"/>
                <w:sz w:val="18"/>
                <w:szCs w:val="18"/>
                <w:color w:val="auto"/>
                <w:w w:val="91"/>
              </w:rPr>
              <w:t>Certification of Chief Executive Officer and Chief Financial Officer pursuant to 18 U.S.C. 1350, as adopted pursuant to Section 906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40" w:type="dxa"/>
            <w:vAlign w:val="bottom"/>
          </w:tcPr>
          <w:p>
            <w:pPr>
              <w:ind w:left="440"/>
              <w:spacing w:after="0"/>
              <w:rPr>
                <w:sz w:val="20"/>
                <w:szCs w:val="20"/>
                <w:color w:val="auto"/>
              </w:rPr>
            </w:pPr>
            <w:r>
              <w:rPr>
                <w:rFonts w:ascii="Arial" w:cs="Arial" w:eastAsia="Arial" w:hAnsi="Arial"/>
                <w:sz w:val="18"/>
                <w:szCs w:val="18"/>
                <w:color w:val="auto"/>
              </w:rPr>
              <w:t>of the Sarbanes-Oxley Act of 2002</w:t>
            </w:r>
          </w:p>
        </w:tc>
        <w:tc>
          <w:tcPr>
            <w:tcW w:w="0" w:type="dxa"/>
            <w:vAlign w:val="bottom"/>
          </w:tcPr>
          <w:p>
            <w:pPr>
              <w:spacing w:after="0"/>
              <w:rPr>
                <w:sz w:val="1"/>
                <w:szCs w:val="1"/>
                <w:color w:val="auto"/>
              </w:rPr>
            </w:pPr>
          </w:p>
        </w:tc>
      </w:tr>
    </w:tbl>
    <w:p>
      <w:pPr>
        <w:ind w:left="1560" w:hanging="1534"/>
        <w:spacing w:after="0" w:line="212" w:lineRule="auto"/>
        <w:tabs>
          <w:tab w:leader="none" w:pos="1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financial information from this Quarterly Report on Form 10-Q for the quarter ended June 30, 2021, formatted in Inline XBRL: (i) the Condensed Consolidated Balance Sheets (Unaudited); (ii) the Condensed Consolidated Statements of Comprehensive Income (Unaudited); (iii) the Condensed Consolidated Statements of Changes in Stockholders’ Equity (Unaudited); (iv) the Condensed Consolidated Statements of Cash Flows (Unaudited); and (v) the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301"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ESSENT GROUP LTD.</w:t>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5320"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29743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Mark A. Casale</w:t>
      </w:r>
    </w:p>
    <w:p>
      <w:pPr>
        <w:spacing w:after="0" w:line="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President, Chief Executive Officer and Chairman</w:t>
      </w:r>
    </w:p>
    <w:p>
      <w:pPr>
        <w:ind w:left="53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5320"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29743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Lawrence E. McAlee</w:t>
      </w:r>
    </w:p>
    <w:p>
      <w:pPr>
        <w:spacing w:after="0" w:line="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Senior Vice President and Chief Financial Officer</w:t>
      </w:r>
    </w:p>
    <w:p>
      <w:pPr>
        <w:ind w:left="53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5320"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29743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David B. Weinstock</w:t>
      </w:r>
    </w:p>
    <w:p>
      <w:pPr>
        <w:spacing w:after="0" w:line="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Vice President and Chief Accounting Officer</w:t>
      </w:r>
    </w:p>
    <w:p>
      <w:pPr>
        <w:ind w:left="53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320" w:top="125" w:right="37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25" w:lineRule="exact"/>
        <w:rPr>
          <w:rFonts w:ascii="Arial" w:cs="Arial" w:eastAsia="Arial" w:hAnsi="Arial"/>
          <w:sz w:val="18"/>
          <w:szCs w:val="18"/>
          <w:color w:val="auto"/>
        </w:rPr>
      </w:pPr>
    </w:p>
    <w:p>
      <w:pPr>
        <w:jc w:val="both"/>
        <w:ind w:right="240" w:firstLine="8"/>
        <w:spacing w:after="0" w:line="342" w:lineRule="auto"/>
        <w:tabs>
          <w:tab w:leader="none" w:pos="517"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8"/>
        <w:spacing w:after="0" w:line="277" w:lineRule="auto"/>
        <w:tabs>
          <w:tab w:leader="none" w:pos="517"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51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0" w:firstLine="494"/>
        <w:spacing w:after="0" w:line="263" w:lineRule="auto"/>
        <w:tabs>
          <w:tab w:leader="none" w:pos="100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494"/>
        <w:spacing w:after="0" w:line="263" w:lineRule="auto"/>
        <w:tabs>
          <w:tab w:leader="none" w:pos="101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520" w:firstLine="494"/>
        <w:spacing w:after="0" w:line="342" w:lineRule="auto"/>
        <w:tabs>
          <w:tab w:leader="none" w:pos="1014"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firstLine="494"/>
        <w:spacing w:after="0" w:line="263" w:lineRule="auto"/>
        <w:tabs>
          <w:tab w:leader="none" w:pos="101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00" w:firstLine="8"/>
        <w:spacing w:after="0" w:line="308" w:lineRule="auto"/>
        <w:tabs>
          <w:tab w:leader="none" w:pos="54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780" w:firstLine="494"/>
        <w:spacing w:after="0" w:line="308" w:lineRule="auto"/>
        <w:tabs>
          <w:tab w:leader="none" w:pos="1014"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460" w:firstLine="494"/>
        <w:spacing w:after="0" w:line="277" w:lineRule="auto"/>
        <w:tabs>
          <w:tab w:leader="none" w:pos="102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1319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A. Casale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Chief Executive Officer and Chairman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25" w:lineRule="exact"/>
        <w:rPr>
          <w:rFonts w:ascii="Arial" w:cs="Arial" w:eastAsia="Arial" w:hAnsi="Arial"/>
          <w:sz w:val="18"/>
          <w:szCs w:val="18"/>
          <w:color w:val="auto"/>
        </w:rPr>
      </w:pPr>
    </w:p>
    <w:p>
      <w:pPr>
        <w:jc w:val="both"/>
        <w:ind w:right="240" w:firstLine="8"/>
        <w:spacing w:after="0" w:line="342" w:lineRule="auto"/>
        <w:tabs>
          <w:tab w:leader="none" w:pos="517"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8"/>
        <w:spacing w:after="0" w:line="277" w:lineRule="auto"/>
        <w:tabs>
          <w:tab w:leader="none" w:pos="517"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51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0" w:firstLine="494"/>
        <w:spacing w:after="0" w:line="263" w:lineRule="auto"/>
        <w:tabs>
          <w:tab w:leader="none" w:pos="100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494"/>
        <w:spacing w:after="0" w:line="263" w:lineRule="auto"/>
        <w:tabs>
          <w:tab w:leader="none" w:pos="101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520" w:firstLine="494"/>
        <w:spacing w:after="0" w:line="342" w:lineRule="auto"/>
        <w:tabs>
          <w:tab w:leader="none" w:pos="1014"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firstLine="494"/>
        <w:spacing w:after="0" w:line="263" w:lineRule="auto"/>
        <w:tabs>
          <w:tab w:leader="none" w:pos="101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00" w:firstLine="8"/>
        <w:spacing w:after="0" w:line="308" w:lineRule="auto"/>
        <w:tabs>
          <w:tab w:leader="none" w:pos="544"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780" w:firstLine="494"/>
        <w:spacing w:after="0" w:line="308" w:lineRule="auto"/>
        <w:tabs>
          <w:tab w:leader="none" w:pos="1014"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460" w:firstLine="494"/>
        <w:spacing w:after="0" w:line="277" w:lineRule="auto"/>
        <w:tabs>
          <w:tab w:leader="none" w:pos="102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1319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Lawrence E. McAlee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55" w:name="page56"/>
    <w:bookmarkEnd w:id="55"/>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84" w:lineRule="exact"/>
        <w:rPr>
          <w:sz w:val="20"/>
          <w:szCs w:val="20"/>
          <w:color w:val="auto"/>
        </w:rPr>
      </w:pPr>
    </w:p>
    <w:p>
      <w:pPr>
        <w:ind w:right="220" w:firstLine="8"/>
        <w:spacing w:after="0" w:line="277" w:lineRule="auto"/>
        <w:tabs>
          <w:tab w:leader="none" w:pos="68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2021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160" w:firstLine="8"/>
        <w:spacing w:after="0" w:line="527" w:lineRule="auto"/>
        <w:tabs>
          <w:tab w:leader="none" w:pos="68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6, 2021</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A. Casale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Chief Executive Officer and Chairman</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Lawrence E. McAlee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3"/>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2"/>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0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2021-08-06T17:26:20Z</dcterms:created>
  <dcterms:modified xsi:type="dcterms:W3CDTF">2021-08-06T17:26:20Z</dcterms:modified>
</cp:coreProperties>
</file>