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163830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323215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period ended September 30, 2018</w:t>
      </w:r>
    </w:p>
    <w:p>
      <w:pPr>
        <w:spacing w:after="0" w:line="145" w:lineRule="exact"/>
        <w:rPr>
          <w:sz w:val="24"/>
          <w:szCs w:val="24"/>
          <w:color w:val="auto"/>
        </w:rPr>
      </w:pPr>
    </w:p>
    <w:p>
      <w:pPr>
        <w:ind w:left="740" w:hanging="408"/>
        <w:spacing w:after="0"/>
        <w:tabs>
          <w:tab w:leader="none" w:pos="740" w:val="left"/>
        </w:tabs>
        <w:numPr>
          <w:ilvl w:val="0"/>
          <w:numId w:val="2"/>
        </w:numPr>
        <w:rPr>
          <w:rFonts w:ascii="Arial" w:cs="Arial" w:eastAsia="Arial" w:hAnsi="Arial"/>
          <w:sz w:val="21"/>
          <w:szCs w:val="21"/>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60"/>
          </w:cols>
          <w:pgMar w:left="240" w:top="233" w:right="299" w:bottom="1440" w:gutter="0" w:footer="0" w:header="0"/>
        </w:sectPr>
      </w:pPr>
    </w:p>
    <w:p>
      <w:pPr>
        <w:spacing w:after="0" w:line="13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140" w:space="580"/>
            <w:col w:w="4640"/>
          </w:cols>
          <w:pgMar w:left="240" w:top="233" w:right="2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189865</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tbl>
      <w:tblPr>
        <w:tblLayout w:type="fixed"/>
        <w:tblInd w:w="1780" w:type="dxa"/>
        <w:tblCellMar>
          <w:top w:w="0" w:type="dxa"/>
          <w:left w:w="0" w:type="dxa"/>
          <w:bottom w:w="0" w:type="dxa"/>
          <w:right w:w="0" w:type="dxa"/>
        </w:tblCellMar>
      </w:tblPr>
      <w:tr>
        <w:trPr>
          <w:trHeight w:val="37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6"/>
              </w:rPr>
              <w:t>ESSENT GROUP LTD.</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49"/>
        </w:trPr>
        <w:tc>
          <w:tcPr>
            <w:tcW w:w="14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568"/>
        </w:trPr>
        <w:tc>
          <w:tcPr>
            <w:tcW w:w="2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Bermuda</w:t>
            </w:r>
          </w:p>
        </w:tc>
        <w:tc>
          <w:tcPr>
            <w:tcW w:w="5580" w:type="dxa"/>
            <w:vAlign w:val="bottom"/>
            <w:gridSpan w:val="2"/>
          </w:tcPr>
          <w:p>
            <w:pPr>
              <w:jc w:val="center"/>
              <w:ind w:left="3973"/>
              <w:spacing w:after="0"/>
              <w:rPr>
                <w:sz w:val="20"/>
                <w:szCs w:val="20"/>
                <w:color w:val="auto"/>
              </w:rPr>
            </w:pPr>
            <w:r>
              <w:rPr>
                <w:rFonts w:ascii="Arial" w:cs="Arial" w:eastAsia="Arial" w:hAnsi="Arial"/>
                <w:sz w:val="16"/>
                <w:szCs w:val="16"/>
                <w:b w:val="1"/>
                <w:bCs w:val="1"/>
                <w:color w:val="auto"/>
                <w:w w:val="92"/>
              </w:rPr>
              <w:t>Not Applicable</w:t>
            </w:r>
          </w:p>
        </w:tc>
      </w:tr>
      <w:tr>
        <w:trPr>
          <w:trHeight w:val="253"/>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 or other jurisdiction of</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3"/>
              </w:rPr>
              <w:t>(I.R.S. Employer</w:t>
            </w:r>
          </w:p>
        </w:tc>
      </w:tr>
      <w:tr>
        <w:trPr>
          <w:trHeight w:val="206"/>
        </w:trPr>
        <w:tc>
          <w:tcPr>
            <w:tcW w:w="20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incorporation or organization)</w:t>
            </w:r>
          </w:p>
        </w:tc>
        <w:tc>
          <w:tcPr>
            <w:tcW w:w="5580" w:type="dxa"/>
            <w:vAlign w:val="bottom"/>
            <w:gridSpan w:val="2"/>
          </w:tcPr>
          <w:p>
            <w:pPr>
              <w:jc w:val="center"/>
              <w:ind w:left="3993"/>
              <w:spacing w:after="0"/>
              <w:rPr>
                <w:sz w:val="20"/>
                <w:szCs w:val="20"/>
                <w:color w:val="auto"/>
              </w:rPr>
            </w:pPr>
            <w:r>
              <w:rPr>
                <w:rFonts w:ascii="Arial" w:cs="Arial" w:eastAsia="Arial" w:hAnsi="Arial"/>
                <w:sz w:val="16"/>
                <w:szCs w:val="16"/>
                <w:color w:val="auto"/>
                <w:w w:val="95"/>
              </w:rPr>
              <w:t>Identification Number)</w:t>
            </w:r>
          </w:p>
        </w:tc>
      </w:tr>
      <w:tr>
        <w:trPr>
          <w:trHeight w:val="249"/>
        </w:trPr>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Clarendon House</w:t>
            </w:r>
          </w:p>
        </w:tc>
      </w:tr>
      <w:tr>
        <w:trPr>
          <w:trHeight w:val="203"/>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2"/>
              </w:rPr>
              <w:t>2 Church Street</w:t>
            </w:r>
          </w:p>
        </w:tc>
      </w:tr>
      <w:tr>
        <w:trPr>
          <w:trHeight w:val="207"/>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95"/>
              </w:rPr>
              <w:t>Hamilton HM11, Bermuda</w:t>
            </w: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80"/>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40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(441) 297-9901</w:t>
            </w:r>
          </w:p>
        </w:tc>
        <w:tc>
          <w:tcPr>
            <w:tcW w:w="1260" w:type="dxa"/>
            <w:vAlign w:val="bottom"/>
          </w:tcPr>
          <w:p>
            <w:pPr>
              <w:spacing w:after="0"/>
              <w:rPr>
                <w:sz w:val="24"/>
                <w:szCs w:val="24"/>
                <w:color w:val="auto"/>
              </w:rPr>
            </w:pPr>
          </w:p>
        </w:tc>
      </w:tr>
      <w:tr>
        <w:trPr>
          <w:trHeight w:val="206"/>
        </w:trPr>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gridSpan w:val="2"/>
          </w:tcPr>
          <w:p>
            <w:pPr>
              <w:jc w:val="center"/>
              <w:ind w:right="1860"/>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140" w:lineRule="exact"/>
        <w:rPr>
          <w:sz w:val="24"/>
          <w:szCs w:val="24"/>
          <w:color w:val="auto"/>
        </w:rPr>
      </w:pPr>
    </w:p>
    <w:p>
      <w:pPr>
        <w:jc w:val="both"/>
        <w:ind w:right="18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right="20" w:firstLine="55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55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500" w:type="dxa"/>
        <w:tblCellMar>
          <w:top w:w="0" w:type="dxa"/>
          <w:left w:w="0" w:type="dxa"/>
          <w:bottom w:w="0" w:type="dxa"/>
          <w:right w:w="0" w:type="dxa"/>
        </w:tblCellMar>
      </w:tblP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00" w:type="dxa"/>
            <w:vAlign w:val="bottom"/>
          </w:tcPr>
          <w:p>
            <w:pPr>
              <w:ind w:left="340"/>
              <w:spacing w:after="0"/>
              <w:rPr>
                <w:sz w:val="20"/>
                <w:szCs w:val="20"/>
                <w:color w:val="auto"/>
              </w:rPr>
            </w:pPr>
            <w:r>
              <w:rPr>
                <w:rFonts w:ascii="Arial" w:cs="Arial" w:eastAsia="Arial" w:hAnsi="Arial"/>
                <w:sz w:val="16"/>
                <w:szCs w:val="16"/>
                <w:color w:val="auto"/>
              </w:rPr>
              <w:t>x</w:t>
            </w:r>
          </w:p>
        </w:tc>
        <w:tc>
          <w:tcPr>
            <w:tcW w:w="2860" w:type="dxa"/>
            <w:vAlign w:val="bottom"/>
          </w:tcPr>
          <w:p>
            <w:pPr>
              <w:ind w:left="4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900" w:type="dxa"/>
            <w:vAlign w:val="bottom"/>
          </w:tcPr>
          <w:p>
            <w:pPr>
              <w:ind w:left="340"/>
              <w:spacing w:after="0"/>
              <w:rPr>
                <w:sz w:val="20"/>
                <w:szCs w:val="20"/>
                <w:color w:val="auto"/>
              </w:rPr>
            </w:pPr>
            <w:r>
              <w:rPr>
                <w:rFonts w:ascii="Arial" w:cs="Arial" w:eastAsia="Arial" w:hAnsi="Arial"/>
                <w:sz w:val="16"/>
                <w:szCs w:val="16"/>
                <w:color w:val="auto"/>
              </w:rPr>
              <w:t>o</w:t>
            </w:r>
          </w:p>
        </w:tc>
        <w:tc>
          <w:tcPr>
            <w:tcW w:w="2860" w:type="dxa"/>
            <w:vAlign w:val="bottom"/>
          </w:tcPr>
          <w:p>
            <w:pPr>
              <w:ind w:left="48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r>
        <w:trPr>
          <w:trHeight w:val="270"/>
        </w:trPr>
        <w:tc>
          <w:tcPr>
            <w:tcW w:w="1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60" w:type="dxa"/>
            <w:vAlign w:val="bottom"/>
          </w:tcPr>
          <w:p>
            <w:pPr>
              <w:ind w:left="4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bl>
    <w:p>
      <w:pPr>
        <w:spacing w:after="0" w:line="140" w:lineRule="exact"/>
        <w:rPr>
          <w:sz w:val="24"/>
          <w:szCs w:val="24"/>
          <w:color w:val="auto"/>
        </w:rPr>
      </w:pPr>
    </w:p>
    <w:p>
      <w:pPr>
        <w:ind w:right="80" w:firstLine="55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560" w:right="162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the registrant’s common shares outstanding as of November 2, 2018 was 98,139,176.</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8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5"/>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Arial" w:cs="Arial" w:eastAsia="Arial" w:hAnsi="Arial"/>
                <w:sz w:val="18"/>
                <w:szCs w:val="18"/>
                <w:b w:val="1"/>
                <w:bCs w:val="1"/>
                <w:color w:val="auto"/>
                <w:w w:val="93"/>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58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Item 1.</w:t>
              </w:r>
            </w:hyperlink>
          </w:p>
        </w:tc>
        <w:tc>
          <w:tcPr>
            <w:tcW w:w="80" w:type="dxa"/>
            <w:vAlign w:val="bottom"/>
          </w:tcPr>
          <w:p>
            <w:pPr>
              <w:spacing w:after="0"/>
              <w:rPr>
                <w:sz w:val="24"/>
                <w:szCs w:val="24"/>
                <w:color w:val="auto"/>
              </w:rPr>
            </w:pPr>
          </w:p>
        </w:tc>
        <w:tc>
          <w:tcPr>
            <w:tcW w:w="980" w:type="dxa"/>
            <w:vAlign w:val="bottom"/>
            <w:gridSpan w:val="5"/>
          </w:tcPr>
          <w:p>
            <w:pPr>
              <w:spacing w:after="0"/>
              <w:rPr>
                <w:sz w:val="24"/>
                <w:szCs w:val="24"/>
                <w:color w:val="auto"/>
              </w:rPr>
            </w:pPr>
          </w:p>
        </w:tc>
        <w:tc>
          <w:tcPr>
            <w:tcW w:w="260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4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Item 2.</w:t>
              </w:r>
            </w:hyperlink>
          </w:p>
        </w:tc>
        <w:tc>
          <w:tcPr>
            <w:tcW w:w="1060" w:type="dxa"/>
            <w:vAlign w:val="bottom"/>
            <w:gridSpan w:val="6"/>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3.</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4.</w:t>
              </w:r>
            </w:hyperlink>
          </w:p>
        </w:tc>
        <w:tc>
          <w:tcPr>
            <w:tcW w:w="1060" w:type="dxa"/>
            <w:vAlign w:val="bottom"/>
            <w:gridSpan w:val="6"/>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7"/>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1A.</w:t>
              </w:r>
            </w:hyperlink>
          </w:p>
        </w:tc>
        <w:tc>
          <w:tcPr>
            <w:tcW w:w="9580" w:type="dxa"/>
            <w:vAlign w:val="bottom"/>
            <w:gridSpan w:val="16"/>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940" w:type="dxa"/>
            <w:vAlign w:val="bottom"/>
            <w:gridSpan w:val="4"/>
          </w:tcPr>
          <w:p>
            <w:pPr>
              <w:spacing w:after="0"/>
              <w:rPr>
                <w:sz w:val="24"/>
                <w:szCs w:val="24"/>
                <w:color w:val="auto"/>
              </w:rPr>
            </w:pP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45">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6.</w:t>
              </w:r>
            </w:hyperlink>
          </w:p>
        </w:tc>
        <w:tc>
          <w:tcPr>
            <w:tcW w:w="1060" w:type="dxa"/>
            <w:vAlign w:val="bottom"/>
            <w:gridSpan w:val="6"/>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SIGNATURES</w:t>
              </w:r>
            </w:hyperlink>
          </w:p>
        </w:tc>
        <w:tc>
          <w:tcPr>
            <w:tcW w:w="4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indicates or requires, the terms “we,” “our,” “us,” “Essent,” and the “Company,” as used in this Quarterly Report 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2017 filed with the Securities and Exchange Commission. These factors include, without limitation, the following:</w:t>
      </w:r>
    </w:p>
    <w:p>
      <w:pPr>
        <w:spacing w:after="0" w:line="192" w:lineRule="exact"/>
        <w:rPr>
          <w:sz w:val="20"/>
          <w:szCs w:val="20"/>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on the basis of price, terms and conditions or otherwise, or the loss of a significant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recently enacted U.S. Federal tax reform on us, our shareholders and our operations;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125" w:right="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available for sale, at fair value (amortized cost: 2018 — $2,527,850; 2017 — $1,994,200)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2,473,840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1,992,371</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7"/>
              </w:rPr>
              <w:t>Short-term investments available for sale, at fair value (amortized cost: 2018 — $191,911; 2017 — $312,714)</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191,912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312,694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investments available for sale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2,665,752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2,305,065</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invested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2,305,565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43,524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29,752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(at cost, less accumulated depreciation of $53,005 in 2018 and $50,466 in 2017)</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252,157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8,230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2,993,423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46,850</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292,331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259,672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127,636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w w:val="93"/>
              </w:rPr>
              <w:t>Credit facility borrowings (at carrying value, less unamortized deferred costs of $1,513 in 2018 and $1,409 in 2017)</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223,487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248,591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36,184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733,932</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7)</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- 98,128 shares in 2018 and 98,434 shares in 2017</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1,107,206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1,127,137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1,153,910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815,075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2,215,139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1,940,436</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2,993,423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2,674,368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175,221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508,850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408,415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166,675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137,940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476,191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382,154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184,998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150,203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526,229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415,401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36,899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109,053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44,851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140,147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394,636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293,211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76,102</w:t>
            </w: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116,011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338,835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217,109</w:t>
            </w:r>
          </w:p>
        </w:tc>
      </w:tr>
      <w:tr>
        <w:trPr>
          <w:trHeight w:val="271"/>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92,285</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94,104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116,011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78,393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338,835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217,109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Change in unrealized (depreciation) appreciation of investments,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net of tax (benefit) expense of ($1,352) and $752 in the three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1"/>
              </w:rPr>
              <w:t>months ended September 30, 2018 and 2017 and ($7,963)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$6,462 in the nine months ended September 30, 2018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15,298</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(loss)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107,810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80,371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294,638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232,407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2"/>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3"/>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Balance at January 1, 2017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1,397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918,296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(12,255)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436,335</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1,343,773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379,747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379,747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8,068</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w w:val="93"/>
              </w:rPr>
              <w:t>Issuance of common shares, net of issuance cost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of $1,802</w:t>
            </w:r>
          </w:p>
        </w:tc>
        <w:tc>
          <w:tcPr>
            <w:tcW w:w="24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197,623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197,698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18,688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ASU 2016-09 adoption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(7,577)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Reclassification of certain income tax effects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resulting from tax reform</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1,127,137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815,075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1,940,436</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338,835</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(44,197)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11,269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11,269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(31,204)</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31,204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September 30, 2018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1,472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1,107,206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(47,449)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1,153,910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2,215,139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3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338,835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217,109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(1,763)</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2,955</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11,269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13,980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8,752</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Deferred income tax provision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35,676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49,032</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(7,657)</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(52,185)</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32,659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26,261</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(4,139)</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485,954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252,021</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(164,165)</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(861,042)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(567,335)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51,440</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241,865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197,623</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other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Distributions from other invested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(442,961)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(485,098)</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198,212</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Credit facility borrowings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125,000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Credit facility repayments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(7,329)</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for credit facility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(56,720)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263,287</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6"/>
        </w:trPr>
        <w:tc>
          <w:tcPr>
            <w:tcW w:w="8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30,210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27,531</w:t>
            </w:r>
          </w:p>
        </w:tc>
      </w:tr>
      <w:tr>
        <w:trPr>
          <w:trHeight w:val="28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29,797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57,741</w:t>
            </w:r>
          </w:p>
        </w:tc>
      </w:tr>
      <w:tr>
        <w:trPr>
          <w:trHeight w:val="149"/>
        </w:trPr>
        <w:tc>
          <w:tcPr>
            <w:tcW w:w="8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(28,300)</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8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Repayment of borrowings with term loan proceeds (see Note 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r>
      <w:tr>
        <w:trPr>
          <w:trHeight w:val="33"/>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02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029"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A significant portion of our premium revenue relates to master policies with certain lending institutions. For the nine months ended September 30, 2018 one lender represented 10% of our total revenue. The loss of this customer could have a significant impact on our revenues and results of operations.</w:t>
      </w:r>
    </w:p>
    <w:p>
      <w:pPr>
        <w:spacing w:after="0" w:line="17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Essent Guaranty reinsures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w:t>
      </w:r>
    </w:p>
    <w:p>
      <w:pPr>
        <w:spacing w:after="0" w:line="17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2017,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2018 prior to the issuance of these condensed consolidated financial statements.</w:t>
      </w:r>
    </w:p>
    <w:p>
      <w:pPr>
        <w:spacing w:after="0" w:line="18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Within the Condensed Consolidated Statement of Cash Flows for the nine months ended September 30, 2017, the financing activities were revised to reflect the repayment of credit facility borrowings with term loan proceeds of $125 million as a non-cash transaction to be consistent with the December 31, 2017 presentation. The term loan proceeds were directly applied at closing to pay down credit facility borrowings. This revision did not impact net cash provided by financing activities or the net increase in cash or any other financial statements or disclosures for the nine months ended September 30,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This update is intended to provide a consistent approach in recognizing revenue. In accordance with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and uncertainty of revenue and cash flows arising from contracts with customers.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The Company adopted this ASU effective January 1, 2018. The adoption of this ASU did not have a material effect on the Company's consolidated operating results or financial position.</w:t>
      </w:r>
    </w:p>
    <w:p>
      <w:pPr>
        <w:spacing w:after="0" w:line="179" w:lineRule="exact"/>
        <w:rPr>
          <w:sz w:val="20"/>
          <w:szCs w:val="20"/>
          <w:color w:val="auto"/>
        </w:rPr>
      </w:pPr>
    </w:p>
    <w:p>
      <w:pPr>
        <w:ind w:right="40" w:firstLine="648"/>
        <w:spacing w:after="0" w:line="304"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requires certain equity investments (except those accounted for under the equity method of accounting or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consolidation of the investee)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A qualitative assessment for impairment is required for equity investments without readily determinable fair values. This update also requires public entities to use the exit price notion when measuring the fair value of financial instruments for disclosure purposes. In addition, an entity is required to evaluate the need for a valuation allowance on a deferred tax asset related to available-for-sale investment securities in combination with the entity’s other deferred tax assets. The Company adopted this ASU effective January 1, 2018. The adoption of this ASU did not have a material effect on the Company's consolidated operating results or financial position.</w:t>
      </w:r>
    </w:p>
    <w:p>
      <w:pPr>
        <w:spacing w:after="0" w:line="15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We anticipate adopting this standard on January 1, 2019 using the retrospective adoption approach as of the adoption date and electing certain practical expedients allowed under the standard. The adoption of this ASU is not expected to have a material effect on the Company's consolidated operating results or financial position.</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195" w:lineRule="exact"/>
        <w:rPr>
          <w:sz w:val="20"/>
          <w:szCs w:val="20"/>
          <w:color w:val="auto"/>
        </w:rPr>
      </w:pPr>
    </w:p>
    <w:p>
      <w:pPr>
        <w:ind w:right="60" w:firstLine="648"/>
        <w:spacing w:after="0" w:line="27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are effective for interim and annual periods beginning after December 15, 2019, with early adoption permitted for the removed disclosures. The Company is evaluating the impact the adoption of this ASU will have on the consolidated financial statements and related disclosures.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2018 (In thousands)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462,546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457,506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720,722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706,330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299,952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299,021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2,719,761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2,665,752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5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3"/>
                <w:szCs w:val="2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33,669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Municipal debt securities(1)</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457,418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9,098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debt securities(2)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78,974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263,808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2,306,914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0"/>
                <w:szCs w:val="2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September 30, 2018,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480" w:type="dxa"/>
            <w:vAlign w:val="bottom"/>
          </w:tcPr>
          <w:p>
            <w:pPr>
              <w:jc w:val="right"/>
              <w:ind w:right="73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170,686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70,168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65,030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275,423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265,233</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33,651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27,808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27,768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91,050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174,111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172,250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168,650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166,438</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462,546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457,506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25,194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25,008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76,455</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375,792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369,276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252,293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720,722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706,330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588,499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566,626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101,649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299,952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299,021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191,912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2,719,761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2,665,752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2,035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gross losses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2018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265,233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277,700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55,770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333,470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518,678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139,222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214,400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220,681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1,475,269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663,895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2,139,164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220,573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124,171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59,489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835,553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432,761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1,268,314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market interest rates as well as changes in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in each of the three and nine months ended September 30, 2018 and 2017.</w:t>
      </w:r>
    </w:p>
    <w:p>
      <w:pPr>
        <w:spacing w:after="0" w:line="15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Company's other invested assets at September 30, 2018 and December 31, 2017 totaled $24.9 million and $0.5 million, respectively. Other invested assets are comprised of limited partnership interests which are accounted for under the equity method of accounting. In applying the equity method, these investments are initially recorded at cost and are subsequently adjusted based on the Company’s proportionate share of the net income or loss of the partnership. Due to the timing of receiving financial information from these partnerships, the results are generally reported on a one month or quarter lag.</w:t>
      </w:r>
    </w:p>
    <w:p>
      <w:pPr>
        <w:spacing w:after="0" w:line="15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 million as of September 30, 2018 and $8.6 million as of December 31, 2017. In connection with its insurance and reinsurance activities, Essent Re is required to maintain assets in trusts for the benefit of its contractual counterparties. The fair value of the investments on deposit in these trusts was $714.4 million at September 30, 2018 and $615.8 million at December 31, 2017. In connection with an excess-of-loss reinsurance agreement (see Note 4), Essent Guaranty is required to maintain assets on deposit for the benefit of the reinsurer. The fair value of the assets on deposit was $3.4 million at September 30, 2018. Essent Guaranty is also required to maintain assets on deposit for the benefit of the sponsor of a fixed income investment commitment. The fair value of the assets on deposit was $6.3 million at September 30,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29,964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45,494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28,461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Reinsurance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8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March 22,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For the reinsurance coverage period, Essent Guaranty and its affiliates will retain the first layer of $224.7 million of aggregate losses, and Radnor Re will then provide second layer coverage up to the outstanding reinsurance coverage amount. Essent Guaranty and its affiliates retain losses in excess of the outstanding reinsurance coverage amount. The reinsurance premium due to Radnor Re is calculated by multiplying the outstanding reinsurance coverage amount at the beginning of a period by a coupon rate, which is the sum of one-month LIBOR plus a risk margin, and then subtracting actual investment income collected on the assets in the reinsurance trust during that period. The aggregate excess of loss reinsurance coverage decreases over a ten-year period as the underlying covered mortgages amortize. Essent Guaranty has rights to terminate the reinsurance agreement, which includes an option to terminate after five years from issuance. If the reinsurance agreement is not terminated after five years from issuance, the risk margin component of the reinsurance premium payable to Radnor Re increases by 50%. Radnor Re financed the coverage by issuing mortgage insurance-linked notes in an aggregate amount of $424.4 million to unaffiliated investors. The notes have ten-year legal maturities and are non-recourse to any assets of Essent Guaranty or its affiliates. The proceeds of the notes were deposited into a reinsurance trust for the benefit of Essent Guaranty that will be the source of reinsurance claim payments to Essent Guaranty and principal repayments on the mortgage insurance-linked notes.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Direct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178,379</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155,055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515,887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408,415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7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premiums written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175,221</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155,055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508,850</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408,415</w:t>
            </w:r>
          </w:p>
        </w:tc>
      </w:tr>
      <w:tr>
        <w:trPr>
          <w:trHeight w:val="31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169,833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483,228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382,154</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Ceded</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166,675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137,940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476,191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382,154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4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amount of monthly reinsurance premium ceded will fluctuate due to changes in one-month LIBOR and changes in money market rates that affect investment income collected on the assets in the reinsurance trust. As the reinsurance premium will vary based on changes in these rates, we concluded that the reinsurance agreement contains an embedded derivative that will be accounted for separately like a freestanding derivative. The fair value of this derivative at September 30, 2018 and the change in its fair value from inception of the reinsurance agreement to September 30, 2018 was not material.</w:t>
      </w:r>
    </w:p>
    <w:p>
      <w:pPr>
        <w:spacing w:after="0" w:line="15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entering the reinsurance agreement with Radnor Re, we concluded that the risk transfer requirements for reinsurance accounting were met as Radnor Re is assuming significant insurance risk and a reasonable possibility of a significant loss. In addition, we assessed whether Radnor Re was a variable interest entity ("VIE") and the appropriate accounting for Radnor Re if it was a VIE.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Radnor Re is a VIE. However, given that Essent Guaranty (1) does not have the unilateral power to direct the activities that most significantly affect Radnor Re’s economic performance and (2) does not have the obligation to absorb losses or the right to receive benefits that could be potentially significant to Radnor Re, Radnor Re is not consolidated in these financial statements.</w:t>
      </w:r>
    </w:p>
    <w:p>
      <w:pPr>
        <w:spacing w:after="0" w:line="173"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following table presents total assets of Radnor Re as well as our maximum exposure to loss associated with Radnor Re, representing the estimated net present value of investment earnings on the assets in the reinsurance trust, each as of September 30, 2018:</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Maximum Exposure to Loss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VIE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On - Balance Sheet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Off - Balance Sheet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424,412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20,958</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424,412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20,958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20,958</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Reserve for Losses and Loss Adjustment Expenses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nine months ended September 30: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28,142</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19,266</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(9,490)</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incurred losses and LAE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9,776</w:t>
            </w:r>
          </w:p>
        </w:tc>
      </w:tr>
      <w:tr>
        <w:trPr>
          <w:trHeight w:val="22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6,096</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6,339</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31,579</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53,355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31,579</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2,153</w:t>
            </w:r>
          </w:p>
        </w:tc>
      </w:tr>
    </w:tbl>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For the nine months ended September 30, 2018, $5.4 million was paid for incurred claims and claim adjustment expenses attributable to insured events of prior years. There has been a $12.6 million favorable prior year development during the nine months ended September 30, 2018. Reserves remaining as of September 30, 2018 for prior years are $28.8 million as a result of re-estimation of unpaid losses and loss adjustment expenses. For the nine months ended September 30, 2017, $6.1 million was paid for incurred claims and claim adjustment expenses attributable to insured events of prior years. There was a $9.5 million favorable prior year development during the nine months ended September 30, 2017. Reserves remaining as of September 30, 2017 for prior years were $12.6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identified as hurricane-related defaults totaled 2,288 as of December 31, 2017. The number of hurricane-related defaults declined to 301 as of September 30, 2018 primarily due to hurricane-related loans in default that cured.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 reserve for losses and LAE on hurricane-related defaults was $11.1 million at September 30, 2018 and December 31, 2017. The impact on our reserves in future periods will be dependent upon the performance of the hurricane-related defaults and our expectations for the amount of ultimate losses on these delinquencies.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Essent Group and its subsidiaries, Essent Irish Intermediate Holdings Limited and Essent US Holdings, Inc. (collectively, the "Borrowers"), are parties to a secured credit facility (the “Credit Facility”) which provides for a revolving</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credit facility, term loans and an uncommitted line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12). The borrowings under the Credit Facility contractually mature on May 17, 2021. This description is not intended to be complete in all respects and is qualified in its entirety by the terms of the Credit Facility, including its covenants.</w:t>
      </w:r>
    </w:p>
    <w:p>
      <w:pPr>
        <w:spacing w:after="0" w:line="16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May 2, 2018, the Credit Facility was amended to increase the committed capacity by $125 million to $500 million and to increase the uncommitted line by $25 million to $100 million. The revolving component of the Credit Facility was increased from $250 million to $275 million, and the Borrowers issued $100 million of additional term loans, resulting in $225 million of term loans outstanding. The proceeds of $100 million of additional term loans were used to pay down borrowings outstanding under the revolving component of the Credit Facility. The interest rate, contractual maturity and other terms of the Credit Facility are otherwise unchanged from those described above. As of September 30, 2018, the Company was in compliance with the covenants and $225 million had been borrowed under the Credit Facility with a weighted average interest rate of 4.15%. As of December 31, 2017, $250 million had been borrowed with a weighted average interest rate of 3.49%.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$0.1 million related to remedies for each of the nine months ended September 30, 2018 and 2017. As of September 30, 2018, management believes any potential claims for indemnification related to contract underwriting services through September 30, 2018 are not material to our consolidated financial position or results of operations.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2018,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nine months ended September 30, 2018:</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ind w:left="780"/>
              <w:spacing w:after="0"/>
              <w:rPr>
                <w:sz w:val="20"/>
                <w:szCs w:val="20"/>
                <w:color w:val="auto"/>
              </w:rPr>
            </w:pPr>
            <w:r>
              <w:rPr>
                <w:rFonts w:ascii="Arial" w:cs="Arial" w:eastAsia="Arial" w:hAnsi="Arial"/>
                <w:sz w:val="14"/>
                <w:szCs w:val="14"/>
                <w:b w:val="1"/>
                <w:bCs w:val="1"/>
                <w:color w:val="auto"/>
              </w:rPr>
              <w:t>Time-Based</w:t>
            </w:r>
          </w:p>
        </w:tc>
        <w:tc>
          <w:tcPr>
            <w:tcW w:w="2260" w:type="dxa"/>
            <w:vAlign w:val="bottom"/>
            <w:gridSpan w:val="4"/>
            <w:vMerge w:val="restart"/>
          </w:tcPr>
          <w:p>
            <w:pPr>
              <w:jc w:val="right"/>
              <w:ind w:right="67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468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2018, certain members of senior management were granted nonvested common shares under the Essent Group Ltd. 2013 Long-Term Incentive Plan ("2013 Plan") that were subject to time-based and performance-based vesting. The time-based share awards granted in February 2018 vest in three equal installments on March 1, 2019, 2020 and 2021. The performance-based share awards granted in February 2018 vest based upon our compounded annual book value per share growth percentage during a three-year performance period that commenced on January 1, 2018 and vest on March 1, 2021. The portion of these nonvested performance-based share awards that will be earned based upon the achievement of compounded annual book value per share growth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3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Compounded Annual Book Value</w:t>
            </w:r>
          </w:p>
        </w:tc>
        <w:tc>
          <w:tcPr>
            <w:tcW w:w="1880" w:type="dxa"/>
            <w:vAlign w:val="bottom"/>
          </w:tcPr>
          <w:p>
            <w:pPr>
              <w:jc w:val="right"/>
              <w:ind w:right="295"/>
              <w:spacing w:after="0"/>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2380" w:type="dxa"/>
            <w:vAlign w:val="bottom"/>
          </w:tcPr>
          <w:p>
            <w:pPr>
              <w:jc w:val="right"/>
              <w:ind w:right="655"/>
              <w:spacing w:after="0"/>
              <w:rPr>
                <w:sz w:val="20"/>
                <w:szCs w:val="20"/>
                <w:color w:val="auto"/>
              </w:rPr>
            </w:pPr>
            <w:r>
              <w:rPr>
                <w:rFonts w:ascii="Arial" w:cs="Arial" w:eastAsia="Arial" w:hAnsi="Arial"/>
                <w:sz w:val="14"/>
                <w:szCs w:val="14"/>
                <w:b w:val="1"/>
                <w:bCs w:val="1"/>
                <w:color w:val="auto"/>
              </w:rPr>
              <w:t>Per Share Growth</w:t>
            </w:r>
          </w:p>
        </w:tc>
        <w:tc>
          <w:tcPr>
            <w:tcW w:w="18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50"/>
        </w:trPr>
        <w:tc>
          <w:tcPr>
            <w:tcW w:w="6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&lt;15%</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w:t>
            </w: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right"/>
              <w:ind w:right="175"/>
              <w:spacing w:after="0"/>
              <w:rPr>
                <w:sz w:val="20"/>
                <w:szCs w:val="20"/>
                <w:color w:val="auto"/>
              </w:rPr>
            </w:pPr>
            <w:r>
              <w:rPr>
                <w:rFonts w:ascii="Arial" w:cs="Arial" w:eastAsia="Arial" w:hAnsi="Arial"/>
                <w:sz w:val="18"/>
                <w:szCs w:val="18"/>
                <w:color w:val="auto"/>
              </w:rPr>
              <w:t>17%</w:t>
            </w: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our incentive program covering bonus awards for performance year 2017, in February 2018, time-based share awards and share units were issued to certain employees that vest in three equal installments on March 1, 2019, 2020 and 2021. In May 2018, time-based share units were granted to non-employee directors that vest one year from the date of grant.</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total fair value on the vesting date of nonvested shares or share units that vested was $75.2 million and $21.6 million for the nine months ended September 30, 2018 and 2017, respectively. As of September 30, 2018, there was $22.0 million of total unrecognized compensation expense related to nonvested shares or share units outstanding at September 30, 2018 and we expect to recognize the expense over a weighted average period of 2.0 years.</w:t>
      </w:r>
    </w:p>
    <w:p>
      <w:pPr>
        <w:spacing w:after="0" w:line="14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Employees have the option to tender shares to Essent Group to pay the minimum employee statutory withholding taxes associated with shares upon vesting. Common shares tendered by employees to pay employee withholding taxes totaled 713,932 in the nine months ended September 30, 2018. The tendered shares were recorded at cost and included in treasury stock. All treasury stock has been cancelled as of September 30,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expense, net of forfeitures, and related tax effects recognized in connection with nonvested shares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13,980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1,513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4,498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(EPS)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116,011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338,835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217,109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Less: dividends declared</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116,011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338,835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97,438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97,388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92,285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98,013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96,094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97,944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94,104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were 11,445 and 956 antidilutive shares for the three months ended September 30, 2018 and 2017, respectively and 164,874 and 59,534 antidilutive shares for the nine months ended September 30, 2018 and 2017, respectively.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September 30, 2018 and 2017, 100% of the dilutive performance-based share awards would be issuable under the terms of the arrangements at each date if September 30 was the end of the contingency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rollforward of accumulated other comprehensive income (loss) for the three and nine months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(39,248)</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(7,788)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Less: Reclassification adjustment for gains included in net income (1)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(8,201)</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6,560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(47,449)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61"/>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Nine Months Ended September 30, 2018</w:t>
            </w:r>
          </w:p>
        </w:tc>
        <w:tc>
          <w:tcPr>
            <w:tcW w:w="14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(43,314)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Less: Reclassification adjustment for gains included in net income (1)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unrealized losses on investments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(44,197)</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6,560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(47,449)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14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2,345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7"/>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3,043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61"/>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94"/>
              <w:spacing w:after="0"/>
              <w:rPr>
                <w:sz w:val="20"/>
                <w:szCs w:val="20"/>
                <w:color w:val="auto"/>
              </w:rPr>
            </w:pPr>
            <w:r>
              <w:rPr>
                <w:rFonts w:ascii="Arial" w:cs="Arial" w:eastAsia="Arial" w:hAnsi="Arial"/>
                <w:sz w:val="14"/>
                <w:szCs w:val="14"/>
                <w:b w:val="1"/>
                <w:bCs w:val="1"/>
                <w:color w:val="auto"/>
                <w:w w:val="92"/>
              </w:rPr>
              <w:t>Nine Months Ended September 30, 2017</w:t>
            </w:r>
          </w:p>
        </w:tc>
        <w:tc>
          <w:tcPr>
            <w:tcW w:w="14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Tax Effect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Net of Tax</w:t>
            </w: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2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Unrealized holding gains arising during the period</w:t>
            </w:r>
          </w:p>
        </w:tc>
        <w:tc>
          <w:tcPr>
            <w:tcW w:w="3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23,523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16,452</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Less: Reclassification adjustment for gains included in net income (1)</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37"/>
        </w:trPr>
        <w:tc>
          <w:tcPr>
            <w:tcW w:w="5740" w:type="dxa"/>
            <w:vAlign w:val="bottom"/>
            <w:gridSpan w:val="2"/>
          </w:tcPr>
          <w:p>
            <w:pPr>
              <w:ind w:left="380"/>
              <w:spacing w:after="0"/>
              <w:rPr>
                <w:sz w:val="20"/>
                <w:szCs w:val="20"/>
                <w:color w:val="auto"/>
              </w:rPr>
            </w:pPr>
            <w:r>
              <w:rPr>
                <w:rFonts w:ascii="Arial" w:cs="Arial" w:eastAsia="Arial" w:hAnsi="Arial"/>
                <w:sz w:val="18"/>
                <w:szCs w:val="18"/>
                <w:color w:val="auto"/>
              </w:rPr>
              <w:t>Net unrealized gains on investments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21,760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15,298</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15,298</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3,043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Included in net realized investment gains on our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8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78" w:lineRule="exact"/>
        <w:rPr>
          <w:rFonts w:ascii="Arial" w:cs="Arial" w:eastAsia="Arial" w:hAnsi="Arial"/>
          <w:sz w:val="17"/>
          <w:szCs w:val="17"/>
          <w:color w:val="auto"/>
        </w:rPr>
      </w:pPr>
    </w:p>
    <w:p>
      <w:pPr>
        <w:ind w:left="660" w:right="60"/>
        <w:spacing w:after="0" w:line="287" w:lineRule="auto"/>
        <w:rPr>
          <w:rFonts w:ascii="Arial" w:cs="Arial" w:eastAsia="Arial" w:hAnsi="Arial"/>
          <w:sz w:val="17"/>
          <w:szCs w:val="17"/>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2018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265,233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32,677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566,626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566,626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457,506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457,506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44,798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706,330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706,330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299,021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299,021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191,912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191,912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457,145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2,208,607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2,665,752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611,728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79,407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263,797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263,797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1,813,463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2,305,065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Statutory Accounting</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2017</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275,130</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194,131</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832,403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684,421</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853,422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623,934</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7,959</w:t>
            </w:r>
          </w:p>
        </w:tc>
      </w:tr>
      <w:tr>
        <w:trPr>
          <w:trHeight w:val="243"/>
        </w:trPr>
        <w:tc>
          <w:tcPr>
            <w:tcW w:w="690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48,390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45,047</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47,294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41,593</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2018 and 2017,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At September 30, 2018 and 2017,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September 30, 2018 and December 31, 2017, Essent Guaranty, our GSE-approved mortgage insurance company, was in compliance with the PMIERs.</w:t>
      </w:r>
    </w:p>
    <w:p>
      <w:pPr>
        <w:spacing w:after="0" w:line="18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nine months ended September 30, 2018, Essent Guaranty increased its contingency reserve by $174.7 million and Essent PA increased its contingency reserve by $4.2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nine months ended September 30, 2018 or 2017.</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2017, all such requirements were met.</w:t>
      </w:r>
    </w:p>
    <w:p>
      <w:pPr>
        <w:spacing w:after="0" w:line="173"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Essent Re's statutory capital and surplus was $749.1 million as of September 30, 2018 and $662.6 million as of December 31, 2017. Essent Re's statutory net income was $100.6 million and $70.2 million for the nine months ended September 30, 2018 and 2017, respectively. Statutory capital and surplus as of September 30, 2018 and December 31, 2017 and statutory net income in the nine months ended September 30, 2018 and 2017 determined in accordance with statutory accounting practices were not significantly different than the amounts determined under GAAP.</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2017 as filed with the Securities and Exchange Commission and referred to herein as the “Annual Report,” and our condensed consolidated financial statements and related notes as of and for the three and nine months ended September 30, 2018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 Essent Guaranty, Inc. ("Essent Guaranty"), our wholly-owned insurance subsidiary, is licensed to write coverage in all 50 states and the District of Columbia. The financial strength of Essent Guaranty is rated Baa1 with a stable outlook by Moody’s Investor Services (“Moody's”) and BBB+ with a stable outlook by S&amp;P Global Ratings (“S&amp;P”). On September 5, 2018, A.M. Best assigned Financial Strength Ratings of A (Excellent) with a stable outlook to Essent Guaranty.</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394 employees as of September 30, 2018. We generated new insurance written, or NIW, of approximately $13.9 billion and $36.1 billion for the three and nine months ended September 30, 2018, respectively, compared to approximately $13.2 billion and $32.6 billion for the three and nine months ended September 30, 2017, respectively. As of September 30, 2018, we had approximately $131.2 billion of insurance in force. Our top ten customers represented approximately 42.8%, 45.8%, 35.1% and 36.6% of NIW on a flow basis for the nine months ended September 30, 2018 and the years ended December 31, 2017, 2016 and 2015, respectively.</w:t>
      </w:r>
    </w:p>
    <w:p>
      <w:pPr>
        <w:spacing w:after="0" w:line="18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September 30, 2018, Essent Re provided insurance or reinsurance relating to GSE risk share and other reinsurance transactions covering approximately $612.7 million of risk, including in connection with Freddie Mac's Agency Credit Insurance Structure ("ACIS") and Fannie Mae's Credit Insurance Risk Transfer ("CIRT") programs. Essent Re has also reinsured 25% of Essent Guaranty’s GSE-eligible mortgage insurance NIW originated since July 1, 2014 under a quota share reinsurance agreement. The insurer financial strength rating of Essent Re is BBB+ with a stable outlook by S&amp;P. On September 5, 2018, A.M. Best assigned Financial Strength Ratings of A (Excellent) with a stable outlook to Essent 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pay claims. The PMIERs also include enhanced operational performance expectations and define remedial actions that apply should an approved insurer fail to comply with these requirements. As of September 30, 2018, Essent Guaranty, our GSE-approved mortgage insurance company, was in compliance with the PMIERs. See additional discussion in “— Liquidity and Capital Resources —Private Mortgage Insurer Eligibility Requirements.”</w:t>
      </w:r>
    </w:p>
    <w:p>
      <w:pPr>
        <w:spacing w:after="0" w:line="16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GSEs released the revised PMIERs ("PMIERs 2.0") on September 27, 2018 and have indicated that the PMIERs 2.0 framework will take effect on March 31, 2019. Essent expects to remain in full compliance with the existing and revised PMIERs, as applicable, prior to and after March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0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38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right="2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Prior to March 2018, we had not ceded any premiums under third-party reinsurance contracts. In March 2018, Essent Guaranty entered into a third-party reinsurance agreement. See Note 4 to our condensed consolidated financial statements.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2018 were non-refundable. Premiums collected on annual policies are recognized as net premiums earned on a straight-line basis over the year of coverage. For the nine months ended September 30, 2018, monthly and single premium policies comprised 84.1% and 15.9% of our NIW,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associated with our GSE and other risk share transactions are based on the level of risk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84.0% at September 30, 2018. Generally, higher prepayment speeds lead to lower persistency.</w:t>
      </w:r>
    </w:p>
    <w:p>
      <w:pPr>
        <w:spacing w:after="0" w:line="181" w:lineRule="exact"/>
        <w:rPr>
          <w:sz w:val="20"/>
          <w:szCs w:val="20"/>
          <w:color w:val="auto"/>
        </w:rPr>
      </w:pPr>
    </w:p>
    <w:p>
      <w:pPr>
        <w:ind w:right="220" w:firstLine="693"/>
        <w:spacing w:after="0" w:line="277" w:lineRule="auto"/>
        <w:rPr>
          <w:sz w:val="20"/>
          <w:szCs w:val="20"/>
          <w:color w:val="auto"/>
        </w:rPr>
      </w:pPr>
      <w:r>
        <w:rPr>
          <w:rFonts w:ascii="Arial" w:cs="Arial" w:eastAsia="Arial" w:hAnsi="Arial"/>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September 30, 2018.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2019.</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income also includes revenues associated with contract underwriting services and underwriting services to third-party reinsurers. The level of contract underwriting revenue is dependent upon the number of customers who have engaged us for this service and the number of loans underwritten for these customers. Revenue from underwriting services to third-party reinsurers is dependent upon the number of customers who have engaged us for this service and the number of transactions underwritten for these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77% of our IIF as of September 30, 2018 having been originated since January 1, 2016.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7"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6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September 30, 2018, 77% of our IIF relates to business written since January 1, 2016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During the third quarter of 2017, certain regions of the U.S. experienced hurricanes which have impacted our insured portfolio’s performance. Specifically, on August 26, 2017, Hurricane Harvey made landfall in southeastern Texas and on September 10, 2017, Hurricane Irma made landfall in southern Florida and caused property damage in certain counties. Loans in default identified as hurricane-related defaults totaled 2,288 as of December 31, 2017. The number of hurricane-related defaults declined to 301 as of September 30, 2018 primarily due to hurricane-related loans in default that cured.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 impact on our reserves in future periods will be dependent upon the performance of the hurricane-related defaults and our expectations for the amount of ultimate losses on these delinquencies.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most significant expense is compensation and benefits for our employees, which represented 59% and 61% of other underwriting and operating expenses for the three and nine months ended September 30, 2018, respectively, compared to 63% of other underwriting and operating expenses for each of the three and nine months ended September 30,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respectively. Compensation and benefits expense includes base and incentive cash compensation, stock compensation expense, benefits and payroll taxes.</w:t>
      </w:r>
    </w:p>
    <w:p>
      <w:pPr>
        <w:spacing w:after="0" w:line="24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2018 as compared to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Effective July 2014, Essent Re began to reinsure 25% of GSE-eligible new insurance written of Essent Guaranty, an affiliate. Essent Re also provides insurance and reinsurance to Freddie Mac and Fannie Mae.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and nine months ended September 30, 2018 and 2017 for our U.S. mortgage insurance portfolio. In addition, this table includes RIF at the end of each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122,501,246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95,494,390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110,461,950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83,265,522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NIW</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13,913,191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13,221,038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36,099,983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32,623,467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Cancellations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(5,164,480)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(15,311,976)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(11,952,682)</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IIF,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131,249,957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103,936,307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131,249,957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103,936,307</w:t>
            </w: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IIF during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127,052,216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99,790,653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119,685,365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92,353,836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RIF,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32,361,782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25,807,358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32,361,782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25,807,358</w:t>
            </w:r>
          </w:p>
        </w:tc>
      </w:tr>
      <w:tr>
        <w:trPr>
          <w:trHeight w:val="48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IIF at September 30, 2018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(through September 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35,189,027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38,894,605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29.6</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26,510,429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14,202,260</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10.8</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8,726,281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2013 and prior</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7,727,355</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5.9</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131,249,957</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average net premium rate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and (5) premiums ceded under third-party reinsurance agreements. For the three and nine months ended September 30, 2018, our average net premium rate was 0.50% and 0.51%, respectively, as compared to 0.53% for each of the three and nine months ended September 30, 2017. In June 2018, we announced a reduction in pricing on our published rates effective for future NIW. We anticipate that the pricing reductions will reduce our average net premium rate in future periods.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September 30, 2018, our combined net risk in force for our U.S. insurance companies was $25.1 billion and our combined statutory capital was $1.8 billion, resulting in a risk-to-capital ratio of 14.1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 of Operations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175,221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155,055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508,850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408,415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137,940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476,191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382,154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184,998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150,203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526,229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415,401</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36,899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111,451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109,053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3,361</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losses and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44,851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131,593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293,211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24,136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55,801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76,102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116,011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338,835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217,109</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2018 Compared to the Three and Nine Months Ended September 30,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September 30, 2018, we reported net income of $116.0 million, compared to net income of $78.4 million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2017. For the nine months ended September 30, 2018, we reported net income of $338.8 million, compared to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$217.1 million for the nine months ended September 30, 2017. The increase in our operating results in 2018 over the same periods in 2017 was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increase in net premiums earned associated with the growth of our IIF, the increase in net investment income and the decrease in income taxes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reduction of the U.S. statutory corporate income tax rate, partially offset by increases in the provision for losses and LAE and interest expense.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Net premiums earned increased in the three months ended September 30, 2018 by 21%, compared to the three months ended September 30, 2017 primarily due to the increase in our average IIF from $99.8 billion at September 30, 2017 to $127.1 billion at September 30, 2018, partially offset by a decrease in average net premium rate from 0.53% for the three months ended September 30, 2017 to 0.50% for the three months ended September 30, 2018. Net premiums earned increased in the nine months ended September 30, 2018 by 25% compared to the nine months ended September 30, 2017 due to the increase in our average IIF from $92.4 billion at September 30, 2017 to $119.7 billion at September 30, 2018, partially offset by a decrease in the average net premium rate from 0.53% in the nine months ended September 30, 2017 to 0.51% in the nine months ended September 30, 2018. The decrease in the average net premium rate during the three and nine months ended September 30, 2018 is primarily due to an increase in premiums ceded under third-party reinsurance agreements and a decrease in premiums earned on the cancellation of non-refundable single premium policies in the respective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Net premiums written increased in the three months ended September 30, 2018 by 13%, compared to the three months ended September 30, 2017 primarily due to the increase in average IIF for the three months ended September 30, 2018, as compared to the same period in 2017, partially offset by an increase in premiums ceded under third-party reinsurance agreements, a decrease in the premium rate and a decrease in new single premium policies written in the three months ended September 30, 2018. Net premiums written increased in the nine months ended September 30, 2018 by 25%, compared to the nine months ended September 30, 2017 primarily due to the increase in average IIF for the nine months ended September 30, 2018, as compared to the same period in 2017, partially offset by an increase in premiums ceded under third-party reinsurance agreements in the nine months ended September 30, 2018.</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the three months ended September 30, 2018 and 2017, unearned premiums increased by $8.5 million and $17.1 million, respectively. The change in unearned premiums was a result of net premiums written on single premium policies of $28.8 million and $36.5 million, respectively, which was partially offset by $20.3 million and $19.4 million, respectively, of unearned premium that was recognized in earnings during the periods. In the nine months ended September 30, 2018 and 2017, unearned premiums increased by $32.7 million and $26.3 million, respectively. This was a result of net premiums written on single premium policies of $91.8 million and $80.3 million, respectively, which was partially offset by $59.1 million and $54.0 million, respectively, of unearned premium that was recognized in earnings during the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29,964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45,494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28,461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increase in net investment income for the three and nine months ended September 30, 2018 as compared to the same periods in 2017 was due to the increase in the weighted average balance of our investment portfolio and the increase in the pre-tax investment income yield. The average cash and investment portfolio balance increased to $2.7 billion for the three months ended September 30, 2018 from $2.0 billion for the three months ended September 30, 2017. The average cash and investment portfolio balance was $2.5 billion for the nine months ended September 30, 2018 compared to $1.8 billion for the nine months ended September 30, 2017. The increase in the average cash and investment portfolio in both periods was primarily due to investing cash flows from operations and proceeds from the public offering of common shares completed in August 2017. The pre-tax investment income yield increased from</w:t>
      </w:r>
    </w:p>
    <w:p>
      <w:pPr>
        <w:spacing w:after="0" w:line="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2.3% and 2.2% in the three and nine months ended September 30, 2017, respectively, to 2.6% and 2.5% in the three and nine months ended September 30, 2018, respectively, primarily due to an increase in market interest rates, an increase in the portion of our investment portfolio invested in spread and duration assets and higher yields on new investments. The pre-tax investment income yields are calculated based on amortized cost and exclude investment expenses. See “— Liquidity and Capital Resources” for further details of our investment portfolio.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contract underwriting revenues and underwriting services to third-party reinsurers. The increase in other income for the three and nine months ended September 30, 2018 as compared to the same periods in 2017, was primarily due to the increase in underwriting services to third-party reinsurers, partially offset by decreases in contract underwriting revenues and Triad service fees associated with the reduction in the number of Triad's mortgage insurance policies in force. The fees earned from Triad will continue to decrease over time as Triad's existing policies are cancelled.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provision for losses and LAE was $5.5 million and $4.3 million in the three months ended September 30, 2018 and 2017, respectively,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$12.6 million and $9.8 million in the nine months ended September 30, 2018 and 2017, respectively. The increase in the provision for losses and LAE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ended September 30, 2018 as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compared to the same periods in 2017 was primarily due to the increase in the number of non-hurricane-related insured loans in default in each period. Loans in default identified as hurricane-related defaults were 301 as of September 30, 2018 as compared to 801 as of June 30, 2018 and 2,288 as of December 31, 2017. The following table presents a rollforward of insured loans in default for the periods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0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5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3,897</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2,153</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increase in the number of defaults at September 30, 2018 compared to September 30, 2017 was primarily due to the increase in our IIF and policies in force, the hurricane-related defaults remaining in the default inventory, along with further seasoning of our insurance portfolio.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 of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48,765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29,024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reserves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53,355</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31,579</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2,153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total reserve per default (in thousands)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increase in the average case reserve per default was primarily due to the level of reserves for hurricane-related defaults. In the fourth quarter of 2017, we recorded a provision for losses and LAE associated with hurricanes Harvey and Irma. The reserve for losses and LAE on hurricane-related defaults was $11.1 million at September 30, 2018 and December 31, 2017 representing our best estimate of ultimate claim costs for hurricane-related defaults based on the information available at each period end. Also contributing to the change in the average case reserve per default were changes in the composition (such as mark-to-market loan-to-value ratios, risk in force, and number of months past due) of the underlying loans in default and improvements in economic fundamentals.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w:t>
            </w:r>
          </w:p>
        </w:tc>
        <w:tc>
          <w:tcPr>
            <w:tcW w:w="580" w:type="dxa"/>
            <w:vAlign w:val="bottom"/>
          </w:tcPr>
          <w:p>
            <w:pPr>
              <w:spacing w:after="0"/>
              <w:rPr>
                <w:sz w:val="16"/>
                <w:szCs w:val="16"/>
                <w:color w:val="auto"/>
              </w:rPr>
            </w:pPr>
          </w:p>
        </w:tc>
        <w:tc>
          <w:tcPr>
            <w:tcW w:w="2720" w:type="dxa"/>
            <w:vAlign w:val="bottom"/>
            <w:gridSpan w:val="8"/>
          </w:tcPr>
          <w:p>
            <w:pPr>
              <w:jc w:val="right"/>
              <w:ind w:right="488"/>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4"/>
          </w:tcPr>
          <w:p>
            <w:pPr>
              <w:jc w:val="center"/>
              <w:ind w:right="4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for losses and LAE at beginning of period</w:t>
            </w: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0"/>
              </w:rPr>
              <w:t>29,798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28,142</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Prior years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(2,837)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Incurred losses and LAE during the current period</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w w:val="93"/>
              </w:rPr>
              <w:t>Deduct payments for losses and LAE occurring in: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Current period</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Prior years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8"/>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Loss and LAE payments during the current period</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5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Reserve for losses and LAE at end of period</w:t>
            </w:r>
          </w:p>
        </w:tc>
        <w:tc>
          <w:tcPr>
            <w:tcW w:w="920" w:type="dxa"/>
            <w:vAlign w:val="bottom"/>
            <w:gridSpan w:val="2"/>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53,355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0"/>
              </w:rPr>
              <w:t>31,579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53,355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rPr>
              <w:t>As of September 30, 2018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 of</w:t>
            </w:r>
          </w:p>
        </w:tc>
        <w:tc>
          <w:tcPr>
            <w:tcW w:w="40" w:type="dxa"/>
            <w:vAlign w:val="bottom"/>
          </w:tcPr>
          <w:p>
            <w:pPr>
              <w:spacing w:after="0"/>
              <w:rPr>
                <w:sz w:val="13"/>
                <w:szCs w:val="13"/>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Reserves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Three payments or less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10,498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3"/>
          </w:tcPr>
          <w:p>
            <w:pPr>
              <w:jc w:val="center"/>
              <w:ind w:left="59"/>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0"/>
              <w:spacing w:after="0"/>
              <w:rPr>
                <w:sz w:val="20"/>
                <w:szCs w:val="20"/>
                <w:color w:val="auto"/>
              </w:rPr>
            </w:pPr>
            <w:r>
              <w:rPr>
                <w:rFonts w:ascii="Arial" w:cs="Arial" w:eastAsia="Arial" w:hAnsi="Arial"/>
                <w:sz w:val="18"/>
                <w:szCs w:val="18"/>
                <w:color w:val="auto"/>
              </w:rPr>
              <w:t>101,755</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68,670</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Twelve or more payments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8"/>
                <w:szCs w:val="18"/>
                <w:color w:val="auto"/>
              </w:rPr>
              <w:t>20,160</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3,538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48,765</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192,797</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3,657</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LAE and other</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53,355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4"/>
                <w:szCs w:val="14"/>
                <w:b w:val="1"/>
                <w:bCs w:val="1"/>
                <w:color w:val="auto"/>
              </w:rPr>
              <w:t>As of September 30, 2017</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 of</w:t>
            </w:r>
          </w:p>
        </w:tc>
        <w:tc>
          <w:tcPr>
            <w:tcW w:w="40" w:type="dxa"/>
            <w:vAlign w:val="bottom"/>
          </w:tcPr>
          <w:p>
            <w:pPr>
              <w:spacing w:after="0"/>
              <w:rPr>
                <w:sz w:val="13"/>
                <w:szCs w:val="13"/>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Reserves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Three payments or less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7,935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3"/>
          </w:tcPr>
          <w:p>
            <w:pPr>
              <w:jc w:val="center"/>
              <w:ind w:left="59"/>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0"/>
              <w:spacing w:after="0"/>
              <w:rPr>
                <w:sz w:val="20"/>
                <w:szCs w:val="20"/>
                <w:color w:val="auto"/>
              </w:rPr>
            </w:pPr>
            <w:r>
              <w:rPr>
                <w:rFonts w:ascii="Arial" w:cs="Arial" w:eastAsia="Arial" w:hAnsi="Arial"/>
                <w:sz w:val="18"/>
                <w:szCs w:val="18"/>
                <w:color w:val="auto"/>
              </w:rPr>
              <w:t>68,317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78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38,003</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Twelve or more payments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6,105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8"/>
                <w:szCs w:val="18"/>
                <w:color w:val="auto"/>
              </w:rPr>
              <w:t>10,087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8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2,153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29,024</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118,783</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2,177</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LAE and other</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gridSpan w:val="3"/>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31,579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three months ended September 30, 2018, the provision for losses and LAE was $5.5 million, comprised of $8.7 million of current year losses partially offset by $3.2 million of favorable prior years’ loss development. During the three months ended September 30, 2017, the provision for losses and LAE was $4.3 million, comprised of $7.2 million of current year losses partially offset by $2.8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nine months ended September 30, 2018, the provision for losses and LAE was $12.6 million, comprised of $25.2 million of current year losses partially offset by $12.6 million of favorable prior years’ loss development. During the nine months ended September 30, 2017, the provision for losses and LAE was $9.8 million, comprised of $19.3 million of current year losses partially offset by $9.5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176</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7"/>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6,155</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21,615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23,198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67,465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15,284</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13,837</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43,986</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40,024</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37</w:t>
            </w:r>
          </w:p>
        </w:tc>
      </w:tr>
      <w:tr>
        <w:trPr>
          <w:trHeight w:val="27"/>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36,899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37,035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111,451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109,053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398</w:t>
            </w:r>
          </w:p>
        </w:tc>
      </w:tr>
      <w:tr>
        <w:trPr>
          <w:trHeight w:val="27"/>
        </w:trPr>
        <w:tc>
          <w:tcPr>
            <w:tcW w:w="3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benefits decreased in the three and nine months ended September 30, 2018, as compared to the three and nine months ended September 30, 2017 primarily due to a decrease in stock compensation expense associated with the full vesting of grants issued in 2013 and 2014, partially offset by an increase in payroll taxes associated with the vesting of these grants.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three and nine months ended September 30, 2018, we incurred interest expense of $2.5 million and $7.6 million, respectively, as compared to $1.5 million and $3.4 million for the three and nine months ended September 30, 2017, respectively, associated with an increase in the weighted average interest rates and average amounts outstanding under the Credit Facility. For the three and nine months ended September 30, 2018, the average amount outstanding under the Credit Facility was $225.0 million and $245.4 million, respectively, as compared to $164.9 million and $137.6 million for the three and nine months ended September 30, 2017, respectively. As of September 30, 2018 and 2017, the borrowings under the Credit Facility had a weighted average interest rate of 4.15% and 3.24%,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subsidiaries in the United States file a consolidated U.S. Federal income tax return. For interim reporting periods, we use an annual effective tax rate method required under GAAP to calculate the income tax provision. Our income tax expense was $24.1 million and $29.0 million for the three months ended September 30, 2018 and 2017, respectively, and $55.8 million and $76.1 million for the nine months ended September 30, 2018 and 2017, respectively. Income tax expense for each of the three and nine months ended September 30, 2018 was calculated using an estimated annual effective tax rate of 16.2%, as compared to 27.0% for each of the three and nine months ended September 30, 2017. For the three and nine months ended September 30, 2018, income tax expense includes $1.5 million of expense associated with accrual to return adjustments associated with the completion of the 2017 U.S. federal income tax return. For the nine months ended September 30, 2018 and 2017, income tax expense was reduced by excess tax benefits associated with the vesting of common shares and common share units of $9.6 million and $3.1 million, respectively. The tax effects associated with the vesting of common shares and common share units and the accrual to return adjustments associated with the completion of U.S. federal income tax returns are treated as discrete items in the reporting period in which they occur and are not considered in determining the annual effective tax rate. The decrease in the annual effective tax rate for 2018 reflects the reduction of the U.S. statutory corporate income tax rate from 35% to 21% and the expected portion of our consolidated earnings to be generated in Bermuda. Bermuda does not have a corporate income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obligations consist primarily 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September 30, 2018, we had substantial liquidity with cash of $29.8 million, short-term investments of $191.9 million and fixed maturity investments of $2.5 billion. We also had $275 million available capacity under the revolving credit component of our Credit Facility, with $225 million of term borrowings outstanding under our Credit Facility. Borrowings under the Credit Facility contractually mature on May 17, 2021. At September 30, 2018, net cash and investments at the holding company were $77.2 million.</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May 2, 2018, we amended the Credit Facility to increase the committed capacity by $125 million to $500 million, including the issuance of $100 million of additional term loans, the proceeds of which were used to pay down borrowings outstanding under the revolving component of the Credit Facility. See Note 6 to our condensed consolidated financial statements.</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December 2014, Essent Guaranty became a member of the Federal Home Loan Bank of Pittsburgh (the “FHLBank”). In November 2018, Essent Guaranty entered into additional agreements with the FHLBank providing Essent Guaranty with secured borrowing capacity with the FHLBank. Such borrowings may be used by Essent Guaranty to provide supplemental liquidity. Essent Guaranty currently has no outstanding borrowings with the FHLBank.</w:t>
      </w:r>
    </w:p>
    <w:p>
      <w:pPr>
        <w:spacing w:after="0" w:line="14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2018, Essent Guaranty had unassigned surplus of approximately $127.1 million. During the nine months ended September 30, 2018, Essent Guaranty paid to its parent, Essent US Holdings, Inc. ("Essent Holdings"), a $40 million dividend which was used to pay down the borrowings remaining under the revolving component of the Credit Facility. Essent Guaranty of PA, Inc. (“Essent PA") had unassigned surplus of approximately $9.4 million as of September 30, 2018.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2018, Essent Re had total equity of $749.2 million. In connection with its insurance and reinsurance activities, Essent Re is required to maintain assets in trusts for the benefit of its contractual counterparties. See Note 3 to our condensed consolidated financial statements. At September 30, 2018, our insurance subsidiaries were in compliance with these rules, regulations and agreements.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485,954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252,021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(442,961)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(485,098)</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263,287</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30,210</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Cash flow provided by operating activities totaled $486.0 million for the nine months ended September 30, 2018, as compared to $252.0 million for the nine months ended September 30, 2017. The increase in cash flow provided by operating activities of $233.9 million in 2018 was primarily due to increases in premiums collected and net investment income, and a net decrease in United States Mortgage Guaranty Tax and Loss Bonds (“T&amp;L Bonds”), partially offset by increases in expenses paid.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flow used in investing activities totaled $443.0 million for the nine months ended September 30, 2018, primarily related to investing cash flows from the business. Cash flow used in investing activities totaled $485.1 million for the nine months ended September 30, 2017, primarily related to investing cash flows from the business, proceeds from the public offering of common shares in August 2017 and net increased borrowings under the Credit Facility in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flow used in financing activities totaled $56.7 million for the nine months ended September 30, 2018, primarily related to treasury stock acquired from employees to satisfy tax withholding obligations and $25 million of net repayments of borrowings under the Credit Facility. Cash flow provided by financing activities totaled $263.3 million for the nine months ended September 30, 2017, primarily related to proceeds from the public offering of common shares completed in August 2017 and $75 million of net increased borrowings under the Credit Facility, partially offset by treasury stock acquired from employees to satisfy tax withholding obligations.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During the three months ended March 31, 2018, Essent Holdings made capital contributions to Essent Guaranty of $15 million to support new and existing business. During the three months ended June 30, 2018, Essent Guaranty paid a dividend to Essent Holdings of $40 million which was used to pay down the borrowings remaining under the revolving component of the Credit Facility. During the nine months ended September 30, 2017, Essent Holdings made capital contributions to Essent Guaranty of $50 million to support new business.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March 2018, Essent Guaranty entered into a fully collateralized reinsurance agreement with Radnor Re 2018-1 Ltd. ("Radnor Re"), an unaffiliated special purpose insurer domiciled in Bermuda, that provides for up to $424.4 million of aggregate excess-of-loss reinsurance coverage at inception for new defaults on a portfolio of mortgage insurance policies issued between January 1, 2017 and December 31, 2017. The aggregate excess of loss reinsurance coverage decreases over a ten-year period as the underlying covered mortgages amortize. This reinsurance coverage also reduces net risk in force and PMIERs Minimum Required Assets. See Note 4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risk-to-capital calculation for our U.S. insurance subsidiaries as of September 30, 2018 is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881,196</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900,716</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1,781,912</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Arial" w:cs="Arial" w:eastAsia="Arial" w:hAnsi="Arial"/>
                <w:sz w:val="18"/>
                <w:szCs w:val="18"/>
                <w:color w:val="auto"/>
              </w:rPr>
              <w:t>Combined net risk in force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25,124,809</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risk-to-capital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For additional information regarding regulatory capital, see Note 12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Essent Re has entered into risk GSE and other risk share transactions, including insurance and reinsurance transactions with Freddie Mac and Fannie Mae. Essent Re also executed a quota share reinsurance transaction with Essent Guaranty to reinsure 25% of Essent Guaranty’s GSE-eligible NIW effective July 1, 2014. As of September 30, 2018, Essent Re had total stockholders’ equity of $749.2 million and net risk in force of $7.8 billion.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Baa1 with a stable outlook by Moody's and BBB+ with a stable outlook by S&amp;P. The insurer financial strength rating of Essent Re is BBB+ with a stable outlook by S&amp;P. On September 5, 2018, A.M. Best assigned Financial Strength Ratings of A (Excellent) with stable outlooks to Essent Guaranty and Essent 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September 30, 2018, Essent Guaranty, our GSE-approved mortgage insurance company, was in compliance with the PMIERs. As of September 30, 2018, Essent Guaranty's Available Assets were $1.82 billion and its Minimum Required Assets were $1.46 billion based on our interpretation of the PMIERs.</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GSEs released PMIERs 2.0 on September 27, 2018 and have indicated that the PMIERs 2.0 framework will take effect on March 31, 2019. If PMIERs 2.0 had been in effect as of September 30, 2018, Essent Guaranty’s excess of Available Assets over Minimum Required Assets would be substantially unchanged from the amount computed under PMIERs 1.0. Essent expects to remain in full compliance with the existing and revised PMIERs, as applicable, prior to and after March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2018, stockholders’ equity was $2.2 billion, compared to $1.9 billion as of December 31, 2017. This increase was primarily due to net income generated in 2018, partially offset by an increase in accumulated other comprehensive loss related to an increase in our unrealized investment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total fair value of our investments was $2.7 billion as of September 30, 2018 and $2.3 billion as of December 31, 2017. In addition, our total cash was $29.8 million as of September 30, 2018, compared to $43.5 million as of December 31, 2017. The increase in investments was primarily due to investing net cash flows from operations during the nine months ended September 30, 2018.</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gridSpan w:val="2"/>
          </w:tcPr>
          <w:p>
            <w:pPr>
              <w:spacing w:after="0"/>
              <w:rPr>
                <w:sz w:val="22"/>
                <w:szCs w:val="22"/>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265,233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227,805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32,677</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566,626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456,037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457,506</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465,255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44,798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706,330</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611,728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101,649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79,407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299,021</w:t>
            </w:r>
          </w:p>
        </w:tc>
        <w:tc>
          <w:tcPr>
            <w:tcW w:w="120" w:type="dxa"/>
            <w:vAlign w:val="bottom"/>
          </w:tcPr>
          <w:p>
            <w:pPr>
              <w:spacing w:after="0"/>
              <w:rPr>
                <w:sz w:val="21"/>
                <w:szCs w:val="21"/>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167,922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191,912</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263,797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2,665,752</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8"/>
                <w:szCs w:val="18"/>
                <w:b w:val="1"/>
                <w:bCs w:val="1"/>
                <w:color w:val="auto"/>
              </w:rPr>
              <w:t>2,305,065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387"/>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3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36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September 30, 2018</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1,314,053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1,160,200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131,368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115,237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187,542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130,983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127,785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223,943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205,369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171,217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157,651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148,670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148,246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167,283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115,178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87,869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33,953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43,024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29,648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20,955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2,665,752</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2,305,065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21" w:lineRule="exact"/>
        <w:rPr>
          <w:rFonts w:ascii="Arial" w:cs="Arial" w:eastAsia="Arial" w:hAnsi="Arial"/>
          <w:sz w:val="18"/>
          <w:szCs w:val="18"/>
          <w:color w:val="auto"/>
        </w:rPr>
      </w:pPr>
    </w:p>
    <w:p>
      <w:pPr>
        <w:ind w:left="3700"/>
        <w:spacing w:after="0"/>
        <w:rPr>
          <w:rFonts w:ascii="Arial" w:cs="Arial" w:eastAsia="Arial" w:hAnsi="Arial"/>
          <w:sz w:val="18"/>
          <w:szCs w:val="18"/>
          <w:color w:val="auto"/>
        </w:rPr>
      </w:pPr>
      <w:r>
        <w:rPr>
          <w:rFonts w:ascii="Arial" w:cs="Arial" w:eastAsia="Arial" w:hAnsi="Arial"/>
          <w:sz w:val="18"/>
          <w:szCs w:val="18"/>
          <w:b w:val="1"/>
          <w:bCs w:val="1"/>
          <w:color w:val="auto"/>
        </w:rPr>
        <w:t>Investments Available for Sale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 Duration</w:t>
            </w: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September 30, 2018</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3"/>
              </w:rPr>
              <w:t>December 31, 2017</w:t>
            </w:r>
          </w:p>
        </w:tc>
        <w:tc>
          <w:tcPr>
            <w:tcW w:w="1160" w:type="dxa"/>
            <w:vAlign w:val="bottom"/>
            <w:tcBorders>
              <w:bottom w:val="single" w:sz="8" w:color="auto"/>
            </w:tcBorders>
          </w:tcPr>
          <w:p>
            <w:pPr>
              <w:spacing w:after="0"/>
              <w:rPr>
                <w:sz w:val="16"/>
                <w:szCs w:val="16"/>
                <w:color w:val="auto"/>
              </w:rPr>
            </w:pPr>
          </w:p>
        </w:tc>
      </w:tr>
      <w:tr>
        <w:trPr>
          <w:trHeight w:val="26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&lt; 1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598,900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628,958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1 to &lt; 2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259,820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164,856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 to &lt; 3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250,341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280,177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3 to &lt; 4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217,233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263,799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11.4</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 to &lt; 5 Years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461,890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263,273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11.4</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5 or more Years</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877,568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704,002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30.5</w:t>
            </w:r>
          </w:p>
        </w:tc>
      </w:tr>
      <w:tr>
        <w:trPr>
          <w:trHeight w:val="27"/>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Available for Sale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2,665,752</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2,305,065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24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Security</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2.625% 7/15/2021</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35,943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U.S. Treasury 5.250% 11/15/2028</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27,540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2.625% 6/30/2023</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Fannie Mae 4.500% 5/1/2048</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19,885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1.500% 8/15/2026</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Fannie Mae 4.000% 5/1/2056</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14,681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3.000% 12/1/2032</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U.S. Treasury 2.000% 1/15/2021</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11,280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Fannie Mae 1.500% 6/22/2020</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Freddie Mac 4.000% 7/1/2037</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188,692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194,110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80" w:type="dxa"/>
            <w:vAlign w:val="bottom"/>
            <w:gridSpan w:val="3"/>
          </w:tcPr>
          <w:p>
            <w:pPr>
              <w:ind w:left="40"/>
              <w:spacing w:after="0"/>
              <w:rPr>
                <w:sz w:val="20"/>
                <w:szCs w:val="20"/>
                <w:color w:val="auto"/>
              </w:rPr>
            </w:pPr>
            <w:r>
              <w:rPr>
                <w:rFonts w:ascii="Arial" w:cs="Arial" w:eastAsia="Arial" w:hAnsi="Arial"/>
                <w:sz w:val="18"/>
                <w:szCs w:val="18"/>
                <w:b w:val="1"/>
                <w:bCs w:val="1"/>
                <w:color w:val="auto"/>
              </w:rPr>
              <w:t>Percent of Investments Available for Sale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September 30, 2018, for securities in unrealized loss positions, management believes decline in fair values is principally associated with the changes in the interest rate environment subsequent to their purchase. Also, see Note 3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3"/>
          </w:tcPr>
          <w:p>
            <w:pPr>
              <w:jc w:val="right"/>
              <w:ind w:right="2300"/>
              <w:spacing w:after="0"/>
              <w:rPr>
                <w:sz w:val="20"/>
                <w:szCs w:val="20"/>
                <w:color w:val="auto"/>
              </w:rPr>
            </w:pPr>
            <w:r>
              <w:rPr>
                <w:rFonts w:ascii="Arial" w:cs="Arial" w:eastAsia="Arial" w:hAnsi="Arial"/>
                <w:sz w:val="14"/>
                <w:szCs w:val="14"/>
                <w:b w:val="1"/>
                <w:bCs w:val="1"/>
                <w:color w:val="auto"/>
              </w:rPr>
              <w:t>December 31, 2017</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5.250%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4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29,358</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1.500%</w:t>
            </w:r>
          </w:p>
        </w:tc>
        <w:tc>
          <w:tcPr>
            <w:tcW w:w="1140" w:type="dxa"/>
            <w:vAlign w:val="bottom"/>
          </w:tcPr>
          <w:p>
            <w:pPr>
              <w:ind w:left="20"/>
              <w:spacing w:after="0"/>
              <w:rPr>
                <w:sz w:val="20"/>
                <w:szCs w:val="20"/>
                <w:color w:val="auto"/>
              </w:rPr>
            </w:pPr>
            <w:r>
              <w:rPr>
                <w:rFonts w:ascii="Arial" w:cs="Arial" w:eastAsia="Arial" w:hAnsi="Arial"/>
                <w:sz w:val="18"/>
                <w:szCs w:val="18"/>
                <w:color w:val="auto"/>
              </w:rPr>
              <w:t>8/15/2026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U.S. Treasury 0.000%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1/4/2018</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Freddie Mac 4.000% 7/1/2037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7/20/2045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2.500% 10/1/2030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Freddie Mac 3.000% 9/1/2046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2.250%</w:t>
            </w:r>
          </w:p>
        </w:tc>
        <w:tc>
          <w:tcPr>
            <w:tcW w:w="114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139,857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Percent of Investments Available for Sale</w:t>
            </w:r>
          </w:p>
        </w:tc>
        <w:tc>
          <w:tcPr>
            <w:tcW w:w="1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vMerge w:val="restart"/>
          </w:tcPr>
          <w:p>
            <w:pPr>
              <w:ind w:left="700"/>
              <w:spacing w:after="0"/>
              <w:rPr>
                <w:sz w:val="20"/>
                <w:szCs w:val="20"/>
                <w:color w:val="auto"/>
              </w:rPr>
            </w:pPr>
            <w:r>
              <w:rPr>
                <w:rFonts w:ascii="Arial" w:cs="Arial" w:eastAsia="Arial" w:hAnsi="Arial"/>
                <w:sz w:val="18"/>
                <w:szCs w:val="18"/>
                <w:color w:val="auto"/>
              </w:rPr>
              <w:t>38</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municipal debt securities for states that represent more than 10% of the total municipal bond position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5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The Texas A&amp;M University System</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Houston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University of Houston System</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La Joya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El Paso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Texas Municipal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Fort Worth TX W&amp;S Revenue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City of College Station</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Garland</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City of Corpus Christi</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Harris County Toll Road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County of Fort Bend</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Austin-Bergstrom Landhost Enterprises, Inc.</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56,036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56,774</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580" w:firstLine="648"/>
        <w:spacing w:after="0" w:line="302" w:lineRule="auto"/>
        <w:rPr>
          <w:sz w:val="20"/>
          <w:szCs w:val="20"/>
          <w:color w:val="auto"/>
        </w:rPr>
      </w:pPr>
      <w:r>
        <w:rPr>
          <w:rFonts w:ascii="Arial" w:cs="Arial" w:eastAsia="Arial" w:hAnsi="Arial"/>
          <w:sz w:val="16"/>
          <w:szCs w:val="16"/>
          <w:color w:val="auto"/>
        </w:rPr>
        <w:t>Radnor Re 2018-1 Ltd. is a special purpose variable interest entity that is not consolidated in our condensed consolidated financial statements because we do not have the unilateral power to direct those activities that are significant to its economic performance. As of September 30, 2018, our estimated off-balance sheet maximum exposure to loss from Radnor Re was $21.0 million, representing the estimated net present value of investment earnings on the assets in the reinsurance trust. See Note 4 to our condensed consolidated financial statements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filing date of this report, there were no significant changes in our critical accounting policies from those discussed in our 2017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condensed consolidated financial statements for recently issued accounting standards under evaluation.</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ind w:left="660" w:right="60" w:hanging="328"/>
        <w:spacing w:after="0" w:line="30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i w:val="1"/>
          <w:iCs w:val="1"/>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i w:val="1"/>
          <w:iCs w:val="1"/>
          <w:color w:val="auto"/>
        </w:rPr>
      </w:pPr>
    </w:p>
    <w:p>
      <w:pPr>
        <w:ind w:left="660" w:right="52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i w:val="1"/>
          <w:iCs w:val="1"/>
          <w:color w:val="auto"/>
        </w:rPr>
      </w:pPr>
    </w:p>
    <w:p>
      <w:pPr>
        <w:ind w:left="660" w:right="400" w:hanging="328"/>
        <w:spacing w:after="0" w:line="342" w:lineRule="auto"/>
        <w:tabs>
          <w:tab w:leader="none" w:pos="6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2018, the effective duration of our investment portfolio, including cash, was 3.7 years, which means that an instantaneous parallel shift (movement up or down) in the yield curve of 100 basis points would result in a change of 3.7% in fair value of our investment portfolio. Excluding cash, our investment portfolio effective duration was 4.0 years, which means that an instantaneous parallel shift (movement up or down) in the yield curve of 100 basis points would result in a change of 4.0%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2018, the end of the period covered by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2017.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September 30, 2018.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2018</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1,716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August 1 - August 31, 2018</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2018</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4"/>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Arial" w:cs="Arial" w:eastAsia="Arial" w:hAnsi="Arial"/>
                <w:sz w:val="18"/>
                <w:szCs w:val="18"/>
                <w:color w:val="auto"/>
              </w:rPr>
              <w:t>(a)</w:t>
            </w:r>
          </w:p>
        </w:tc>
        <w:tc>
          <w:tcPr>
            <w:tcW w:w="10800" w:type="dxa"/>
            <w:vAlign w:val="bottom"/>
            <w:gridSpan w:val="4"/>
          </w:tcPr>
          <w:p>
            <w:pPr>
              <w:ind w:left="6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45"/>
        </w:trPr>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80" w:type="dxa"/>
            <w:vAlign w:val="bottom"/>
            <w:vMerge w:val="restart"/>
          </w:tcPr>
          <w:p>
            <w:pPr>
              <w:jc w:val="right"/>
              <w:ind w:right="446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No.</w:t>
            </w:r>
          </w:p>
        </w:tc>
        <w:tc>
          <w:tcPr>
            <w:tcW w:w="5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 w:type="dxa"/>
            <w:vAlign w:val="bottom"/>
            <w:gridSpan w:val="3"/>
          </w:tcPr>
          <w:p>
            <w:pPr>
              <w:ind w:left="4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6"/>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4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620" w:type="dxa"/>
            <w:vAlign w:val="bottom"/>
            <w:gridSpan w:val="3"/>
          </w:tcPr>
          <w:p>
            <w:pPr>
              <w:ind w:left="40"/>
              <w:spacing w:after="0"/>
              <w:rPr>
                <w:rFonts w:ascii="Arial" w:cs="Arial" w:eastAsia="Arial" w:hAnsi="Arial"/>
                <w:sz w:val="18"/>
                <w:szCs w:val="18"/>
                <w:color w:val="0000FF"/>
              </w:rPr>
            </w:pPr>
            <w:hyperlink w:anchor="page5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56"/>
        </w:trPr>
        <w:tc>
          <w:tcPr>
            <w:tcW w:w="62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financial information from this Quarterly Report on Form 10-Q for the quarter ended September 30, 2018, formatted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XBRL (Extensible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3"/>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1"/>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0"/>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0" w:type="dxa"/>
            <w:vAlign w:val="bottom"/>
            <w:gridSpan w:val="4"/>
          </w:tcPr>
          <w:p>
            <w:pPr>
              <w:jc w:val="right"/>
              <w:ind w:right="554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544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125"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quarterly report;</w:t>
      </w:r>
    </w:p>
    <w:p>
      <w:pPr>
        <w:spacing w:after="0" w:line="170" w:lineRule="exact"/>
        <w:rPr>
          <w:sz w:val="20"/>
          <w:szCs w:val="20"/>
          <w:color w:val="auto"/>
        </w:rPr>
      </w:pPr>
    </w:p>
    <w:p>
      <w:pPr>
        <w:ind w:right="580" w:firstLine="8"/>
        <w:spacing w:after="0" w:line="395" w:lineRule="auto"/>
        <w:tabs>
          <w:tab w:leader="none" w:pos="5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680" w:hanging="672"/>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140" w:firstLine="8"/>
        <w:spacing w:after="0" w:line="324"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2018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1."/>
      <w:numFmt w:val="decimal"/>
      <w:start w:val="5"/>
    </w:lvl>
    <w:lvl w:ilvl="1">
      <w:lvlJc w:val="left"/>
      <w:lvlText w:val="(%2)"/>
      <w:numFmt w:val="lowerLetter"/>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3"/>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decimal"/>
      <w:start w:val="5"/>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2020-01-10T23:03:10Z</dcterms:created>
  <dcterms:modified xsi:type="dcterms:W3CDTF">2020-01-10T23:03:10Z</dcterms:modified>
</cp:coreProperties>
</file>