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78132.xml.htm"/>
      <w:bookmarkStart w:id="1" w:name="kswkform4_17896781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WEINSTOCK DAVID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ESSENT GROUP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CLARENDON HOUSE, 2 CHURCH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HAMILTON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HM11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BERMUDA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Essent Group Ltd.</w:t>
              </w:r>
            </w:hyperlink>
            <w:r>
              <w:rPr/>
              <w:t xml:space="preserve"> [ </w:t>
            </w:r>
            <w:r>
              <w:rPr>
                <w:rFonts w:ascii="Times;serif" w:hAnsi="Times;serif"/>
                <w:color w:val="0000FF"/>
                <w:sz w:val="24"/>
                <w:shd w:fill="FFFFFF" w:val="clear"/>
              </w:rPr>
              <w:t>ESNT</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and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par value $0.015</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68.54</w:t>
            </w:r>
            <w:r>
              <w:rPr>
                <w:rFonts w:ascii="Times;serif" w:hAnsi="Times;serif"/>
                <w:color w:val="008000"/>
                <w:position w:val="7"/>
                <w:sz w:val="16"/>
                <w:sz w:val="20"/>
                <w:shd w:fill="FFFFFF" w:val="clear"/>
              </w:rPr>
              <w:t>(1)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29,994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$68.17 to $68.93, inclusive. The reporting person undertakes to provide to Essent Group Ltd., any security holder of Essent Group Ltd., or the staff of the Securities and Exchange Commission, upon request, full information regarding the number of shares sold at each separate price within the ranges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 Weinstock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93202" TargetMode="External"/><Relationship Id="rId5" Type="http://schemas.openxmlformats.org/officeDocument/2006/relationships/hyperlink" Target="http://www.sec.gov/cgi-bin/browse-edgar?action=getcompany&amp;CIK=00014488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646</Words>
  <Characters>3489</Characters>
  <CharactersWithSpaces>4066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