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111760</wp:posOffset>
            </wp:positionV>
            <wp:extent cx="3103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147955</wp:posOffset>
            </wp:positionV>
            <wp:extent cx="3103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920" w:right="1820" w:hanging="3588"/>
        <w:spacing w:after="0" w:line="250" w:lineRule="auto"/>
        <w:tabs>
          <w:tab w:leader="none" w:pos="636"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9"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 w:lineRule="exact"/>
        <w:rPr>
          <w:sz w:val="24"/>
          <w:szCs w:val="24"/>
          <w:color w:val="auto"/>
        </w:rPr>
      </w:pPr>
    </w:p>
    <w:p>
      <w:pPr>
        <w:jc w:val="center"/>
        <w:ind w:right="-19"/>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108585</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ESSENT GROUP LTD.</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107315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7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gridSpan w:val="2"/>
          </w:tcPr>
          <w:p>
            <w:pPr>
              <w:jc w:val="center"/>
              <w:ind w:left="1453"/>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3680" w:type="dxa"/>
            <w:vAlign w:val="bottom"/>
          </w:tcPr>
          <w:p>
            <w:pPr>
              <w:spacing w:after="0"/>
              <w:rPr>
                <w:sz w:val="20"/>
                <w:szCs w:val="20"/>
                <w:color w:val="auto"/>
              </w:rPr>
            </w:pPr>
          </w:p>
        </w:tc>
        <w:tc>
          <w:tcPr>
            <w:tcW w:w="3700" w:type="dxa"/>
            <w:vAlign w:val="bottom"/>
            <w:gridSpan w:val="2"/>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0"/>
        </w:trPr>
        <w:tc>
          <w:tcPr>
            <w:tcW w:w="3820" w:type="dxa"/>
            <w:vAlign w:val="bottom"/>
            <w:gridSpan w:val="2"/>
          </w:tcPr>
          <w:p>
            <w:pPr>
              <w:jc w:val="center"/>
              <w:ind w:left="1453"/>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spacing w:after="0"/>
              <w:rPr>
                <w:sz w:val="15"/>
                <w:szCs w:val="15"/>
                <w:color w:val="auto"/>
              </w:rPr>
            </w:pPr>
          </w:p>
        </w:tc>
        <w:tc>
          <w:tcPr>
            <w:tcW w:w="3700" w:type="dxa"/>
            <w:vAlign w:val="bottom"/>
            <w:gridSpan w:val="2"/>
          </w:tcPr>
          <w:p>
            <w:pPr>
              <w:jc w:val="center"/>
              <w:ind w:right="159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20" w:type="dxa"/>
            <w:vAlign w:val="bottom"/>
            <w:gridSpan w:val="2"/>
          </w:tcPr>
          <w:p>
            <w:pPr>
              <w:jc w:val="center"/>
              <w:ind w:left="1453"/>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80" w:type="dxa"/>
            <w:vAlign w:val="bottom"/>
          </w:tcPr>
          <w:p>
            <w:pPr>
              <w:spacing w:after="0"/>
              <w:rPr>
                <w:sz w:val="20"/>
                <w:szCs w:val="20"/>
                <w:color w:val="auto"/>
              </w:rPr>
            </w:pPr>
          </w:p>
        </w:tc>
        <w:tc>
          <w:tcPr>
            <w:tcW w:w="370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76"/>
        </w:trPr>
        <w:tc>
          <w:tcPr>
            <w:tcW w:w="3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Clarendon House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89"/>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 Church Street</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5"/>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Hamilton HM11, Bermuda</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187"/>
        </w:trPr>
        <w:tc>
          <w:tcPr>
            <w:tcW w:w="3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05"/>
        </w:trPr>
        <w:tc>
          <w:tcPr>
            <w:tcW w:w="3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(441) 297-9901</w:t>
            </w: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434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160" w:type="dxa"/>
            <w:vAlign w:val="bottom"/>
          </w:tcPr>
          <w:p>
            <w:pPr>
              <w:spacing w:after="0"/>
              <w:rPr>
                <w:sz w:val="14"/>
                <w:szCs w:val="14"/>
                <w:color w:val="auto"/>
              </w:rPr>
            </w:pPr>
          </w:p>
        </w:tc>
      </w:tr>
      <w:tr>
        <w:trPr>
          <w:trHeight w:val="291"/>
        </w:trPr>
        <w:tc>
          <w:tcPr>
            <w:tcW w:w="75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300"/>
        </w:trPr>
        <w:tc>
          <w:tcPr>
            <w:tcW w:w="3820" w:type="dxa"/>
            <w:vAlign w:val="bottom"/>
            <w:gridSpan w:val="2"/>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8"/>
        </w:trPr>
        <w:tc>
          <w:tcPr>
            <w:tcW w:w="3820" w:type="dxa"/>
            <w:vAlign w:val="bottom"/>
            <w:gridSpan w:val="2"/>
          </w:tcPr>
          <w:p>
            <w:pPr>
              <w:jc w:val="center"/>
              <w:ind w:left="273"/>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368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ESNT</w:t>
            </w:r>
          </w:p>
        </w:tc>
        <w:tc>
          <w:tcPr>
            <w:tcW w:w="540" w:type="dxa"/>
            <w:vAlign w:val="bottom"/>
          </w:tcPr>
          <w:p>
            <w:pPr>
              <w:spacing w:after="0"/>
              <w:rPr>
                <w:sz w:val="19"/>
                <w:szCs w:val="19"/>
                <w:color w:val="auto"/>
              </w:rPr>
            </w:pPr>
          </w:p>
        </w:tc>
        <w:tc>
          <w:tcPr>
            <w:tcW w:w="31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06"/>
        </w:trPr>
        <w:tc>
          <w:tcPr>
            <w:tcW w:w="75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2019300</wp:posOffset>
            </wp:positionH>
            <wp:positionV relativeFrom="paragraph">
              <wp:posOffset>102870</wp:posOffset>
            </wp:positionV>
            <wp:extent cx="3103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88" w:lineRule="exact"/>
        <w:rPr>
          <w:sz w:val="24"/>
          <w:szCs w:val="24"/>
          <w:color w:val="auto"/>
        </w:rPr>
      </w:pPr>
    </w:p>
    <w:p>
      <w:pPr>
        <w:ind w:left="500" w:right="960"/>
        <w:spacing w:after="0" w:line="28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ind w:right="60" w:firstLine="486"/>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ind w:right="60" w:firstLine="486"/>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ind w:right="80" w:firstLine="486"/>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420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4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3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r>
      <w:tr>
        <w:trPr>
          <w:trHeight w:val="1188"/>
        </w:trPr>
        <w:tc>
          <w:tcPr>
            <w:tcW w:w="4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ind w:left="18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w:t>
      </w:r>
    </w:p>
    <w:p>
      <w:pPr>
        <w:sectPr>
          <w:pgSz w:w="11900" w:h="16838" w:orient="portrait"/>
          <w:cols w:equalWidth="0" w:num="1">
            <w:col w:w="11160"/>
          </w:cols>
          <w:pgMar w:left="320" w:top="891" w:right="419" w:bottom="1440" w:gutter="0" w:footer="0" w:header="0"/>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498" w:lineRule="exact"/>
        <w:rPr>
          <w:sz w:val="20"/>
          <w:szCs w:val="20"/>
          <w:color w:val="auto"/>
        </w:rPr>
      </w:pPr>
    </w:p>
    <w:p>
      <w:pPr>
        <w:sectPr>
          <w:pgSz w:w="11900" w:h="16838" w:orient="portrait"/>
          <w:cols w:equalWidth="0" w:num="2">
            <w:col w:w="8880" w:space="500"/>
            <w:col w:w="1780"/>
          </w:cols>
          <w:pgMar w:left="320" w:top="891" w:right="419" w:bottom="1440" w:gutter="0" w:footer="0" w:header="0"/>
          <w:type w:val="continuous"/>
        </w:sectPr>
      </w:pPr>
    </w:p>
    <w:p>
      <w:pPr>
        <w:spacing w:after="0" w:line="207" w:lineRule="exact"/>
        <w:tabs>
          <w:tab w:leader="none" w:pos="6940" w:val="left"/>
        </w:tabs>
        <w:rPr>
          <w:sz w:val="20"/>
          <w:szCs w:val="20"/>
          <w:color w:val="auto"/>
        </w:rPr>
      </w:pPr>
      <w:r>
        <w:rPr>
          <w:rFonts w:ascii="Times New Roman" w:cs="Times New Roman" w:eastAsia="Times New Roman" w:hAnsi="Times New Roman"/>
          <w:sz w:val="18"/>
          <w:szCs w:val="18"/>
          <w:color w:val="auto"/>
        </w:rPr>
        <w:t>7262(b)) by the registered public accounting firm that prepared or issued its audit report.</w:t>
      </w:r>
      <w:r>
        <w:rPr>
          <w:sz w:val="20"/>
          <w:szCs w:val="20"/>
          <w:color w:val="auto"/>
        </w:rPr>
        <w:tab/>
      </w:r>
      <w:r>
        <w:rPr>
          <w:rFonts w:ascii="MS PGothic" w:cs="MS PGothic" w:eastAsia="MS PGothic" w:hAnsi="MS PGothic"/>
          <w:sz w:val="19"/>
          <w:szCs w:val="19"/>
          <w:color w:val="auto"/>
        </w:rPr>
        <w:t>☒</w:t>
      </w:r>
    </w:p>
    <w:p>
      <w:pPr>
        <w:sectPr>
          <w:pgSz w:w="11900" w:h="16838" w:orient="portrait"/>
          <w:cols w:equalWidth="0" w:num="1">
            <w:col w:w="11160"/>
          </w:cols>
          <w:pgMar w:left="320" w:top="891" w:right="419" w:bottom="1440" w:gutter="0" w:footer="0" w:header="0"/>
          <w:type w:val="continuous"/>
        </w:sectPr>
      </w:pPr>
    </w:p>
    <w:p>
      <w:pPr>
        <w:spacing w:after="0" w:line="94" w:lineRule="exact"/>
        <w:rPr>
          <w:sz w:val="20"/>
          <w:szCs w:val="20"/>
          <w:color w:val="auto"/>
        </w:rPr>
      </w:pPr>
    </w:p>
    <w:p>
      <w:pPr>
        <w:ind w:firstLine="486"/>
        <w:spacing w:after="0" w:line="22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w:t>
      </w:r>
    </w:p>
    <w:p>
      <w:pPr>
        <w:spacing w:after="0" w:line="7" w:lineRule="exact"/>
        <w:rPr>
          <w:sz w:val="20"/>
          <w:szCs w:val="20"/>
          <w:color w:val="auto"/>
        </w:rPr>
      </w:pPr>
    </w:p>
    <w:p>
      <w:pPr>
        <w:spacing w:after="0" w:line="207" w:lineRule="exact"/>
        <w:tabs>
          <w:tab w:leader="none" w:pos="10020" w:val="left"/>
        </w:tabs>
        <w:rPr>
          <w:sz w:val="20"/>
          <w:szCs w:val="20"/>
          <w:color w:val="auto"/>
        </w:rPr>
      </w:pPr>
      <w:r>
        <w:rPr>
          <w:rFonts w:ascii="Times New Roman" w:cs="Times New Roman" w:eastAsia="Times New Roman" w:hAnsi="Times New Roman"/>
          <w:sz w:val="18"/>
          <w:szCs w:val="18"/>
          <w:color w:val="auto"/>
        </w:rPr>
        <w:t>received by any of the registrant’s executive officers during the relevant recovery period pursuant to §240.10D-1(b).</w:t>
      </w:r>
      <w:r>
        <w:rPr>
          <w:sz w:val="20"/>
          <w:szCs w:val="20"/>
          <w:color w:val="auto"/>
        </w:rPr>
        <w:tab/>
      </w:r>
      <w:r>
        <w:rPr>
          <w:rFonts w:ascii="MS PGothic" w:cs="MS PGothic" w:eastAsia="MS PGothic" w:hAnsi="MS PGothic"/>
          <w:sz w:val="19"/>
          <w:szCs w:val="19"/>
          <w:color w:val="auto"/>
        </w:rPr>
        <w:t>☐</w:t>
      </w:r>
    </w:p>
    <w:p>
      <w:pPr>
        <w:spacing w:after="0" w:line="52" w:lineRule="exact"/>
        <w:rPr>
          <w:sz w:val="20"/>
          <w:szCs w:val="20"/>
          <w:color w:val="auto"/>
        </w:rPr>
      </w:pPr>
    </w:p>
    <w:p>
      <w:pPr>
        <w:ind w:left="500"/>
        <w:spacing w:after="0" w:line="242" w:lineRule="exact"/>
        <w:tabs>
          <w:tab w:leader="none" w:pos="93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15" w:lineRule="exact"/>
        <w:rPr>
          <w:sz w:val="20"/>
          <w:szCs w:val="20"/>
          <w:color w:val="auto"/>
        </w:rPr>
      </w:pPr>
    </w:p>
    <w:p>
      <w:pPr>
        <w:ind w:right="120" w:firstLine="486"/>
        <w:spacing w:after="0" w:line="249" w:lineRule="auto"/>
        <w:rPr>
          <w:sz w:val="20"/>
          <w:szCs w:val="20"/>
          <w:color w:val="auto"/>
        </w:rPr>
      </w:pPr>
      <w:r>
        <w:rPr>
          <w:rFonts w:ascii="Times New Roman" w:cs="Times New Roman" w:eastAsia="Times New Roman" w:hAnsi="Times New Roman"/>
          <w:sz w:val="18"/>
          <w:szCs w:val="18"/>
          <w:color w:val="auto"/>
        </w:rPr>
        <w:t>As of June 30, 2024, the last business day of the registrant's most recently completed second fiscal quarter, the aggregate market value of common shares held by non-affiliates of the registrant was approximately $5,789,192,711 (based upon the last reported sales price on The New York Stock Exchange on such date).</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the registrant's common shares outstanding as of February 14, 2025 was 103,835,368.</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both"/>
        <w:ind w:right="100" w:firstLine="486"/>
        <w:spacing w:after="0" w:line="255" w:lineRule="auto"/>
        <w:rPr>
          <w:sz w:val="20"/>
          <w:szCs w:val="20"/>
          <w:color w:val="auto"/>
        </w:rPr>
      </w:pPr>
      <w:r>
        <w:rPr>
          <w:rFonts w:ascii="Times New Roman" w:cs="Times New Roman" w:eastAsia="Times New Roman" w:hAnsi="Times New Roman"/>
          <w:sz w:val="18"/>
          <w:szCs w:val="18"/>
          <w:color w:val="auto"/>
        </w:rPr>
        <w:t>Portions of the registrant's proxy statement for the 2025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type w:val="continuous"/>
        </w:sectPr>
      </w:pPr>
    </w:p>
    <w:bookmarkStart w:id="2" w:name="page3"/>
    <w:bookmarkEnd w:id="2"/>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BUSINESS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1A.</w:t>
      </w:r>
      <w:r>
        <w:rPr>
          <w:sz w:val="20"/>
          <w:szCs w:val="20"/>
          <w:color w:val="auto"/>
        </w:rPr>
        <w:tab/>
      </w:r>
      <w:r>
        <w:rPr>
          <w:rFonts w:ascii="Times New Roman" w:cs="Times New Roman" w:eastAsia="Times New Roman" w:hAnsi="Times New Roman"/>
          <w:sz w:val="17"/>
          <w:szCs w:val="17"/>
          <w:u w:val="single" w:color="auto"/>
          <w:color w:val="0000FF"/>
        </w:rPr>
        <w:t>RISK FACTORS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1B.</w:t>
      </w:r>
      <w:r>
        <w:rPr>
          <w:sz w:val="20"/>
          <w:szCs w:val="20"/>
          <w:color w:val="auto"/>
        </w:rPr>
        <w:tab/>
      </w:r>
      <w:r>
        <w:rPr>
          <w:rFonts w:ascii="Times New Roman" w:cs="Times New Roman" w:eastAsia="Times New Roman" w:hAnsi="Times New Roman"/>
          <w:sz w:val="17"/>
          <w:szCs w:val="17"/>
          <w:u w:val="single" w:color="auto"/>
          <w:color w:val="0000FF"/>
        </w:rPr>
        <w:t>UNRESOLVED STAFF COMMENTS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1C.</w:t>
      </w:r>
      <w:r>
        <w:rPr>
          <w:sz w:val="20"/>
          <w:szCs w:val="20"/>
          <w:color w:val="auto"/>
        </w:rPr>
        <w:tab/>
      </w:r>
      <w:r>
        <w:rPr>
          <w:rFonts w:ascii="Times New Roman" w:cs="Times New Roman" w:eastAsia="Times New Roman" w:hAnsi="Times New Roman"/>
          <w:sz w:val="17"/>
          <w:szCs w:val="17"/>
          <w:u w:val="single" w:color="auto"/>
          <w:color w:val="0000FF"/>
        </w:rPr>
        <w:t>CYBERSECURITY</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PROPERTIES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3.</w:t>
        <w:tab/>
        <w:t>LEGAL PROCEEDINGS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MINE SAFETY DISCLOSURES</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63" w:lineRule="exact"/>
        <w:rPr>
          <w:sz w:val="20"/>
          <w:szCs w:val="20"/>
          <w:color w:val="auto"/>
        </w:rPr>
      </w:pPr>
    </w:p>
    <w:p>
      <w:pPr>
        <w:ind w:left="900" w:right="180" w:hanging="904"/>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5.</w:t>
        <w:tab/>
        <w:t>MARKET FOR THE COMPANY'S COMMON EQUITY, RELATED STOCKHOLDER MATTERS AND ISSUER PURCHASES OF EQUITY SECURITIES</w:t>
      </w:r>
    </w:p>
    <w:p>
      <w:pPr>
        <w:spacing w:after="0" w:line="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6.</w:t>
      </w:r>
      <w:r>
        <w:rPr>
          <w:sz w:val="20"/>
          <w:szCs w:val="20"/>
          <w:color w:val="auto"/>
        </w:rPr>
        <w:tab/>
      </w:r>
      <w:r>
        <w:rPr>
          <w:rFonts w:ascii="Times New Roman" w:cs="Times New Roman" w:eastAsia="Times New Roman" w:hAnsi="Times New Roman"/>
          <w:sz w:val="17"/>
          <w:szCs w:val="17"/>
          <w:u w:val="single" w:color="auto"/>
          <w:color w:val="0000FF"/>
        </w:rPr>
        <w:t>[RESERVED]</w:t>
      </w:r>
    </w:p>
    <w:p>
      <w:pPr>
        <w:spacing w:after="0" w:line="63" w:lineRule="exact"/>
        <w:rPr>
          <w:sz w:val="20"/>
          <w:szCs w:val="20"/>
          <w:color w:val="auto"/>
        </w:rPr>
      </w:pPr>
    </w:p>
    <w:p>
      <w:pPr>
        <w:ind w:left="900" w:hanging="904"/>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7.</w:t>
        <w:tab/>
        <w:t>MANAGEMENT'S DISCUSSION AND ANALYSIS OF FINANCIAL CONDITION AND RESULTS OF OPERATIONS</w:t>
      </w:r>
    </w:p>
    <w:p>
      <w:pPr>
        <w:spacing w:after="0" w:line="23" w:lineRule="exact"/>
        <w:rPr>
          <w:sz w:val="20"/>
          <w:szCs w:val="20"/>
          <w:color w:val="auto"/>
        </w:rPr>
      </w:pPr>
    </w:p>
    <w:p>
      <w:pPr>
        <w:ind w:right="1320"/>
        <w:spacing w:after="0" w:line="313" w:lineRule="auto"/>
        <w:rPr>
          <w:sz w:val="20"/>
          <w:szCs w:val="20"/>
          <w:color w:val="auto"/>
        </w:rPr>
      </w:pPr>
      <w:r>
        <w:rPr>
          <w:rFonts w:ascii="Times New Roman" w:cs="Times New Roman" w:eastAsia="Times New Roman" w:hAnsi="Times New Roman"/>
          <w:sz w:val="18"/>
          <w:szCs w:val="18"/>
          <w:u w:val="single" w:color="auto"/>
          <w:color w:val="0000FF"/>
        </w:rPr>
        <w:t>ITEM 7A. QUANTITATIVE AND QUALITATIVE DISCLOSURES ABOUT MARKET RISK ITEM 8. FINANCIAL STATEMENTS AND SUPPLEMENTARY DATA</w:t>
      </w:r>
    </w:p>
    <w:p>
      <w:pPr>
        <w:ind w:left="900" w:right="540" w:hanging="904"/>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w:t>
        <w:tab/>
        <w:t>CHANGES IN AND DISAGREEMENTS WITH ACCOUNTANTS ON ACCOUNTING AND FINANCIAL DISCLOSURE</w:t>
      </w:r>
    </w:p>
    <w:p>
      <w:pPr>
        <w:spacing w:after="0" w:line="2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9A.</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9B.</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63" w:lineRule="exact"/>
        <w:rPr>
          <w:sz w:val="20"/>
          <w:szCs w:val="20"/>
          <w:color w:val="auto"/>
        </w:rPr>
      </w:pPr>
    </w:p>
    <w:p>
      <w:pPr>
        <w:ind w:left="900" w:right="500" w:hanging="4364"/>
        <w:spacing w:after="0" w:line="313"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9C.</w:t>
        <w:tab/>
        <w:t>DISCLOSURE REGARDING FOREIGN JURISDICTIONS THAT PREVENT INSPECTIONS PART III</w:t>
      </w:r>
    </w:p>
    <w:p>
      <w:pPr>
        <w:ind w:right="1660"/>
        <w:spacing w:after="0" w:line="313" w:lineRule="auto"/>
        <w:rPr>
          <w:sz w:val="20"/>
          <w:szCs w:val="20"/>
          <w:color w:val="auto"/>
        </w:rPr>
      </w:pPr>
      <w:r>
        <w:rPr>
          <w:rFonts w:ascii="Times New Roman" w:cs="Times New Roman" w:eastAsia="Times New Roman" w:hAnsi="Times New Roman"/>
          <w:sz w:val="18"/>
          <w:szCs w:val="18"/>
          <w:u w:val="single" w:color="auto"/>
          <w:color w:val="0000FF"/>
        </w:rPr>
        <w:t>ITEM 10. DIRECTORS, EXECUTIVE OFFICERS AND CORPORATE GOVERNANCE ITEM 11. EXECUTIVE COMPENSATION</w:t>
      </w:r>
    </w:p>
    <w:p>
      <w:pPr>
        <w:ind w:left="900" w:right="300" w:hanging="904"/>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12.</w:t>
        <w:tab/>
        <w:t>SECURITY OWNERSHIP OF CERTAIN BENEFICIAL OWNERS AND MANAGEMENT AND RELATED STOCKHOLDER MATTERS</w:t>
      </w:r>
    </w:p>
    <w:p>
      <w:pPr>
        <w:spacing w:after="0" w:line="23" w:lineRule="exact"/>
        <w:rPr>
          <w:sz w:val="20"/>
          <w:szCs w:val="20"/>
          <w:color w:val="auto"/>
        </w:rPr>
      </w:pPr>
    </w:p>
    <w:p>
      <w:pPr>
        <w:ind w:left="900" w:right="1180" w:hanging="904"/>
        <w:spacing w:after="0" w:line="237"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13.</w:t>
        <w:tab/>
        <w:t>CERTAIN RELATIONSHIPS AND RELATED TRANSACTIONS, AND DIRECTOR INDEPENDENCE</w:t>
      </w:r>
    </w:p>
    <w:p>
      <w:pPr>
        <w:spacing w:after="0" w:line="23" w:lineRule="exact"/>
        <w:rPr>
          <w:sz w:val="20"/>
          <w:szCs w:val="20"/>
          <w:color w:val="auto"/>
        </w:rPr>
      </w:pPr>
    </w:p>
    <w:p>
      <w:pPr>
        <w:ind w:left="900" w:right="3340" w:hanging="4359"/>
        <w:spacing w:after="0" w:line="313"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FF"/>
        </w:rPr>
        <w:t>ITEM 14.</w:t>
        <w:tab/>
        <w:t>PRINCIPAL ACCOUNTING FEES AND SERVICES PART IV</w:t>
      </w:r>
    </w:p>
    <w:p>
      <w:pPr>
        <w:ind w:right="3420"/>
        <w:spacing w:after="0" w:line="358" w:lineRule="auto"/>
        <w:rPr>
          <w:sz w:val="20"/>
          <w:szCs w:val="20"/>
          <w:color w:val="auto"/>
        </w:rPr>
      </w:pPr>
      <w:r>
        <w:rPr>
          <w:rFonts w:ascii="Times New Roman" w:cs="Times New Roman" w:eastAsia="Times New Roman" w:hAnsi="Times New Roman"/>
          <w:sz w:val="18"/>
          <w:szCs w:val="18"/>
          <w:u w:val="single" w:color="auto"/>
          <w:color w:val="0000FF"/>
        </w:rPr>
        <w:t>ITEM 15. EXHIBITS, FINANCIAL STATEMENT SCHEDULES ITEM 16. FORM 10-K SUMMARY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52</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79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130</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135</w:t>
      </w:r>
    </w:p>
    <w:p>
      <w:pPr>
        <w:sectPr>
          <w:pgSz w:w="11900" w:h="16838" w:orient="portrait"/>
          <w:cols w:equalWidth="0" w:num="2">
            <w:col w:w="8360" w:space="460"/>
            <w:col w:w="360"/>
          </w:cols>
          <w:pgMar w:left="1360" w:top="887" w:right="1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right="180" w:firstLine="445"/>
        <w:spacing w:after="0" w:line="274" w:lineRule="auto"/>
        <w:rPr>
          <w:sz w:val="20"/>
          <w:szCs w:val="20"/>
          <w:color w:val="auto"/>
        </w:rPr>
      </w:pPr>
      <w:r>
        <w:rPr>
          <w:rFonts w:ascii="Times New Roman" w:cs="Times New Roman" w:eastAsia="Times New Roman" w:hAnsi="Times New Roman"/>
          <w:sz w:val="17"/>
          <w:szCs w:val="17"/>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9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in Part I, Item 1A "Risk Factors" and in Part II, Item 7 "Management's Discussion and Analysis of Financial Condition and Results of Operations."</w:t>
      </w:r>
    </w:p>
    <w:p>
      <w:pPr>
        <w:spacing w:after="0" w:line="120"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and uncertainties. Below is a summary of the material risk factors associated with an investment in our securities. You should read this summary together with the more detailed description of each risk factor that immediately follows this summary. However, the risk factors described herein are not all of the risks we may face. Other risks not presently known to us or that we currently believe are immaterial may materially affect our business if they occur. Moreover, new risks emerge from time to time. Further, our business may also be affected by additional factors that apply to all companies operating in the U.S. and globally, which have not been included. In addition to this summary and the more detailed description of the risk factors, you should carefully consider other sections of this annual report on Form 10-K, which may include additional factors that could adversely affect our business, prior to investing in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60" w:lineRule="exact"/>
        <w:rPr>
          <w:sz w:val="20"/>
          <w:szCs w:val="20"/>
          <w:color w:val="auto"/>
        </w:rPr>
      </w:pPr>
    </w:p>
    <w:p>
      <w:pPr>
        <w:jc w:val="both"/>
        <w:ind w:left="660" w:right="380" w:hanging="24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Intense competition among private mortgage insurers could result in competitors reducing pricing, loosening their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or relaxing their risk management practices, which could, in turn, improve their competitive position in the industry and negatively impact our level of NIW.</w:t>
      </w:r>
    </w:p>
    <w:p>
      <w:pPr>
        <w:spacing w:after="0" w:line="92" w:lineRule="exact"/>
        <w:rPr>
          <w:rFonts w:ascii="Times New Roman" w:cs="Times New Roman" w:eastAsia="Times New Roman" w:hAnsi="Times New Roman"/>
          <w:sz w:val="18"/>
          <w:szCs w:val="18"/>
          <w:color w:val="auto"/>
        </w:rPr>
      </w:pPr>
    </w:p>
    <w:p>
      <w:pPr>
        <w:ind w:left="660" w:right="300" w:hanging="247"/>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Importance of Significant Customers</w:t>
      </w:r>
      <w:r>
        <w:rPr>
          <w:rFonts w:ascii="Times New Roman" w:cs="Times New Roman" w:eastAsia="Times New Roman" w:hAnsi="Times New Roman"/>
          <w:sz w:val="18"/>
          <w:szCs w:val="18"/>
          <w:color w:val="auto"/>
        </w:rPr>
        <w:t>. Maintaining our business relationships and business volumes with our largest lending customers remains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to the success of our business.</w:t>
      </w:r>
    </w:p>
    <w:p>
      <w:pPr>
        <w:spacing w:after="0" w:line="90" w:lineRule="exact"/>
        <w:rPr>
          <w:rFonts w:ascii="Times New Roman" w:cs="Times New Roman" w:eastAsia="Times New Roman" w:hAnsi="Times New Roman"/>
          <w:sz w:val="18"/>
          <w:szCs w:val="18"/>
          <w:color w:val="auto"/>
        </w:rPr>
      </w:pPr>
    </w:p>
    <w:p>
      <w:pPr>
        <w:ind w:left="660" w:right="360" w:hanging="24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Alternatives to Private Mortgage Insurance</w:t>
      </w:r>
      <w:r>
        <w:rPr>
          <w:rFonts w:ascii="Times New Roman" w:cs="Times New Roman" w:eastAsia="Times New Roman" w:hAnsi="Times New Roman"/>
          <w:sz w:val="18"/>
          <w:szCs w:val="18"/>
          <w:color w:val="auto"/>
        </w:rPr>
        <w:t>. The use of alternatives to private mortgage insurance, including government-supported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programs as well as home purchase or refinancing alternatives that do not use any form of mortgage insurance, could reduce or eliminate the demand for our product.</w:t>
      </w:r>
    </w:p>
    <w:p>
      <w:pPr>
        <w:spacing w:after="0" w:line="105" w:lineRule="exact"/>
        <w:rPr>
          <w:rFonts w:ascii="Times New Roman" w:cs="Times New Roman" w:eastAsia="Times New Roman" w:hAnsi="Times New Roman"/>
          <w:sz w:val="18"/>
          <w:szCs w:val="18"/>
          <w:color w:val="auto"/>
        </w:rPr>
      </w:pPr>
    </w:p>
    <w:p>
      <w:pPr>
        <w:ind w:left="660" w:right="140" w:hanging="24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in Volume of Low Down Payment Mortgage Originations</w:t>
      </w:r>
      <w:r>
        <w:rPr>
          <w:rFonts w:ascii="Times New Roman" w:cs="Times New Roman" w:eastAsia="Times New Roman" w:hAnsi="Times New Roman"/>
          <w:sz w:val="18"/>
          <w:szCs w:val="18"/>
          <w:color w:val="auto"/>
        </w:rPr>
        <w:t>. Changes in interest rates, alternatives to private mortgage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tax laws relating to the deductibility of mortgage interest, among other factors, could negatively impact the origination volume of low down payment mortgages requiring private mortgage insurance.</w:t>
      </w:r>
    </w:p>
    <w:p>
      <w:pPr>
        <w:spacing w:after="0" w:line="92" w:lineRule="exact"/>
        <w:rPr>
          <w:rFonts w:ascii="Times New Roman" w:cs="Times New Roman" w:eastAsia="Times New Roman" w:hAnsi="Times New Roman"/>
          <w:sz w:val="18"/>
          <w:szCs w:val="18"/>
          <w:color w:val="auto"/>
        </w:rPr>
      </w:pPr>
    </w:p>
    <w:p>
      <w:pPr>
        <w:ind w:left="660" w:right="180" w:hanging="247"/>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Claims and Loss Reserve Estimates</w:t>
      </w:r>
      <w:r>
        <w:rPr>
          <w:rFonts w:ascii="Times New Roman" w:cs="Times New Roman" w:eastAsia="Times New Roman" w:hAnsi="Times New Roman"/>
          <w:sz w:val="18"/>
          <w:szCs w:val="18"/>
          <w:color w:val="auto"/>
        </w:rPr>
        <w:t>. An increase in the number or size of claims, compared to what we anticipate, could adversely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operations or financial conditions.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generally not reflected in our financial statements.</w:t>
      </w:r>
    </w:p>
    <w:p>
      <w:pPr>
        <w:spacing w:after="0" w:line="115" w:lineRule="exact"/>
        <w:rPr>
          <w:rFonts w:ascii="Times New Roman" w:cs="Times New Roman" w:eastAsia="Times New Roman" w:hAnsi="Times New Roman"/>
          <w:sz w:val="18"/>
          <w:szCs w:val="18"/>
          <w:color w:val="auto"/>
        </w:rPr>
      </w:pPr>
    </w:p>
    <w:p>
      <w:pPr>
        <w:jc w:val="both"/>
        <w:ind w:left="660" w:right="360" w:hanging="24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Deteriorating Economic Conditions</w:t>
      </w:r>
      <w:r>
        <w:rPr>
          <w:rFonts w:ascii="Times New Roman" w:cs="Times New Roman" w:eastAsia="Times New Roman" w:hAnsi="Times New Roman"/>
          <w:sz w:val="18"/>
          <w:szCs w:val="18"/>
          <w:color w:val="auto"/>
        </w:rPr>
        <w:t>. A deterioration in macroeconomic conditions generally increases the likelihood that borrowers will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income to pay their mortgages and otherwise likely negatively affects the value of homes, increasing the risk to us of a claim from a mortgage default.</w:t>
      </w:r>
    </w:p>
    <w:p>
      <w:pPr>
        <w:spacing w:after="0" w:line="10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Inadequate Premium Levels</w:t>
      </w:r>
      <w:r>
        <w:rPr>
          <w:rFonts w:ascii="Times New Roman" w:cs="Times New Roman" w:eastAsia="Times New Roman" w:hAnsi="Times New Roman"/>
          <w:sz w:val="18"/>
          <w:szCs w:val="18"/>
          <w:color w:val="auto"/>
        </w:rPr>
        <w:t>. Our mortgage insurance premium rates may not be adequate to cover future losses.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Portfolio</w:t>
      </w:r>
      <w:r>
        <w:rPr>
          <w:rFonts w:ascii="Times New Roman" w:cs="Times New Roman" w:eastAsia="Times New Roman" w:hAnsi="Times New Roman"/>
          <w:sz w:val="18"/>
          <w:szCs w:val="18"/>
          <w:color w:val="auto"/>
        </w:rPr>
        <w:t>. Changing market conditions could materially impact the future valuation of securities in our investment portfolio.</w:t>
      </w:r>
    </w:p>
    <w:p>
      <w:pPr>
        <w:spacing w:after="0" w:line="157"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Strength Ratings</w:t>
      </w:r>
      <w:r>
        <w:rPr>
          <w:rFonts w:ascii="Times New Roman" w:cs="Times New Roman" w:eastAsia="Times New Roman" w:hAnsi="Times New Roman"/>
          <w:sz w:val="18"/>
          <w:szCs w:val="18"/>
          <w:color w:val="auto"/>
        </w:rPr>
        <w:t>. A downgrade in our financial strength ratings could adversely affect us in many ways, including requiring us to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premiums in order to remain competitive, impacting our ability to obtain reinsurance, and limiting our access to the capital markets.</w:t>
      </w:r>
    </w:p>
    <w:p>
      <w:pPr>
        <w:spacing w:after="0" w:line="90" w:lineRule="exact"/>
        <w:rPr>
          <w:rFonts w:ascii="Times New Roman" w:cs="Times New Roman" w:eastAsia="Times New Roman" w:hAnsi="Times New Roman"/>
          <w:sz w:val="18"/>
          <w:szCs w:val="18"/>
          <w:color w:val="auto"/>
        </w:rPr>
      </w:pPr>
    </w:p>
    <w:p>
      <w:pPr>
        <w:ind w:left="660" w:right="140" w:hanging="247"/>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 and Cybersecurity</w:t>
      </w:r>
      <w:r>
        <w:rPr>
          <w:rFonts w:ascii="Times New Roman" w:cs="Times New Roman" w:eastAsia="Times New Roman" w:hAnsi="Times New Roman"/>
          <w:sz w:val="18"/>
          <w:szCs w:val="18"/>
          <w:color w:val="auto"/>
        </w:rPr>
        <w:t>. If our information technology systems were to fail or become outmoded, we may experience a significant disruption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Breaches in our information technology security could result in the loss or misuse of this information, which could, in turn, result in potential regulatory actions or litigation.</w:t>
      </w:r>
    </w:p>
    <w:p>
      <w:pPr>
        <w:spacing w:after="0" w:line="92" w:lineRule="exact"/>
        <w:rPr>
          <w:rFonts w:ascii="Times New Roman" w:cs="Times New Roman" w:eastAsia="Times New Roman" w:hAnsi="Times New Roman"/>
          <w:sz w:val="18"/>
          <w:szCs w:val="18"/>
          <w:color w:val="auto"/>
        </w:rPr>
      </w:pPr>
    </w:p>
    <w:p>
      <w:pPr>
        <w:ind w:left="660" w:right="40" w:hanging="247"/>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Reinsurance</w:t>
      </w:r>
      <w:r>
        <w:rPr>
          <w:rFonts w:ascii="Times New Roman" w:cs="Times New Roman" w:eastAsia="Times New Roman" w:hAnsi="Times New Roman"/>
          <w:sz w:val="18"/>
          <w:szCs w:val="18"/>
          <w:color w:val="auto"/>
        </w:rPr>
        <w:t>. Due to market conditions or otherwise, reinsurance may not be available to us in amounts that we consider to be sufficient or at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consider to be acceptable.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160" w:lineRule="exact"/>
        <w:rPr>
          <w:sz w:val="20"/>
          <w:szCs w:val="20"/>
          <w:color w:val="auto"/>
        </w:rPr>
      </w:pPr>
    </w:p>
    <w:p>
      <w:pPr>
        <w:ind w:left="660" w:right="120" w:hanging="247"/>
        <w:spacing w:after="0" w:line="267"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GSE Reform</w:t>
      </w:r>
      <w:r>
        <w:rPr>
          <w:rFonts w:ascii="Times New Roman" w:cs="Times New Roman" w:eastAsia="Times New Roman" w:hAnsi="Times New Roman"/>
          <w:sz w:val="18"/>
          <w:szCs w:val="18"/>
          <w:color w:val="auto"/>
        </w:rPr>
        <w:t>. Legislative or regulatory actions or decisions to change the role of the GSEs in the U.S. housing market generally, or changes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charters of the GSEs with regard to the use of credit enhancements generally and private mortgage insurance specifically, could reduce our revenues or adversely affect our profitability and returns.</w:t>
      </w:r>
    </w:p>
    <w:p>
      <w:pPr>
        <w:spacing w:after="0" w:line="92" w:lineRule="exact"/>
        <w:rPr>
          <w:rFonts w:ascii="Times New Roman" w:cs="Times New Roman" w:eastAsia="Times New Roman" w:hAnsi="Times New Roman"/>
          <w:sz w:val="18"/>
          <w:szCs w:val="18"/>
          <w:b w:val="1"/>
          <w:bCs w:val="1"/>
          <w:i w:val="1"/>
          <w:iCs w:val="1"/>
          <w:color w:val="auto"/>
        </w:rPr>
      </w:pPr>
    </w:p>
    <w:p>
      <w:pPr>
        <w:ind w:left="660" w:right="460" w:hanging="247"/>
        <w:spacing w:after="0" w:line="284"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GSE Eligibility</w:t>
      </w:r>
      <w:r>
        <w:rPr>
          <w:rFonts w:ascii="Times New Roman" w:cs="Times New Roman" w:eastAsia="Times New Roman" w:hAnsi="Times New Roman"/>
          <w:sz w:val="18"/>
          <w:szCs w:val="18"/>
          <w:color w:val="auto"/>
        </w:rPr>
        <w:t>. Changes in the business practices of the GSEs, including actions or decisions to decrease or discontinue the use of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changes in the GSEs' eligibility requirements for mortgage insurers, or</w:t>
      </w:r>
    </w:p>
    <w:p>
      <w:pPr>
        <w:sectPr>
          <w:pgSz w:w="11900" w:h="16838" w:orient="portrait"/>
          <w:cols w:equalWidth="0" w:num="1">
            <w:col w:w="11240"/>
          </w:cols>
          <w:pgMar w:left="320" w:top="1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type w:val="continuous"/>
        </w:sectPr>
      </w:pPr>
    </w:p>
    <w:bookmarkStart w:id="5" w:name="page6"/>
    <w:bookmarkEnd w:id="5"/>
    <w:p>
      <w:pPr>
        <w:ind w:left="660" w:right="80"/>
        <w:spacing w:after="0" w:line="282" w:lineRule="auto"/>
        <w:rPr>
          <w:sz w:val="20"/>
          <w:szCs w:val="20"/>
          <w:color w:val="auto"/>
        </w:rPr>
      </w:pPr>
      <w:r>
        <w:rPr>
          <w:rFonts w:ascii="Times New Roman" w:cs="Times New Roman" w:eastAsia="Times New Roman" w:hAnsi="Times New Roman"/>
          <w:sz w:val="18"/>
          <w:szCs w:val="18"/>
          <w:color w:val="auto"/>
        </w:rPr>
        <w:t>changes in the terms on which mortgage insurance coverage may be cancelled, could reduce our revenues or adversely affect our profitability and returns.</w:t>
      </w:r>
    </w:p>
    <w:p>
      <w:pPr>
        <w:spacing w:after="0" w:line="79" w:lineRule="exact"/>
        <w:rPr>
          <w:sz w:val="20"/>
          <w:szCs w:val="20"/>
          <w:color w:val="auto"/>
        </w:rPr>
      </w:pPr>
    </w:p>
    <w:p>
      <w:pPr>
        <w:ind w:left="660" w:right="120" w:hanging="247"/>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QM and QRM Rules</w:t>
      </w:r>
      <w:r>
        <w:rPr>
          <w:rFonts w:ascii="Times New Roman" w:cs="Times New Roman" w:eastAsia="Times New Roman" w:hAnsi="Times New Roman"/>
          <w:sz w:val="18"/>
          <w:szCs w:val="18"/>
          <w:color w:val="auto"/>
        </w:rPr>
        <w:t>. Changes in the definitions of "Qualified Mortgage" or "Qualified Residential Mortgage" could reduce the size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origination market or create incentives to use government mortgage insurance programs over, or other alternatives to, private mortgage insurance.</w:t>
      </w:r>
    </w:p>
    <w:p>
      <w:pPr>
        <w:spacing w:after="0" w:line="10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Basel Rules</w:t>
      </w:r>
      <w:r>
        <w:rPr>
          <w:rFonts w:ascii="Times New Roman" w:cs="Times New Roman" w:eastAsia="Times New Roman" w:hAnsi="Times New Roman"/>
          <w:sz w:val="18"/>
          <w:szCs w:val="18"/>
          <w:color w:val="auto"/>
        </w:rPr>
        <w:t>. Implementation of the Basel rules may discourage the use of private mortgage insurance.</w:t>
      </w:r>
    </w:p>
    <w:p>
      <w:pPr>
        <w:spacing w:after="0" w:line="157" w:lineRule="exact"/>
        <w:rPr>
          <w:rFonts w:ascii="Times New Roman" w:cs="Times New Roman" w:eastAsia="Times New Roman" w:hAnsi="Times New Roman"/>
          <w:sz w:val="18"/>
          <w:szCs w:val="18"/>
          <w:color w:val="auto"/>
        </w:rPr>
      </w:pPr>
    </w:p>
    <w:p>
      <w:pPr>
        <w:ind w:left="660" w:right="220" w:hanging="247"/>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 Our insurance and reinsurance subsidiaries are subject to broad government regulation in each of the jurisdictions in which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or authorized to do business, including regarding trade and claim practices, accounting methods, premium rates, marketing practices, advertising, policy forms, and capital adequacy.</w:t>
      </w:r>
    </w:p>
    <w:p>
      <w:pPr>
        <w:spacing w:after="0" w:line="92"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mortgage insurance industry faces litigation risk in the ordinary course of operations, including the risk of class action lawsuits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enforcement by Federal and state agencies.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 and Our Corporate Structure</w:t>
      </w:r>
    </w:p>
    <w:p>
      <w:pPr>
        <w:spacing w:after="0" w:line="160" w:lineRule="exact"/>
        <w:rPr>
          <w:sz w:val="20"/>
          <w:szCs w:val="20"/>
          <w:color w:val="auto"/>
        </w:rPr>
      </w:pPr>
    </w:p>
    <w:p>
      <w:pPr>
        <w:ind w:left="660" w:hanging="247"/>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Operations</w:t>
      </w:r>
      <w:r>
        <w:rPr>
          <w:rFonts w:ascii="Times New Roman" w:cs="Times New Roman" w:eastAsia="Times New Roman" w:hAnsi="Times New Roman"/>
          <w:sz w:val="18"/>
          <w:szCs w:val="18"/>
          <w:color w:val="auto"/>
        </w:rPr>
        <w:t>. We and our non-U.S. subsidiaries may become subject to U.S. Federal income and branch profits taxation.</w:t>
      </w:r>
    </w:p>
    <w:p>
      <w:pPr>
        <w:spacing w:after="0" w:line="144" w:lineRule="exact"/>
        <w:rPr>
          <w:rFonts w:ascii="Times New Roman" w:cs="Times New Roman" w:eastAsia="Times New Roman" w:hAnsi="Times New Roman"/>
          <w:sz w:val="18"/>
          <w:szCs w:val="18"/>
          <w:b w:val="1"/>
          <w:bCs w:val="1"/>
          <w:i w:val="1"/>
          <w:iCs w:val="1"/>
          <w:color w:val="auto"/>
        </w:rPr>
      </w:pPr>
    </w:p>
    <w:p>
      <w:pPr>
        <w:ind w:left="660" w:right="60" w:hanging="247"/>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Tax-Related Matters</w:t>
      </w:r>
      <w:r>
        <w:rPr>
          <w:rFonts w:ascii="Times New Roman" w:cs="Times New Roman" w:eastAsia="Times New Roman" w:hAnsi="Times New Roman"/>
          <w:sz w:val="18"/>
          <w:szCs w:val="18"/>
          <w:color w:val="auto"/>
        </w:rPr>
        <w:t>. Holders of 10% or more of our common shares may be subject to U.S. income taxation under the "controlled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rules. U.S. Persons who hold our shares may be subject to U.S. income taxation at ordinary income rates on their proportionate share of our "related party insurance income". U.S. Persons who dispose of our shares may be subject to U.S. Federal income taxation at the rates applicable to dividends on a portion of such disposition. U.S. Persons who hold our shares will be subject to adverse tax consequences if we are considered to be a "passive foreign investment company" ("PFIC"). U.S. tax-exempt organizations who own our shares may recognize unrelated business taxable income. Proposed U.S. tax legislation could have an adverse impact on us or holders of our common shares.</w:t>
      </w:r>
    </w:p>
    <w:p>
      <w:pPr>
        <w:spacing w:after="0" w:line="114" w:lineRule="exact"/>
        <w:rPr>
          <w:rFonts w:ascii="Times New Roman" w:cs="Times New Roman" w:eastAsia="Times New Roman" w:hAnsi="Times New Roman"/>
          <w:sz w:val="18"/>
          <w:szCs w:val="18"/>
          <w:color w:val="auto"/>
        </w:rPr>
      </w:pPr>
    </w:p>
    <w:p>
      <w:pPr>
        <w:ind w:left="660" w:right="60" w:hanging="247"/>
        <w:spacing w:after="0" w:line="253" w:lineRule="auto"/>
        <w:tabs>
          <w:tab w:leader="none" w:pos="653" w:val="left"/>
        </w:tabs>
        <w:numPr>
          <w:ilvl w:val="0"/>
          <w:numId w:val="6"/>
        </w:numPr>
        <w:rPr>
          <w:rFonts w:ascii="Calibri" w:cs="Calibri" w:eastAsia="Calibri" w:hAnsi="Calibri"/>
          <w:sz w:val="20"/>
          <w:szCs w:val="20"/>
          <w:color w:val="auto"/>
        </w:rPr>
      </w:pPr>
      <w:r>
        <w:rPr>
          <w:rFonts w:ascii="Times New Roman" w:cs="Times New Roman" w:eastAsia="Times New Roman" w:hAnsi="Times New Roman"/>
          <w:sz w:val="18"/>
          <w:szCs w:val="18"/>
          <w:i w:val="1"/>
          <w:iCs w:val="1"/>
          <w:color w:val="auto"/>
        </w:rPr>
        <w:t>Bermuda Holding Company</w:t>
      </w:r>
      <w:r>
        <w:rPr>
          <w:rFonts w:ascii="Times New Roman" w:cs="Times New Roman" w:eastAsia="Times New Roman" w:hAnsi="Times New Roman"/>
          <w:sz w:val="18"/>
          <w:szCs w:val="18"/>
          <w:color w:val="auto"/>
        </w:rPr>
        <w:t>. As a Bermuda exempted company, the rights of holders of our common shares are governed by our memorandum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and bye-laws and Bermuda law, which may differ from the rights of shareholders of companies incorporated in other jurisdictions. We have the option, but not the obligation, under our bye-laws and subject to Bermuda law to require a shareholder to sell to us at fair market value the minimum number of common shares which is necessary to avoid or cure any adverse tax consequences or materially adverse legal or regulatory treatment to us as reasonably determined by our board. There are regulatory limitations on the ownership and transfer of our common shares imposed by the Bermuda Monetary Authority and the Pennsylvania Insurance Department. U.S. persons who own our shares may have more difficulty in protecting their interests than U.S. persons who are shareholders of a U.S. corporation.</w:t>
      </w:r>
    </w:p>
    <w:p>
      <w:pPr>
        <w:spacing w:after="0" w:line="107" w:lineRule="exact"/>
        <w:rPr>
          <w:rFonts w:ascii="Calibri" w:cs="Calibri" w:eastAsia="Calibri" w:hAnsi="Calibri"/>
          <w:sz w:val="20"/>
          <w:szCs w:val="20"/>
          <w:color w:val="auto"/>
        </w:rPr>
      </w:pPr>
    </w:p>
    <w:p>
      <w:pPr>
        <w:ind w:left="660" w:right="60" w:hanging="247"/>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Restrictions</w:t>
      </w:r>
      <w:r>
        <w:rPr>
          <w:rFonts w:ascii="Times New Roman" w:cs="Times New Roman" w:eastAsia="Times New Roman" w:hAnsi="Times New Roman"/>
          <w:sz w:val="18"/>
          <w:szCs w:val="18"/>
          <w:color w:val="auto"/>
        </w:rPr>
        <w:t>. Dividend income to Essent Group Ltd. or intermediate holding companies from its insurance subsidiaries may be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applicable state and Bermuda insurance laws.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 w:name="page7"/>
    <w:bookmarkEnd w:id="6"/>
    <w:p>
      <w:pPr>
        <w:ind w:right="1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Essent Reinsurance Ltd. and Essent Title Insurance, Inc., as a combined entity, except where otherwise stated or where it is clear that the terms mean only Essent Group Ltd. exclusive of its subsidiaries.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right="540" w:firstLine="405"/>
        <w:spacing w:after="0" w:line="266" w:lineRule="auto"/>
        <w:rPr>
          <w:sz w:val="20"/>
          <w:szCs w:val="20"/>
          <w:color w:val="auto"/>
        </w:rPr>
      </w:pPr>
      <w:r>
        <w:rPr>
          <w:rFonts w:ascii="Times New Roman" w:cs="Times New Roman" w:eastAsia="Times New Roman" w:hAnsi="Times New Roman"/>
          <w:sz w:val="18"/>
          <w:szCs w:val="18"/>
          <w:color w:val="auto"/>
        </w:rPr>
        <w:t>We serve the housing finance industry by providing private mortgage insurance and reinsurance, and title insurance and settlement services to mortgage lenders, borrowers and investors to support homeownership. We conduct our operations through one primary business segment: Mortgage Insurance.</w:t>
      </w:r>
    </w:p>
    <w:p>
      <w:pPr>
        <w:spacing w:after="0" w:line="95"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Inc., which we refer to as "Essent Guaranty", and also offer other credit risk management solutions, including contract underwriting, to our customers. Through our wholly owned, Bermuda-based subsidiary, Essent Reinsurance Ltd., which we refer to as "Essent Re", we reinsure U.S. mortgage risk in the GSE credit risk transfer market and provide underwriting consulting services to third-party reinsurers.</w:t>
      </w:r>
    </w:p>
    <w:p>
      <w:pPr>
        <w:spacing w:after="0" w:line="116"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on July 1, 2023. Our title insurance operations are included in "Corporate and Other" within our segment-related disclosures.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Notes 1 and 18 of the Notes to Consolidated Financial Statements for further details of our businesses.</w:t>
      </w:r>
    </w:p>
    <w:p>
      <w:pPr>
        <w:spacing w:after="0" w:line="144" w:lineRule="exact"/>
        <w:rPr>
          <w:sz w:val="20"/>
          <w:szCs w:val="20"/>
          <w:color w:val="auto"/>
        </w:rPr>
      </w:pPr>
    </w:p>
    <w:p>
      <w:pPr>
        <w:ind w:right="860" w:firstLine="405"/>
        <w:spacing w:after="0" w:line="282" w:lineRule="auto"/>
        <w:rPr>
          <w:sz w:val="20"/>
          <w:szCs w:val="20"/>
          <w:color w:val="auto"/>
        </w:rPr>
      </w:pPr>
      <w:r>
        <w:rPr>
          <w:rFonts w:ascii="Times New Roman" w:cs="Times New Roman" w:eastAsia="Times New Roman" w:hAnsi="Times New Roman"/>
          <w:sz w:val="18"/>
          <w:szCs w:val="18"/>
          <w:color w:val="auto"/>
        </w:rPr>
        <w:t>Our holding company and reinsurance business are domiciled in Bermuda. Our U.S. mortgage insurance and title insurance operations are headquartered in Radnor, Pennsylvania.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Private mortgage insurance plays a critical role in the U.S. housing finance system, extending affordable homeownership by facilitating the sale of low down payment loans into the secondary market. Federal National Mortgage Association (Fannie Mae) and Federal Home Loan Mortgage Corporation (Freddie Mac), which we refer to collectively as the GSEs, are U.S. Federal government-sponsored enterprises which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Essent and other private mortgage insurers provide credit protection to lenders and mortgage investors, supporting a robust secondary mortgage market in the United States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2023 and 2022, we generated private mortgage insurance new insurance written, or NIW, of approximately $45.6 billion, $47.7 billion and $63.1 billion, respectively. As of December 31, 2024, we had approximately $243.6 billion of private mortgage insurance in force. We are approved by Fannie Mae and Freddie Mac and are licensed to write private mortgage insurance coverage in all 50 states and the District of Columbia. The financial strength ratings of our U.S. mortgage insurance subsidiary, Essent Guaranty, Inc., are A3 with a positive outlook by Moody's Investors Service, Inc. (Moody's), A- with a stable outlook by S&amp;P Global Ratings (S&amp;P), and A (Excellent) with a stable outlook by A.M. Best Company (AM Best).</w:t>
      </w:r>
    </w:p>
    <w:p>
      <w:pPr>
        <w:spacing w:after="0" w:line="120"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offer mortgage-related insurance and reinsurance through our wholly owned, Bermuda-based subsidiary, Essent Reinsurance Ltd., a Class 3B insurance company licensed pursuant to Section 4 of the Bermuda Insurance Act 1978. As of December 31, 2024, Essent Re provided insurance or reinsurance relating to GSE credit risk transfer and other reinsurance transactions covering approximately $2.2 billion of risk. Essent Re also reinsures NIW that we write in the U.S. under a quota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7" w:name="page8"/>
    <w:bookmarkEnd w:id="7"/>
    <w:p>
      <w:pPr>
        <w:ind w:right="20"/>
        <w:spacing w:after="0" w:line="266" w:lineRule="auto"/>
        <w:rPr>
          <w:sz w:val="20"/>
          <w:szCs w:val="20"/>
          <w:color w:val="auto"/>
        </w:rPr>
      </w:pPr>
      <w:r>
        <w:rPr>
          <w:rFonts w:ascii="Times New Roman" w:cs="Times New Roman" w:eastAsia="Times New Roman" w:hAnsi="Times New Roman"/>
          <w:sz w:val="18"/>
          <w:szCs w:val="18"/>
          <w:color w:val="auto"/>
        </w:rPr>
        <w:t>share reinsurance agreement with Essent Guaranty. We additionally provide underwriting consulting and risk management services to third-party reinsurers through Essent Re's wholly-owned subsidiary, Essent Agency (Bermuda) Ltd. The insurer financial strength ratings of Essent Re are A- with a stable outlook by S&amp;P and A (Excellent) with a stable outlook by A.M. Best.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Mortgage Market</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U.S. residential mortgage market is one of the largest in the world, with over $14.2 trillion of debt outstanding as of September 30, 2024,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(FHA), the Veterans Administration (VA), the U.S. Department of Agriculture Rural Development program and the Government National Mortgage Association (Ginnie Mae), as well as government-sponsored enterprises such as Fannie Mae and Freddie Mac. The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GSEs</w:t>
      </w:r>
    </w:p>
    <w:p>
      <w:pPr>
        <w:spacing w:after="0" w:line="16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GSEs are the most prominent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$6.7 trillion, or 46.9%, of all U.S. residential mortgage debt outstanding as of September 30, 2024. The charters of the GSEs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w:t>
      </w:r>
    </w:p>
    <w:p>
      <w:pPr>
        <w:spacing w:after="0" w:line="14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Mortgage insurance plays a critical role in the U.S. residential mortgage market by facilitating secondary market sales and providing lenders and investors a means to diversify their exposures and mitigate mortgage credit risk. Mortgage insurance is offered by both private companies, such as Essent Guaranty, and government agencies, such as the FHA and the VA. From 2005 through 2024, an average of 30.2% of total annual U.S. mortgage origination volume utilized mortgage insurance.</w:t>
      </w:r>
    </w:p>
    <w:p>
      <w:pPr>
        <w:spacing w:after="0" w:line="1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2024, total U.S. residential mortgage origination volume was estimated to be $1.78 trillion, comprised of $1.29 trillion of purchase originations and $0.49 trillion of refinancing originations. The mortgage market in 2024 continued to be substantially and negatively impacted by elevated mortgage interest rates precipitated in large part by actions of the Federal Reserve commencing in 2022 that were intended to combat inflation.</w:t>
      </w:r>
    </w:p>
    <w:p>
      <w:pPr>
        <w:spacing w:after="0" w:line="116"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following graph provides detail on trends in total residential mortgage originations and the breakdown of the market between purchase and refinancing volume.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105410</wp:posOffset>
            </wp:positionV>
            <wp:extent cx="5863590" cy="1877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7"/>
          <w:szCs w:val="17"/>
          <w:color w:val="auto"/>
        </w:rPr>
        <w:t>Mortgage Bankers Association</w:t>
      </w:r>
    </w:p>
    <w:p>
      <w:pPr>
        <w:spacing w:after="0" w:line="13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 As depicted below, the severe economic and housing market dislocation experienced as a result of the 2007-2008 financial crisis had a profound impact on the private mortgage insurance industry. Incumbent insurers experienced record high claims activity and sustained significant financial losses, resulting in depleted capital positions. The private mortgage insurance industry, however, has more than doubled its share of the total insured market since 2009, leading to higher private mortgage insurance penetration of the total mortgage origination market. In 2024, private mortgage insurance represented an estimated 41% of the total insured market and covered 17% of the total U.S. mortgage origination volume.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105410</wp:posOffset>
            </wp:positionV>
            <wp:extent cx="5863590" cy="1877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7"/>
          <w:szCs w:val="17"/>
          <w:color w:val="auto"/>
        </w:rPr>
        <w:t>Inside Mortgage Finance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105410</wp:posOffset>
            </wp:positionV>
            <wp:extent cx="5863590" cy="1877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w:t>
      </w:r>
    </w:p>
    <w:p>
      <w:pPr>
        <w:spacing w:after="0" w:line="25"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8"/>
          <w:szCs w:val="18"/>
          <w:color w:val="auto"/>
        </w:rPr>
        <w:t>Source: Inside Mortgage Finance, except for total originations for the purpose of calculating private mortgage insurance penetration, which is based on Mortgage Bankers Association. Starting in 2011, private mortgage insurance penetration includes private mortgage insurance NIW originated under the Home Affordable Refinancing Program, or "HARP."</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Mortgage Reinsurance</w:t>
      </w:r>
    </w:p>
    <w:p>
      <w:pPr>
        <w:spacing w:after="0" w:line="1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We conduct our primary reinsurance operations through Essent Re, insuring risk and providing services tied to the U.S. mortgage market from Bermuda. Our reinsurance operations include participation in credit risk transfer (CRT) transactions sponsored by Fannie Mae and Freddie Mac, which over the past decade have reduced their exposure to mortgage risk by shifting a portion of that risk to the private sector through capital markets offerings and reinsurance vehicles.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private mortgage insurance industry is highly competitive. Private mortgage insurers generally compete on the basis of pricing, customer relationships, underwriting guidelines, terms and conditions, financial strength, reputation, the strength of management and field organizations, the effective use of technology, and innovation in the delivery and servicing of insurance products. The private mortgage insurance industry currently consists of six active private mortgage insurers approved by the GSEs: Essent Guaranty, Arch Mortgage Insurance Company, Enact Mortgage Insurance Corporation, Mortgage Guaranty Insurance Corporation, National Mortgage Insurance Corporation and Radian Guaranty Inc.</w:t>
      </w:r>
    </w:p>
    <w:p>
      <w:pPr>
        <w:spacing w:after="0" w:line="11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and the other private mortgage insurers compete directly with Federal and state governmental and quasi-governmental agencies that provide mortgage insurance, principally, the FHA and, to a lesser degree, the VA. Private mortgage insurers also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9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private mortgage insurance industry additionally competes with products designed to eliminate the need for private mortgage insurance, such as "piggyback loans," which combine a first lien loan with a second lien in order to meet the 80% loan-to-value threshold required for sale to the GSEs without certain credit protections. We also compete with investors willing to hold credit risk on their own balance sheets without credit enhancement and, in some markets, with alternative forms of credit enhancement such as structured finance products and derivatives.</w:t>
      </w:r>
    </w:p>
    <w:p>
      <w:pPr>
        <w:spacing w:after="0" w:line="11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GSE-sponsored mortgage CRT programs, which include the use of front and back-end transactions with reinsurers, have to date included approximately 25 unique (re)insurers that regularly participate in CRT transactions in addition to funded credit investors. These GSE-sponsored mortgage CRT transactions continue to create opportunities for reinsurers and capital markets participants.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general, there are two principal types of private mortgage insurance, primary and pool.</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Primary Mortgage Insurance</w:t>
      </w:r>
    </w:p>
    <w:p>
      <w:pPr>
        <w:spacing w:after="0" w:line="16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Primary mortgage insurance provides protection on individual loans at specified coverage percentages. Primary mortgage insurance is typically offered to customers on individual loans at the time of origination on a flow (i.e., loan-by-loan) basis, but</w:t>
      </w:r>
    </w:p>
    <w:p>
      <w:pPr>
        <w:sectPr>
          <w:pgSz w:w="11900" w:h="16838" w:orient="portrait"/>
          <w:cols w:equalWidth="0" w:num="1">
            <w:col w:w="11200"/>
          </w:cols>
          <w:pgMar w:left="320" w:top="103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type w:val="continuous"/>
        </w:sectPr>
      </w:pPr>
    </w:p>
    <w:bookmarkStart w:id="10" w:name="page11"/>
    <w:bookmarkEnd w:id="10"/>
    <w:p>
      <w:pPr>
        <w:ind w:right="140"/>
        <w:spacing w:after="0" w:line="282" w:lineRule="auto"/>
        <w:rPr>
          <w:sz w:val="20"/>
          <w:szCs w:val="20"/>
          <w:color w:val="auto"/>
        </w:rPr>
      </w:pPr>
      <w:r>
        <w:rPr>
          <w:rFonts w:ascii="Times New Roman" w:cs="Times New Roman" w:eastAsia="Times New Roman" w:hAnsi="Times New Roman"/>
          <w:sz w:val="18"/>
          <w:szCs w:val="18"/>
          <w:color w:val="auto"/>
        </w:rPr>
        <w:t>can also be written in bulk transactions (in which each loan in a portfolio of loans is insured in a single transaction). A substantial majority of our policies are primary mortgage insurance.</w:t>
      </w:r>
    </w:p>
    <w:p>
      <w:pPr>
        <w:spacing w:after="0" w:line="8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27% of the underlying primary insurance in force, but may vary from policy to policy between 6% and 35% coverage.</w:t>
      </w:r>
    </w:p>
    <w:p>
      <w:pPr>
        <w:spacing w:after="0" w:line="11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Net Premium Rate."</w:t>
      </w:r>
    </w:p>
    <w:p>
      <w:pPr>
        <w:spacing w:after="0" w:line="11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or "LPMI." In either case, the payment of premium to us generally is the legal responsibility of the insured.</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Premiums are generally calculated as a percentage of the original principal balance and may be paid as follows:</w:t>
      </w:r>
    </w:p>
    <w:p>
      <w:pPr>
        <w:spacing w:after="0" w:line="158" w:lineRule="exact"/>
        <w:rPr>
          <w:sz w:val="20"/>
          <w:szCs w:val="20"/>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where premiums are collected on a monthly basis over the life of the policy;</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single payment, where the entire premium is paid upfront at the time the mortgage loan is originated;</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where premiums are paid in advance for the subsequent 12 months; or</w:t>
      </w:r>
    </w:p>
    <w:p>
      <w:pPr>
        <w:spacing w:after="0" w:line="157" w:lineRule="exact"/>
        <w:rPr>
          <w:rFonts w:ascii="Times New Roman" w:cs="Times New Roman" w:eastAsia="Times New Roman" w:hAnsi="Times New Roman"/>
          <w:sz w:val="18"/>
          <w:szCs w:val="18"/>
          <w:color w:val="auto"/>
        </w:rPr>
      </w:pPr>
    </w:p>
    <w:p>
      <w:pPr>
        <w:ind w:left="420" w:right="3280" w:hanging="7"/>
        <w:spacing w:after="0" w:line="439" w:lineRule="auto"/>
        <w:tabs>
          <w:tab w:leader="none" w:pos="65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"split" basis, where an initial premium is paid upfront along with subsequent monthly payments. As of December 31, 2024, substantially all of our policies are monthly or single premium policies.</w:t>
      </w: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general, we may not terminate mortgage insurance coverage except in the event there is non-payment of premiums or certain material violations of our mortgage insurance policies. The insured may cancel mortgage insurance coverage at any time at their option or upon mortgage repayment.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(HOPA), also requires the automatic termination of BPMI on most loans when the LTV ratio, based upon the original property value and amortized loan balance, reaches 78%, and provides for cancellation of BPMI upon a borrower's request when the LTV ratio, based on the current value of the property, reaches 80%, upon satisfaction of the conditions set forth in HOPA. See "—Regulation—Federal Mortgage—Related Laws and Regulations—Homeowners Protection Act of 1988" below. In addition, some states impose their own mortgage insurance notice and cancellation requirements on mortgage loan servicers.</w:t>
      </w:r>
    </w:p>
    <w:p>
      <w:pPr>
        <w:spacing w:after="0" w:line="121"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GSEs have implemented certain guidelines that may provide more flexibility to certain borrowers to cancel mortgage insurance than is required for such loans under HOPA. For example, borrowers may request termination of mortgage insurance based on the current value of the property if certain loan-to-value and seasoning requirements are met and the borrower has an acceptable payment history. For loans seasoned between two and five years, the loan-to-value ratio must be 75% or less, and for loans seasoned more than five years, the loan-to-value ratio must be 80% or less. If the borrower has made substantial improvements to the property, the GSEs allow for cancellation once the loan-to-value ratio reaches 80% or less with no minimum seasoning requirement. In addition, GSE servicing guidelines currently require servicers to cancel BPMI on second homes with a 78% loan-to-value ratio, whereas HOPA applies to principal residences and excludes second homes.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Pool Insurance</w:t>
      </w:r>
    </w:p>
    <w:p>
      <w:pPr>
        <w:spacing w:after="0" w:line="16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i w:val="1"/>
          <w:iCs w:val="1"/>
          <w:color w:val="auto"/>
        </w:rPr>
        <w:t>Master Policy</w:t>
      </w:r>
    </w:p>
    <w:p>
      <w:pPr>
        <w:spacing w:after="0" w:line="146" w:lineRule="exact"/>
        <w:rPr>
          <w:sz w:val="20"/>
          <w:szCs w:val="20"/>
          <w:color w:val="auto"/>
        </w:rPr>
      </w:pPr>
    </w:p>
    <w:p>
      <w:pPr>
        <w:ind w:right="300" w:firstLine="405"/>
        <w:spacing w:after="0" w:line="281" w:lineRule="auto"/>
        <w:rPr>
          <w:sz w:val="20"/>
          <w:szCs w:val="20"/>
          <w:color w:val="auto"/>
        </w:rPr>
      </w:pPr>
      <w:r>
        <w:rPr>
          <w:rFonts w:ascii="Times New Roman" w:cs="Times New Roman" w:eastAsia="Times New Roman" w:hAnsi="Times New Roman"/>
          <w:sz w:val="17"/>
          <w:szCs w:val="17"/>
          <w:color w:val="auto"/>
        </w:rPr>
        <w:t>We issue a master policy to each customer approved as a counterparty by our risk department before accepting their applications for mortgage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9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Mortgage insurance master policies generally protect mortgage insurers from the risk of material misrepresentations and fraud in the origination of an insured loan by establishing the right to rescind coverage in such event. Pursuant to the current minimum standards for mortgage insurer master policies enacted by the GSEs and the Federal Housing Finance Agency (FHFA), our current master policy provides rescission relief for loans that (i) remain current up to 36 months after origination, have not experienced more than two late payments of 30 days or more, and have never been 60 days late, or (ii) are current after 60 payments, and otherwise permits the provision of rescission relief concurrent with independent validation of representations, including validation by use of duly approved automated tools. Our current master policy also reserves rescission rights with respect to fraud committed by any party in connection with the origination or closing of a loan or application for mortgage insurance (provided, however, that the exclusion for fraud by borrowers may be sunset after the borrower has made 12 timely payments) and certain patterns of fraud or data inaccuracies and permits us to offer certain alternatives to rescission. See "Risk Factors—Risks Relating to the Operation of Our Business—</w:t>
      </w:r>
      <w:r>
        <w:rPr>
          <w:rFonts w:ascii="Times New Roman" w:cs="Times New Roman" w:eastAsia="Times New Roman" w:hAnsi="Times New Roman"/>
          <w:sz w:val="18"/>
          <w:szCs w:val="18"/>
          <w:i w:val="1"/>
          <w:iCs w:val="1"/>
          <w:color w:val="auto"/>
        </w:rPr>
        <w:t>Changes in the business practices of the GSEs,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actions or decisions to decrease or discontinue the use of mortgage insurance or changes in the GSEs' eligibility requirements for mortgage insurers, could reduce our revenues or adversely affect our profitability and returns</w:t>
      </w:r>
      <w:r>
        <w:rPr>
          <w:rFonts w:ascii="Times New Roman" w:cs="Times New Roman" w:eastAsia="Times New Roman" w:hAnsi="Times New Roman"/>
          <w:sz w:val="18"/>
          <w:szCs w:val="18"/>
          <w:color w:val="auto"/>
        </w:rPr>
        <w:t>" elsewhere in this Annual Report and "—Regulation—Direct U.S. Regulation—GSE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Mortgage Insurer Requirements" below.</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 Underwriting</w:t>
      </w:r>
    </w:p>
    <w:p>
      <w:pPr>
        <w:spacing w:after="0" w:line="14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 —Risks Relating to the Operation of Our Business—</w:t>
      </w:r>
      <w:r>
        <w:rPr>
          <w:rFonts w:ascii="Times New Roman" w:cs="Times New Roman" w:eastAsia="Times New Roman" w:hAnsi="Times New Roman"/>
          <w:sz w:val="18"/>
          <w:szCs w:val="18"/>
          <w:i w:val="1"/>
          <w:iCs w:val="1"/>
          <w:color w:val="auto"/>
        </w:rPr>
        <w:t>We face risks associated with our contract underwriting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 Mortgage Insurance Portfolio</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of our U.S. mortgage insurance policies in force were written since May 2010. The following data presents information on our direct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insurance portfolio.</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 by Policy Year</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U.S. mortgage insurance in force, or IIF, as of December 31, 2024, by year of policy origination. IIF refers to the unpaid principal balance of mortgage loans that we insure directly.</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Pr>
          <w:p>
            <w:pPr>
              <w:spacing w:after="0"/>
              <w:rPr>
                <w:sz w:val="16"/>
                <w:szCs w:val="16"/>
                <w:color w:val="auto"/>
              </w:rPr>
            </w:pPr>
          </w:p>
        </w:tc>
        <w:tc>
          <w:tcPr>
            <w:tcW w:w="122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43,370,993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41,118,618</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51,504,293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50,162,523</w:t>
            </w:r>
          </w:p>
        </w:tc>
        <w:tc>
          <w:tcPr>
            <w:tcW w:w="1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w:t>
            </w:r>
          </w:p>
        </w:tc>
      </w:tr>
      <w:tr>
        <w:trPr>
          <w:trHeight w:val="229"/>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35,499,947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8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2019 and prior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21,989,049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8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Portfolio Characteristics</w:t>
      </w:r>
    </w:p>
    <w:p>
      <w:pPr>
        <w:spacing w:after="0" w:line="148"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tables reflect our IIF and direct U.S. mortgage insurance risk in force, or RIF, amounts by borrower credit scores at origination, LTV at origination, and IIF by loan type and amortization, each as of December 31, 2024 and 2023. RIF refers to the product of the coverage percentage applied to the unpaid principal balance of mortgage loans that we insure directly.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Portfolio by Credit Score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IIF by FICO score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99,221,741</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97,085,244</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42,574,390</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41,490,720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37,953,625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37,435,781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32,657,660</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31,932,469</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19,772,912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19,780,944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11,465,095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11,353,104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239,078,262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RIF(1) by FICO score</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&gt;=760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26,860,197</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25,752,549</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740-759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11,799,832</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11,268,607</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720-739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10,512,364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10,179,683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700-719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9,067,640</w:t>
            </w:r>
          </w:p>
        </w:tc>
        <w:tc>
          <w:tcPr>
            <w:tcW w:w="1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8,687,001</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680-699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5,440,776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5,330,894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&lt;=679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2,932,708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2,842,640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66,613,517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RIF includes risk ceded under third-party reinsurance.</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Portfolio by LTV</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IIF by LTV</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14,738,289</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19,869,776</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60,636,883</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62,973,580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127,152,954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119,764,184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41,117,297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36,470,722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239,078,262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RIF (1) by LTV</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85.00% and below</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1,745,933</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2,364,232</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85.01% to 90.00%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14,961,779</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15,494,172</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90.01% to 95.00%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37,510,076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35,260,761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95.01% and above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12,395,729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10,942,209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66,613,517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64,061,374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RIF includes risk ceded under third-party reinsurance.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7" w:right="3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Portfolio by Loan Amortization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IIF by Loan Amortization Period</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FRM 30 years and higher</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238,335,608</w:t>
            </w: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232,995,380</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FRM 20-25 years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1,133,494</w:t>
            </w:r>
          </w:p>
        </w:tc>
        <w:tc>
          <w:tcPr>
            <w:tcW w:w="10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1,685,700</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FRM 15 years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ARM 5 years and higher</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2,944,369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2,891,423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239,078,262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Portfolio by Geography</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direct U.S. mortgage insurance in force portfolio is geographically diverse. As of December 31, 2024, only three states accounted for greater than 5% of our portfolio, as measured by either IIF or Gross RIF, and three metropolitan statistical areas accounted for greater than 3% of our portfolio, as measured by either IIF or Gross RIF. The following tables provide detail of the IIF and Gross RIF in our top ten most concentrated states and our top ten most concentrated U.S. metropolitan statistical areas as of December 31, 2024 and 2023.</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Top Ten States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r>
      <w:tr>
        <w:trPr>
          <w:trHeight w:val="23"/>
        </w:trPr>
        <w:tc>
          <w:tcPr>
            <w:tcW w:w="8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IIF by State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TX</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AZ</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NC</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NY</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OH</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42.7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r>
      <w:tr>
        <w:trPr>
          <w:trHeight w:val="23"/>
        </w:trPr>
        <w:tc>
          <w:tcPr>
            <w:tcW w:w="3760" w:type="dxa"/>
            <w:vAlign w:val="bottom"/>
          </w:tcPr>
          <w:p>
            <w:pPr>
              <w:spacing w:after="0"/>
              <w:rPr>
                <w:sz w:val="2"/>
                <w:szCs w:val="2"/>
                <w:color w:val="auto"/>
              </w:rPr>
            </w:pPr>
          </w:p>
        </w:tc>
        <w:tc>
          <w:tcPr>
            <w:tcW w:w="5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0"/>
        </w:trPr>
        <w:tc>
          <w:tcPr>
            <w:tcW w:w="3760" w:type="dxa"/>
            <w:vAlign w:val="bottom"/>
            <w:tcBorders>
              <w:bottom w:val="single" w:sz="8" w:color="CCEEFF"/>
            </w:tcBorders>
          </w:tcPr>
          <w:p>
            <w:pPr>
              <w:spacing w:after="0"/>
              <w:rPr>
                <w:sz w:val="16"/>
                <w:szCs w:val="16"/>
                <w:color w:val="auto"/>
              </w:rPr>
            </w:pPr>
          </w:p>
        </w:tc>
        <w:tc>
          <w:tcPr>
            <w:tcW w:w="52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RIF by State</w:t>
            </w:r>
          </w:p>
        </w:tc>
        <w:tc>
          <w:tcPr>
            <w:tcW w:w="5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w:t>
            </w:r>
          </w:p>
        </w:tc>
        <w:tc>
          <w:tcPr>
            <w:tcW w:w="6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TX</w:t>
            </w:r>
          </w:p>
        </w:tc>
        <w:tc>
          <w:tcPr>
            <w:tcW w:w="62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w:t>
            </w:r>
          </w:p>
        </w:tc>
        <w:tc>
          <w:tcPr>
            <w:tcW w:w="6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AZ</w:t>
            </w:r>
          </w:p>
        </w:tc>
        <w:tc>
          <w:tcPr>
            <w:tcW w:w="62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w:t>
            </w:r>
          </w:p>
        </w:tc>
        <w:tc>
          <w:tcPr>
            <w:tcW w:w="6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w:t>
            </w:r>
          </w:p>
        </w:tc>
        <w:tc>
          <w:tcPr>
            <w:tcW w:w="62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NC</w:t>
            </w:r>
          </w:p>
        </w:tc>
        <w:tc>
          <w:tcPr>
            <w:tcW w:w="6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OH</w:t>
            </w:r>
          </w:p>
        </w:tc>
        <w:tc>
          <w:tcPr>
            <w:tcW w:w="62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w:t>
            </w:r>
          </w:p>
        </w:tc>
        <w:tc>
          <w:tcPr>
            <w:tcW w:w="6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6260" w:type="dxa"/>
            <w:vAlign w:val="bottom"/>
            <w:gridSpan w:val="3"/>
          </w:tcPr>
          <w:p>
            <w:pPr>
              <w:jc w:val="right"/>
              <w:ind w:right="144"/>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42.2</w:t>
            </w: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3760" w:type="dxa"/>
            <w:vAlign w:val="bottom"/>
          </w:tcPr>
          <w:p>
            <w:pPr>
              <w:spacing w:after="0"/>
              <w:rPr>
                <w:sz w:val="24"/>
                <w:szCs w:val="24"/>
                <w:color w:val="auto"/>
              </w:rPr>
            </w:pPr>
          </w:p>
        </w:tc>
        <w:tc>
          <w:tcPr>
            <w:tcW w:w="6760" w:type="dxa"/>
            <w:vAlign w:val="bottom"/>
            <w:gridSpan w:val="6"/>
          </w:tcPr>
          <w:p>
            <w:pPr>
              <w:ind w:left="480"/>
              <w:spacing w:after="0"/>
              <w:rPr>
                <w:sz w:val="20"/>
                <w:szCs w:val="20"/>
                <w:color w:val="auto"/>
              </w:rPr>
            </w:pPr>
            <w:r>
              <w:rPr>
                <w:rFonts w:ascii="Times New Roman" w:cs="Times New Roman" w:eastAsia="Times New Roman" w:hAnsi="Times New Roman"/>
                <w:sz w:val="18"/>
                <w:szCs w:val="18"/>
                <w:i w:val="1"/>
                <w:iCs w:val="1"/>
                <w:color w:val="auto"/>
              </w:rPr>
              <w:t>Top Ten Metropolitan Statistical Areas</w:t>
            </w:r>
          </w:p>
        </w:tc>
        <w:tc>
          <w:tcPr>
            <w:tcW w:w="680" w:type="dxa"/>
            <w:vAlign w:val="bottom"/>
          </w:tcPr>
          <w:p>
            <w:pPr>
              <w:spacing w:after="0"/>
              <w:rPr>
                <w:sz w:val="24"/>
                <w:szCs w:val="24"/>
                <w:color w:val="auto"/>
              </w:rPr>
            </w:pPr>
          </w:p>
        </w:tc>
      </w:tr>
      <w:tr>
        <w:trPr>
          <w:trHeight w:val="233"/>
        </w:trPr>
        <w:tc>
          <w:tcPr>
            <w:tcW w:w="37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20"/>
                <w:szCs w:val="20"/>
                <w:color w:val="auto"/>
              </w:rPr>
            </w:pPr>
          </w:p>
        </w:tc>
      </w:tr>
      <w:tr>
        <w:trPr>
          <w:trHeight w:val="23"/>
        </w:trPr>
        <w:tc>
          <w:tcPr>
            <w:tcW w:w="3760" w:type="dxa"/>
            <w:vAlign w:val="bottom"/>
          </w:tcPr>
          <w:p>
            <w:pPr>
              <w:spacing w:after="0"/>
              <w:rPr>
                <w:sz w:val="2"/>
                <w:szCs w:val="2"/>
                <w:color w:val="auto"/>
              </w:rPr>
            </w:pPr>
          </w:p>
        </w:tc>
        <w:tc>
          <w:tcPr>
            <w:tcW w:w="62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0"/>
        </w:trPr>
        <w:tc>
          <w:tcPr>
            <w:tcW w:w="3760" w:type="dxa"/>
            <w:vAlign w:val="bottom"/>
            <w:tcBorders>
              <w:bottom w:val="single" w:sz="8" w:color="CCEEFF"/>
            </w:tcBorders>
          </w:tcPr>
          <w:p>
            <w:pPr>
              <w:spacing w:after="0"/>
              <w:rPr>
                <w:sz w:val="16"/>
                <w:szCs w:val="16"/>
                <w:color w:val="auto"/>
              </w:rPr>
            </w:pPr>
          </w:p>
        </w:tc>
        <w:tc>
          <w:tcPr>
            <w:tcW w:w="5240" w:type="dxa"/>
            <w:vAlign w:val="bottom"/>
            <w:tcBorders>
              <w:bottom w:val="single" w:sz="8" w:color="CCEEFF"/>
            </w:tcBorders>
            <w:gridSpan w:val="2"/>
          </w:tcPr>
          <w:p>
            <w:pPr>
              <w:spacing w:after="0"/>
              <w:rPr>
                <w:sz w:val="16"/>
                <w:szCs w:val="16"/>
                <w:color w:val="auto"/>
              </w:rPr>
            </w:pPr>
          </w:p>
        </w:tc>
        <w:tc>
          <w:tcPr>
            <w:tcW w:w="102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IIF by Metropolitan Statistical Area</w:t>
            </w:r>
          </w:p>
        </w:tc>
        <w:tc>
          <w:tcPr>
            <w:tcW w:w="5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Phoenix-Mesa-Chandler AZ</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Houston-Pasadena-The Woodlands TX</w:t>
            </w:r>
          </w:p>
        </w:tc>
        <w:tc>
          <w:tcPr>
            <w:tcW w:w="62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Dallas-Plano-Irving, TX</w:t>
            </w:r>
          </w:p>
        </w:tc>
        <w:tc>
          <w:tcPr>
            <w:tcW w:w="626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Denver-Aurora-Centennial CO</w:t>
            </w:r>
          </w:p>
        </w:tc>
        <w:tc>
          <w:tcPr>
            <w:tcW w:w="62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Riverside-San Bernardino-Ontario CA</w:t>
            </w:r>
          </w:p>
        </w:tc>
        <w:tc>
          <w:tcPr>
            <w:tcW w:w="626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 Angeles-Long Beach-Glendale, CA</w:t>
            </w:r>
          </w:p>
        </w:tc>
        <w:tc>
          <w:tcPr>
            <w:tcW w:w="62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Atlanta-Sandy Springs-Roswell, GA</w:t>
            </w:r>
          </w:p>
        </w:tc>
        <w:tc>
          <w:tcPr>
            <w:tcW w:w="626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Orlando-Kissimmee-Sanford FL</w:t>
            </w:r>
          </w:p>
        </w:tc>
        <w:tc>
          <w:tcPr>
            <w:tcW w:w="62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Minneapolis-St. Paul-Bloomington MN-WI</w:t>
            </w:r>
          </w:p>
        </w:tc>
        <w:tc>
          <w:tcPr>
            <w:tcW w:w="626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Chicago-Naperville-Schaumburg, IL</w:t>
            </w:r>
          </w:p>
        </w:tc>
        <w:tc>
          <w:tcPr>
            <w:tcW w:w="62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6260" w:type="dxa"/>
            <w:vAlign w:val="bottom"/>
            <w:gridSpan w:val="3"/>
          </w:tcPr>
          <w:p>
            <w:pPr>
              <w:jc w:val="right"/>
              <w:ind w:right="124"/>
              <w:spacing w:after="0"/>
              <w:rPr>
                <w:sz w:val="20"/>
                <w:szCs w:val="20"/>
                <w:color w:val="auto"/>
              </w:rPr>
            </w:pPr>
            <w:r>
              <w:rPr>
                <w:rFonts w:ascii="Times New Roman" w:cs="Times New Roman" w:eastAsia="Times New Roman" w:hAnsi="Times New Roman"/>
                <w:sz w:val="18"/>
                <w:szCs w:val="18"/>
                <w:color w:val="auto"/>
              </w:rPr>
              <w:t>75.9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76.2</w:t>
            </w: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2" w:right="3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0"/>
        </w:trPr>
        <w:tc>
          <w:tcPr>
            <w:tcW w:w="8980" w:type="dxa"/>
            <w:vAlign w:val="bottom"/>
          </w:tcPr>
          <w:p>
            <w:pPr>
              <w:spacing w:after="0"/>
              <w:rPr>
                <w:sz w:val="16"/>
                <w:szCs w:val="16"/>
                <w:color w:val="auto"/>
              </w:rPr>
            </w:pPr>
          </w:p>
        </w:tc>
        <w:tc>
          <w:tcPr>
            <w:tcW w:w="15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r>
      <w:tr>
        <w:trPr>
          <w:trHeight w:val="23"/>
        </w:trPr>
        <w:tc>
          <w:tcPr>
            <w:tcW w:w="8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89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RIF by Metropolitan Statistical Area</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Phoenix-Mesa-Chandler AZ</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Houston-Pasadena-The Woodlands TX</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Denver-Aurora-Centennial CO</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Dallas-Plano-Irving, TX</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 Angeles-Long Beach-Glendale, CA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Riverside-San Bernardino-Ontario CA</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Atlanta-Sandy Springs-Roswell, GA</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Chicago-Naperville-Schaumburg, IL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Minneapolis-St. Paul-Bloomington MN-WI</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Orlando-Kissimmee-Sanford FL</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Others</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76.1</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 and Claims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Defaults</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99"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 our prior approval under the terms of our master policy. We have delegated certain authority to the GSEs and their servicers to exercise some of these alternatives. Among other requirements, servicers operate under protocols established by the GSEs. See "Risk Factors—Risks Relating to the Operation of Our Business —</w:t>
      </w:r>
      <w:r>
        <w:rPr>
          <w:rFonts w:ascii="Times New Roman" w:cs="Times New Roman" w:eastAsia="Times New Roman" w:hAnsi="Times New Roman"/>
          <w:sz w:val="18"/>
          <w:szCs w:val="18"/>
          <w:i w:val="1"/>
          <w:iCs w:val="1"/>
          <w:color w:val="auto"/>
        </w:rPr>
        <w:t>If servicers fail to adhere to appropriate servicing standards or experience disruptions to their businesses, our losses could unexpectedly increase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show the number of primary insured loans and the percentage of loans insured by us that are in default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Number of Loans in Default and Default Rate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6"/>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policies in force</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813,013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822,012</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in default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18,439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14,819</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loans in default</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797"/>
        </w:trPr>
        <w:tc>
          <w:tcPr>
            <w:tcW w:w="2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i w:val="1"/>
                <w:iCs w:val="1"/>
                <w:color w:val="auto"/>
                <w:w w:val="99"/>
              </w:rPr>
              <w:t>Loan Defaults by Originating Year</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5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policies</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Loans in</w:t>
            </w:r>
          </w:p>
        </w:tc>
        <w:tc>
          <w:tcPr>
            <w:tcW w:w="120" w:type="dxa"/>
            <w:vAlign w:val="bottom"/>
          </w:tcPr>
          <w:p>
            <w:pPr>
              <w:spacing w:after="0"/>
              <w:rPr>
                <w:sz w:val="12"/>
                <w:szCs w:val="12"/>
                <w:color w:val="auto"/>
              </w:rPr>
            </w:pPr>
          </w:p>
        </w:tc>
        <w:tc>
          <w:tcPr>
            <w:tcW w:w="12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policies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Originating Year</w:t>
            </w: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written in</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RIF</w:t>
            </w: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written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196"/>
        </w:trPr>
        <w:tc>
          <w:tcPr>
            <w:tcW w:w="2500" w:type="dxa"/>
            <w:vAlign w:val="bottom"/>
            <w:vMerge w:val="continue"/>
          </w:tcPr>
          <w:p>
            <w:pPr>
              <w:spacing w:after="0"/>
              <w:rPr>
                <w:sz w:val="17"/>
                <w:szCs w:val="17"/>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20" w:type="dxa"/>
            <w:vAlign w:val="bottom"/>
          </w:tcPr>
          <w:p>
            <w:pPr>
              <w:spacing w:after="0"/>
              <w:rPr>
                <w:sz w:val="17"/>
                <w:szCs w:val="17"/>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2010 - 2015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0.5 %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0.2 %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56,930</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65,762</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114,763</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175,537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283,914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3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380,474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245,947</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63,860</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36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64,784</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3"/>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1,454,794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1,083,854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Historically, the peak default period for insured mortgage loans has been three to six years after loan origination. The weighted average life of our U.S. mortgage insurance portfolio was 33.3 months as of December 31, 2024. It is possible, however, that our level of defaults may increase as our portfolio seasons. We believe that, since the 2007-2008 financial crisis, underwriting practices in the industry have improved substantially and the quality of mortgage loans originated has been high. Consequently, we expect that the default rate and losses on the business we have underwritten to date will be favorable in comparison to the default rate and losses historically experienced by mortgage insurers.</w:t>
      </w:r>
    </w:p>
    <w:p>
      <w:pPr>
        <w:spacing w:after="0" w:line="11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Under COVID-19 forbearance plans adopted by the GSEs and implemented by their servicers, eligible homeowners who were adversely impacted by COVID-19 were permitted to temporarily reduce or suspend their mortgage payments for up to 18 months for loans in an active COVID-19-related forbearance program as of February 28, 2021. Over 90% of mortgage loans insured by us are federally backed by the GSEs. Because a mortgage loan in forbearance is deemed to be delinquent, we have provided loss reserves on these loans once the borrower has missed two consecutive payments. The substantial majority of the loans that entered into such forbearance plans exited forbearance prior to December 31, 2023, largely pursuant to repayment plans or loan modifications that brought those loans into current status.</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2024, 18,439 of our insured loans, representing approximately 2.27% of our aggregate U.S. mortgage insurance policies in force, were in default status, compared to 14,819 loans in default as of December 31, 2023 and 13,433 loans in default as of December 31, 2022. During the fourth quarter of 2024, certain regions of the U.S. experienced hurricanes which have impacted our insured U.S. mortgage insurance portfolio’s performance. 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2" w:right="37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Claims</w:t>
      </w:r>
    </w:p>
    <w:p>
      <w:pPr>
        <w:spacing w:after="0" w:line="14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Defaulted mortgages that are not cured result in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Upon review and determination that a claim is valid, we generally have the following three settlement options:</w:t>
      </w:r>
    </w:p>
    <w:p>
      <w:pPr>
        <w:spacing w:after="0" w:line="158" w:lineRule="exact"/>
        <w:rPr>
          <w:sz w:val="20"/>
          <w:szCs w:val="20"/>
          <w:color w:val="auto"/>
        </w:rPr>
      </w:pPr>
    </w:p>
    <w:p>
      <w:pPr>
        <w:jc w:val="both"/>
        <w:ind w:left="660" w:right="260" w:hanging="247"/>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94" w:lineRule="exact"/>
        <w:rPr>
          <w:rFonts w:ascii="Times New Roman" w:cs="Times New Roman" w:eastAsia="Times New Roman" w:hAnsi="Times New Roman"/>
          <w:sz w:val="18"/>
          <w:szCs w:val="18"/>
          <w:color w:val="auto"/>
        </w:rPr>
      </w:pPr>
    </w:p>
    <w:p>
      <w:pPr>
        <w:ind w:left="660" w:right="40" w:hanging="247"/>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option—pay the full claim amount and acquire title to the property.</w:t>
      </w:r>
    </w:p>
    <w:p>
      <w:pPr>
        <w:spacing w:after="0" w:line="15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believe there are opportunities to mitigate losses between the time a loan defaults and the ultimate loss we may experience. Because of the relatively small number of filed claims in our insurance portfolio to date, our opportunities to pursue these activities have been limited. However, we expect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servicers and the GSEs with regard to appropriate servicing and loss mitigation practices.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mortgage insurance customers consist of originators of residential mortgage loans, such as regulated depository institutions, mortgage banks, credit unions and other lenders. Our top ten customers generated 50.2% of our NIW on a flow basis during the year ended December 31, 2024, compared to 39.9% and 41.6% for the years ended December 31, 2023 and 2022, respectively. For the years ended December 31, 2024, 2023 and 2022, revenue from one customer, United Wholesale Mortgage, exceeded 10% of our consolidated revenue. The loss of any of our larger customers could have a material adverse impact on us and our business. See "Risk Factors—Risks Relating to the Operation of Our Business—</w:t>
      </w:r>
      <w:r>
        <w:rPr>
          <w:rFonts w:ascii="Times New Roman" w:cs="Times New Roman" w:eastAsia="Times New Roman" w:hAnsi="Times New Roman"/>
          <w:sz w:val="18"/>
          <w:szCs w:val="18"/>
          <w:i w:val="1"/>
          <w:iCs w:val="1"/>
          <w:color w:val="auto"/>
        </w:rPr>
        <w:t>Our revenues, profitability and returns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would decline if we lose a significant customer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seek to maintain strong institutional relationships with all of our U.S. mortgage insurance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9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Our sales and marketing efforts are designed to help us establish and maintain in-depth, quality customer relationships. We emphasize a collaborative approach with our customers that includes a number of educational offerings and joint product development and marketing initiatives:</w:t>
      </w:r>
    </w:p>
    <w:p>
      <w:pPr>
        <w:spacing w:after="0" w:line="92" w:lineRule="exact"/>
        <w:rPr>
          <w:sz w:val="20"/>
          <w:szCs w:val="20"/>
          <w:color w:val="auto"/>
        </w:rPr>
      </w:pPr>
    </w:p>
    <w:p>
      <w:pPr>
        <w:ind w:left="660" w:right="300" w:hanging="247"/>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Regular Portfolio and Risk Management Reviews. </w:t>
      </w:r>
      <w:r>
        <w:rPr>
          <w:rFonts w:ascii="Times New Roman" w:cs="Times New Roman" w:eastAsia="Times New Roman" w:hAnsi="Times New Roman"/>
          <w:sz w:val="18"/>
          <w:szCs w:val="18"/>
          <w:color w:val="auto"/>
        </w:rPr>
        <w:t>We conduct periodic insured mortgage portfolio reviews with customers, including detailed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performance metrics.</w:t>
      </w:r>
    </w:p>
    <w:p>
      <w:pPr>
        <w:spacing w:after="0" w:line="90" w:lineRule="exact"/>
        <w:rPr>
          <w:rFonts w:ascii="Times New Roman" w:cs="Times New Roman" w:eastAsia="Times New Roman" w:hAnsi="Times New Roman"/>
          <w:sz w:val="18"/>
          <w:szCs w:val="18"/>
          <w:color w:val="auto"/>
        </w:rPr>
      </w:pPr>
    </w:p>
    <w:p>
      <w:pPr>
        <w:ind w:left="660" w:right="380" w:hanging="247"/>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Joint Product Development and Marketing Initiatives. </w:t>
      </w:r>
      <w:r>
        <w:rPr>
          <w:rFonts w:ascii="Times New Roman" w:cs="Times New Roman" w:eastAsia="Times New Roman" w:hAnsi="Times New Roman"/>
          <w:sz w:val="18"/>
          <w:szCs w:val="18"/>
          <w:color w:val="auto"/>
        </w:rPr>
        <w:t>We emphasize the development of specialized products and programs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98" w:lineRule="exact"/>
        <w:rPr>
          <w:rFonts w:ascii="Times New Roman" w:cs="Times New Roman" w:eastAsia="Times New Roman" w:hAnsi="Times New Roman"/>
          <w:sz w:val="18"/>
          <w:szCs w:val="18"/>
          <w:color w:val="auto"/>
        </w:rPr>
      </w:pPr>
    </w:p>
    <w:p>
      <w:pPr>
        <w:ind w:left="660" w:right="220" w:hanging="247"/>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Service, Support and Trainings. </w:t>
      </w:r>
      <w:r>
        <w:rPr>
          <w:rFonts w:ascii="Times New Roman" w:cs="Times New Roman" w:eastAsia="Times New Roman" w:hAnsi="Times New Roman"/>
          <w:sz w:val="18"/>
          <w:szCs w:val="18"/>
          <w:color w:val="auto"/>
        </w:rPr>
        <w:t>We have an experienced and knowledgeable customer services team that strives to provide premier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to our customers. We dedicate service representatives to our customers so they can establish relationships with their customer peers and become thoroughly familiar with unique customer systems, processes and service needs. We 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8" w:name="page19"/>
    <w:bookmarkEnd w:id="18"/>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We have an experienced team of national and regional account managers strategically deployed nationwide that markets our mortgage insurance products and support services.</w:t>
      </w:r>
    </w:p>
    <w:p>
      <w:pPr>
        <w:spacing w:after="0" w:line="8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16"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We also have regional account managers and dedicated support staff operating in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12" w:lineRule="exact"/>
        <w:rPr>
          <w:sz w:val="20"/>
          <w:szCs w:val="20"/>
          <w:color w:val="auto"/>
        </w:rPr>
      </w:pPr>
    </w:p>
    <w:p>
      <w:pPr>
        <w:ind w:firstLine="405"/>
        <w:spacing w:after="0" w:line="312" w:lineRule="auto"/>
        <w:rPr>
          <w:sz w:val="20"/>
          <w:szCs w:val="20"/>
          <w:color w:val="auto"/>
        </w:rPr>
      </w:pPr>
      <w:r>
        <w:rPr>
          <w:rFonts w:ascii="Times New Roman" w:cs="Times New Roman" w:eastAsia="Times New Roman" w:hAnsi="Times New Roman"/>
          <w:sz w:val="17"/>
          <w:szCs w:val="17"/>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5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seek to hire qualified mortgage professionals for our sales force who generally have well-established relationships with industry-leading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have established mortgage insurance underwriting guidelines that we believe protect our balance sheet and result in the insurance of high quality business. Most applications for mortgage insurance are submitted to us electronically, and we rely upon the lender's representations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mortgage insurance coverage we provide for mortgages made with certain high risk features, including those for cash-out refinance, second homes or investment properties.</w:t>
      </w:r>
    </w:p>
    <w:p>
      <w:pPr>
        <w:spacing w:after="0" w:line="10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regularly seek to enhance our mortgage insurance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1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At present, our mortgage insurance underwriting guidelines are broadly consistent with those of the GSEs. Many of our customers use the GSEs' automated loan underwriting systems, Desktop Underwriter® and Loan Prospector®, for making credit determinations. We accept the underwriting decisions made by the GSEs' underwriting systems, subject to certain additional limitations and requirements. We monitor the GSEs for updates to these systems, and may engage in a deeper review for the more substantive releases. Our reviews may result in the maintenance or implementation of additional eligibility requirements. In addition, the performance results of loans scored via automated underwriting systems are monitored within our portfolio management protocols.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U.S. mortgage insurance policies are issued through one of two programs:</w:t>
      </w:r>
    </w:p>
    <w:p>
      <w:pPr>
        <w:spacing w:after="0" w:line="142" w:lineRule="exact"/>
        <w:rPr>
          <w:sz w:val="20"/>
          <w:szCs w:val="20"/>
          <w:color w:val="auto"/>
        </w:rPr>
      </w:pPr>
    </w:p>
    <w:p>
      <w:pPr>
        <w:ind w:left="660" w:right="100" w:hanging="247"/>
        <w:spacing w:after="0" w:line="269"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Delegated Underwriting. </w:t>
      </w:r>
      <w:r>
        <w:rPr>
          <w:rFonts w:ascii="Times New Roman" w:cs="Times New Roman" w:eastAsia="Times New Roman" w:hAnsi="Times New Roman"/>
          <w:sz w:val="17"/>
          <w:szCs w:val="17"/>
          <w:color w:val="auto"/>
        </w:rPr>
        <w:t>We delegate to eligible customers the ability to underwrite the loans based on agreed-upon underwriting guidelines.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2024, approximately 74% of our insurance in force had been originated on a delegated basis, compared to 73% as of December 31, 2023. See "Risk Factors—Risks Relating to the Operation of Our Business</w:t>
      </w:r>
    </w:p>
    <w:p>
      <w:pPr>
        <w:spacing w:after="0" w:line="1"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delegated underwriting program may subject our mortgage insurance business to unanticipated claims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9" w:name="page20"/>
    <w:bookmarkEnd w:id="19"/>
    <w:p>
      <w:pPr>
        <w:ind w:left="660" w:right="40" w:hanging="247"/>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Non-Delegated Underwriting. </w:t>
      </w:r>
      <w:r>
        <w:rPr>
          <w:rFonts w:ascii="Times New Roman" w:cs="Times New Roman" w:eastAsia="Times New Roman" w:hAnsi="Times New Roman"/>
          <w:sz w:val="18"/>
          <w:szCs w:val="18"/>
          <w:color w:val="auto"/>
        </w:rPr>
        <w:t>Customers who choose not to participate in, or do not qualify for, our delegated underwriting program submit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master policy. We seek to ensure that our employees properly underwrite our loans through quality assurance sampling, loan performance monitoring and training. As of December 31, 2024, approximately 26% of our insurance in force had been originated on a non-delegated basis, compared to 27% as of December 31, 2023.</w:t>
      </w:r>
    </w:p>
    <w:p>
      <w:pPr>
        <w:spacing w:after="0" w:line="104"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We maintain U.S. mortgage insurance underwriting centers in Radnor, Pennsylvania and Winston-Salem, North Carolina, and employ additional underwriters who are based remotely throughout the United States.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62" w:lineRule="exact"/>
        <w:rPr>
          <w:sz w:val="20"/>
          <w:szCs w:val="20"/>
          <w:color w:val="auto"/>
        </w:rPr>
      </w:pPr>
    </w:p>
    <w:p>
      <w:pPr>
        <w:ind w:right="460" w:firstLine="405"/>
        <w:spacing w:after="0" w:line="261" w:lineRule="auto"/>
        <w:rPr>
          <w:sz w:val="20"/>
          <w:szCs w:val="20"/>
          <w:color w:val="auto"/>
        </w:rPr>
      </w:pPr>
      <w:r>
        <w:rPr>
          <w:rFonts w:ascii="Times New Roman" w:cs="Times New Roman" w:eastAsia="Times New Roman" w:hAnsi="Times New Roman"/>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senior members of our executive management team.</w:t>
      </w:r>
    </w:p>
    <w:p>
      <w:pPr>
        <w:spacing w:after="0" w:line="9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risk management framework encompasses the major risks we face, including our mortgage and title insurance portfolios, investment risk, liquidity risk and regulatory compliance risk, among others. The majority of our risk analysis is directed toward the risks embedded in our U.S. mortgage insurance portfolio. As such, we have established a risk management approach that analyzes the risk across the full life cycle of a mortgage, into what we term the "loan life cycle."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Loan Life Cycle Risk Management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break down the loan life cycle risk management process into three components:</w:t>
      </w:r>
    </w:p>
    <w:p>
      <w:pPr>
        <w:spacing w:after="0" w:line="142" w:lineRule="exact"/>
        <w:rPr>
          <w:sz w:val="20"/>
          <w:szCs w:val="20"/>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qualification</w:t>
      </w:r>
      <w:r>
        <w:rPr>
          <w:rFonts w:ascii="Times New Roman" w:cs="Times New Roman" w:eastAsia="Times New Roman" w:hAnsi="Times New Roman"/>
          <w:sz w:val="18"/>
          <w:szCs w:val="18"/>
          <w:color w:val="auto"/>
        </w:rPr>
        <w:t>—customer review and approval process;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acquisition</w:t>
      </w:r>
      <w:r>
        <w:rPr>
          <w:rFonts w:ascii="Times New Roman" w:cs="Times New Roman" w:eastAsia="Times New Roman" w:hAnsi="Times New Roman"/>
          <w:sz w:val="18"/>
          <w:szCs w:val="18"/>
          <w:color w:val="auto"/>
        </w:rPr>
        <w:t>—loan underwriting, valuation and risk approval;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Portfolio management</w:t>
      </w:r>
      <w:r>
        <w:rPr>
          <w:rFonts w:ascii="Times New Roman" w:cs="Times New Roman" w:eastAsia="Times New Roman" w:hAnsi="Times New Roman"/>
          <w:sz w:val="18"/>
          <w:szCs w:val="18"/>
          <w:color w:val="auto"/>
        </w:rPr>
        <w:t>—loan performance and lender monitoring with continuous oversight through the settlement of a claim.</w:t>
      </w:r>
    </w:p>
    <w:p>
      <w:pPr>
        <w:spacing w:after="0" w:line="14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Customer qualification involves a process in which we perform diligence over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2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policy acquisition process involves the establishment of underwriting guidelines, pricing schedules and aggregate risk limits. See "—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1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portfolio management process involves two main functions, quality assurance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 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The portfolio management process also involves loss mitigation aimed to reduce both frequency and severity of non-performing risk. See "— Defaults and Claims" above.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Modeling and Analytics</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48"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proactively manage our risk exposure and capital in part through the use of third-party reinsurance arrangements. We are parties to several types of reinsurance arrangements:</w:t>
      </w:r>
    </w:p>
    <w:p>
      <w:pPr>
        <w:spacing w:after="0" w:line="94" w:lineRule="exact"/>
        <w:rPr>
          <w:sz w:val="20"/>
          <w:szCs w:val="20"/>
          <w:color w:val="auto"/>
        </w:rPr>
      </w:pPr>
    </w:p>
    <w:p>
      <w:pPr>
        <w:ind w:left="660" w:right="440" w:hanging="247"/>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excess of loss reinsurance coverage on U.S. mortgage insurance policies that we have already issued with special purpose insurers funding such reinsurance obligations through the issuance of mortgage insurance-linked notes;</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arrangements with third party reinsurers on U.S. mortgage insurance policies that we have already issued; and</w:t>
      </w:r>
    </w:p>
    <w:p>
      <w:pPr>
        <w:spacing w:after="0" w:line="144"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 share reinsurance arrangements in which third party reinsurers agree to prospectively reinsure a pro rata portion of the risk on U.S. mortgage insurance policies that we write.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our reinsurance programs offer us a number of benefits, including:</w:t>
      </w:r>
    </w:p>
    <w:p>
      <w:pPr>
        <w:spacing w:after="0" w:line="158" w:lineRule="exact"/>
        <w:rPr>
          <w:sz w:val="20"/>
          <w:szCs w:val="20"/>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against adverse losses in times of stress and mitigation of portfolio risk and volatility through the housing and economic cycle;</w:t>
      </w:r>
    </w:p>
    <w:p>
      <w:pPr>
        <w:spacing w:after="0" w:line="144" w:lineRule="exact"/>
        <w:rPr>
          <w:rFonts w:ascii="Times New Roman" w:cs="Times New Roman" w:eastAsia="Times New Roman" w:hAnsi="Times New Roman"/>
          <w:sz w:val="18"/>
          <w:szCs w:val="18"/>
          <w:color w:val="auto"/>
        </w:rPr>
      </w:pPr>
    </w:p>
    <w:p>
      <w:pPr>
        <w:ind w:left="660" w:right="60" w:hanging="247"/>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capital relief under the various state insurance risk to capital framework, rating agency capital requirements and GSE PMIERs available asset requirements;</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diversified source of capital to support and grow our business;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counterparty strength and improving the sustainability of our franchise.</w:t>
      </w:r>
    </w:p>
    <w:p>
      <w:pPr>
        <w:spacing w:after="0" w:line="14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third-party reinsurance programs, see Note 5 to our consolidated financial statements entitled "Reinsurance" included elsewhere in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&amp; Other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Corporate &amp; Other activities include business activities associated with our title insurance operations, income and losses from holding company treasury operations, as well as general corporate operating expenses not attributable or allocated to our Mortgage Insurance segment.</w:t>
      </w:r>
    </w:p>
    <w:p>
      <w:pPr>
        <w:spacing w:after="0" w:line="95"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As a result of our acquisition of Agents National Title Insurance Company (renamed Essent Title Insurance, Inc. effective January 1, 2025), a title insurance underwriter, and Boston National Title, an independent title agency, effective July 1, 2023, we offer title insurance products through a network of title insurance agents and title and settlement services.</w:t>
      </w:r>
    </w:p>
    <w:p>
      <w:pPr>
        <w:spacing w:after="0" w:line="96" w:lineRule="exact"/>
        <w:rPr>
          <w:sz w:val="20"/>
          <w:szCs w:val="20"/>
          <w:color w:val="auto"/>
        </w:rPr>
      </w:pPr>
    </w:p>
    <w:p>
      <w:pPr>
        <w:ind w:right="40" w:firstLine="405"/>
        <w:spacing w:after="0" w:line="241" w:lineRule="auto"/>
        <w:rPr>
          <w:sz w:val="20"/>
          <w:szCs w:val="20"/>
          <w:color w:val="auto"/>
        </w:rPr>
      </w:pPr>
      <w:r>
        <w:rPr>
          <w:rFonts w:ascii="Times New Roman" w:cs="Times New Roman" w:eastAsia="Times New Roman" w:hAnsi="Times New Roman"/>
          <w:sz w:val="18"/>
          <w:szCs w:val="18"/>
          <w:color w:val="auto"/>
        </w:rPr>
        <w:t>Title insurance is essential to the real estate closing process in most transactions in the U.S. involving real property mortgage lenders. Mortgage lenders and purchasers of real estate generally desire to be protected from loss or damage in the event of defects in the title of the subject property. Title insurance is a means of providing such protection. Title insurance policies insure the interests of owners or lenders against defects in the title to real property, and the policies typically include the duty to defend against claimed title defects. These defects include adverse ownership claims, liens, encumbrances or other matters affecting title. Title insurance policies generally are issued on the basis of a preliminary title report or commitment, which is typically prepared after a search of one or more of public records, maps, documents and prior title policies to ascertain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existence of easements, restrictions, rights of way, conditions, encumbrances or other matters affecting the title to, or use of, real property.</w:t>
      </w:r>
    </w:p>
    <w:p>
      <w:pPr>
        <w:spacing w:after="0" w:line="13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size of the title insurance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109" w:lineRule="exact"/>
        <w:rPr>
          <w:sz w:val="20"/>
          <w:szCs w:val="20"/>
          <w:color w:val="auto"/>
        </w:rPr>
      </w:pPr>
    </w:p>
    <w:p>
      <w:pPr>
        <w:ind w:right="120" w:firstLine="405"/>
        <w:spacing w:after="0" w:line="239" w:lineRule="auto"/>
        <w:rPr>
          <w:sz w:val="20"/>
          <w:szCs w:val="20"/>
          <w:color w:val="auto"/>
        </w:rPr>
      </w:pPr>
      <w:r>
        <w:rPr>
          <w:rFonts w:ascii="Times New Roman" w:cs="Times New Roman" w:eastAsia="Times New Roman" w:hAnsi="Times New Roman"/>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Insurance Industry</w:t>
      </w:r>
    </w:p>
    <w:p>
      <w:pPr>
        <w:spacing w:after="0" w:line="148"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Title insurance plays a key role in the U.S. economy by insuring the secure transfer of real estate and facilitating the growth of homeownership. Through our title insurance operations, we provide our customers with title insurance and escrow and other title-related services that support their ability to effectively close real estate transactions.</w:t>
      </w:r>
    </w:p>
    <w:p>
      <w:pPr>
        <w:spacing w:after="0" w:line="116"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7"/>
          <w:szCs w:val="17"/>
          <w:color w:val="auto"/>
        </w:rPr>
        <w:t>In real estate transactions financed with a mortgage, virtually all real property mortgage lenders require their borrowers to obtain a title insurance policy at the time a mortgage loan is made. The beneficiaries of title insurance policies generally are real estate owners and mortgage lenders. A title insurance policy indemnifies the named insured and certain successors in interest against certain title defects, liens and encumbrances existing as of the date of the policy and not specifically excepted from its provisions. The policy typically provides coverage for the real property mortgage lender in the amount of its outstanding mortgage loan balance and for the owner in the amount of the purchase price of the property. In some cases, the policy might provide insurance in a greater amount, or for automatic increases in coverage over time. In a refinancing transaction, only a lender’s policy is generally purchased because ownership of the property has not changed. In the case of an all-cash real estate purchase, no lender’s policy is issued but typically an owner’s title policy is issued. The potential for claims under a title insurance policy issued to a mortgage lender generally ceases upon repayment of the mortgage loan. The potential for claims under a title insurance policy issued to an owner generally ceases upon the sale or transfer of the insured property.</w:t>
      </w:r>
    </w:p>
    <w:p>
      <w:pPr>
        <w:spacing w:after="0" w:line="110" w:lineRule="exact"/>
        <w:rPr>
          <w:sz w:val="20"/>
          <w:szCs w:val="20"/>
          <w:color w:val="auto"/>
        </w:rPr>
      </w:pPr>
    </w:p>
    <w:p>
      <w:pPr>
        <w:ind w:right="80" w:firstLine="405"/>
        <w:spacing w:after="0" w:line="245" w:lineRule="auto"/>
        <w:rPr>
          <w:sz w:val="20"/>
          <w:szCs w:val="20"/>
          <w:color w:val="auto"/>
        </w:rPr>
      </w:pPr>
      <w:r>
        <w:rPr>
          <w:rFonts w:ascii="Times New Roman" w:cs="Times New Roman" w:eastAsia="Times New Roman" w:hAnsi="Times New Roman"/>
          <w:sz w:val="18"/>
          <w:szCs w:val="18"/>
          <w:color w:val="auto"/>
        </w:rPr>
        <w:t>An owner’s title insurance policy, like those that we issue in connection with the closing of a real estate transaction, provides owners with protection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w:t>
      </w:r>
    </w:p>
    <w:p>
      <w:pPr>
        <w:spacing w:after="0" w:line="100"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Before issuing title policies, title insurers typically seek to limit their risk of loss by performing title searches and examinations and, in many instances, curing identified title defects. The premium for title insurance is typically due and earned in full when the real estate transaction is closed. Title insurance premiums paid in connection with a title insurance policy are based on (and typically are a percentage of) either the amount of the mortgage loan or the purchase price of the property insured. The premium charged by a title insurer or an agent is subject to regulation in most areas. Such regulations vary from jurisdiction to jurisdiction.</w:t>
      </w:r>
    </w:p>
    <w:p>
      <w:pPr>
        <w:spacing w:after="0" w:line="104" w:lineRule="exact"/>
        <w:rPr>
          <w:sz w:val="20"/>
          <w:szCs w:val="20"/>
          <w:color w:val="auto"/>
        </w:rPr>
      </w:pPr>
    </w:p>
    <w:p>
      <w:pPr>
        <w:ind w:firstLine="405"/>
        <w:spacing w:after="0" w:line="241" w:lineRule="auto"/>
        <w:rPr>
          <w:sz w:val="20"/>
          <w:szCs w:val="20"/>
          <w:color w:val="auto"/>
        </w:rPr>
      </w:pPr>
      <w:r>
        <w:rPr>
          <w:rFonts w:ascii="Times New Roman" w:cs="Times New Roman" w:eastAsia="Times New Roman" w:hAnsi="Times New Roman"/>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116" w:lineRule="exact"/>
        <w:rPr>
          <w:sz w:val="20"/>
          <w:szCs w:val="20"/>
          <w:color w:val="auto"/>
        </w:rPr>
      </w:pPr>
    </w:p>
    <w:p>
      <w:pPr>
        <w:ind w:right="100" w:firstLine="405"/>
        <w:spacing w:after="0" w:line="237" w:lineRule="auto"/>
        <w:rPr>
          <w:sz w:val="20"/>
          <w:szCs w:val="20"/>
          <w:color w:val="auto"/>
        </w:rPr>
      </w:pPr>
      <w:r>
        <w:rPr>
          <w:rFonts w:ascii="Times New Roman" w:cs="Times New Roman" w:eastAsia="Times New Roman" w:hAnsi="Times New Roman"/>
          <w:sz w:val="18"/>
          <w:szCs w:val="18"/>
          <w:color w:val="auto"/>
        </w:rPr>
        <w:t>In a typical residential real estate sale transaction where title insurance is issued, a third party, such as a real estate broker or agent, lawyer or settlement agent, orders the title insurance on behalf of an insured or in certain instances, such as with respect to a lender, the insured orders on its own behalf. Once the order has been placed and a title insurance company or an agent has determined the current status of the title to the property to its satisfaction, the title insurer or agent prepares, issues and circulates a commitment or preliminary report. The commitment or preliminary report identifies the conditions, exceptions and/or limitations that the title insurer intends to attach to the policy and identifies items appearing on the title that, in certain circumstances, must be eliminated prior to closing. A title insurance company’s predominant expense relates to such searches and examinations, the preparation of preliminary title reports, policies or commitments, facilitation and closing of real estate transactions. Claim losses generally result from errors made in the title search and examination process, from fraud, forgery and hidden defects such as incapacity, missing heirs of the property, closing-related errors, etc.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22" w:name="page23"/>
    <w:bookmarkEnd w:id="22"/>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The closing or settlement function, sometimes called an escrow in the western states, is, depending on the local custom in the region, performed by a lawyer, an escrow company or a title insurance company or agent, generally referred to as a “settlement agent.” Once documentation has been prepared and signed, and any required mortgage lender payoff demands are obtained, the transaction closes. The settlement agent typically records the appropriate title documents and arranges the transfer of funds to pay off prior loans and extinguish the liens securing such loans. Title policies are then issued, typically insuring the priority of the mortgage of the real property mortgage lender in the amount of its mortgage loan and the owner in the amount of the purchase price. Before a closing takes place, however, the title insurer or agent typically provides an update to the commitment to discover any adverse matters affecting title and, if any are found, works to eliminate them so that the title insurer or agent issues the title policy subject only to those exceptions to coverage which are acceptable to the title insurer, the owner and the owner’s lender.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ind w:right="60" w:firstLine="405"/>
        <w:spacing w:after="0" w:line="241" w:lineRule="auto"/>
        <w:rPr>
          <w:sz w:val="20"/>
          <w:szCs w:val="20"/>
          <w:color w:val="auto"/>
        </w:rPr>
      </w:pPr>
      <w:r>
        <w:rPr>
          <w:rFonts w:ascii="Times New Roman" w:cs="Times New Roman" w:eastAsia="Times New Roman" w:hAnsi="Times New Roman"/>
          <w:sz w:val="18"/>
          <w:szCs w:val="18"/>
          <w:color w:val="auto"/>
        </w:rPr>
        <w:t>The title insurance and settlement services market is also highly competitive. Competitors in the industry include Fidelity National Financial, Inc., First American Financial Corporation, Old Republic International Corporation and Stewart Title Guaranty Company as well as a number of smaller title insurance operations. Numerous agency operations also provide aggressive competition.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Sales and Marketing</w:t>
      </w:r>
    </w:p>
    <w:p>
      <w:pPr>
        <w:spacing w:after="0" w:line="135" w:lineRule="exact"/>
        <w:rPr>
          <w:sz w:val="20"/>
          <w:szCs w:val="20"/>
          <w:color w:val="auto"/>
        </w:rPr>
      </w:pPr>
    </w:p>
    <w:p>
      <w:pPr>
        <w:ind w:firstLine="405"/>
        <w:spacing w:after="0"/>
        <w:rPr>
          <w:sz w:val="20"/>
          <w:szCs w:val="20"/>
          <w:color w:val="auto"/>
        </w:rPr>
      </w:pPr>
      <w:r>
        <w:rPr>
          <w:rFonts w:ascii="Times New Roman" w:cs="Times New Roman" w:eastAsia="Times New Roman" w:hAnsi="Times New Roman"/>
          <w:sz w:val="18"/>
          <w:szCs w:val="18"/>
          <w:color w:val="auto"/>
        </w:rPr>
        <w:t>We market and distribute our title and settlement services to customers primarily to the residential sector of the real estate industry. We actively seek to develop new business relationships with persons in the real estate community, such as real estate sales agents and brokers, financial institutions, independent escrow companies and title agents, real estate developers, mortgage originators and servicers, and attorneys who order title insurance policies for their clients. Large customers, such as national residential mortgage lenders and developers, are an important part of our business. The buying criteria of locally based title agents and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right="20" w:firstLine="405"/>
        <w:spacing w:after="0" w:line="236" w:lineRule="auto"/>
        <w:rPr>
          <w:sz w:val="20"/>
          <w:szCs w:val="20"/>
          <w:color w:val="auto"/>
        </w:rPr>
      </w:pPr>
      <w:r>
        <w:rPr>
          <w:rFonts w:ascii="Times New Roman" w:cs="Times New Roman" w:eastAsia="Times New Roman" w:hAnsi="Times New Roman"/>
          <w:sz w:val="18"/>
          <w:szCs w:val="18"/>
          <w:color w:val="auto"/>
        </w:rPr>
        <w:t>The search and examination function is performed by an independent agent, or directly produced by the underwriter, and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w:t>
      </w:r>
    </w:p>
    <w:p>
      <w:pPr>
        <w:spacing w:after="0" w:line="125" w:lineRule="exact"/>
        <w:rPr>
          <w:sz w:val="20"/>
          <w:szCs w:val="20"/>
          <w:color w:val="auto"/>
        </w:rPr>
      </w:pPr>
    </w:p>
    <w:p>
      <w:pPr>
        <w:ind w:right="20" w:firstLine="405"/>
        <w:spacing w:after="0" w:line="239" w:lineRule="auto"/>
        <w:rPr>
          <w:sz w:val="20"/>
          <w:szCs w:val="20"/>
          <w:color w:val="auto"/>
        </w:rPr>
      </w:pPr>
      <w:r>
        <w:rPr>
          <w:rFonts w:ascii="Times New Roman" w:cs="Times New Roman" w:eastAsia="Times New Roman" w:hAnsi="Times New Roman"/>
          <w:sz w:val="18"/>
          <w:szCs w:val="18"/>
          <w:color w:val="auto"/>
        </w:rPr>
        <w:t>A title insurance underwriter’s direct title and settlement operations handle the entire process of issuing title insurance policies and conducting real estate closings without relying on third-party agents. These operations include title searches, title curative work, escrow services, and the final settlement of real estate transactions. By managing these functions in-house, the underwriter ensures greater control over risk assessment, compliance, and service quality while streamlining the process for buyers, sellers, and lenders. Additionally, operating direct title and settlement services allows the underwriter to capture the full premium and settlement fee, maximizing revenue and eliminating the need to share fees with independent title agents.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w:t>
      </w:r>
      <w:r>
        <w:rPr>
          <w:rFonts w:ascii="Times New Roman" w:cs="Times New Roman" w:eastAsia="Times New Roman" w:hAnsi="Times New Roman"/>
          <w:sz w:val="21"/>
          <w:szCs w:val="21"/>
          <w:b w:val="1"/>
          <w:bCs w:val="1"/>
          <w:color w:val="auto"/>
        </w:rPr>
        <w:t>ogy</w:t>
      </w:r>
    </w:p>
    <w:p>
      <w:pPr>
        <w:spacing w:after="0" w:line="163"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We operate highly automated businesses that rely on information technology. We accept mortgage and title insurance applications and requests for title closing services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continue to upgrade and enhance our systems and technology, including: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ind w:left="660" w:right="60" w:hanging="247"/>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80" w:lineRule="exact"/>
        <w:rPr>
          <w:rFonts w:ascii="Times New Roman" w:cs="Times New Roman" w:eastAsia="Times New Roman" w:hAnsi="Times New Roman"/>
          <w:sz w:val="18"/>
          <w:szCs w:val="18"/>
          <w:color w:val="auto"/>
        </w:rPr>
      </w:pPr>
    </w:p>
    <w:p>
      <w:pPr>
        <w:ind w:left="660" w:right="160" w:hanging="247"/>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platform with third-party technology providers used by our customers in their loan origination process and for ordering mortgage insurance and provide title closing services;</w:t>
      </w:r>
    </w:p>
    <w:p>
      <w:pPr>
        <w:spacing w:after="0" w:line="94" w:lineRule="exact"/>
        <w:rPr>
          <w:rFonts w:ascii="Times New Roman" w:cs="Times New Roman" w:eastAsia="Times New Roman" w:hAnsi="Times New Roman"/>
          <w:sz w:val="18"/>
          <w:szCs w:val="18"/>
          <w:color w:val="auto"/>
        </w:rPr>
      </w:pPr>
    </w:p>
    <w:p>
      <w:pPr>
        <w:ind w:left="660" w:right="520" w:hanging="247"/>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a business rules engine that automatically enforces our eligibility guidelines and pricing rules at the time the mortgage insurance application is submitted;</w:t>
      </w:r>
    </w:p>
    <w:p>
      <w:pPr>
        <w:spacing w:after="0" w:line="94" w:lineRule="exact"/>
        <w:rPr>
          <w:rFonts w:ascii="Times New Roman" w:cs="Times New Roman" w:eastAsia="Times New Roman" w:hAnsi="Times New Roman"/>
          <w:sz w:val="18"/>
          <w:szCs w:val="18"/>
          <w:color w:val="auto"/>
        </w:rPr>
      </w:pPr>
    </w:p>
    <w:p>
      <w:pPr>
        <w:ind w:left="660" w:right="360" w:hanging="247"/>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0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deploying commercially available software combined with proprietary solutions to support title closing and settlement services; and</w:t>
      </w:r>
    </w:p>
    <w:p>
      <w:pPr>
        <w:spacing w:after="0" w:line="130" w:lineRule="exact"/>
        <w:rPr>
          <w:rFonts w:ascii="Arial" w:cs="Arial" w:eastAsia="Arial" w:hAnsi="Arial"/>
          <w:sz w:val="22"/>
          <w:szCs w:val="22"/>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title insurance production system.</w:t>
      </w:r>
    </w:p>
    <w:p>
      <w:pPr>
        <w:spacing w:after="0" w:line="15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technology, together with our information technology team, greatly enhances our operating efficiency and creates competitive advantages. Our team is experienced in large-scale project delivery, including mortgage insurance and title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9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See "Item 1C - Cybersecurity" below for a discussion of our governance practices and processes for assessing, identifying and managing material risks from cybersecurity threats.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62"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Our investment portfolio, including cash, comprises the largest single component of our balance sheet, representing 88.8% of our total assets at December 31, 2024. Our primary objectives with respect to our investment portfolio are to preserve capital, generate investment income and maintain sufficient liquidity to cover operating expenses and pay future insurance claims. Our investments are subject to market-wide risks and fluctuations in value, as well as risks inherent in particular securities. As of December 31, 2024, predominantly all of our investment securities were rated investment-grade.</w:t>
      </w:r>
    </w:p>
    <w:p>
      <w:pPr>
        <w:spacing w:after="0" w:line="83"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of investment performance and strategy with the investment committee of the board of directors on a quarterly basis.</w:t>
      </w:r>
    </w:p>
    <w:p>
      <w:pPr>
        <w:spacing w:after="0" w:line="112"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Our current strategy for the investment portfolio is focused primarily on the following: selecting fixed income securities; maintaining sufficient liquidity to meet expected and unexpected financial obligations; mitigating interest rate risk through management of asset durations; continuously monitoring investment quality; and limiting investments in assets that are highly correlated to the residential mortgage market.</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engage external asset managers to assist with the trading, investment research, investment due diligence and portfolio allocation within the guidelines that we have set. Substantially all of our investments available for sale were managed by external managers as of December 31, 2024. Assets not managed by external managers primarily include securities on deposit with state regulatory agencies in connection with the insurance licenses. To date, we have not used any derivatives to hedge any investment or business risks that we are currently assuming. We measure investment performance against market benchmarks on both total return and return volatility dimensions.</w:t>
      </w:r>
    </w:p>
    <w:p>
      <w:pPr>
        <w:spacing w:after="0" w:line="10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to generate informational and financial returns.</w:t>
      </w:r>
    </w:p>
    <w:p>
      <w:pPr>
        <w:spacing w:after="0" w:line="94"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Operations—Financial Condition—Investments" for information regarding the performance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Direct U.S. Regulation</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U.S.-based mortgage insurance business and title insurance operations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GSE Qualified Mortgage Insurer Requirements</w:t>
      </w:r>
    </w:p>
    <w:p>
      <w:pPr>
        <w:spacing w:after="0" w:line="14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Pursuant to their charters, Fannie Mae and Freddie Mac purchase or guaranty low down payment loans insured by entities that they determine to be qualified mortgage insurance companies. Our primary mortgage insurance subsidiary, Essent Guaranty, Inc., is currently approved by both Fannie Mae and Freddie Mac as a mortgage insurer.</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FHFA, as the conservator of the GSEs since 2008,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 See "—Our Products and Services—Mortgage Insurance— Master Policy" above.</w:t>
      </w:r>
    </w:p>
    <w:p>
      <w:pPr>
        <w:spacing w:after="0" w:line="112" w:lineRule="exact"/>
        <w:rPr>
          <w:sz w:val="20"/>
          <w:szCs w:val="20"/>
          <w:color w:val="auto"/>
        </w:rPr>
      </w:pPr>
    </w:p>
    <w:p>
      <w:pPr>
        <w:ind w:right="620" w:firstLine="405"/>
        <w:spacing w:after="0" w:line="261"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(PMIERs). The PMIERs represent the standards by which private mortgage insurers are eligible to provide mortgage insurance on loans owned or guaranteed by Fannie Mae and Freddie</w:t>
      </w:r>
    </w:p>
    <w:p>
      <w:pPr>
        <w:ind w:right="20"/>
        <w:spacing w:after="0" w:line="253" w:lineRule="auto"/>
        <w:rPr>
          <w:sz w:val="20"/>
          <w:szCs w:val="20"/>
          <w:color w:val="auto"/>
        </w:rPr>
      </w:pPr>
      <w:r>
        <w:rPr>
          <w:rFonts w:ascii="Times New Roman" w:cs="Times New Roman" w:eastAsia="Times New Roman" w:hAnsi="Times New Roman"/>
          <w:sz w:val="18"/>
          <w:szCs w:val="18"/>
          <w:color w:val="auto"/>
        </w:rPr>
        <w:t>Mac. The PMIERs include financial strength requirements incorporating a risk-based framework that require approved insurers to have a sufficient level of liquid assets (which may be offset in part by third-party reinsurance obtained by private mortgage insurers on terms set forth in the PMIERs) from which to pay claims. The PMIERs also include enhanced operational performance expectations and define remedial actions that apply should an approved insurer fail to comply with these requirements. As of December 31, 2024, Essent Guaranty was in compliance with the PMIERs.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State Insurance Regulation</w:t>
      </w:r>
    </w:p>
    <w:p>
      <w:pPr>
        <w:spacing w:after="0" w:line="16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Each of our U.S. insurance subsidiaries is required by the insurance regulatory authority of its state of domicile, and the insurance regulatory authority of each other jurisdiction in which it is licensed to transact business, to make various filings with those insurance regulatory authorities and with the National Association of Insurance Commissioners (NAIC), including quarterly and annual financial statements prepared in accordance with statutory accounting principles. We are licensed to write mortgage insurance in all 50 states and the District of Columbia, and to write title insurance in 45 states and the District of Columbia. Most states also regulate transactions between insurance companies and their affiliates and have restrictions on transactions that have the effect of inducing lenders to place business with the insurer. For a description of limits on dividends payable to Essent Group Ltd. from our U.S.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general, state regulation of our U.S. insurance businesses relates to:</w:t>
      </w:r>
    </w:p>
    <w:p>
      <w:pPr>
        <w:spacing w:after="0" w:line="144" w:lineRule="exact"/>
        <w:rPr>
          <w:sz w:val="20"/>
          <w:szCs w:val="20"/>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to transact business;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producer licensing;</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policy forms;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premium rates;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insurable loans;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annual and other reports on our financial condition;</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assets and liabilities must be stated;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regarding contingency reserves;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capital levels and adequacy ratios;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for reinsurance;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types of investment instruments which may be held in our investment portfolio;</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25" w:name="page26"/>
    <w:bookmarkEnd w:id="25"/>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deposits of securities;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payable;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compliance;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reserves;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handling;</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data protection and cybersecurity;</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(AI);</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financial condition;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risk management.</w:t>
      </w:r>
    </w:p>
    <w:p>
      <w:pPr>
        <w:spacing w:after="0" w:line="158"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by state regulators, except in states where such approval has been exempted by statute or regulation. See "Management's Discussion and Analysis of Financial Condition and Results of Operations—Liquidity and Capital Resources" for information about regulations governing our capital adequacy, information about our current capital and our expectations regarding our future capital position.</w:t>
      </w:r>
    </w:p>
    <w:p>
      <w:pPr>
        <w:spacing w:after="0" w:line="106"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Title insurance premiums are subject to regulation in most states and vary from jurisdiction to jurisdiction. Some states promulgate rates, others require prior approval, and some simply require the filing of rates.</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Effective January 1, 2025, our title underwriting company, Agents National Title Insurance Company, redomiciled from Missouri to Pennsylvania and changed its name to Essent Title Insurance, Inc.</w:t>
      </w:r>
    </w:p>
    <w:p>
      <w:pPr>
        <w:spacing w:after="0" w:line="94"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The insurance holding company laws and regulations of Pennsylvania, the state in which both of our U.S. insurance subsidiaries are domiciled as of January 1, 2025, regulate, among other things, certain transactions between Essent Group Ltd., our insurance subsidiaries and/or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Pennsylvania, prior written approval must be obtained from the Pennsylvania Insurance Department, which is required to consider various factors, including the financial strength of the acquirer, the integrity and management experience of the acquirer's board of directors and executive officers, and the acquirer's plans for the future operations of a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07"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State insurance law, and not Federal bankruptcy law, would apply to any insolvency or financially hazardous condition of our U.S. insurance subsidiaries.</w:t>
      </w:r>
    </w:p>
    <w:p>
      <w:pPr>
        <w:spacing w:after="0" w:line="94" w:lineRule="exact"/>
        <w:rPr>
          <w:sz w:val="20"/>
          <w:szCs w:val="20"/>
          <w:color w:val="auto"/>
        </w:rPr>
      </w:pPr>
    </w:p>
    <w:p>
      <w:pPr>
        <w:ind w:right="120" w:firstLine="405"/>
        <w:spacing w:after="0" w:line="253" w:lineRule="auto"/>
        <w:rPr>
          <w:sz w:val="20"/>
          <w:szCs w:val="20"/>
          <w:color w:val="auto"/>
        </w:rPr>
      </w:pPr>
      <w:r>
        <w:rPr>
          <w:rFonts w:ascii="Times New Roman" w:cs="Times New Roman" w:eastAsia="Times New Roman" w:hAnsi="Times New Roman"/>
          <w:sz w:val="18"/>
          <w:szCs w:val="18"/>
          <w:color w:val="auto"/>
        </w:rPr>
        <w:t>The NAIC established a Mortgage Guaranty Insurance Working Group (MGIWG) to determine and make recommendations to the NAIC's Financial Condition Committee regarding what, if any, changes to the Mortgage Guaranty Insurance Model Act (the "MGI Model Act") and other NAIC guidance are deemed necessary to the solvency regulation of mortgage guaranty insurers, including, but not limited to, revisions to Statement of Statutory Accounting Principles (SSAP) No. 58 - Mortgage Guaranty Insurance. The revised Model Act was approved by MGIWG in 2023 and was adopted by the NAIC in March 2024. The NAIC Statutory Accounting Principles (E) Working Group has initiated a project to update SSAP No. 58 to align with the revised MGI Model Act. At this time, we cannot predict which states, if any, will adopt the amended MGI Model Act or any of its specific provisions, the effect changes in the MGI Model Act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i w:val="1"/>
          <w:iCs w:val="1"/>
          <w:color w:val="auto"/>
        </w:rPr>
        <w:t>Statutory Accounting</w:t>
      </w:r>
    </w:p>
    <w:p>
      <w:pPr>
        <w:spacing w:after="0" w:line="14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Our mortgage insurance company is required to establish statutory accounting contingency loss reserves in an amount equal to 50% of our net earned premiums on mortgage guaranty insurance policies that we issue.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16 to our consolidated financial statements entitled "Statutory Accounting" included elsewhere in this Annual Report.</w:t>
      </w:r>
    </w:p>
    <w:p>
      <w:pPr>
        <w:spacing w:after="0" w:line="116"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Pursuant to statutory accounting requirements, our title insurer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factors such as age, number of policies, the dollar amount of policy liabilities underwritten, and the age and dollar amount of statutory premiums written.</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Privacy and Information Security</w:t>
      </w:r>
    </w:p>
    <w:p>
      <w:pPr>
        <w:spacing w:after="0" w:line="16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Gramm-Leach-Bliley Act of 1999 (GLBA) imposes privacy and data security requirements on financial institutions with which we transact business, including obligations to protect and safeguard consumers' nonpublic personal information and records, and limitations on the re-use of such information. The Federal Commission has issued the Standards for Safeguarding Customer Information, or the "Safeguards Rule," and the CFPB has issued the Privacy of Consumer Financial Information Rule, or "Privacy Rule," implementing sections of GLBA.</w:t>
      </w:r>
    </w:p>
    <w:p>
      <w:pPr>
        <w:spacing w:after="0" w:line="11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Many states have enacted legislation implementing their own financial privacy laws that, typically, replicate many of the requirements established, including obligations to protect social security numbers and provide notification in the event that a security breach results in a reasonable belief that unauthorized persons may have obtained access to consumer nonpublic information.</w:t>
      </w:r>
    </w:p>
    <w:p>
      <w:pPr>
        <w:spacing w:after="0" w:line="9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2017, the New York Department of Financial Services (NYDFS) adopted a Cybersecurity Regulation that applies to all individuals and entities licensed by the NYDFS, pursuant to which licensees must file for exemption or submit an annual compliance certification. In addition, The Cybersecurity Regulation mandates, among other things, the implementation and maintenance of a risk-based and documented data protection program, certain technical safeguards and controls, the designation of a Chief Information Security Officer, or CISO, and other specific governance and oversight measures, oversight of third party service providers, and the identification and documentation of material deficiencies and remediation plans. Covered entities that fail to comply with the Cybersecurity Regulation may be subject to NYDFS enforcement actions, the result of which could lead to civil penalties, and other legal and reputational costs. On November 1, 2023, NYDFS adopted its second amendment to the Cybersecurity Regulation, the majority of became effective in 2024. These amendments strengthen data protection requirements, including the implementation of specific technical and administrative security measures. Several other jurisdictions in which we operate have enacted similar laws but do not require certification of compliance by non-domestic licensees.</w:t>
      </w:r>
    </w:p>
    <w:p>
      <w:pPr>
        <w:spacing w:after="0" w:line="12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addition, the NAIC’s Insurance Data Security Model Law (the “Cybersecurity Model Law”), which is similar to New York’s Cybersecurity Regulation, establishes standards for data security and for the investigation of and notification to insurance commissioners of cybersecurity events involving unauthorized access to, or the misuse of, certain nonpublic information. The Cybersecurity Model Law provides requirements to protect the confidentiality, integrity and availability of covered information systems and the sensitive or business information thereon. Over 25 states and jurisdictions have adopted a version of the Cybersecurity Model Law.</w:t>
      </w:r>
    </w:p>
    <w:p>
      <w:pPr>
        <w:spacing w:after="0" w:line="116"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Beginning with California in 2020, several states have enacting, or are considering enacting, consumer privacy protection laws applicable to companies that do business in the respective states and meet certain threshold requirements. These laws generally create a privacy framework to protect identified data privacy rights and impose obligations relating to the processing and protection of consumer personal information. Several of these laws include broad exemptions for data or entities regulated under GLBA; however, there may be limited instances where the laws apply to portions of our business. It is reasonably possible that these new privacy laws will prompt other state and federal regulators to move forward with new privacy regulations that could impact our businesses or our customers' businesses.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NAIC’s Privacy Protections (H) Working Group (PPWG) is developing revisions to the NAIC's Privacy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7" w:name="page28"/>
    <w:bookmarkEnd w:id="27"/>
    <w:p>
      <w:pPr>
        <w:ind w:right="20"/>
        <w:spacing w:after="0" w:line="261" w:lineRule="auto"/>
        <w:rPr>
          <w:sz w:val="20"/>
          <w:szCs w:val="20"/>
          <w:color w:val="auto"/>
        </w:rPr>
      </w:pPr>
      <w:r>
        <w:rPr>
          <w:rFonts w:ascii="Times New Roman" w:cs="Times New Roman" w:eastAsia="Times New Roman" w:hAnsi="Times New Roman"/>
          <w:sz w:val="18"/>
          <w:szCs w:val="18"/>
          <w:color w:val="auto"/>
        </w:rPr>
        <w:t>Consumer Financial and Health Information Regulation (“Model 672”). It has released a revised draft of Model 672 and has a dedicated drafting group tasked with leading its model update effort. The proposed amendments would expand the definition of nonpublic personal information; add consumer rights to request access, correction and deletion of nonpublic personal information; and add requirements for contracts with third-party service providers. In November 2024, PPWG received an extension until December 31, 2025 to finalize its amendments to Model 672.</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Federal Mortgage-Related Laws and Regulations</w:t>
      </w:r>
    </w:p>
    <w:p>
      <w:pPr>
        <w:spacing w:after="0" w:line="16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Certain Federal laws directly or indirectly affect private mortgage insurers and title insurers. Private mortgage insurers are impacted indirectly by Federal laws and regulations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(RESPA), the Equal Credit Opportunity Act, the Fair Housing Act, the Truth In Lending Act (TILA), the Homeowners Protection Act of 1998 (HOPA), and the Fair Credit Reporting Act of 1970.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and provide for other consumer protections.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Dodd-Frank Act</w:t>
      </w:r>
    </w:p>
    <w:p>
      <w:pPr>
        <w:spacing w:after="0" w:line="146"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(CFPB), a Federal agency created by the Dodd-Frank Act, is charged with implementation and enforcement of these provisions.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Qualified Mortgage Regulations—Ability To Repay Requirements</w:t>
      </w:r>
    </w:p>
    <w:p>
      <w:pPr>
        <w:spacing w:after="0" w:line="16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CFPB regulates the offering and provision of consumer financial products and services under Federal law, including residential mortgages, and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qualified mortgage (QM), definition. Creditors who violate the ability-to-repay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0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Pursuant to the CFPB's announced final rule regarding QMs, which we refer to as the QM Rule, a loan is deemed to be a QM if it meets certain specified requirements, including if:</w:t>
      </w:r>
    </w:p>
    <w:p>
      <w:pPr>
        <w:spacing w:after="0" w:line="94" w:lineRule="exact"/>
        <w:rPr>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mortgage is less than or equal to 30 years;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negative amortization, interest only or balloon features;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properly documents the loan in accordance with the requirements;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"points and fees" do not exceed certain thresholds, generally 3%;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debt-to-income ratio does not exceed 43%.</w:t>
      </w:r>
    </w:p>
    <w:p>
      <w:pPr>
        <w:spacing w:after="0" w:line="14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11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have a direct impact on establishing a subset of borrowers who can meet the regulatory standards and directly affect the willingness of lenders and mortgage investors to extend mortgage credit and therefore the size of the residential mortgage market. See "Risk Factors—Risks Relating to Regulation and Litigation—</w:t>
      </w:r>
      <w:r>
        <w:rPr>
          <w:rFonts w:ascii="Times New Roman" w:cs="Times New Roman" w:eastAsia="Times New Roman" w:hAnsi="Times New Roman"/>
          <w:sz w:val="18"/>
          <w:szCs w:val="18"/>
          <w:i w:val="1"/>
          <w:iCs w:val="1"/>
          <w:color w:val="auto"/>
        </w:rPr>
        <w:t>Our business prospects and operating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results could be adversely impacted if, and to the extent that, the Consumer Financial Protection Bureau's ("CFPB") rule defining a qualified mortgage ("QM") reduces the size of the origination market or creates incentives to use government mortgage insurance programs."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Qualified Residential Mortgage Regulations—Risk Retention Requirements</w:t>
      </w:r>
    </w:p>
    <w:p>
      <w:pPr>
        <w:spacing w:after="0" w:line="16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(QRM), or that is insured or guaranteed by the FHA or other specified Federal agencies.</w:t>
      </w:r>
    </w:p>
    <w:p>
      <w:pPr>
        <w:spacing w:after="0" w:line="11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QRM regulations align the definition of a QRM loan with that of a QM loan.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Regulation and Litigation—</w:t>
      </w:r>
      <w:r>
        <w:rPr>
          <w:rFonts w:ascii="Times New Roman" w:cs="Times New Roman" w:eastAsia="Times New Roman" w:hAnsi="Times New Roman"/>
          <w:sz w:val="18"/>
          <w:szCs w:val="18"/>
          <w:i w:val="1"/>
          <w:iCs w:val="1"/>
          <w:color w:val="auto"/>
        </w:rPr>
        <w:t>The amount of insurance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write could be adversely affected by the Dodd-Frank Act's risk retention requirements and the definition of Qualified Residential Mortgage ("QRM").</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Mortgage Servicing Rules</w:t>
      </w:r>
    </w:p>
    <w:p>
      <w:pPr>
        <w:spacing w:after="0" w:line="160" w:lineRule="exact"/>
        <w:rPr>
          <w:sz w:val="20"/>
          <w:szCs w:val="20"/>
          <w:color w:val="auto"/>
        </w:rPr>
      </w:pPr>
    </w:p>
    <w:p>
      <w:pPr>
        <w:ind w:right="40" w:firstLine="405"/>
        <w:spacing w:after="0" w:line="273" w:lineRule="auto"/>
        <w:rPr>
          <w:sz w:val="20"/>
          <w:szCs w:val="20"/>
          <w:color w:val="auto"/>
        </w:rPr>
      </w:pPr>
      <w:r>
        <w:rPr>
          <w:rFonts w:ascii="Times New Roman" w:cs="Times New Roman" w:eastAsia="Times New Roman" w:hAnsi="Times New Roman"/>
          <w:sz w:val="17"/>
          <w:szCs w:val="17"/>
          <w:color w:val="auto"/>
        </w:rPr>
        <w:t>The Dodd-Frank Act amended and expanded upon mortgage servicing requirements under TILA and RESPA, Regulation Z (promulgated pursuant to TILA) and Regulation X (promulgated pursuant to RESPA) subsequently amended to conform these regulations accordingly.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Homeowners Protection Act of 1998</w:t>
      </w:r>
    </w:p>
    <w:p>
      <w:pPr>
        <w:spacing w:after="0" w:line="14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 whichever occurs earlier. It is the servicer’s responsibility to notify us when coverage is to be canceled under the HPA, either automatically or due to a borrower-requested cancellation, and we will process the servicer’s request.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2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GSEs have implemented certain guidelines that may provide more flexibility to certain borrowers to cancel BPMI than is otherwise required for such loans under HOPA. See "—Our Products and Services—Mortgage Insurance—Primary Mortgage Insurance" above.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Real Estate Settlement Procedures Act of 1974</w:t>
      </w:r>
    </w:p>
    <w:p>
      <w:pPr>
        <w:spacing w:after="0" w:line="14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Each of mortgage insurance and title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the U.S.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29" w:name="page30"/>
    <w:bookmarkEnd w:id="29"/>
    <w:p>
      <w:pPr>
        <w:ind w:right="160"/>
        <w:spacing w:after="0" w:line="272" w:lineRule="auto"/>
        <w:rPr>
          <w:sz w:val="20"/>
          <w:szCs w:val="20"/>
          <w:color w:val="auto"/>
        </w:rPr>
      </w:pPr>
      <w:r>
        <w:rPr>
          <w:rFonts w:ascii="Times New Roman" w:cs="Times New Roman" w:eastAsia="Times New Roman" w:hAnsi="Times New Roman"/>
          <w:sz w:val="17"/>
          <w:szCs w:val="17"/>
          <w:color w:val="auto"/>
        </w:rPr>
        <w:t>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Secure and Fair Enforcement for Mortgage Licensing Act of 2008 (SAFE Act)</w:t>
      </w:r>
    </w:p>
    <w:p>
      <w:pPr>
        <w:spacing w:after="0" w:line="160"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The SAFE Act requires mortgage loan originators to be licensed and/or registered with the Nationwide Mortgage Licensing System and Registry, or the NMLS. The NMLS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NMLS. The SAFE Act generally prohibits employees of a depository institution (including certain of their subsidiaries that are regulated by a Federal banking agency) from originating residential mortgage loans without first registering with the NMLS and maintaining that registration. Certain of our underwriters are licensed pursuant to the SAFE Act.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Fair Credit Reporting Act</w:t>
      </w:r>
    </w:p>
    <w:p>
      <w:pPr>
        <w:spacing w:after="0" w:line="14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Fair Credit Reporting Act of 1970, as amended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report information. We provide such notices as required. Although they occurred before our establishment and we have not been involved, there has been class action litigation over these FCRA adverse action notices involving the mortgage insurance industry, including court-approved settlements.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Housing Finance Reform</w:t>
      </w:r>
    </w:p>
    <w:p>
      <w:pPr>
        <w:spacing w:after="0" w:line="16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13"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Any changes to the charters or statutory authorities of the GSEs would require Congressional action to implement. Congress, however, has not enacted any legislation to date. We believe that the continuing conservatorship of the GSEs by the FHFA makes it likely that the U.S. Congress will eventually address the role and purpose of the GSEs in the U.S. housing market and potentially legislate structural and other changes to the GSEs and the functioning of the secondary 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2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Regulation and Litigation—</w:t>
      </w:r>
      <w:r>
        <w:rPr>
          <w:rFonts w:ascii="Times New Roman" w:cs="Times New Roman" w:eastAsia="Times New Roman" w:hAnsi="Times New Roman"/>
          <w:sz w:val="18"/>
          <w:szCs w:val="18"/>
          <w:i w:val="1"/>
          <w:iCs w:val="1"/>
          <w:color w:val="auto"/>
        </w:rPr>
        <w:t>Legislative or regulatory actions or decisions to change the role of the GSEs in the U.S. housing market generally, or changes to the charters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GSEs with regard to the use of credit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enhancements generally and private mortgage insurance specifically, could reduce our revenues or adversely affect our profitability and returns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FHA Reform</w:t>
      </w:r>
    </w:p>
    <w:p>
      <w:pPr>
        <w:spacing w:after="0" w:line="16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compete with the single-family mortgage insurance programs of the FHA, which is part of HUD. The most recent FHA report to Congress dated November 15, 2024 on the financial status of the FHA Mutual Mortgage Insurance Fund (MMIF) showed the capital reserve ratio of the MMIF Forward Portfolio at 10.9%, above the Congressionally mandated required minimum level of 2%.</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Basel Committee Capital Adequacy Requirements</w:t>
      </w:r>
    </w:p>
    <w:p>
      <w:pPr>
        <w:spacing w:after="0" w:line="14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1988, the Basel Committee on Banking Supervision, which we refer to as the “Basel Committee,” developed the Basel Capital Accord (“Basel I”) which set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that established risk-based capital and leverage capital requirements for most United States banking organizations through further revisions to Basel II (“Basel III”) (although banking organizations with less than $10 billion in total assets may now choose to comply with an alternative community bank leverage ratio framework established by the Federal banking agencies in 2019). In December 2017, the Basel Committee published final revisions to the Basel III capital framework (“Basel IV”), which were generally targeted for implementation by each participating country by January 1, 2022 but have been delayed.</w:t>
      </w:r>
    </w:p>
    <w:p>
      <w:pPr>
        <w:spacing w:after="0" w:line="124" w:lineRule="exact"/>
        <w:rPr>
          <w:sz w:val="20"/>
          <w:szCs w:val="20"/>
          <w:color w:val="auto"/>
        </w:rPr>
      </w:pPr>
    </w:p>
    <w:p>
      <w:pPr>
        <w:ind w:right="220" w:firstLine="405"/>
        <w:spacing w:after="0" w:line="254" w:lineRule="auto"/>
        <w:rPr>
          <w:sz w:val="20"/>
          <w:szCs w:val="20"/>
          <w:color w:val="auto"/>
        </w:rPr>
      </w:pPr>
      <w:r>
        <w:rPr>
          <w:rFonts w:ascii="Times New Roman" w:cs="Times New Roman" w:eastAsia="Times New Roman" w:hAnsi="Times New Roman"/>
          <w:sz w:val="18"/>
          <w:szCs w:val="18"/>
          <w:color w:val="auto"/>
        </w:rPr>
        <w:t>In July 2023, the Federal banking agencies issued a Notice of Public Rulemaking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 due to changes resulting from the Trump Administration and the Federal Reserve.</w:t>
      </w:r>
    </w:p>
    <w:p>
      <w:pPr>
        <w:spacing w:after="0" w:line="119" w:lineRule="exact"/>
        <w:rPr>
          <w:sz w:val="20"/>
          <w:szCs w:val="20"/>
          <w:color w:val="auto"/>
        </w:rPr>
      </w:pPr>
    </w:p>
    <w:p>
      <w:pPr>
        <w:ind w:right="640" w:firstLine="405"/>
        <w:spacing w:after="0" w:line="284" w:lineRule="auto"/>
        <w:rPr>
          <w:sz w:val="20"/>
          <w:szCs w:val="20"/>
          <w:color w:val="auto"/>
        </w:rPr>
      </w:pPr>
      <w:r>
        <w:rPr>
          <w:rFonts w:ascii="Times New Roman" w:cs="Times New Roman" w:eastAsia="Times New Roman" w:hAnsi="Times New Roman"/>
          <w:sz w:val="18"/>
          <w:szCs w:val="18"/>
          <w:color w:val="auto"/>
        </w:rPr>
        <w:t>See "Risk Factors—Risks Relating to Regulation and Litigation—</w:t>
      </w:r>
      <w:r>
        <w:rPr>
          <w:rFonts w:ascii="Times New Roman" w:cs="Times New Roman" w:eastAsia="Times New Roman" w:hAnsi="Times New Roman"/>
          <w:sz w:val="18"/>
          <w:szCs w:val="18"/>
          <w:i w:val="1"/>
          <w:iCs w:val="1"/>
          <w:color w:val="auto"/>
        </w:rPr>
        <w:t>The implementation of the Basel rules may discourage the use of 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Bermuda Insurance Regulation</w:t>
      </w:r>
    </w:p>
    <w:p>
      <w:pPr>
        <w:spacing w:after="0" w:line="16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21"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9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Classification of Insurers</w:t>
      </w:r>
    </w:p>
    <w:p>
      <w:pPr>
        <w:spacing w:after="0" w:line="16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(Classes 1, 2, 3, 3A, 3B, and 4) with Class 1 insurers subject to the lightest regulation and Class 4 insurers subject to the strictest regulation.</w:t>
      </w:r>
    </w:p>
    <w:p>
      <w:pPr>
        <w:spacing w:after="0" w:line="14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Essent Re, which is incorporated in Bermuda to carry on general insurance and reinsurance business, is registered as a Class 3B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Cancellation of Insurer's Registration</w:t>
      </w:r>
    </w:p>
    <w:p>
      <w:pPr>
        <w:spacing w:after="0" w:line="16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Principal Representative</w:t>
      </w:r>
    </w:p>
    <w:p>
      <w:pPr>
        <w:spacing w:after="0" w:line="160"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An insurer is required to maintain a principal office in Bermuda and to appoint and maintain a principal representative in Bermuda. For the purpose of the Insurance Act, Essent Re's principal representative is Artex Risk Solutions and its principal office for these purposes is the offices of Artex.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 14 days of such notification to the BMA, the principal representative must furnish the BMA with a written report setting out all the particulars of the case that are available to the principal representative.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Independent Approved Auditor</w:t>
      </w:r>
    </w:p>
    <w:p>
      <w:pPr>
        <w:spacing w:after="0" w:line="14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 Class 3B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Reserve Specialist</w:t>
      </w:r>
    </w:p>
    <w:p>
      <w:pPr>
        <w:spacing w:after="0" w:line="16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A Class 3B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Annual Financial Statements</w:t>
      </w:r>
    </w:p>
    <w:p>
      <w:pPr>
        <w:spacing w:after="0" w:line="16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 Class 3B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8"/>
          <w:szCs w:val="18"/>
          <w:i w:val="1"/>
          <w:iCs w:val="1"/>
          <w:color w:val="auto"/>
        </w:rPr>
        <w:t>Annual Statutory Financial Return</w:t>
      </w:r>
    </w:p>
    <w:p>
      <w:pPr>
        <w:spacing w:after="0" w:line="14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Minimum Solvency Margin, Enhanced Capital Requirement and Restrictions on Dividends and Distributions</w:t>
      </w:r>
    </w:p>
    <w:p>
      <w:pPr>
        <w:spacing w:after="0" w:line="16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Class 3B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0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Insurance Act mandates certain actions and filings with the BMA if a Class 3B insurer fails to meet and/or maintain its enhanced capital requirement or solvency margin including the filing of a written report detailing the circumstances giving rise to the failure and the manner and time within which the insurer intends to rectify the failure. A Class 3B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3B insurers must obtain the BMA's prior approval for a reduction by 15% or more of the total statutory capital or for a reduction by 25% of more its total statutory capital and surplus as set forth in its previous year's statutory financial statements. These restrictions on declaring or paying dividends and distributions under the Insurance Act are in addition to those under the Companies Act which apply to all Bermuda companies.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Minimum Liquidity Ratio</w:t>
      </w:r>
    </w:p>
    <w:p>
      <w:pPr>
        <w:spacing w:after="0" w:line="16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9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Supervision, Investigation and Intervention</w:t>
      </w:r>
    </w:p>
    <w:p>
      <w:pPr>
        <w:spacing w:after="0" w:line="146"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0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16"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7" w:right="359" w:bottom="1440" w:gutter="0" w:footer="0" w:header="0"/>
        </w:sectPr>
      </w:pPr>
    </w:p>
    <w:bookmarkStart w:id="33" w:name="page34"/>
    <w:bookmarkEnd w:id="33"/>
    <w:p>
      <w:pPr>
        <w:ind w:right="120"/>
        <w:spacing w:after="0" w:line="255" w:lineRule="auto"/>
        <w:rPr>
          <w:sz w:val="20"/>
          <w:szCs w:val="20"/>
          <w:color w:val="auto"/>
        </w:rPr>
      </w:pPr>
      <w:r>
        <w:rPr>
          <w:rFonts w:ascii="Times New Roman" w:cs="Times New Roman" w:eastAsia="Times New Roman" w:hAnsi="Times New Roman"/>
          <w:sz w:val="18"/>
          <w:szCs w:val="18"/>
          <w:color w:val="auto"/>
        </w:rPr>
        <w:t>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w:t>
      </w:r>
    </w:p>
    <w:p>
      <w:pPr>
        <w:spacing w:after="0" w:line="3" w:lineRule="exact"/>
        <w:rPr>
          <w:sz w:val="20"/>
          <w:szCs w:val="20"/>
          <w:color w:val="auto"/>
        </w:rPr>
      </w:pPr>
    </w:p>
    <w:p>
      <w:pPr>
        <w:ind w:left="420" w:right="2360" w:hanging="412"/>
        <w:spacing w:after="0" w:line="404"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obtain the opinion of a loss reserve specialist and to submit it to the BMA and (11) to remove a controller or officer. </w:t>
      </w:r>
      <w:r>
        <w:rPr>
          <w:rFonts w:ascii="Times New Roman" w:cs="Times New Roman" w:eastAsia="Times New Roman" w:hAnsi="Times New Roman"/>
          <w:sz w:val="18"/>
          <w:szCs w:val="18"/>
          <w:i w:val="1"/>
          <w:iCs w:val="1"/>
          <w:color w:val="auto"/>
        </w:rPr>
        <w:t>Disclosure of Information</w:t>
      </w: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48"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We believe that attracting, developing and retaining quality employees is imperative to building a successful and sustainable business model. We make significant investments in our employees, providing a wide range of continuing education opportunities to support their professional growth and success.</w:t>
      </w:r>
    </w:p>
    <w:p>
      <w:pPr>
        <w:spacing w:after="0" w:line="10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2024, we had a total of 625 employees, including 618 employees based in our Radnor, PA, Winston-Salem, NC, New York, NY, Reston, VA, Pittsburgh, PA, Columbia, MO and Charlotte, NC locations, or remotely throughout the United States, and 7 employees located in Hamilton, Bermuda. None of our employees are represented by a labor union and we consider our employee relations to be good. We also periodically engage contractors who provide services to us on a temporary basis.</w:t>
      </w:r>
    </w:p>
    <w:p>
      <w:pPr>
        <w:spacing w:after="0" w:line="11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believe that our “do the right thing” culture has enabled us to achieve our approximately 95% retention rate over the past 5 years (excluding our recently acquired title and settlement services operations). We design compelling job opportunities, aligned with our mission, in a fast-paced, results-driven work environment. The process through which we recruit employees has an impact on the quality, diversity and timing of filling positions. Open positions may be filled internally through our internal posting process or externally through a combination of broadly available Internet job boards as well as college placement services, trade journals and professional recruiting firms.</w:t>
      </w:r>
    </w:p>
    <w:p>
      <w:pPr>
        <w:spacing w:after="0" w:line="102"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Employee engagement begins at the time of hire by paying a fair and livable wage and providing medical, dental, vision, prescription, life and long-and short-term disability coverage to full-time employees. We contribute generously to the retirement savings plans of our U.S.-based employees, with an immediately vested non-discretionary matching contribution to our 401(k) plan in an amount equal to 100% of up to the first 5% of an employee’s eligible compensation. We believe that all employees should make good decisions, do the right thing and act like owners and we have made all employees owners through a share grant program. Nearly every member of our current workforce has outstanding awards for equity shares in our company.</w:t>
      </w:r>
    </w:p>
    <w:p>
      <w:pPr>
        <w:spacing w:after="0" w:line="116" w:lineRule="exact"/>
        <w:rPr>
          <w:sz w:val="20"/>
          <w:szCs w:val="20"/>
          <w:color w:val="auto"/>
        </w:rPr>
      </w:pPr>
    </w:p>
    <w:p>
      <w:pPr>
        <w:ind w:firstLine="405"/>
        <w:spacing w:after="0" w:line="274" w:lineRule="auto"/>
        <w:rPr>
          <w:sz w:val="20"/>
          <w:szCs w:val="20"/>
          <w:color w:val="auto"/>
        </w:rPr>
      </w:pPr>
      <w:r>
        <w:rPr>
          <w:rFonts w:ascii="Times New Roman" w:cs="Times New Roman" w:eastAsia="Times New Roman" w:hAnsi="Times New Roman"/>
          <w:sz w:val="17"/>
          <w:szCs w:val="17"/>
          <w:color w:val="auto"/>
        </w:rPr>
        <w:t>We offer varied employee training, development, mentorship and leadership opportunities and encourage our employees to continue to develop in their careers. We provide compliance and job-related training to all newly hired employees, as well as annual compliance training, to ensure their ongoing success. We also provide many opportunities throughout the year to participate in sales, underwriting, risk management and other related training. We also offer a tuition reimbursement program and offer certifications and professional training opportunities, including MBA certifications, Nationwide Multistate Licensing System &amp; Registry (NMLS) continuing education for underwriters and other professional training in areas including but not limited to cybersecurity, risk, accountancy, actuarial sciences, human resources, underwriting, information technology, appraisals, marketing and project management.</w:t>
      </w:r>
    </w:p>
    <w:p>
      <w:pPr>
        <w:spacing w:after="0" w:line="10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value honest and timely feedback. We use a third-party firm to periodically conduct anonymous employee-wide engagement surveys, as well as targeted “pulse” surveys, to identify areas of strength and opportunities for improvement and to ensure continued engagement and retention of our employees.</w:t>
      </w:r>
    </w:p>
    <w:p>
      <w:pPr>
        <w:spacing w:after="0" w:line="95" w:lineRule="exact"/>
        <w:rPr>
          <w:sz w:val="20"/>
          <w:szCs w:val="20"/>
          <w:color w:val="auto"/>
        </w:rPr>
      </w:pPr>
    </w:p>
    <w:p>
      <w:pPr>
        <w:jc w:val="both"/>
        <w:ind w:right="200" w:firstLine="405"/>
        <w:spacing w:after="0" w:line="258" w:lineRule="auto"/>
        <w:rPr>
          <w:sz w:val="20"/>
          <w:szCs w:val="20"/>
          <w:color w:val="auto"/>
        </w:rPr>
      </w:pPr>
      <w:r>
        <w:rPr>
          <w:rFonts w:ascii="Times New Roman" w:cs="Times New Roman" w:eastAsia="Times New Roman" w:hAnsi="Times New Roman"/>
          <w:sz w:val="18"/>
          <w:szCs w:val="18"/>
          <w:color w:val="auto"/>
        </w:rPr>
        <w:t>We believe a diverse and inclusive workforce provides for a broad array of viewpoints, talents and skills and assists in building a sustainable future. We are focused on cultivating a diverse and inclusive culture where our employees can freely bring diverse perspectives and varied experiences to work. We seek to hire and retain highly talented employees and empower them to create value for our shareholders. In our employee recruitment and selection process and operation of our business, we adhere to equal employment opportunity policies and encourage the participation of our employees in training programs that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right="480"/>
        <w:spacing w:after="0" w:line="282" w:lineRule="auto"/>
        <w:rPr>
          <w:sz w:val="20"/>
          <w:szCs w:val="20"/>
          <w:color w:val="auto"/>
        </w:rPr>
      </w:pPr>
      <w:r>
        <w:rPr>
          <w:rFonts w:ascii="Times New Roman" w:cs="Times New Roman" w:eastAsia="Times New Roman" w:hAnsi="Times New Roman"/>
          <w:sz w:val="18"/>
          <w:szCs w:val="18"/>
          <w:color w:val="auto"/>
        </w:rPr>
        <w:t>will enhance their effectiveness in the performance of their duties. As of December 31, 2024, approximately 67% of our workforce was comprised of women and minorities.</w:t>
      </w:r>
    </w:p>
    <w:p>
      <w:pPr>
        <w:spacing w:after="0" w:line="81" w:lineRule="exact"/>
        <w:rPr>
          <w:sz w:val="20"/>
          <w:szCs w:val="20"/>
          <w:color w:val="auto"/>
        </w:rPr>
      </w:pPr>
    </w:p>
    <w:p>
      <w:pPr>
        <w:ind w:right="2120" w:firstLine="405"/>
        <w:spacing w:after="0" w:line="422" w:lineRule="auto"/>
        <w:rPr>
          <w:sz w:val="20"/>
          <w:szCs w:val="20"/>
          <w:color w:val="auto"/>
        </w:rPr>
      </w:pPr>
      <w:r>
        <w:rPr>
          <w:rFonts w:ascii="Times New Roman" w:cs="Times New Roman" w:eastAsia="Times New Roman" w:hAnsi="Times New Roman"/>
          <w:sz w:val="18"/>
          <w:szCs w:val="18"/>
          <w:color w:val="auto"/>
        </w:rPr>
        <w:t xml:space="preserve">For additional information, please see the section titled “Social Issues and Human Capital” in our 2025 Proxy Statement. </w:t>
      </w:r>
      <w:r>
        <w:rPr>
          <w:rFonts w:ascii="Times New Roman" w:cs="Times New Roman" w:eastAsia="Times New Roman" w:hAnsi="Times New Roman"/>
          <w:sz w:val="18"/>
          <w:szCs w:val="18"/>
          <w:b w:val="1"/>
          <w:bCs w:val="1"/>
          <w:color w:val="auto"/>
        </w:rPr>
        <w:t>Corporate Structure</w:t>
      </w:r>
    </w:p>
    <w:p>
      <w:pPr>
        <w:spacing w:after="0" w:line="1" w:lineRule="exact"/>
        <w:rPr>
          <w:sz w:val="20"/>
          <w:szCs w:val="20"/>
          <w:color w:val="auto"/>
        </w:rPr>
      </w:pPr>
    </w:p>
    <w:p>
      <w:pPr>
        <w:ind w:right="620" w:firstLine="405"/>
        <w:spacing w:after="0" w:line="266" w:lineRule="auto"/>
        <w:rPr>
          <w:sz w:val="20"/>
          <w:szCs w:val="20"/>
          <w:color w:val="auto"/>
        </w:rPr>
      </w:pPr>
      <w:r>
        <w:rPr>
          <w:rFonts w:ascii="Times New Roman" w:cs="Times New Roman" w:eastAsia="Times New Roman" w:hAnsi="Times New Roman"/>
          <w:sz w:val="18"/>
          <w:szCs w:val="18"/>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9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U.S. mortgage insurance operations are conducted through Essent Guaranty, Inc., a Pennsylvania-domiciled insurer which is a monoline insurance company licensed in all 50 states and the District of Columbia. We have a wholly-owned Bermuda-domiciled reinsurer, Essent Reinsurance Ltd., which has a Class 3B insurance license issued by the Bermuda Monetary Authority. Our primary title insurance operations are conducted through Essent Title Insurance, Inc. (prior to January 1, 2025 called Agents National Title Insurance Company), a Pennsylvania-domiciled title insurance underwriter licensed in 45 states and the District of Columbia.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6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and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Operation of Our Businesses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7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private mortgage insurance industry is intensely competitive, with six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revenues, profitability and returns would decline if we lose a significant customer.</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U.S. mortgage insurance business depends on our relationships with our largest lending customers. Our top ten customers generated 50.2% of our NIW during year ended December 31, 2024, compared to 39.9% and 41.6% for the years ended December 31, 2023 and 2022, respectively. For the year ended December 31, 2024, one customer represented more than 10% of our consolidated revenues. Maintaining our business relationships and business volumes with our largest lending customers remains critical to the success of our business.</w:t>
      </w:r>
    </w:p>
    <w:p>
      <w:pPr>
        <w:spacing w:after="0" w:line="99"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0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In addition, adverse macroeconomic conditions could subject customers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private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insurance we may be able to write could be adversely affected if lenders and investors select alternatives to private mortgage insurance.</w:t>
      </w:r>
    </w:p>
    <w:p>
      <w:pPr>
        <w:spacing w:after="0" w:line="14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Government-supported mortgage insurance programs include, but are not limited to federal mortgage insurance programs, including those offered by the FHA and VA, and state-supported mortgage insurance funds, including, but not limited to, those funds supported by the states of California and New York.</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Alternatives to private mortgage insurance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6" w:name="page37"/>
    <w:bookmarkEnd w:id="36"/>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and other investors holding mortgages in their portfolios and self-insuring;</w:t>
      </w:r>
    </w:p>
    <w:p>
      <w:pPr>
        <w:spacing w:after="0" w:line="15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using other risk mitigation techniques in conjunction with reduced levels of private mortgage insurance coverage, or accepting credit risk without credit enhancement;</w:t>
      </w:r>
    </w:p>
    <w:p>
      <w:pPr>
        <w:spacing w:after="0" w:line="94" w:lineRule="exact"/>
        <w:rPr>
          <w:rFonts w:ascii="Times New Roman" w:cs="Times New Roman" w:eastAsia="Times New Roman" w:hAnsi="Times New Roman"/>
          <w:sz w:val="18"/>
          <w:szCs w:val="18"/>
          <w:color w:val="auto"/>
        </w:rPr>
      </w:pPr>
    </w:p>
    <w:p>
      <w:pPr>
        <w:ind w:left="660" w:right="44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sellers retaining at least a 10% participation in a loan or mortgage sellers agreeing to repurchase or replace a loan upon an event of default; and</w:t>
      </w:r>
    </w:p>
    <w:p>
      <w:pPr>
        <w:spacing w:after="0" w:line="80" w:lineRule="exact"/>
        <w:rPr>
          <w:rFonts w:ascii="Times New Roman" w:cs="Times New Roman" w:eastAsia="Times New Roman" w:hAnsi="Times New Roman"/>
          <w:sz w:val="18"/>
          <w:szCs w:val="18"/>
          <w:color w:val="auto"/>
        </w:rPr>
      </w:pPr>
    </w:p>
    <w:p>
      <w:pPr>
        <w:ind w:left="660" w:hanging="247"/>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Any of these alternatives to private mortgage insurance could reduce or eliminate the demand for our product, cause us to lose business or limit our ability to attract the business that we would prefer to insure.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21"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Consequently, if the FHA or other government-supported mortgage insurance programs maintain or increase their share of the mortgage insurance market, our business could be affected. Factors that could cause the FHA or other government-supported mortgage insurance programs to maintain or increase their share of the mortgage insurance market include:</w:t>
      </w:r>
    </w:p>
    <w:p>
      <w:pPr>
        <w:spacing w:after="0" w:line="95" w:lineRule="exact"/>
        <w:rPr>
          <w:sz w:val="20"/>
          <w:szCs w:val="20"/>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premiums charged for government mortgage insurance or a loosening of underwriting guidelines;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potential future capital constraints in the private mortgage insurance industry;</w:t>
      </w:r>
    </w:p>
    <w:p>
      <w:pPr>
        <w:spacing w:after="0" w:line="157" w:lineRule="exact"/>
        <w:rPr>
          <w:rFonts w:ascii="Times New Roman" w:cs="Times New Roman" w:eastAsia="Times New Roman" w:hAnsi="Times New Roman"/>
          <w:sz w:val="18"/>
          <w:szCs w:val="18"/>
          <w:color w:val="auto"/>
        </w:rPr>
      </w:pPr>
    </w:p>
    <w:p>
      <w:pPr>
        <w:ind w:left="660" w:right="360" w:hanging="247"/>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premium rates or tightening of underwriting guidelines by private mortgage insurers based on past loan performance or other risk concerns;</w:t>
      </w:r>
    </w:p>
    <w:p>
      <w:pPr>
        <w:spacing w:after="0" w:line="80" w:lineRule="exact"/>
        <w:rPr>
          <w:rFonts w:ascii="Times New Roman" w:cs="Times New Roman" w:eastAsia="Times New Roman" w:hAnsi="Times New Roman"/>
          <w:sz w:val="18"/>
          <w:szCs w:val="18"/>
          <w:color w:val="auto"/>
        </w:rPr>
      </w:pPr>
    </w:p>
    <w:p>
      <w:pPr>
        <w:ind w:left="660" w:right="540" w:hanging="247"/>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loan level delivery fees by the GSEs on loans that require mortgage insurance;</w:t>
      </w:r>
    </w:p>
    <w:p>
      <w:pPr>
        <w:spacing w:after="0" w:line="157" w:lineRule="exact"/>
        <w:rPr>
          <w:rFonts w:ascii="Times New Roman" w:cs="Times New Roman" w:eastAsia="Times New Roman" w:hAnsi="Times New Roman"/>
          <w:sz w:val="18"/>
          <w:szCs w:val="18"/>
          <w:color w:val="auto"/>
        </w:rPr>
      </w:pPr>
    </w:p>
    <w:p>
      <w:pPr>
        <w:ind w:left="660" w:right="480" w:hanging="247"/>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GSE guaranty fees and the difference in the spread between Fannie Mae mortgage-backed securities and Ginnie Mae mortgage-backed securities;</w:t>
      </w:r>
    </w:p>
    <w:p>
      <w:pPr>
        <w:spacing w:after="0" w:line="8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operational ease of using government insurance compared to the products of private mortgage insurers;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the enforcement of program requirements by the FHA relative to the enforcement of policy terms by private entities;</w:t>
      </w:r>
    </w:p>
    <w:p>
      <w:pPr>
        <w:spacing w:after="0" w:line="157" w:lineRule="exact"/>
        <w:rPr>
          <w:rFonts w:ascii="Times New Roman" w:cs="Times New Roman" w:eastAsia="Times New Roman" w:hAnsi="Times New Roman"/>
          <w:sz w:val="18"/>
          <w:szCs w:val="18"/>
          <w:color w:val="auto"/>
        </w:rPr>
      </w:pPr>
    </w:p>
    <w:p>
      <w:pPr>
        <w:ind w:left="660" w:right="40" w:hanging="247"/>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new or the amendment of current regulations under the Dodd-Frank Act (particularly with respect to the Qualified Mortgage and Qualified Residential Mortgage rules) and the Basel III Endgame, which may be more favorable to the FHA than to private mortgage insurers (see "Risks Related to Regulation and Litigation</w:t>
      </w:r>
      <w:r>
        <w:rPr>
          <w:rFonts w:ascii="Times New Roman" w:cs="Times New Roman" w:eastAsia="Times New Roman" w:hAnsi="Times New Roman"/>
          <w:sz w:val="18"/>
          <w:szCs w:val="18"/>
          <w:i w:val="1"/>
          <w:iCs w:val="1"/>
          <w:color w:val="auto"/>
        </w:rPr>
        <w:t>—Our business prospects and operating results could be adversely impacted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to the extent that, the Consumer Financial Protection Bureau's ("CFPB") rule defining a qualified mortgage ("QM") reduces the size of the origination market or creates incentives to use government mortgage insurance programs</w:t>
      </w:r>
      <w:r>
        <w:rPr>
          <w:rFonts w:ascii="Times New Roman" w:cs="Times New Roman" w:eastAsia="Times New Roman" w:hAnsi="Times New Roman"/>
          <w:sz w:val="18"/>
          <w:szCs w:val="18"/>
          <w:color w:val="auto"/>
        </w:rPr>
        <w:t>", "Risks Related to Regulation and Litigation—</w:t>
      </w:r>
      <w:r>
        <w:rPr>
          <w:rFonts w:ascii="Times New Roman" w:cs="Times New Roman" w:eastAsia="Times New Roman" w:hAnsi="Times New Roman"/>
          <w:sz w:val="18"/>
          <w:szCs w:val="18"/>
          <w:i w:val="1"/>
          <w:iCs w:val="1"/>
          <w:color w:val="auto"/>
        </w:rPr>
        <w:t>The amount of insurance we write could be adversely affected by the implementation of the Dodd-Frank Act's risk retention requirements and the definition of Qualified Residential Mortgage ("QRM")</w:t>
      </w:r>
      <w:r>
        <w:rPr>
          <w:rFonts w:ascii="Times New Roman" w:cs="Times New Roman" w:eastAsia="Times New Roman" w:hAnsi="Times New Roman"/>
          <w:sz w:val="18"/>
          <w:szCs w:val="18"/>
          <w:color w:val="auto"/>
        </w:rPr>
        <w:t>" and "Risks Related to Regulation and Litigation—</w:t>
      </w:r>
      <w:r>
        <w:rPr>
          <w:rFonts w:ascii="Times New Roman" w:cs="Times New Roman" w:eastAsia="Times New Roman" w:hAnsi="Times New Roman"/>
          <w:sz w:val="18"/>
          <w:szCs w:val="18"/>
          <w:i w:val="1"/>
          <w:iCs w:val="1"/>
          <w:color w:val="auto"/>
        </w:rPr>
        <w:t>The implementation of the Basel rules discourage the use of mortgage insurance</w:t>
      </w:r>
      <w:r>
        <w:rPr>
          <w:rFonts w:ascii="Times New Roman" w:cs="Times New Roman" w:eastAsia="Times New Roman" w:hAnsi="Times New Roman"/>
          <w:sz w:val="18"/>
          <w:szCs w:val="18"/>
          <w:color w:val="auto"/>
        </w:rPr>
        <w:t>"); and</w:t>
      </w:r>
    </w:p>
    <w:p>
      <w:pPr>
        <w:spacing w:after="0" w:line="11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FHA loan limits above GSE loan limits.</w:t>
      </w:r>
    </w:p>
    <w:p>
      <w:pPr>
        <w:spacing w:after="0" w:line="15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Further, at the direction of the FHFA, the GSEs may continue to consider new, and to pursue existing, credit risk sharing programs. These programs have included the use of structured finance vehicles and off-shore reinsurance. The growth of these programs and the perception that some of these risk-sharing structures have beneficial features in comparison to private mortgage insurance (e.g. lower costs, reduced counterparty risk due to collateral on hand or more diversified insurance</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37" w:name="page38"/>
    <w:bookmarkEnd w:id="37"/>
    <w:p>
      <w:pPr>
        <w:ind w:right="180"/>
        <w:spacing w:after="0" w:line="261" w:lineRule="auto"/>
        <w:rPr>
          <w:sz w:val="20"/>
          <w:szCs w:val="20"/>
          <w:color w:val="auto"/>
        </w:rPr>
      </w:pPr>
      <w:r>
        <w:rPr>
          <w:rFonts w:ascii="Times New Roman" w:cs="Times New Roman" w:eastAsia="Times New Roman" w:hAnsi="Times New Roman"/>
          <w:sz w:val="18"/>
          <w:szCs w:val="18"/>
          <w:color w:val="auto"/>
        </w:rPr>
        <w:t>exposures) may create increased competition for mortgage insurance going forward on loans traditionally sold to the GSEs with private mortgage insurance. As part of their expanded risk sharing programs, the GSEs have also piloted programs to directly place mortgage insurance rather than have lenders place the mortgage insurance with private mortgage insurers. No assurances can be given that these practices may not be expanded to cover more loans traditionally insured by lenders with private mortgage insurance prior to sale to the GSEs, which could impact our business.</w:t>
      </w:r>
    </w:p>
    <w:p>
      <w:pPr>
        <w:spacing w:after="0" w:line="99" w:lineRule="exact"/>
        <w:rPr>
          <w:sz w:val="20"/>
          <w:szCs w:val="20"/>
          <w:color w:val="auto"/>
        </w:rPr>
      </w:pPr>
    </w:p>
    <w:p>
      <w:pPr>
        <w:jc w:val="both"/>
        <w:ind w:right="300" w:firstLine="405"/>
        <w:spacing w:after="0" w:line="261" w:lineRule="auto"/>
        <w:rPr>
          <w:sz w:val="20"/>
          <w:szCs w:val="20"/>
          <w:color w:val="auto"/>
        </w:rPr>
      </w:pPr>
      <w:r>
        <w:rPr>
          <w:rFonts w:ascii="Times New Roman" w:cs="Times New Roman" w:eastAsia="Times New Roman" w:hAnsi="Times New Roman"/>
          <w:sz w:val="18"/>
          <w:szCs w:val="18"/>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0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volume of low down payment home mortgage originations declines, the amount of mortgage insurance that we write could decline, which would reduce our revenues.</w:t>
      </w:r>
    </w:p>
    <w:p>
      <w:pPr>
        <w:spacing w:after="0" w:line="91"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ability to write new mortgage insurance business depends, among other things, on the origination volume of low down payment mortgages that require mortgage insurance. Factors that affect the volume of low down payment mortgage originations include:</w:t>
      </w:r>
    </w:p>
    <w:p>
      <w:pPr>
        <w:spacing w:after="0" w:line="81" w:lineRule="exact"/>
        <w:rPr>
          <w:sz w:val="20"/>
          <w:szCs w:val="20"/>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home mortgage interest rates;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domestic economy as well as conditions in regional and local economies;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affordability;</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deductibility of mortgage interest and mortgage insurance for income tax purposes;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trends, including the rate of household formation;</w:t>
      </w:r>
    </w:p>
    <w:p>
      <w:pPr>
        <w:spacing w:after="0" w:line="157" w:lineRule="exact"/>
        <w:rPr>
          <w:rFonts w:ascii="Times New Roman" w:cs="Times New Roman" w:eastAsia="Times New Roman" w:hAnsi="Times New Roman"/>
          <w:sz w:val="18"/>
          <w:szCs w:val="18"/>
          <w:color w:val="auto"/>
        </w:rPr>
      </w:pPr>
    </w:p>
    <w:p>
      <w:pPr>
        <w:ind w:left="660" w:right="380" w:hanging="247"/>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home price appreciation, which in times of significant refinancing can affect whether refinance loans have loan-to-value ratios that require private mortgage insurance;</w:t>
      </w:r>
    </w:p>
    <w:p>
      <w:pPr>
        <w:spacing w:after="0" w:line="8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housing policies encouraging loans to borrowers that may need low down payment financing, such as first-time homebuyers;</w:t>
      </w:r>
    </w:p>
    <w:p>
      <w:pPr>
        <w:spacing w:after="0" w:line="157" w:lineRule="exact"/>
        <w:rPr>
          <w:rFonts w:ascii="Times New Roman" w:cs="Times New Roman" w:eastAsia="Times New Roman" w:hAnsi="Times New Roman"/>
          <w:sz w:val="18"/>
          <w:szCs w:val="18"/>
          <w:color w:val="auto"/>
        </w:rPr>
      </w:pPr>
    </w:p>
    <w:p>
      <w:pPr>
        <w:ind w:left="660" w:right="100" w:hanging="247"/>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ability-to-pay determinations prior to extending credit as discussed below;</w:t>
      </w:r>
    </w:p>
    <w:p>
      <w:pPr>
        <w:spacing w:after="0" w:line="144" w:lineRule="exact"/>
        <w:rPr>
          <w:rFonts w:ascii="Times New Roman" w:cs="Times New Roman" w:eastAsia="Times New Roman" w:hAnsi="Times New Roman"/>
          <w:sz w:val="18"/>
          <w:szCs w:val="18"/>
          <w:color w:val="auto"/>
        </w:rPr>
      </w:pPr>
    </w:p>
    <w:p>
      <w:pPr>
        <w:ind w:left="660" w:right="300" w:hanging="247"/>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mortgage credit due to more stringent underwriting standards and the risk retention requirements for securitized mortgage loans affecting lenders as discussed below; and</w:t>
      </w:r>
    </w:p>
    <w:p>
      <w:pPr>
        <w:spacing w:after="0" w:line="94" w:lineRule="exact"/>
        <w:rPr>
          <w:rFonts w:ascii="Times New Roman" w:cs="Times New Roman" w:eastAsia="Times New Roman" w:hAnsi="Times New Roman"/>
          <w:sz w:val="18"/>
          <w:szCs w:val="18"/>
          <w:color w:val="auto"/>
        </w:rPr>
      </w:pPr>
    </w:p>
    <w:p>
      <w:pPr>
        <w:ind w:left="660" w:right="620" w:hanging="247"/>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 standards, premiums or other terms of obtaining FHA, VA or USDA insurance, which competes directly with private mortgage insurance.</w:t>
      </w:r>
    </w:p>
    <w:p>
      <w:pPr>
        <w:spacing w:after="0" w:line="94"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If the volume of low down payment loan originations declines, then our ability to write new policies may suffer, and our revenue and results of operations may be negatively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claims to increase as our portfolio matures.</w:t>
      </w:r>
    </w:p>
    <w:p>
      <w:pPr>
        <w:spacing w:after="0" w:line="16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believe that, based upon our experience and industry data, claims incidence for mortgage insurance is generally highest in the third through sixth years after loan origination. Although the claims experience on NIW by us since we began to write coverage in 2010 has been relatively favorable to date, we expect incurred losses and claims to increase as a greater amount of this book of insurance reaches its anticipated period of highest claim frequency. As a result of the significant decrease in our persistency rate largely as a result of a high level of refinancings in 2020 and 2021 triggered by historically low interest rates precipitated by the economic impacts of the COVID-19 pandemic, approximately 91% of our aggregate insurance in force as of December 31, 2024 corresponds to policies we have written since January 1, 2020. The actual default rate and the average reserve per default that we experience as our portfolio matures is difficult to predict, particularly in light of the consequences of the COVID-19 pandemic,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as well as the impacts of the COVID-19 pandemic. Incurred losses and claims could be further increased in the future in the event of general economic weakness or decreases in housing values. An increase in the number or size of claims, compared to what we anticipate, could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adversely affect our results of operations or financial conditions.</w:t>
      </w:r>
    </w:p>
    <w:p>
      <w:pPr>
        <w:spacing w:after="0" w:line="14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91"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7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or changes in the tax treatment of residential property.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hurricanes and floods, and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9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Generally, in each year, most of our mortgage insurance premiums are from policies that have been written in prior years. As a result, the length of time mortgage insurance policies remains in force, which is also generally referred to as persistency, is a significant determinant of our revenues. A lower level of persistency could reduce our future revenues. Our annual persistency rate was 85.7%, 86.9% and 82.1% at December 31, 2024, 2023 and 2022, respectively. The factors affecting the persistency of our mortgage insurance portfolio include:</w:t>
      </w:r>
    </w:p>
    <w:p>
      <w:pPr>
        <w:spacing w:after="0" w:line="99" w:lineRule="exact"/>
        <w:rPr>
          <w:sz w:val="20"/>
          <w:szCs w:val="20"/>
          <w:color w:val="auto"/>
        </w:rPr>
      </w:pPr>
    </w:p>
    <w:p>
      <w:pPr>
        <w:ind w:left="660" w:right="52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current mortgage interest rates compared to the mortgage interest rates on the insurance in force, which affects the incentives of borrowers we have insured to refinance;</w:t>
      </w:r>
    </w:p>
    <w:p>
      <w:pPr>
        <w:spacing w:after="0" w:line="94" w:lineRule="exact"/>
        <w:rPr>
          <w:rFonts w:ascii="Times New Roman" w:cs="Times New Roman" w:eastAsia="Times New Roman" w:hAnsi="Times New Roman"/>
          <w:sz w:val="18"/>
          <w:szCs w:val="18"/>
          <w:color w:val="auto"/>
        </w:rPr>
      </w:pPr>
    </w:p>
    <w:p>
      <w:pPr>
        <w:ind w:left="660" w:right="6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equity in a home, as homeowners with more equity in their homes can generally more readily move to a new residence or refinance their existing mortgage;</w:t>
      </w:r>
    </w:p>
    <w:p>
      <w:pPr>
        <w:spacing w:after="0" w:line="94" w:lineRule="exact"/>
        <w:rPr>
          <w:rFonts w:ascii="Times New Roman" w:cs="Times New Roman" w:eastAsia="Times New Roman" w:hAnsi="Times New Roman"/>
          <w:sz w:val="18"/>
          <w:szCs w:val="18"/>
          <w:color w:val="auto"/>
        </w:rPr>
      </w:pPr>
    </w:p>
    <w:p>
      <w:pPr>
        <w:ind w:left="660" w:right="38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80"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insurance cancellation policies of mortgage investors along with the current values of the homes underlying the mortgages in the insurance in force; and</w:t>
      </w:r>
    </w:p>
    <w:p>
      <w:pPr>
        <w:spacing w:after="0" w:line="94" w:lineRule="exact"/>
        <w:rPr>
          <w:rFonts w:ascii="Times New Roman" w:cs="Times New Roman" w:eastAsia="Times New Roman" w:hAnsi="Times New Roman"/>
          <w:sz w:val="18"/>
          <w:szCs w:val="18"/>
          <w:color w:val="auto"/>
        </w:rPr>
      </w:pPr>
    </w:p>
    <w:p>
      <w:pPr>
        <w:ind w:left="660" w:right="30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borrower-paid mortgage insurance mandated by law based on the amortization schedule of the loan, which generally occurs sooner the lower the note rate of the insured loan.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9" w:name="page40"/>
    <w:bookmarkEnd w:id="39"/>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If interest rates rise, persistency is likely to increase, which may extend the average life of our insured portfolio and result in higher levels of future claims as more loans remain outstanding.</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9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as well as competition from other private mortgage insurers, government programs and other products.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title insurance and settlement services industry may adversely affect our business, financial condition, and results of operations.</w:t>
      </w:r>
    </w:p>
    <w:p>
      <w:pPr>
        <w:spacing w:after="0" w:line="14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Competition in the title insurance and settlement services industry is intense, particularly with respect to price, service and expertise. Although we provide title and settlement services to large commercial customers, there are many other providers that have substantially greater gross revenue than we do and, if affiliated with a title insurance underwriter, could have significantly greater capital. The size and number of title insurance and settlement service providers varies in the geographic areas in which we conduct our title business. Our existing competitors may expand their title insurance business and, although we are not aware of any current initiatives to reduce regulatory barriers to entering our industry, any such reduction could result in new competitors, including financial institutions, entering the title insurance business. From time to time, new entrants enter the marketplace with alternative products to traditional title insurance, although many of these alternative products have been disallowed by title insurance regulators. Further, advances in technologies could, over time, significantly disrupt the traditional business model of financial services and real estate-related companies, including title insurance. These alternative products or disruptive technologies, if permitted by regulators, could adversely affect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manage risks in our investment portfolio.</w:t>
      </w:r>
    </w:p>
    <w:p>
      <w:pPr>
        <w:spacing w:after="0" w:line="16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A substantial majority of our investment portfolio consists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99" w:lineRule="exact"/>
        <w:rPr>
          <w:sz w:val="20"/>
          <w:szCs w:val="20"/>
          <w:color w:val="auto"/>
        </w:rPr>
      </w:pPr>
    </w:p>
    <w:p>
      <w:pPr>
        <w:jc w:val="both"/>
        <w:ind w:right="40" w:firstLine="405"/>
        <w:spacing w:after="0" w:line="256" w:lineRule="auto"/>
        <w:rPr>
          <w:sz w:val="20"/>
          <w:szCs w:val="20"/>
          <w:color w:val="auto"/>
        </w:rPr>
      </w:pPr>
      <w:r>
        <w:rPr>
          <w:rFonts w:ascii="Times New Roman" w:cs="Times New Roman" w:eastAsia="Times New Roman" w:hAnsi="Times New Roman"/>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2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12"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Fluctuations in the fair value of these entities may increase the volatility of our reported results of operations.</w:t>
      </w:r>
    </w:p>
    <w:p>
      <w:pPr>
        <w:spacing w:after="0" w:line="9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predominantly of investment-grade fixed income securities and complies with applicable regulatory requirements, the success of our investment activity and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0" w:name="page41"/>
    <w:bookmarkEnd w:id="40"/>
    <w:p>
      <w:pPr>
        <w:ind w:right="220"/>
        <w:spacing w:after="0" w:line="282" w:lineRule="auto"/>
        <w:rPr>
          <w:sz w:val="20"/>
          <w:szCs w:val="20"/>
          <w:color w:val="auto"/>
        </w:rPr>
      </w:pPr>
      <w:r>
        <w:rPr>
          <w:rFonts w:ascii="Times New Roman" w:cs="Times New Roman" w:eastAsia="Times New Roman" w:hAnsi="Times New Roman"/>
          <w:sz w:val="18"/>
          <w:szCs w:val="18"/>
          <w:color w:val="auto"/>
        </w:rPr>
        <w:t>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7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9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 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16"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financial strength ratings may adversely affect the amount of business that we write.</w:t>
      </w:r>
    </w:p>
    <w:p>
      <w:pPr>
        <w:spacing w:after="0" w:line="162" w:lineRule="exact"/>
        <w:rPr>
          <w:sz w:val="20"/>
          <w:szCs w:val="20"/>
          <w:color w:val="auto"/>
        </w:rPr>
      </w:pPr>
    </w:p>
    <w:p>
      <w:pPr>
        <w:ind w:right="60" w:firstLine="405"/>
        <w:spacing w:after="0" w:line="272" w:lineRule="auto"/>
        <w:rPr>
          <w:sz w:val="20"/>
          <w:szCs w:val="20"/>
          <w:color w:val="auto"/>
        </w:rPr>
      </w:pPr>
      <w:r>
        <w:rPr>
          <w:rFonts w:ascii="Times New Roman" w:cs="Times New Roman" w:eastAsia="Times New Roman" w:hAnsi="Times New Roman"/>
          <w:sz w:val="17"/>
          <w:szCs w:val="17"/>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w:t>
      </w:r>
    </w:p>
    <w:p>
      <w:pPr>
        <w:spacing w:after="0" w:line="2" w:lineRule="exact"/>
        <w:rPr>
          <w:sz w:val="20"/>
          <w:szCs w:val="20"/>
          <w:color w:val="auto"/>
        </w:rPr>
      </w:pPr>
    </w:p>
    <w:p>
      <w:pPr>
        <w:ind w:right="20" w:firstLine="8"/>
        <w:spacing w:after="0" w:line="25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21"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Times New Roman" w:cs="Times New Roman" w:eastAsia="Times New Roman" w:hAnsi="Times New Roman"/>
          <w:sz w:val="18"/>
          <w:szCs w:val="18"/>
          <w:i w:val="1"/>
          <w:iCs w:val="1"/>
          <w:color w:val="auto"/>
        </w:rPr>
        <w:t>Changes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practices of the GSEs, including actions or decisions to decrease or discontinue the use of mortgage insurance or changes in the GSEs' eligibility requirements for mortgage insurers, could reduce our revenues or adversely affect our profitability and returns" </w:t>
      </w:r>
      <w:r>
        <w:rPr>
          <w:rFonts w:ascii="Times New Roman" w:cs="Times New Roman" w:eastAsia="Times New Roman" w:hAnsi="Times New Roman"/>
          <w:sz w:val="18"/>
          <w:szCs w:val="18"/>
          <w:color w:val="auto"/>
        </w:rPr>
        <w:t>and "Business—Regulation—Direct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Regulation—GSE Qualified Mortgage Insurer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servicers fail to adhere to appropriate servicing standards or experience disruptions to their businesses, our losses could unexpectedly increase.</w:t>
      </w:r>
    </w:p>
    <w:p>
      <w:pPr>
        <w:spacing w:after="0" w:line="16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Our delegated underwriting program may subject our mortgage insurance business to unanticipated claims.</w:t>
      </w:r>
    </w:p>
    <w:p>
      <w:pPr>
        <w:spacing w:after="0" w:line="14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contract underwriting business.</w:t>
      </w:r>
    </w:p>
    <w:p>
      <w:pPr>
        <w:spacing w:after="0" w:line="162" w:lineRule="exact"/>
        <w:rPr>
          <w:sz w:val="20"/>
          <w:szCs w:val="20"/>
          <w:color w:val="auto"/>
        </w:rPr>
      </w:pPr>
    </w:p>
    <w:p>
      <w:pPr>
        <w:jc w:val="both"/>
        <w:ind w:right="220" w:firstLine="405"/>
        <w:spacing w:after="0" w:line="272" w:lineRule="auto"/>
        <w:rPr>
          <w:sz w:val="20"/>
          <w:szCs w:val="20"/>
          <w:color w:val="auto"/>
        </w:rPr>
      </w:pPr>
      <w:r>
        <w:rPr>
          <w:rFonts w:ascii="Times New Roman" w:cs="Times New Roman" w:eastAsia="Times New Roman" w:hAnsi="Times New Roman"/>
          <w:sz w:val="17"/>
          <w:szCs w:val="17"/>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w:t>
      </w:r>
    </w:p>
    <w:p>
      <w:pPr>
        <w:spacing w:after="0" w:line="2"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Accordingly, we have assumed some risk in connection with providing these services. We also face regulatory and litigation risk in providing these services.</w:t>
      </w:r>
    </w:p>
    <w:p>
      <w:pPr>
        <w:spacing w:after="0" w:line="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become outmoded, be temporarily interrupted or fail thereby causing us to fail to meet our customers' demands.</w:t>
      </w:r>
    </w:p>
    <w:p>
      <w:pPr>
        <w:spacing w:after="0" w:line="9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errors in usage, hardware or software malfunction, defects or degradation, and other incidents which may impact the operation or availability of such systems. In addition, because our information technology and telecommunications systems interface with and depend on third-party systems and infrastructure beyond our control, we could experience service denials or failures of controls if demand for our service exceeds capacity or a third-party system or infrastructure fails or experiences an interruption.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or if our disaster recovery or business continuity plans fail to sufficiently address such a business interruption, system failure or service denial.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7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including inadvertent disclosure,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Depending on the nature of the information compromised, in the event of a data breach or other unauthorized access to or acquisition of our customer data, we may also have obligations to notify customers, other stakeholders, and federal and state government regulators about the incident. All 50 states, as well as a growing number of regulatory bodies, have adopted notification requirements that are triggered in the event of the actual or reasonably suspected unauthorized access to, or acquisition of, certain types of personal information. Such breach notification laws continue to evolve and may be inconsistent from one jurisdiction to another. Complying with these obligations could cause us to incur substantial costs (including fines) and could increase negative publicity surrounding any incident that compromises customer data. Although we believe that we have appropriate information security policies, safeguards and systems in place in order to prevent unauthorized use or disclosure of confidential information, including non-public personal information, there can be no assurance that such policies, safeguards and systems will prevent all security issues, or that such use or disclosure will not occur.</w:t>
      </w:r>
    </w:p>
    <w:p>
      <w:pPr>
        <w:spacing w:after="0" w:line="11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our title insurance and settlement services business that could negatively affect our results of operations and financial condition.</w:t>
      </w:r>
    </w:p>
    <w:p>
      <w:pPr>
        <w:spacing w:after="0" w:line="9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volume of title insurance and settlement services that we offer are significantly driven by the level of overall activity in the mortgage, real estate and mortgage finance markets generally. If real estate transaction volumes decline, as they have in the past several years in large part due to elevated interest and mortgage rates, we could experience less demand for our 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2" w:name="page43"/>
    <w:bookmarkEnd w:id="42"/>
    <w:p>
      <w:pPr>
        <w:spacing w:after="0" w:line="256" w:lineRule="auto"/>
        <w:rPr>
          <w:sz w:val="20"/>
          <w:szCs w:val="20"/>
          <w:color w:val="auto"/>
        </w:rPr>
      </w:pPr>
      <w:r>
        <w:rPr>
          <w:rFonts w:ascii="Times New Roman" w:cs="Times New Roman" w:eastAsia="Times New Roman" w:hAnsi="Times New Roman"/>
          <w:sz w:val="18"/>
          <w:szCs w:val="18"/>
          <w:color w:val="auto"/>
        </w:rPr>
        <w:t>insurance and settlement services. Additionally, by their nature, title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administered and paid, significantly varying dollar amounts of individual claims and other factors. From time to time, we could experience large losses or an overall worsening of our loss payment experience in regard to the frequency or severity of claims that require us to record additional charges to our claims loss reserve. These loss events are unpredictable and may require us to increase our loss reserves and could adversely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3" w:name="page44"/>
    <w:bookmarkEnd w:id="4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collect all amounts due to us from reinsurers and reinsurance coverage may not be available to us in the future at commercially reasonable rates or at all.</w:t>
      </w:r>
    </w:p>
    <w:p>
      <w:pPr>
        <w:spacing w:after="0" w:line="7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ceded to third-party reinsurers and special purpose reinsurers funded through the issuance of insurance-linked notes certain risk that we have insured in order to limit our maximum net loss arising in periods of elevated claims on our mortgage insurance portfolio as well as to claim reinsurance credit and capital relief under insurance laws applicable to us and the regulations of the GSEs. Although the reinsurers to which we have ceded such risk are liable to us to the extent of the ceded insurance, we remain liable as the direct insurer on all risks so reinsured. As a result, our reinsurance arrangements do not fully eliminate our obligation to pay claims, and we have assumed credit risk with respect to our ability to recover amounts due from our reinsurers. We may not be able to collect all amounts due to us from reinsurers, which could have a material adverse effect on our results of operations or financial condition.</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availability and cost of reinsurance are subject to prevailing market conditions that are beyond our control. For example, reinsurance may be more difficult or costly to obtain following an economic downturn that results in a significant negative impact on the U.S. housing market. No assurances can be made that reinsurance will remain continuously available to us in amounts that we consider sufficient and at rates that we consider acceptable, which would cause us to increase the amount of risk we retain, reduce the amount of business we write or look for alternatives to reinsurance. If investors are unwilling to purchase, or to purchase at a reasonable price, insurance-linked notes that fund the type of special purpose reinsurers with which we have entered into reinsurance transactions, we may not be able to obtain reinsurance on business that we write in the future at a level consistent with the reinsurance we have obtained on our current business. This, in turn, could have a material adverse effect on our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 and Litigation</w:t>
      </w:r>
    </w:p>
    <w:p>
      <w:pPr>
        <w:spacing w:after="0" w:line="14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0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16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w:t>
      </w:r>
    </w:p>
    <w:p>
      <w:pPr>
        <w:spacing w:after="0" w:line="12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It remains unclear whether any of these legislative or regulatory reforms will be enacted or implemented. Any changes to the charters or statutory authorities of the GSEs would require Congressional action to implement. Passage and timing of any GSE reform legislation or incremental change is uncertain and could change through the legislative process, which could take time, making the actual impact on us difficult to predict. As a result of the uncertainty regarding resolution of the conservatorship of the GSEs and the proper structure of any new secondary mortgage market, as well as the Federal government's increased role within the housing market since the start of the recent financial crisis,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0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1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4" w:name="page45"/>
    <w:bookmarkEnd w:id="4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7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Our business model is highly dependent on the GSEs, as the GSEs are the primary beneficiaries of most of our mortgage insurance policies. The GSEs’ business practices may be impacted by their results of operations, administrative policy decisions or legislative or regulatory changes. Recently, the GSEs have been focused on, among other things, supporting the housing finance system during times of stress, as well as equitable and affordable housing initiatives. Changes in the business practices of the GSEs, which can be implemented by the GSEs at the FHFA's direction, could negatively impact our operating results and financial performance, including changes to:</w:t>
      </w:r>
    </w:p>
    <w:p>
      <w:pPr>
        <w:spacing w:after="0" w:line="116" w:lineRule="exact"/>
        <w:rPr>
          <w:sz w:val="20"/>
          <w:szCs w:val="20"/>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coverage when private mortgage insurance is used to satisfy the GSEs' charter requirements on low down payment mortgages;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level of guaranty fees or the amount of loan level delivery fees that the GSEs assess on loans that require mortgage insurance;</w:t>
      </w:r>
    </w:p>
    <w:p>
      <w:pPr>
        <w:spacing w:after="0" w:line="144"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GSEs' influence in the mortgage lender's selection of the mortgage insurer providing coverage and, if so, any transactions that are related to that selection;</w:t>
      </w:r>
    </w:p>
    <w:p>
      <w:pPr>
        <w:spacing w:after="0" w:line="94"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standards that determine what loans are eligible for purchase by the GSEs, which can affect the volume and quality of the risk insured by the mortgage insurer;</w:t>
      </w:r>
    </w:p>
    <w:p>
      <w:pPr>
        <w:spacing w:after="0" w:line="94"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mortgage insurance coverage may be cancelled, including GSE requirements and programs that permit cancellation prior to reaching the applicable thresholds and conditions established by HOPA;</w:t>
      </w:r>
    </w:p>
    <w:p>
      <w:pPr>
        <w:spacing w:after="0" w:line="80" w:lineRule="exact"/>
        <w:rPr>
          <w:rFonts w:ascii="Times New Roman" w:cs="Times New Roman" w:eastAsia="Times New Roman" w:hAnsi="Times New Roman"/>
          <w:sz w:val="18"/>
          <w:szCs w:val="18"/>
          <w:color w:val="auto"/>
        </w:rPr>
      </w:pPr>
    </w:p>
    <w:p>
      <w:pPr>
        <w:ind w:left="660" w:right="300" w:hanging="247"/>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established by the GSEs intended to avoid or mitigate loss on insured mortgages and the circumstances in which mortgage servicers must implement such programs;</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GSEs establish requirements for mortgage insurers' rescission practices or rescission settlement practices with lenders;</w:t>
      </w:r>
    </w:p>
    <w:p>
      <w:pPr>
        <w:spacing w:after="0" w:line="157" w:lineRule="exact"/>
        <w:rPr>
          <w:rFonts w:ascii="Times New Roman" w:cs="Times New Roman" w:eastAsia="Times New Roman" w:hAnsi="Times New Roman"/>
          <w:sz w:val="18"/>
          <w:szCs w:val="18"/>
          <w:color w:val="auto"/>
        </w:rPr>
      </w:pPr>
    </w:p>
    <w:p>
      <w:pPr>
        <w:ind w:left="660" w:right="380" w:hanging="247"/>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80" w:lineRule="exact"/>
        <w:rPr>
          <w:rFonts w:ascii="Times New Roman" w:cs="Times New Roman" w:eastAsia="Times New Roman" w:hAnsi="Times New Roman"/>
          <w:sz w:val="18"/>
          <w:szCs w:val="18"/>
          <w:color w:val="auto"/>
        </w:rPr>
      </w:pPr>
    </w:p>
    <w:p>
      <w:pPr>
        <w:ind w:left="660" w:right="100" w:hanging="247"/>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 mortgage insurer to become and remain an approved eligible insurer for the GSEs, including, among other items, minimum capital adequacy targets, the credit received against such capital requirements for reinsurance, and the terms that the GSEs require to be included in mortgage insurance master policies for loans that they purchase or guaranty.</w:t>
      </w:r>
    </w:p>
    <w:p>
      <w:pPr>
        <w:spacing w:after="0" w:line="108" w:lineRule="exact"/>
        <w:rPr>
          <w:sz w:val="20"/>
          <w:szCs w:val="20"/>
          <w:color w:val="auto"/>
        </w:rPr>
      </w:pPr>
    </w:p>
    <w:p>
      <w:pPr>
        <w:ind w:right="580" w:firstLine="405"/>
        <w:spacing w:after="0" w:line="261"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(PMIERs). The PMIERs represent the standards by which private mortgage insurers are eligible to provide mortgage insurance on loans owned or guaranteed by Fannie Mae and Freddie</w:t>
      </w:r>
    </w:p>
    <w:p>
      <w:pPr>
        <w:spacing w:after="0" w:line="252" w:lineRule="auto"/>
        <w:rPr>
          <w:sz w:val="20"/>
          <w:szCs w:val="20"/>
          <w:color w:val="auto"/>
        </w:rPr>
      </w:pPr>
      <w:r>
        <w:rPr>
          <w:rFonts w:ascii="Times New Roman" w:cs="Times New Roman" w:eastAsia="Times New Roman" w:hAnsi="Times New Roman"/>
          <w:sz w:val="18"/>
          <w:szCs w:val="18"/>
          <w:color w:val="auto"/>
        </w:rPr>
        <w:t>Mac. The PMIERs include financial strength requirements incorporating a risk-based framework that require approved insurers to have a sufficient level of liquid assets from which to pay claims. The PMIERs also include enhanced operational performance expectations and standards relating to rescission rights, and define remedial actions that apply should an approved insurer fail to comply with these requirements. Future revisions to these eligibility requirements could negatively impact our ability to write mortgage insurance at our current levels, generate the returns we anticipate from our business or otherwise participate in the private mortgage insurance market at all. See "Business—Regulation—Direct U.S. Regulation—GSE Qualified Mortgage Insurer Requirements" above.</w:t>
      </w:r>
    </w:p>
    <w:p>
      <w:pPr>
        <w:spacing w:after="0" w:line="11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prospects and operating results could be adversely impacted if, and to the extent that, the Consumer Financial Protection Bureau's ("CFPB") rule defining a qualified mortgage ("QM") reduces the size of the origination market or creates incentives to use government mortgage insurance programs.</w:t>
      </w:r>
    </w:p>
    <w:p>
      <w:pPr>
        <w:spacing w:after="0" w:line="9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Dodd-Frank Act established the CFPB to regulate the offering and provision of consumer financial products and services under Federal law, including residential mortgages, and generally requires creditors to make a reasonable, good faith determination of a consumer's ability-to-repay any consumer credit transaction secured by a dwelling prior to effecting such transaction. The CFPB is authorized to issue the regulations governing a good faith determination; the Dodd-Frank Act, however, provides a statutory presumption of eligibility of loans that satisfy the QM definition. The CFPB's final rule defining what constitutes a QM, which we refer to as the "QM Rule," a loan is deemed to be a QM if, among other factors:</w:t>
      </w:r>
    </w:p>
    <w:p>
      <w:pPr>
        <w:spacing w:after="0" w:line="116" w:lineRule="exact"/>
        <w:rPr>
          <w:sz w:val="20"/>
          <w:szCs w:val="20"/>
          <w:color w:val="auto"/>
        </w:rPr>
      </w:pPr>
    </w:p>
    <w:p>
      <w:pPr>
        <w:ind w:left="42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term of the loan is less than or equal to 30 years;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45" w:name="page46"/>
    <w:bookmarkEnd w:id="45"/>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negative amortization, interest only or balloon features;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properly documents the loan in accordance with the requirements;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"points and fees" do not exceed certain thresholds, generally 3% of the total loan amount;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debt-to-income ratio of the borrower does not exceed 43%.</w:t>
      </w:r>
    </w:p>
    <w:p>
      <w:pPr>
        <w:spacing w:after="0" w:line="14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Under the QM Rule, a loan receives a conclusive presumption that the consumer had the ability to repay if the annual percentage rate does not exceed the average prime offer rate (APOR) for a comparable transaction by 1.5 percentage points or more as of the date the interest rate is set. A loan receives a rebuttable presumption that the consumer had the ability to repay if the annual percentage rate exceeds the average prime offer rate for a comparable transaction by 1.5 percentage points or more but by less than 2.25 percentage points.</w:t>
      </w:r>
    </w:p>
    <w:p>
      <w:pPr>
        <w:spacing w:after="0" w:line="11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1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insurance we write could be adversely affected by the Dodd-Frank Act's risk retention requirements and the definition of Qualified Residential Mortgage ("QRM").</w:t>
      </w:r>
    </w:p>
    <w:p>
      <w:pPr>
        <w:spacing w:after="0" w:line="7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Dodd-Frank Act requires an originator or issuer to retain a specified percentage of the credit risk exposure on securitized mortgages that do not meet the definition of QRM. As required by the Dodd-Frank Act, the Office of the Comptroller of the Currency, the Federal Reserve Board, the Federal Deposit Insurance Commission, the Federal Housing Finance Agency, the Securities and Exchange Commission and the Department of Housing and Urban Development adopted in 2015 a joint final rule implementing the Qualified Residential Mortgage, or QRM, which aligns the definition of a QRM loan with that of a QM loan.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Basel rules may discourage the use of mortgage insurance.</w:t>
      </w:r>
    </w:p>
    <w:p>
      <w:pPr>
        <w:spacing w:after="0" w:line="16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Basel II (“Basel III”) to improve the quality and quantity of capital banking organizations hold. The Federal Reserve Board, the Office of the Comptroller of the Currency and the Federal Deposit Insurance Corporation (collectively, the “Federal Banking Agencies”) implemented Basel III through the adoption of revisions to their regulatory capital rules (the “Basel III Rules”), which establish minimum risk-based capital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 In December 2017, the Basel Committee published final revisions to the Basel III capital framework (“Basel IV”), which were generally targeted for implementation by each participating country by January 1, 2022 but have been delayed.</w:t>
      </w:r>
    </w:p>
    <w:p>
      <w:pPr>
        <w:spacing w:after="0" w:line="113" w:lineRule="exact"/>
        <w:rPr>
          <w:sz w:val="20"/>
          <w:szCs w:val="20"/>
          <w:color w:val="auto"/>
        </w:rPr>
      </w:pPr>
    </w:p>
    <w:p>
      <w:pPr>
        <w:ind w:right="240" w:firstLine="405"/>
        <w:spacing w:after="0" w:line="254" w:lineRule="auto"/>
        <w:rPr>
          <w:sz w:val="20"/>
          <w:szCs w:val="20"/>
          <w:color w:val="auto"/>
        </w:rPr>
      </w:pPr>
      <w:r>
        <w:rPr>
          <w:rFonts w:ascii="Times New Roman" w:cs="Times New Roman" w:eastAsia="Times New Roman" w:hAnsi="Times New Roman"/>
          <w:sz w:val="18"/>
          <w:szCs w:val="18"/>
          <w:color w:val="auto"/>
        </w:rPr>
        <w:t>In July 2023, the Federal banking agencies issued a Notice of Public Rulemaking (NPR) known as the "Basel III Endgame". This proposal significantly alters the regulatory capital regime of U.S. banks including regional and mid-sized banks. The proposed changes would generally apply to banks with assets greater than $100 billion. Under the proposal, mortgage risk weights would be increased and continue the current capital treatment for high loan to value mortgages with mortgage insurance, where private mortgage insurance doesn’t mitigate credit risk and lower the capital charge. The comment period for the NPR ended in January 2024. If the Federal banking agencies decide to implement the Basel III Endgame as specifically drafted, mortgage insurance would not lower the LTV ratio of residential loans for capital purposes, and therefore may decrease the demand for mortgage insurance. The timing, scope, and content of any such proposed rulemaking and any potential impact it may have, as well as whether any new guidelines will be proposed or finalized in the United States in response to Basel IV remains uncertain due to changes resulting from the Trump Administration and the Federal Reserve.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78" w:lineRule="exact"/>
        <w:rPr>
          <w:sz w:val="20"/>
          <w:szCs w:val="20"/>
          <w:color w:val="auto"/>
        </w:rPr>
      </w:pPr>
    </w:p>
    <w:p>
      <w:pPr>
        <w:jc w:val="both"/>
        <w:ind w:right="180" w:firstLine="405"/>
        <w:spacing w:after="0" w:line="261" w:lineRule="auto"/>
        <w:rPr>
          <w:sz w:val="20"/>
          <w:szCs w:val="20"/>
          <w:color w:val="auto"/>
        </w:rPr>
      </w:pPr>
      <w:r>
        <w:rPr>
          <w:rFonts w:ascii="Times New Roman" w:cs="Times New Roman" w:eastAsia="Times New Roman" w:hAnsi="Times New Roman"/>
          <w:sz w:val="18"/>
          <w:szCs w:val="18"/>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advertising, policy forms, and capital adequacy. These agencies are concerned primarily with the protection of policyholders rather than shareholders. Moreover, insurance laws and regulations, among other things:</w:t>
      </w:r>
    </w:p>
    <w:p>
      <w:pPr>
        <w:spacing w:after="0" w:line="112" w:lineRule="exact"/>
        <w:rPr>
          <w:sz w:val="20"/>
          <w:szCs w:val="20"/>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solvency requirements, including minimum reserves and capital and surplus requirements;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credit that we receive for reinsurance arrangements into which we enter;</w:t>
      </w:r>
    </w:p>
    <w:p>
      <w:pPr>
        <w:spacing w:after="0" w:line="144" w:lineRule="exact"/>
        <w:rPr>
          <w:rFonts w:ascii="Times New Roman" w:cs="Times New Roman" w:eastAsia="Times New Roman" w:hAnsi="Times New Roman"/>
          <w:sz w:val="18"/>
          <w:szCs w:val="18"/>
          <w:color w:val="auto"/>
        </w:rPr>
      </w:pPr>
    </w:p>
    <w:p>
      <w:pPr>
        <w:ind w:left="660" w:right="620" w:hanging="247"/>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amount of dividends, tax distributions, intercompany loans and other payments our insurance subsidiaries can make without prior regulatory approval; and</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amount and type of investments we may hold.</w:t>
      </w:r>
    </w:p>
    <w:p>
      <w:pPr>
        <w:spacing w:after="0" w:line="158"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NAIC examines existing state insurance laws and regulations in the United States. During 2012, the NAIC established a Mortgage Guaranty Insurance Working Group (MGIWG) to determine and make recommendations to the NAIC's Financial Condition Committee including, but not limited to, revisions to </w:t>
      </w:r>
      <w:r>
        <w:rPr>
          <w:rFonts w:ascii="Times New Roman" w:cs="Times New Roman" w:eastAsia="Times New Roman" w:hAnsi="Times New Roman"/>
          <w:sz w:val="18"/>
          <w:szCs w:val="18"/>
          <w:i w:val="1"/>
          <w:iCs w:val="1"/>
          <w:color w:val="auto"/>
        </w:rPr>
        <w:t>Statement of Statutory Accounting Principles (SSAP) No. 58 - Mortgage Guaranty Insurance</w:t>
      </w:r>
      <w:r>
        <w:rPr>
          <w:rFonts w:ascii="Times New Roman" w:cs="Times New Roman" w:eastAsia="Times New Roman" w:hAnsi="Times New Roman"/>
          <w:sz w:val="18"/>
          <w:szCs w:val="18"/>
          <w:color w:val="auto"/>
        </w:rPr>
        <w:t>. The revised Model Act was approved by MGIWG in 2023 and was adopted by the NAIC in March 2024. The NAIC Statutory Accounting Principles (E) Working Group has initiated a project to update SSAP 58 to align with the revised Model Act. We cannot predict the effect that any NAIC recommendations or proposed or future legislation or rule-making in the United States or elsewhere may have on our financial condition or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the rates we charge for title insurance could adversely affect our results of operations.</w:t>
      </w:r>
    </w:p>
    <w:p>
      <w:pPr>
        <w:spacing w:after="0" w:line="162"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Our title insurance underwriter is subject to extensive rate regulation by the applicable state agencies in the jurisdictions in which it operates.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insurance subsidiary operates,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principal Bermuda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0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Our primary reinsurance subsidiary, Essent Reinsurance Ltd., is a registered Bermuda Class 3B insurer pursuant to Section 4 of the Insurance Act 1978. As such, it is subject to regulation and supervision in Bermuda and is not licensed or admitted to do business in any jurisdiction except Bermuda. Generally, Bermuda insurance statutes and regulations applicable to Essent Re are less restrictive than those that would be applicable if they were governed by the laws of any state in the United States. We do not presently intend for Essent Re to be admitted to do business in the United States, the U.K. or any jurisdiction other than Bermuda. However, recent scrutiny of the insurance and reinsurance industry in the United States and other countries could subject Essent Re to additional regulation in the future that may make it unprofitable or illegal to operate a reinsurance business through our Bermuda subsidiaries. We cannot assure you that insurance regulators in the United States, the U.K. or elsewhere will not review the activities of Essent Re or its subsidiaries or agents and assert that Essent Re is subject to such jurisdiction's licensing requirements. If in the future Essent Reinsurance Ltd. becomes subject to any insurance laws of the United States or any state thereof or of any other jurisdiction, we cannot assure you that Essent Re would be in compliance with such laws or that complying with such laws would not have a significant and negative effect on our business.</w:t>
      </w:r>
    </w:p>
    <w:p>
      <w:pPr>
        <w:spacing w:after="0" w:line="11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process of obtaining licenses is very time consuming and costly, and Essent Re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Because Essent Re is a Bermuda company, it is subject to changes in Bermuda law and regulation that may have an adverse impact on our operations, including through the imposition of tax liability or increased regulatory supervision. Bermuda insurance statutes and the regulations, and policies of the BMA, require Essent Re to, among other things:</w:t>
      </w:r>
    </w:p>
    <w:p>
      <w:pPr>
        <w:spacing w:after="0" w:line="95" w:lineRule="exact"/>
        <w:rPr>
          <w:sz w:val="20"/>
          <w:szCs w:val="20"/>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minimum level of capital and surplus;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enhanced capital requirement, general business solvency margins and a minimum liquidity ratio;</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dividends and distributions;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prior approval regarding the ownership and transfer of shares;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principal office and appoint and maintain a principal representative in Bermuda;</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annual financial statements, an annual statutory financial return and an annual capital and solvency return; and</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the performance of certain periodic examinations of Essent Reinsurance Ltd. and its financial condition.</w:t>
      </w:r>
    </w:p>
    <w:p>
      <w:pPr>
        <w:spacing w:after="0" w:line="1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These statutes and regulations may restrict Essent Re's ability to write insurance and reinsurance policies, distribute funds and pursue its investment strategy. In addition, Essent Re is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make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mortgage insurance industry is, and as a participant in that industry we are, subject to litigation and regulatory risk generally.</w:t>
      </w:r>
    </w:p>
    <w:p>
      <w:pPr>
        <w:spacing w:after="0" w:line="148" w:lineRule="exact"/>
        <w:rPr>
          <w:sz w:val="20"/>
          <w:szCs w:val="20"/>
          <w:color w:val="auto"/>
        </w:rPr>
      </w:pPr>
    </w:p>
    <w:p>
      <w:pPr>
        <w:ind w:right="160" w:firstLine="405"/>
        <w:spacing w:after="0" w:line="252" w:lineRule="auto"/>
        <w:rPr>
          <w:sz w:val="20"/>
          <w:szCs w:val="20"/>
          <w:color w:val="auto"/>
        </w:rPr>
      </w:pPr>
      <w:r>
        <w:rPr>
          <w:rFonts w:ascii="Times New Roman" w:cs="Times New Roman" w:eastAsia="Times New Roman" w:hAnsi="Times New Roman"/>
          <w:sz w:val="18"/>
          <w:szCs w:val="18"/>
          <w:color w:val="auto"/>
        </w:rPr>
        <w:t>The U.S. mortgage insurance industry faces litigation risk in the ordinary course of operations, including the risk of class action lawsuits and administrative enforcement by Federal and state agencies.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and entered into consent orders with,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The CFPB’s ruling in its enforcement order against PHH Corporation for alleged RESPA violations stemming from captive mortgage insurance arrangements was overturned on appeal by a panel of the U.S. Court of Appeals for the D.C. Circuit, a decision affirmed in January 2018 by the D.C. Circuit en banc. Although we did not participate in the practices that were the subject of the CFPB consent orders or the PHH case, the private mortgage insurance industry and our insurance subsidiaries are subject to substantial Federal and state regulation. Increased Federal or state regulatory scrutiny could lead to new legal precedents, new regulations or new practices, or regulatory actions or investigations, which could adversely affect our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Taxes and Our Corporate 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non-U.S. subsidiaries may become subject to U.S. Federal income and branch profits taxation.</w:t>
      </w:r>
    </w:p>
    <w:p>
      <w:pPr>
        <w:spacing w:after="0" w:line="14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Essent Group Ltd. and Essent Re and its subsidiaries intend to operate their business in a manner that will not cause them to be treated as engaged in a trade or business in the United States and, thus, will not be required to pay U.S. Federal income and branch profits taxes. However, our foreign subsidiaries are or could become subject to U.S. excise taxes on (re)insurance premium, and on stock repurchases, as well as U.S. withholding taxes on certain U.S. source investment income, and dividends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t>paid from U.S. subsidiaries from U.S. earnings and profits.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Any U.S. Federal income and branch profits taxes levied upon earnings from our Bermuda operations could materially adversely affect our shareholders' equity and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10% or more of our common shares may be subject to U.S. income taxation under the "controlled foreign corporation" ("CFC") rules.</w:t>
      </w:r>
    </w:p>
    <w:p>
      <w:pPr>
        <w:spacing w:after="0" w:line="1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If you are a "10% U.S. Shareholder" (defined to be a "U.S. Person" (as defined below) who owns (directly, or indirectly through non-U.S. entities or "constructively," as defined below) at least 10% of the total combined value or voting power of all classes of stock) of a non-U.S. corporation that is a CFC at any time during a taxable year and you own shares in such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Also, due to attribution rules, the Company believes that, based upon ownership of its U.S. subsidiaries, its foreign reinsurer (Essent Reinsurance Ltd.) will be deemed a CFC. Accordingly, any shareholder who becomes a “10% U.S. Shareholder” at any time during the calendar year, by either vote or value will be subject to a "Subpart F income" inclusion on a per share per day basis. Subpart F income of a non-U.S. insurance corporation typically includes "foreign personal holding company income" (such as interest, dividends and other types of passive income), as well as insurance and reinsurance income (including underwriting and investment income).</w:t>
      </w:r>
    </w:p>
    <w:p>
      <w:pPr>
        <w:spacing w:after="0" w:line="12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0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91"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If the RPII (determined on a gross basis) of Essent Re were to equal or exceed 20% of Essent Re's gross insurance income in any taxable year and direct or indirect policyholders (and persons related to those policyholders) own directly or indirectly through entities 20% or more of the voting power or value of the Company, then a U.S. Person who owns any shares of Essent Re (directly or indirectly through non-U.S. entities) on the last day of the taxable year on which it is an RPII CFC would be required to include in its income for U.S. Federal income tax purposes such person's pro rata share of Essent Re's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 to equal or exceed 20% of its gross insurance income in any taxable year for the foreseeable future, but we cannot be certain that this will be the case because some of the factors which determine the extent of RPII may be beyond our control. Further, recently proposed regulations were published which could, if finalized in their current form, substantially expand the definition of RPII to include insurance income of Essent Re related to affiliate reinsurance transactions. These regulations would apply to taxable years beginning after the date the regulations are finalized. Although we cannot predict whether, when or in what form the proposed regulations might be finalized, the proposed regulations, if finalized in their current form, could limit our ability to execute affiliate reinsurance transactions that would otherwise be undertaken for non-tax business reasons in the future as that could increase the risk that gross RPII could constitute 20% or more of the gross insurance income of Essent Re in a particular taxable year, which could result in such RPII being taxable to U.S. persons that own our shares.</w:t>
      </w:r>
    </w:p>
    <w:p>
      <w:pPr>
        <w:spacing w:after="0" w:line="12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Persons who dispose of our shares may be subject to U.S. Federal income taxation at the rates applicable to dividends on a portion of such disposition.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9" w:name="page50"/>
    <w:bookmarkEnd w:id="49"/>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or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0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9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Essent Re is a PFIC, and any U.S. Person directly owning shares in Essent Re could be subject to adverse tax consequences. However, as 100% of the shares of Essent Re are owned by Essent Group Ltd., based upon the current relative value of its U.S. subsidiaries vs. foreign subsidiaries, management believes that Essent Group Ltd. is not currently a PFIC. However, in the event that future business circumstances (i.e. relative value changes) and/or tax law changes occur, Essent Group Ltd. may be considered a PFIC. Management has operated, and intends to continue to operate, in a manner such as to avoid Essent Group Ltd. being deemed a PFIC based upon relative value of its subsidiaries; however, there can be no guaranty that management will be successful in the future. If Essent Group Ltd. is considered a PFIC, then any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Essent Group Ltd. were considered a PFIC, upon the death of any U.S. individual owning shares, such individual's heirs or estate would not be entitled to a "step-up" in the basis of the shares that might otherwise be available under U.S. Federal income tax laws.</w:t>
      </w:r>
    </w:p>
    <w:p>
      <w:pPr>
        <w:spacing w:after="0" w:line="1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believe that Essent Group Ltd. is not, has not been, and currently does not expect to become, a PFIC for U.S. Federal income tax purposes. However, there can be no assurance that new regulations, if made final, will not adversely impact Essent Group Ltd.'s PFIC status or U.S. Persons owning Essent Group Ltd. shares. If Essent Group Ltd. were considered a PFIC, it would have material adverse tax consequences for an investor that is subject to U.S. Federal income taxation.</w:t>
      </w:r>
    </w:p>
    <w:p>
      <w:pPr>
        <w:spacing w:after="0" w:line="9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tax liabilities and effective tax rate in the future could be adversely affected by changes in tax laws in countries in which we operate pursuant to ongoing efforts by the Organization for Economic Co-operation and Development (“OECD”), the U.S. Congress, Ireland Revenue, or the Government of Bermuda.</w:t>
      </w:r>
    </w:p>
    <w:p>
      <w:pPr>
        <w:spacing w:after="0" w:line="107"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Member nations of the EU and other foreign taxing jurisdictions have adopted a comprehensive plan set forth by the OECD to create an agreed-upon set of international rules designed to end so-called “base erosion and profit shifting”, commonly referred to as the "Pillar II" rules. Pillar II is a coordinated global effort to impose a minimum tax on large multinational corporations ("MNC"s) of 15% on the net income earned in each jurisdiction, with no cross-crediting between jurisdictions. Although the U.S. has not adopted Pillar II, the Bermuda Corporate Income Tax (see Note 12 to our consolidated financial statements entitled "Income Taxes" included elsewhere in this Annual Report) is a “de-facto” adoption of the Pillar II rules, and Ireland has also adopted Pillar II. The rules achieve a 15% minimum tax through either an undertaxed profits rule (“UTPR”) or an income inclusion rule (“IIR”). As currently structured, and based on the results of annual “safe harbor” testing showing that the Company pays the minimum 15% on the pre-tax income of its Ireland direct and indirect subsidiaries, we do not believe that the Company will owe additional taxes in Ireland as a result of Ireland’s adoption of the UTPR and IIR. Any future changes to these rules, and/or new interpretations by relevant jurisdictions of these occurrences could materially adversely affect our tax position, which could have a material adverse effect on our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tax-exempt organizations who own our shares may recognize unrelated business taxable income.</w:t>
      </w:r>
    </w:p>
    <w:p>
      <w:pPr>
        <w:spacing w:after="0" w:line="148"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A U.S. tax-exempt organization may recognize unrelated business taxable income if a portion of the insurance income of any of our non-U.S. insurance subsidiaries is allocated to the organization, which generally would be the case if the tax-exempt shareholder is a 10% U.S. Shareholder or if there is RPII, and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the potential foreign bank account reporting and reporting of "Specified Foreign Financial Assets."</w:t>
      </w:r>
    </w:p>
    <w:p>
      <w:pPr>
        <w:spacing w:after="0" w:line="148"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U.S. Persons holding our common shares should consider their possible obligation to file a FinCEN Form 114, Report of Foreign Bank and Financial Accounts 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Reduced tax rates for qualified dividend income may not be available in the future.</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believe that the dividends paid on the common shares should qualify as "qualified dividend income" if, as is intended, our common shares remain listed on a national securities exchange and Essent Group is not a PFIC.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U.S. tax legislation could have an adverse impact on us or holders of our common shares.</w:t>
      </w:r>
    </w:p>
    <w:p>
      <w:pPr>
        <w:spacing w:after="0" w:line="16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It is possible that legislation could be introduced and enacted by the current Congress or future Congresses that could have an adverse impact on us or holders of our common shares. It is also possible that future Treasury Regulations, and/or IRS administrative rulings could have an adverse impact on the Company or the holders of our common shares. We cannot be certain if, when or in what form such Treasury Regulations or IRS administrative pronouncements may be provided and whether such guidance will have a retroactive effect, and/or a negative impact upon an investor subject to U.S. taxation.</w:t>
      </w:r>
    </w:p>
    <w:p>
      <w:pPr>
        <w:spacing w:after="0" w:line="11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U.S. tax law could have an adverse impact on us or holders of our common shares if future changes to the business causes the Company to exceed certain thresholds.</w:t>
      </w:r>
    </w:p>
    <w:p>
      <w:pPr>
        <w:spacing w:after="0" w:line="7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base erosion anti-abuse tax or “BEAT” that could make certain levels of affiliate reinsurance between United States and non-U.S. members of our group economically unfeasible. Although we are not currently impacted by BEAT, there can be no assurance that changes to future taxable income calculations or future changes to BEAT will not have a negative impact on us. Future legislation adverse to the Company's effective tax rate may also extend beyond changes to the BEAT. In addition, the Inflation Reduction Act of 2022 (“IRA”) introduced, among other tax provisions, the Corporate Alternative Minimum Tax (“CAMT”) and a federal excise tax (“FET”) of 1% on certain stock repurchases. Companies are not subject to the CAMT if it does not meet a certain net income threshold on a trailing 3-year average calculation. Based on such calculations, the Company is not currently subject to the CAMT. Management will continue to monitor the applicability of CAMT. Generally, the Excise Tax on certain stock repurchases applies to U.S.-domiciled companies. Proposed regulations issued in 2024, which may apply retroactively if finalized in their present form, provide in part that a foreign-parented MNC’s stock repurchase is subject to the FET if it is funded by its U.S affiliate with a principal purpose of avoiding the FET. The Proposed Regulations provide that the determination of whether a funding by a U.S. affiliate has a principal purpose of avoiding the FET is based on all the facts and circumstances. Final regulations were also issued in 2024 which provide several procedural rules related to the payment of the tax and related compliance obligations. The Company may become subject to the FET on stock repurchases in 2025 and future years based on facts and circumstances regarding sources and uses of Essent Group Ltd capital under the Proposed Regulations.</w:t>
      </w:r>
    </w:p>
    <w:p>
      <w:pPr>
        <w:spacing w:after="0" w:line="11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9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U.S. operating subsidiary, Essent Guaranty, Inc., had unassigned surplus of approximately $396.6 million as of December 31, 2024, and paid to its parent, Essent US Holdings, Inc., dividends totaling $165.5 million in 2024. For further information, see Note 11 to our consolidated financial statements entitled "Dividends Restrictions"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is dependent on our receipt of dividends and other funds from our subsidiaries.</w:t>
      </w:r>
    </w:p>
    <w:p>
      <w:pPr>
        <w:spacing w:after="0" w:line="14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Essent Group Ltd. is a holding company. As a result, our ability to pay dividends on our common shares in the future will depend on the earnings and cash flows of our operating subsidiaries and the ability of those subsidiaries to pay dividends or to advance or repay funds to it. This ability is subject to general economic, financial, competitive, regulatory and other factors beyond our control. Furthermore, our subsidiaries are restricted by state insurance laws and regulations from declaring dividends to us. Our subsidiaries are also restricted by state insurance laws and regulations from declaring dividends to us. See "Risks Related to Taxes and Our Corporate Structure—</w:t>
      </w:r>
      <w:r>
        <w:rPr>
          <w:rFonts w:ascii="Times New Roman" w:cs="Times New Roman" w:eastAsia="Times New Roman" w:hAnsi="Times New Roman"/>
          <w:sz w:val="18"/>
          <w:szCs w:val="18"/>
          <w:i w:val="1"/>
          <w:iCs w:val="1"/>
          <w:color w:val="auto"/>
        </w:rPr>
        <w:t>Our holding company structure and certain regulatory and other constraints,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business performance, could negatively impact our liquidity and potentially require us to raise more capital.</w:t>
      </w:r>
      <w:r>
        <w:rPr>
          <w:rFonts w:ascii="Times New Roman" w:cs="Times New Roman" w:eastAsia="Times New Roman" w:hAnsi="Times New Roman"/>
          <w:sz w:val="18"/>
          <w:szCs w:val="18"/>
          <w:color w:val="auto"/>
        </w:rPr>
        <w:t>" Accordingly, our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may not be able to pay dividends up to Essent Group Ltd. in the future, which could prevent us from paying dividends on our common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shares may have difficulty effecting service of process on us or enforcing judgments against us in the United States.</w:t>
      </w:r>
    </w:p>
    <w:p>
      <w:pPr>
        <w:spacing w:after="0" w:line="162"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We are a Bermuda exempted company. As a result, the rights of holders of our common shares are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owned by subsidiaries domiciled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repurchase a shareholder's common shares without the shareholder's consent.</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bye-laws may reduce or increase the voting rights of our shares.</w:t>
      </w:r>
    </w:p>
    <w:p>
      <w:pPr>
        <w:spacing w:after="0" w:line="14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legal or regulatory consequences to us, any of our subsidiaries or any direct or indirect shareholder or its affiliates.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12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16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 exempted company. However, the BMA has pursuant to its statement of June 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1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insurance holding company laws and regulations of the Commonwealth of Pennsylvania, the state in which our U.S. insurance subsidiaries are domiciled, require that, before a person can acquire direct or indirect control of an insurer domiciled in the state, prior written approval must be obtained from the Pennsylvania Insurance Department. The state insurance regulator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persons who own our shares may have more difficulty in protecting their interests than U.S. persons who are shareholders of a U.S. corporation.</w:t>
      </w:r>
    </w:p>
    <w:p>
      <w:pPr>
        <w:spacing w:after="0" w:line="14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Bermuda Companies Act 1981 (the "Companies Act"), which applies to us, differs in certain material respects from laws generally applicable to U.S. corporations and their shareholders. Set forth below is a summary of certain significant provisions of the Companies Act and our bye-laws which differ in certain respects from provisions of Delaware corporate law. Because the following statements are summaries, they do not discuss all aspects of Bermuda law that may be relevant to us and our shareholders.</w:t>
      </w:r>
    </w:p>
    <w:p>
      <w:pPr>
        <w:spacing w:after="0" w:line="110" w:lineRule="exact"/>
        <w:rPr>
          <w:sz w:val="20"/>
          <w:szCs w:val="20"/>
          <w:color w:val="auto"/>
        </w:rPr>
      </w:pPr>
    </w:p>
    <w:p>
      <w:pPr>
        <w:ind w:right="2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Interested Directors: </w:t>
      </w:r>
      <w:r>
        <w:rPr>
          <w:rFonts w:ascii="Times New Roman" w:cs="Times New Roman" w:eastAsia="Times New Roman" w:hAnsi="Times New Roman"/>
          <w:sz w:val="18"/>
          <w:szCs w:val="18"/>
          <w:color w:val="auto"/>
        </w:rPr>
        <w:t>Bermuda law provides that if a director has an interest in a material contract or proposed material contract with us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08" w:lineRule="exact"/>
        <w:rPr>
          <w:sz w:val="20"/>
          <w:szCs w:val="20"/>
          <w:color w:val="auto"/>
        </w:rPr>
      </w:pPr>
    </w:p>
    <w:p>
      <w:pPr>
        <w:ind w:left="660" w:right="180" w:hanging="247"/>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80" w:lineRule="exact"/>
        <w:rPr>
          <w:rFonts w:ascii="Times New Roman" w:cs="Times New Roman" w:eastAsia="Times New Roman" w:hAnsi="Times New Roman"/>
          <w:sz w:val="18"/>
          <w:szCs w:val="18"/>
          <w:color w:val="auto"/>
        </w:rPr>
      </w:pPr>
    </w:p>
    <w:p>
      <w:pPr>
        <w:ind w:left="660" w:right="380" w:hanging="247"/>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94" w:lineRule="exact"/>
        <w:rPr>
          <w:rFonts w:ascii="Times New Roman" w:cs="Times New Roman" w:eastAsia="Times New Roman" w:hAnsi="Times New Roman"/>
          <w:sz w:val="18"/>
          <w:szCs w:val="18"/>
          <w:color w:val="auto"/>
        </w:rPr>
      </w:pPr>
    </w:p>
    <w:p>
      <w:pPr>
        <w:ind w:left="660" w:right="360" w:hanging="247"/>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Large Shareholders or Affiliates. </w:t>
      </w:r>
      <w:r>
        <w:rPr>
          <w:rFonts w:ascii="Times New Roman" w:cs="Times New Roman" w:eastAsia="Times New Roman" w:hAnsi="Times New Roman"/>
          <w:sz w:val="18"/>
          <w:szCs w:val="18"/>
          <w:color w:val="auto"/>
        </w:rPr>
        <w:t>As a Bermuda company, we may enter into business combinations with our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3" w:name="page54"/>
    <w:bookmarkEnd w:id="53"/>
    <w:p>
      <w:pPr>
        <w:ind w:right="80"/>
        <w:spacing w:after="0" w:line="266" w:lineRule="auto"/>
        <w:rPr>
          <w:sz w:val="20"/>
          <w:szCs w:val="20"/>
          <w:color w:val="auto"/>
        </w:rPr>
      </w:pPr>
      <w:r>
        <w:rPr>
          <w:rFonts w:ascii="Times New Roman" w:cs="Times New Roman" w:eastAsia="Times New Roman" w:hAnsi="Times New Roman"/>
          <w:sz w:val="18"/>
          <w:szCs w:val="18"/>
          <w:color w:val="auto"/>
        </w:rPr>
        <w:t>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9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The rights of shareholders under Bermuda law are not as extensive as the rights of shareholders in many U.S.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2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w:t>
      </w:r>
      <w:r>
        <w:rPr>
          <w:rFonts w:ascii="Times New Roman" w:cs="Times New Roman" w:eastAsia="Times New Roman" w:hAnsi="Times New Roman"/>
          <w:sz w:val="18"/>
          <w:szCs w:val="18"/>
          <w:color w:val="auto"/>
        </w:rPr>
        <w:t>We may indemnify our directors or officers or any person appointed to any committee by the board of directors 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their capacity as such in relation to any of our affairs for any loss arising or liability attaching to them by virtue of any rule of law in respect of any 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unforeseen liabilities or rating actions from acquisitions or the integration of such acquired businesses.</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have completed, and expect to complete, acquisitions in an effort to achieve profitable growth in our operations and to create additional value, such as our acquisition of our title insurance operations in 2023. Acquisitions and other structural changes expose us to a number of risks arising from, among other factors, economic, operational, strategic, financial, tax, legal, regulatory and compliance, any one, or a combination, of which could possibly result in the failure to realize the anticipated economic, strategic or other benefits of a transaction. Such events could likewise involve numerous additional risks, including potential losses from unanticipated litigation or levels of claims, the failure to accurately value the investment and/or an inability to generate sufficient revenue to offset acquisition costs. Further, the integration of the operations and personnel of acquired businesses may prove more difficult than anticipated, which may result in failure to achieve financial objectives associated with the acquisition or a diversion of management attention. Such events may also have unintended consequences on ratings assigned by the rating agencies to us. Any of these risks, if realized, could prevent us from achieving the benefits we expect from such transactions and/or result in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senior management team and our business could be harmed if we are unable to retain qualified personnel.</w:t>
      </w:r>
    </w:p>
    <w:p>
      <w:pPr>
        <w:spacing w:after="0" w:line="14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Our success depends, in part, on the skills, working relationships and continued services of our senior management team. We have employment agreements with each of our senior executives. The departure of any of our key executives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1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0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We may require incremental capital to support our growth and comply with regulatory requirements. To the extent that we require capital in the future, we may need to obtain financing from the capital markets or other third-party sources of financing. We may also seek to reinsure part of our risk in force with third-party reinsurers in order to obtain reinsurance credit and capital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ind w:right="300"/>
        <w:spacing w:after="0" w:line="282" w:lineRule="auto"/>
        <w:rPr>
          <w:sz w:val="20"/>
          <w:szCs w:val="20"/>
          <w:color w:val="auto"/>
        </w:rPr>
      </w:pPr>
      <w:r>
        <w:rPr>
          <w:rFonts w:ascii="Times New Roman" w:cs="Times New Roman" w:eastAsia="Times New Roman" w:hAnsi="Times New Roman"/>
          <w:sz w:val="18"/>
          <w:szCs w:val="18"/>
          <w:color w:val="auto"/>
        </w:rPr>
        <w:t>relief under insurance laws applicable to us and the regulations of the GSEs. Potential investors, lenders or reinsurers may be unable to provide us with financing or reinsurance that is attractive to us. Our access to such financing will depend, in part, on:</w:t>
      </w:r>
    </w:p>
    <w:p>
      <w:pPr>
        <w:spacing w:after="0" w:line="81"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levels, if any;</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results of operations;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third-party reinsurers to reinsurer our risks; and</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shares.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principal capital demands include funds for (i) the expansion of our business, (ii) the payment of certain corporate operating expenses,</w:t>
      </w:r>
    </w:p>
    <w:p>
      <w:pPr>
        <w:spacing w:after="0" w:line="27" w:lineRule="exact"/>
        <w:rPr>
          <w:sz w:val="20"/>
          <w:szCs w:val="20"/>
          <w:color w:val="auto"/>
        </w:rPr>
      </w:pPr>
    </w:p>
    <w:p>
      <w:pPr>
        <w:ind w:right="180" w:firstLine="8"/>
        <w:spacing w:after="0" w:line="253"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support for our subsidiaries, and (iv) Federal, state and local taxes. We may need to provide additional capital support to our insurance subsidiaries if required pursuant to insurance laws and regulations or by the GSEs. In particular, if we were unable to meet our obligations, our mortgage insurance subsidiary could lose GSE approval or be required to cease writing mortgage insurance business in one or more states, which would adversely impact our business,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maintain and enhance effective operating procedures and internal controls.</w:t>
      </w:r>
    </w:p>
    <w:p>
      <w:pPr>
        <w:spacing w:after="0" w:line="14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2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or may decline regardless of operating performance.</w:t>
      </w:r>
    </w:p>
    <w:p>
      <w:pPr>
        <w:spacing w:after="0" w:line="14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market price of our common shares may fluctuate significantly in the future. Some of the factors that could negatively affect the market price of our common shares include:</w:t>
      </w:r>
    </w:p>
    <w:p>
      <w:pPr>
        <w:spacing w:after="0" w:line="94"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operating results;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earnings estimates or publication of research reports about us or the real estate industry;</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incur in the future;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55" w:name="page56"/>
    <w:bookmarkEnd w:id="55"/>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credit markets and interest rates;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laws and regulations;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impacting Fannie Mae, Freddie Mac or Ginnie Mae;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key management personnel;</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shareholders;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reinsurance for the insurance coverage that we write;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the lowering of, our earnings estimates or those of any securities analysts;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generally.</w:t>
      </w:r>
    </w:p>
    <w:p>
      <w:pPr>
        <w:spacing w:after="0" w:line="158"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shareholders could cause our share price to decline.</w:t>
      </w:r>
    </w:p>
    <w:p>
      <w:pPr>
        <w:spacing w:after="0" w:line="16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shares in the public market, or the perception that these sales could occur, could cause the market price of our common shares to decline. As of February 14, 2025, we had 103,835,368 outstanding common shares. 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11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7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0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7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1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60"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As with all institutions involved in the provision of financial services, information security represents a significant operational risk. To mitigate this risk, we have developed and manage a comprehensive information security program dedicated to protecting data entrusted to us by our clients as well as our own proprietary corporate information and the information technology infrastructure we use to process this data and information. Our approach is considered to be a defense-in-depth strategy, with multiple tiers of security controls and monitoring. Our security program is benchmarked against the National Institute of Standards and Technology Cybersecurity Framework (NIST), including, among other things, with respect to application security, vulnerability management and data protection, threat detection and incident response.</w:t>
      </w:r>
    </w:p>
    <w:p>
      <w:pPr>
        <w:spacing w:after="0" w:line="120" w:lineRule="exact"/>
        <w:rPr>
          <w:sz w:val="20"/>
          <w:szCs w:val="20"/>
          <w:color w:val="auto"/>
        </w:rPr>
      </w:pPr>
    </w:p>
    <w:p>
      <w:pPr>
        <w:ind w:right="100" w:firstLine="405"/>
        <w:spacing w:after="0" w:line="289" w:lineRule="auto"/>
        <w:rPr>
          <w:sz w:val="20"/>
          <w:szCs w:val="20"/>
          <w:color w:val="auto"/>
        </w:rPr>
      </w:pPr>
      <w:r>
        <w:rPr>
          <w:rFonts w:ascii="Times New Roman" w:cs="Times New Roman" w:eastAsia="Times New Roman" w:hAnsi="Times New Roman"/>
          <w:sz w:val="17"/>
          <w:szCs w:val="17"/>
          <w:color w:val="auto"/>
        </w:rPr>
        <w:t>Cybersecurity risk management is the direct responsibility of our IT security team, which is led by our chief information officer (CIO) and our chief information security officer (CISO). The IT security team develops, maintains, and enforces our information security program and information security policies, which are reviewed at least annually and are subject to approval by our information security committee. Additionally, we complete the following:</w:t>
      </w:r>
    </w:p>
    <w:p>
      <w:pPr>
        <w:spacing w:after="0" w:line="77" w:lineRule="exact"/>
        <w:rPr>
          <w:sz w:val="20"/>
          <w:szCs w:val="20"/>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enterprise risk assessment;</w:t>
      </w:r>
    </w:p>
    <w:p>
      <w:pPr>
        <w:spacing w:after="0" w:line="157" w:lineRule="exact"/>
        <w:rPr>
          <w:rFonts w:ascii="Times New Roman" w:cs="Times New Roman" w:eastAsia="Times New Roman" w:hAnsi="Times New Roman"/>
          <w:sz w:val="18"/>
          <w:szCs w:val="18"/>
          <w:color w:val="auto"/>
        </w:rPr>
      </w:pPr>
    </w:p>
    <w:p>
      <w:pPr>
        <w:ind w:left="660" w:right="40" w:hanging="247"/>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threat and vulnerability assessment conducted in accordance with NIST guidance which considers adversarial and non-adversarial threat events that could impact our environment;</w:t>
      </w:r>
    </w:p>
    <w:p>
      <w:pPr>
        <w:spacing w:after="0" w:line="9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IT risk assessments;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vulnerability management reviews;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cloud risk assessments.</w:t>
      </w:r>
    </w:p>
    <w:p>
      <w:pPr>
        <w:spacing w:after="0" w:line="15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IT security team regularly monitors the company's technology environment to address and investigate potential incidents. In the event of an incident, we would follow our internally developed incident response playbook, which includes but is not limited to guidelines for determining the severity of an incident, roles and responsibilities of the cyber response team, mitigation and recovery steps, and communication to internal and external stakeholders based upon nature and extent of the incident. We conduct regular external and internal penetration testing, "red teaming" exercises to seek to identify and remediate potential vulnerabilities, and other methods to ensure the readiness and effectiveness of our program and to continue to enhance our security posture. Our information security team also performs periodic tabletop exercises to simulate potential incidents in order to identify potential enhancements to monitoring and our incident response process.</w:t>
      </w:r>
    </w:p>
    <w:p>
      <w:pPr>
        <w:spacing w:after="0" w:line="94" w:lineRule="exact"/>
        <w:rPr>
          <w:sz w:val="20"/>
          <w:szCs w:val="20"/>
          <w:color w:val="auto"/>
        </w:rPr>
      </w:pPr>
    </w:p>
    <w:p>
      <w:pPr>
        <w:ind w:right="180" w:firstLine="405"/>
        <w:spacing w:after="0" w:line="241" w:lineRule="auto"/>
        <w:rPr>
          <w:sz w:val="20"/>
          <w:szCs w:val="20"/>
          <w:color w:val="auto"/>
        </w:rPr>
      </w:pPr>
      <w:r>
        <w:rPr>
          <w:rFonts w:ascii="Times New Roman" w:cs="Times New Roman" w:eastAsia="Times New Roman" w:hAnsi="Times New Roman"/>
          <w:sz w:val="18"/>
          <w:szCs w:val="18"/>
          <w:color w:val="auto"/>
        </w:rPr>
        <w:t>We engage third party consultants with respect to cybersecurity, including to conduct vulnerability assessments and penetration testing of its information technology systems. We have established a formal third party risk management (TPRM) policy which defines the criteria that a third party service provider must meet in order to be considered by us. All vendors are risk ranked and reviewed by our TPRM team with results reported to our information security committee, which ultimately approves the use of new and existing vendors. In addition, we maintain an internal information security committee comprised of cross-departmental company executives and IT leaders to ensure that we maintain strong governance mechanisms and to ensure compliance with our security policies and procedures.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Although we have implemented what we believe to be an appropriate information security program to protect against, detect, mitigate, and respond to</w:t>
      </w:r>
    </w:p>
    <w:p>
      <w:pPr>
        <w:spacing w:after="0" w:line="3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cybersecurity risks, there can be no assurance that such risks, including incidents, may be prevented or timely detected. During the year ended December 31, 2024, we did not experience any material cybersecurity incidents, including cybersecurity incidents that materially affected or are reasonably likely to materially affect the Company, our business strategy, results of operations, or financial condition. See “Risk Factors—Risks Relating to the Operation of Our Business—</w:t>
      </w:r>
      <w:r>
        <w:rPr>
          <w:rFonts w:ascii="Times New Roman" w:cs="Times New Roman" w:eastAsia="Times New Roman" w:hAnsi="Times New Roman"/>
          <w:sz w:val="18"/>
          <w:szCs w:val="18"/>
          <w:i w:val="1"/>
          <w:iCs w:val="1"/>
          <w:color w:val="auto"/>
        </w:rPr>
        <w:t>The security of our information technology systems may be compromised and confidential information, including non-public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that we maintain, could be improperly disclosed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4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board of directors, led by the board’s technology, innovation and operations committee, actively oversees our information security program, with our management, inlcluding the CIO and CISO, providing the board and that committee with regular updates (including at each of the three meetings held by that committee in 2024) and reporting on our IT strategy, including information security strategies and initiatives, event preparedness and incremental improvement efforts.</w:t>
      </w:r>
    </w:p>
    <w:p>
      <w:pPr>
        <w:spacing w:after="0" w:line="11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CIO and CISO, who are well qualified, oversee our information security program and are responsible for assessing and managing our risks from cybersecurity threats. Our CIO has over 25 years of experience serving Fortune 500 companies in the area of information technology, including over 20 years in mortgage and financial services, with roles ranging from overseeing application development and delivery to enhance risk management capability and improve operational efficiency to</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57" w:name="page58"/>
    <w:bookmarkEnd w:id="57"/>
    <w:p>
      <w:pPr>
        <w:spacing w:after="0" w:line="266" w:lineRule="auto"/>
        <w:rPr>
          <w:sz w:val="20"/>
          <w:szCs w:val="20"/>
          <w:color w:val="auto"/>
        </w:rPr>
      </w:pPr>
      <w:r>
        <w:rPr>
          <w:rFonts w:ascii="Times New Roman" w:cs="Times New Roman" w:eastAsia="Times New Roman" w:hAnsi="Times New Roman"/>
          <w:sz w:val="18"/>
          <w:szCs w:val="18"/>
          <w:color w:val="auto"/>
        </w:rPr>
        <w:t>information technology strategy, architecture, delivery, and management. Similarly, our CISO has over 25 years of experience working for financial services companies in information technology, including roles overseeing e-commerce, technical infrastructure management and architecture, and over 20 years overseeing information security programs.</w:t>
      </w:r>
    </w:p>
    <w:p>
      <w:pPr>
        <w:spacing w:after="0" w:line="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62"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lease office facilities in Radnor, Pennsylvania for the headquarters of our U.S. mortgage insurance business and title and settlement services operations, with additional offices in North Carolina, Pennsylvania, Missouri, New York and Virginia for our U.S.-based operations, and we lease office facilities in Bermuda for our holding company headquarters and reinsurance company. We believe our current facilities are adequate for our current needs and that suitable additional space will be available as and when needed.</w:t>
      </w:r>
    </w:p>
    <w:p>
      <w:pPr>
        <w:spacing w:after="0" w:line="1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9" w:right="47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COMPANY'S COMMON EQUITY, RELATED STOCKHOLDER MATTERS AND ISSUER PURCHASES OF EQUITY SECURITIES</w:t>
      </w:r>
    </w:p>
    <w:p>
      <w:pPr>
        <w:spacing w:after="0" w:line="7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Our common shares trade on the New York Stock Exchange (NYSE) under the symbol "ESNT." As of February 14, 2025, we had approximately 9 holders of record of our common shares.</w:t>
      </w:r>
    </w:p>
    <w:p>
      <w:pPr>
        <w:spacing w:after="0" w:line="9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have paid a quarterly dividend since September 2019. A dividend of $0.28 per share for each of the first, second, third and fourth quarters of 2024 was declared and paid, and a dividend of $0.31 per share had been declared by our board of directors with a record date of March 14, 2025 and a payment date of March 24, 2025. We presently expect to continue to declare a materially comparable regular quarterly dividend on our common stock in the future. For information on Essent Group's ability to pay dividends, see Item 7 "Management's Discussion and Analysis of Financial Condition and Results of Operations—Liquidity and Capital Resources."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48"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following performance graph compares, for the period from January 1, 2020 through December 31, 2024, the cumulative total shareholder return of an investment in (i) our common shares, (ii) the S&amp;P 500 and (iii) a composite peer group selected by us consisting of Arch Capital Group Ltd., Enact Holdings, Inc. (from and after September 16, 2021), Genworth Financial, Inc. (through September 15, 2021), MGIC Investment Corporation, NMI Holdings, Inc. and Radian Group Inc. (collectively, the "Peer Index"). We selected the members of each peer group because each was, at the time, a direct competitor of ours in the private mortgage insurance industry. On September 16, 2021, shares of common stock Enact Holdings, Inc. began trading on the Nasdaq Global Select Market, independent of the shares of its parent company, Genworth Financial, Inc. (which retained approximately 80% of the outstanding common shares of Enact Holdings, Inc. after its initial public offering on such date).</w:t>
      </w:r>
    </w:p>
    <w:p>
      <w:pPr>
        <w:spacing w:after="0" w:line="121"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71120</wp:posOffset>
            </wp:positionV>
            <wp:extent cx="5580380" cy="2408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8038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96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23"/>
        </w:trPr>
        <w:tc>
          <w:tcPr>
            <w:tcW w:w="2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S&amp;P 500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$116.26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$147.52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$118.84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$147.64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$182.05</w:t>
            </w:r>
          </w:p>
        </w:tc>
      </w:tr>
      <w:tr>
        <w:trPr>
          <w:trHeight w:val="229"/>
        </w:trPr>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Peer Index</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$84.99</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$113.20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$162.19</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$199.04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$251.24</w:t>
            </w:r>
          </w:p>
        </w:tc>
      </w:tr>
      <w:tr>
        <w:trPr>
          <w:trHeight w:val="230"/>
        </w:trPr>
        <w:tc>
          <w:tcPr>
            <w:tcW w:w="2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ESNT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$85.81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$93.15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$82.70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$116.74</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$124.72</w:t>
            </w:r>
          </w:p>
        </w:tc>
      </w:tr>
    </w:tbl>
    <w:p>
      <w:pPr>
        <w:spacing w:after="0" w:line="319"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December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5"/>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88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80" w:type="dxa"/>
            <w:vAlign w:val="bottom"/>
          </w:tcPr>
          <w:p>
            <w:pPr>
              <w:spacing w:after="0"/>
              <w:rPr>
                <w:sz w:val="17"/>
                <w:szCs w:val="17"/>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2024</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918,874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1,197,292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147,279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20" w:right="20" w:hanging="412"/>
        <w:spacing w:after="0" w:line="253" w:lineRule="auto"/>
        <w:tabs>
          <w:tab w:leader="none" w:pos="4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was authorized to purchase up to $250 million of its common shares, announced in October 2023, of which $102.7 million had been utilized. The remaining $147.3 million in the table represents the amount available to repurchase shares under the share repurchase plan as of December 31, 2024. In January 2025, we repurchased 918,464 shares for $51.8 million. In February 2025, our Board approved an additional $500 million share repurchase authorization that runs through year-end 2026.</w:t>
      </w:r>
    </w:p>
    <w:p>
      <w:pPr>
        <w:spacing w:after="0" w:line="1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60" w:name="page61"/>
    <w:bookmarkEnd w:id="6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46"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one reportable segment: Mortgage Insurance.</w:t>
      </w:r>
    </w:p>
    <w:p>
      <w:pPr>
        <w:spacing w:after="0" w:line="9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For the years ended December 31, 2024, 2023 and 2022, our mortgage insurance operations generated new insurance written, or NIW, of approximately $45.6 billion, $47.7 billion and $63.1 billion, respectively. As of December 31, 2024, we had approximately $243.6 billion of mortgage insurance in force. The financial strength ratings of Essent Guaranty are A3 with a positive outlook by Moody's Investors Service, Inc. ("Moody's"), A- with a stable outlook by S&amp;P Global Ratings ("S&amp;P") and A (Excellent) with a stable outlook by A.M. Best Company ("AM Best").</w:t>
      </w:r>
    </w:p>
    <w:p>
      <w:pPr>
        <w:spacing w:after="0" w:line="120"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which we refer to as "Essent Re", we reinsure U.S. mortgage risk in the GSE credit risk transfer market and provide underwriting consulting services to third-party reinsurers. As of December 31, 2024, Essent Re provided insurance or reinsurance relating to GSE risk share and other reinsurance transactions covering approximately $2.2 billion of risk. Essent Re also reinsures Essent Guaranty's NIW under a quota share reinsurance agreement. The insurer financial strength ratings of Essent Re are A- with a stable outlook by S&amp;P and A (Excellent) with a stable outlook by A.M. Best.</w:t>
      </w:r>
    </w:p>
    <w:p>
      <w:pPr>
        <w:spacing w:after="0" w:line="116"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which was effective July 1, 2023. Title insurance operations are included in the Corporate &amp; Other category.</w:t>
      </w:r>
    </w:p>
    <w:p>
      <w:pPr>
        <w:spacing w:after="0" w:line="99"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We have a highly experienced, talented team with 625 employees as of December 31, 2024. Our holding company and reinsurance business are domiciled in Bermuda. Our U.S. mortgage insurance and title insurance operations are headquartered in Radnor, Pennsylvania.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6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has reduced the target federal funds rate by 100 basis points since September 2024.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10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 expectations for the amount of ultimate losses on these delinquencies.</w:t>
      </w:r>
    </w:p>
    <w:p>
      <w:pPr>
        <w:spacing w:after="0" w:line="116"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January 31, 2025, our insurance in force in areas with Federal Emergency Management Agency (FEMA) disaster declarations due to these wildfires was less than 0.1% of our total insurance in force.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14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162"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102"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58"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162"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7"/>
          <w:szCs w:val="17"/>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83" w:lineRule="exact"/>
        <w:rPr>
          <w:sz w:val="20"/>
          <w:szCs w:val="20"/>
          <w:color w:val="auto"/>
        </w:rPr>
      </w:pPr>
    </w:p>
    <w:p>
      <w:pPr>
        <w:ind w:left="660" w:right="140" w:hanging="247"/>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08" w:lineRule="exact"/>
        <w:rPr>
          <w:rFonts w:ascii="Times New Roman" w:cs="Times New Roman" w:eastAsia="Times New Roman" w:hAnsi="Times New Roman"/>
          <w:sz w:val="18"/>
          <w:szCs w:val="18"/>
          <w:color w:val="auto"/>
        </w:rPr>
      </w:pPr>
    </w:p>
    <w:p>
      <w:pPr>
        <w:ind w:left="660" w:right="260" w:hanging="247"/>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94" w:lineRule="exact"/>
        <w:rPr>
          <w:rFonts w:ascii="Times New Roman" w:cs="Times New Roman" w:eastAsia="Times New Roman" w:hAnsi="Times New Roman"/>
          <w:sz w:val="18"/>
          <w:szCs w:val="18"/>
          <w:color w:val="auto"/>
        </w:rPr>
      </w:pPr>
    </w:p>
    <w:p>
      <w:pPr>
        <w:ind w:left="660" w:right="220" w:hanging="247"/>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80"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5 to our consolidated financial statements.</w:t>
      </w:r>
    </w:p>
    <w:p>
      <w:pPr>
        <w:spacing w:after="0" w:line="158"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2024 were non-refundable. Premiums collected on annual policies are recognized as net premiums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2" w:name="page63"/>
    <w:bookmarkEnd w:id="62"/>
    <w:p>
      <w:pPr>
        <w:ind w:right="60"/>
        <w:spacing w:after="0" w:line="282" w:lineRule="auto"/>
        <w:rPr>
          <w:sz w:val="20"/>
          <w:szCs w:val="20"/>
          <w:color w:val="auto"/>
        </w:rPr>
      </w:pPr>
      <w:r>
        <w:rPr>
          <w:rFonts w:ascii="Times New Roman" w:cs="Times New Roman" w:eastAsia="Times New Roman" w:hAnsi="Times New Roman"/>
          <w:sz w:val="18"/>
          <w:szCs w:val="18"/>
          <w:color w:val="auto"/>
        </w:rPr>
        <w:t>earned on a straight-line basis over the year of coverage. For the years ended December 31, 2024 and 2023, monthly premium policies comprised 99% and 97% of our NIW, respectively.</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15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14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U.S. mortgage insurance portfolio was 85.7% at December 31, 2024. Generally, higher prepayment speeds lead to lower persistency.</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December 31, 2024.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162"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is dependent upon the number of customers who have engaged us for these services. Revenue from underwriting consulting services to third-party reinsurers is also dependent upon the level of premiums associated with the transactions underwritten for these customers. Revenues from title settlement services and contract underwriting are also dependent upon the number of loans processed for these customers.</w:t>
      </w:r>
    </w:p>
    <w:p>
      <w:pPr>
        <w:spacing w:after="0" w:line="116"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9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As more fully described in Note 5 to our consolidated financial statements, the premiums ceded under certain reinsurance contracts with unaffiliated third parties varies based on changes in market interest rates. Under GAAP, these contracts contain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3" w:name="page64"/>
    <w:bookmarkEnd w:id="63"/>
    <w:p>
      <w:pPr>
        <w:ind w:right="120"/>
        <w:spacing w:after="0" w:line="282" w:lineRule="auto"/>
        <w:rPr>
          <w:sz w:val="20"/>
          <w:szCs w:val="20"/>
          <w:color w:val="auto"/>
        </w:rPr>
      </w:pPr>
      <w:r>
        <w:rPr>
          <w:rFonts w:ascii="Times New Roman" w:cs="Times New Roman" w:eastAsia="Times New Roman" w:hAnsi="Times New Roman"/>
          <w:sz w:val="18"/>
          <w:szCs w:val="18"/>
          <w:color w:val="auto"/>
        </w:rPr>
        <w:t>embedded derivatives that are accounted for separately as freestanding derivatives. The change in the fair value of the embedded derivatives is reported in earnings and included in other income.</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Mortgage Insurance</w:t>
      </w:r>
    </w:p>
    <w:p>
      <w:pPr>
        <w:spacing w:after="0" w:line="160"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158" w:lineRule="exact"/>
        <w:rPr>
          <w:sz w:val="20"/>
          <w:szCs w:val="20"/>
          <w:color w:val="auto"/>
        </w:rPr>
      </w:pPr>
    </w:p>
    <w:p>
      <w:pPr>
        <w:ind w:left="660" w:right="200" w:hanging="247"/>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94" w:lineRule="exact"/>
        <w:rPr>
          <w:rFonts w:ascii="Times New Roman" w:cs="Times New Roman" w:eastAsia="Times New Roman" w:hAnsi="Times New Roman"/>
          <w:sz w:val="18"/>
          <w:szCs w:val="18"/>
          <w:color w:val="auto"/>
        </w:rPr>
      </w:pPr>
    </w:p>
    <w:p>
      <w:pPr>
        <w:ind w:left="660" w:right="220" w:hanging="247"/>
        <w:spacing w:after="0" w:line="312"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58" w:lineRule="exact"/>
        <w:rPr>
          <w:rFonts w:ascii="Times New Roman" w:cs="Times New Roman" w:eastAsia="Times New Roman" w:hAnsi="Times New Roman"/>
          <w:sz w:val="17"/>
          <w:szCs w:val="17"/>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144" w:lineRule="exact"/>
        <w:rPr>
          <w:rFonts w:ascii="Times New Roman" w:cs="Times New Roman" w:eastAsia="Times New Roman" w:hAnsi="Times New Roman"/>
          <w:sz w:val="18"/>
          <w:szCs w:val="18"/>
          <w:color w:val="auto"/>
        </w:rPr>
      </w:pPr>
    </w:p>
    <w:p>
      <w:pPr>
        <w:jc w:val="both"/>
        <w:ind w:left="660" w:right="120" w:hanging="247"/>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08" w:lineRule="exact"/>
        <w:rPr>
          <w:rFonts w:ascii="Times New Roman" w:cs="Times New Roman" w:eastAsia="Times New Roman" w:hAnsi="Times New Roman"/>
          <w:sz w:val="18"/>
          <w:szCs w:val="18"/>
          <w:color w:val="auto"/>
        </w:rPr>
      </w:pPr>
    </w:p>
    <w:p>
      <w:pPr>
        <w:ind w:left="660" w:right="240" w:hanging="247"/>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December 31, 2024, 56% of our IIF relates to mortgage insurance business written since January 1, 2022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1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"—Critical Accounting Policies" for further information.</w:t>
      </w:r>
    </w:p>
    <w:p>
      <w:pPr>
        <w:spacing w:after="0" w:line="102"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December 31, 2024, 56% of our IIF relates to business written since January 1, 2022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0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initially implemented in March 2020 as a result of the novel coronavirus disease 2019 ("COVID-19"), unemployment in the United States increased significantly in the second quarter of 2020, declining during the second half of 2020 through 2022. As unemployment is one of the most common reasons for borrowers to default on their mortgage, the increase in unemployment increased the number of delinquencies on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4" w:name="page65"/>
    <w:bookmarkEnd w:id="64"/>
    <w:p>
      <w:pPr>
        <w:ind w:right="60"/>
        <w:spacing w:after="0" w:line="258" w:lineRule="auto"/>
        <w:rPr>
          <w:sz w:val="20"/>
          <w:szCs w:val="20"/>
          <w:color w:val="auto"/>
        </w:rPr>
      </w:pPr>
      <w:r>
        <w:rPr>
          <w:rFonts w:ascii="Times New Roman" w:cs="Times New Roman" w:eastAsia="Times New Roman" w:hAnsi="Times New Roman"/>
          <w:sz w:val="18"/>
          <w:szCs w:val="18"/>
          <w:color w:val="auto"/>
        </w:rPr>
        <w:t>mortgages we insure, and has the potential to increase claim frequencies on defaults. We experienced a significant increase in the amount of new defaults reported in 2020, especially during the second and third quarters of 2020. We received 36,784 defaults in the three months ended June 30, 2020 and 12,614 defaults in the three months ended September 30, 2020, which resulted in a significant increase in our default rate from 0.83% at March 31, 2020 to 4.54% at September 30, 2020. We segmented these two quarters’ 49,398 defaults as specifically COVID-19 related (“Early COVID Defaults”) and provided losses for these two cohorts differently as compared to our normal loss reserving methodology.</w:t>
      </w:r>
    </w:p>
    <w:p>
      <w:pPr>
        <w:spacing w:after="0" w:line="102"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while extending traditional default-to-claim timelines.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12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 using our normal reserve methodology. The transition of defaults to foreclosure or claim has not returned to pre-pandemic levels as of December 31, 2024. As a result, the level of defaults in the default inventory that have missed twelve or more payments is above pre-pandemic levels.</w:t>
      </w:r>
    </w:p>
    <w:p>
      <w:pPr>
        <w:spacing w:after="0" w:line="127" w:lineRule="exact"/>
        <w:rPr>
          <w:sz w:val="20"/>
          <w:szCs w:val="20"/>
          <w:color w:val="auto"/>
        </w:rPr>
      </w:pPr>
    </w:p>
    <w:p>
      <w:pPr>
        <w:jc w:val="both"/>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has reduced the target federal funds rate by 100 basis points since September 2024.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02"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27"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January 31, 2025, our insurance in force in areas with FEMA disaster declarations due to these wildfires was less than 0.1% of our total insurance in force.</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to our consolidated financial statements, at December 31, 2024, we had approximately $1.6 billion of excess of loss reinsurance covering NIW from January 1, 2018 through August 31, 2019 and August 1, 2020 through December 31, 2024 and quota share reinsurance on portions of our NIW effective September 1, 2019 through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ind w:right="80"/>
        <w:spacing w:after="0" w:line="312" w:lineRule="auto"/>
        <w:rPr>
          <w:sz w:val="20"/>
          <w:szCs w:val="20"/>
          <w:color w:val="auto"/>
        </w:rPr>
      </w:pPr>
      <w:r>
        <w:rPr>
          <w:rFonts w:ascii="Times New Roman" w:cs="Times New Roman" w:eastAsia="Times New Roman" w:hAnsi="Times New Roman"/>
          <w:sz w:val="17"/>
          <w:szCs w:val="17"/>
          <w:color w:val="auto"/>
        </w:rPr>
        <w:t>December 31, 2020 and January 1, 2022 through December 31, 2024. The impact on our reserves in future periods will be dependent upon the amount of delinquent notices received from loan servicers, the performance of defaults and our expectations for the amount of ultimate losses on these delinquencies.</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60"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1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5 to our consolidated financial statements.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48"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60%, 58% and 59% of other underwriting and operating expenses for the years ended December 31, 2024, 2023 and 2022, respectively. Compensation and benefits expense includes base and incentive cash compensation, stock compensation expense, benefits and payroll taxes.</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9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Through June 30, 2024, interest expense was incurred as a result of borrowings under our secured credit facility (the “Existing Credit Facility”). Borrowings accrued interest at a floating rate tied to a standard short-term borrowing index, selected</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7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1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subsidiaries, Essent Re and Essent Agency (Bermuda) Ltd., are domiciled in Bermuda, and their income is not subject to a corporate income tax as of December 31, 2024. See "—Legislative and Regulatory Developments—Bermuda Corporate Income Tax" above.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1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162"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years ended December 31, 2024, 2023 and 2022 for our U.S. mortgage insurance portfolio. In addition, this table includes our RIF at the end of each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227,062,055</w:t>
            </w:r>
          </w:p>
        </w:tc>
        <w:tc>
          <w:tcPr>
            <w:tcW w:w="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207,190,544</w:t>
            </w:r>
          </w:p>
        </w:tc>
        <w:tc>
          <w:tcPr>
            <w:tcW w:w="0" w:type="dxa"/>
            <w:vAlign w:val="bottom"/>
          </w:tcPr>
          <w:p>
            <w:pPr>
              <w:spacing w:after="0"/>
              <w:rPr>
                <w:sz w:val="1"/>
                <w:szCs w:val="1"/>
                <w:color w:val="auto"/>
              </w:rPr>
            </w:pPr>
          </w:p>
        </w:tc>
      </w:tr>
      <w:tr>
        <w:trPr>
          <w:trHeight w:val="230"/>
        </w:trPr>
        <w:tc>
          <w:tcPr>
            <w:tcW w:w="5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NIW</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45,561,332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47,666,852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63,061,262</w:t>
            </w:r>
          </w:p>
        </w:tc>
        <w:tc>
          <w:tcPr>
            <w:tcW w:w="0" w:type="dxa"/>
            <w:vAlign w:val="bottom"/>
          </w:tcPr>
          <w:p>
            <w:pPr>
              <w:spacing w:after="0"/>
              <w:rPr>
                <w:sz w:val="1"/>
                <w:szCs w:val="1"/>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Cancellations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(40,994,171)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(35,650,645)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(43,189,751)</w:t>
            </w:r>
          </w:p>
        </w:tc>
        <w:tc>
          <w:tcPr>
            <w:tcW w:w="0" w:type="dxa"/>
            <w:vAlign w:val="bottom"/>
          </w:tcPr>
          <w:p>
            <w:pPr>
              <w:spacing w:after="0"/>
              <w:rPr>
                <w:sz w:val="1"/>
                <w:szCs w:val="1"/>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227,062,055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241,571,892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234,518,135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215,485,518</w:t>
            </w:r>
          </w:p>
        </w:tc>
        <w:tc>
          <w:tcPr>
            <w:tcW w:w="0" w:type="dxa"/>
            <w:vAlign w:val="bottom"/>
          </w:tcPr>
          <w:p>
            <w:pPr>
              <w:spacing w:after="0"/>
              <w:rPr>
                <w:sz w:val="1"/>
                <w:szCs w:val="1"/>
                <w:color w:val="auto"/>
              </w:rPr>
            </w:pPr>
          </w:p>
        </w:tc>
      </w:tr>
      <w:tr>
        <w:trPr>
          <w:trHeight w:val="234"/>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56,477,150</w:t>
            </w:r>
          </w:p>
        </w:tc>
        <w:tc>
          <w:tcPr>
            <w:tcW w:w="10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54,591,590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49,903,626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IIF at December 31, 2024 by vintage: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560" w:type="dxa"/>
            <w:vAlign w:val="bottom"/>
          </w:tcPr>
          <w:p>
            <w:pPr>
              <w:spacing w:after="0"/>
              <w:rPr>
                <w:sz w:val="16"/>
                <w:szCs w:val="16"/>
                <w:color w:val="auto"/>
              </w:rPr>
            </w:pPr>
          </w:p>
        </w:tc>
        <w:tc>
          <w:tcPr>
            <w:tcW w:w="1560" w:type="dxa"/>
            <w:vAlign w:val="bottom"/>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240" w:type="dxa"/>
            <w:vAlign w:val="bottom"/>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43,370,993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41,118,618</w:t>
            </w:r>
          </w:p>
        </w:tc>
        <w:tc>
          <w:tcPr>
            <w:tcW w:w="100" w:type="dxa"/>
            <w:vAlign w:val="bottom"/>
          </w:tcPr>
          <w:p>
            <w:pPr>
              <w:spacing w:after="0"/>
              <w:rPr>
                <w:sz w:val="19"/>
                <w:szCs w:val="19"/>
                <w:color w:val="auto"/>
              </w:rPr>
            </w:pPr>
          </w:p>
        </w:tc>
        <w:tc>
          <w:tcPr>
            <w:tcW w:w="2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51,504,293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50,162,523</w:t>
            </w:r>
          </w:p>
        </w:tc>
        <w:tc>
          <w:tcPr>
            <w:tcW w:w="100" w:type="dxa"/>
            <w:vAlign w:val="bottom"/>
          </w:tcPr>
          <w:p>
            <w:pPr>
              <w:spacing w:after="0"/>
              <w:rPr>
                <w:sz w:val="19"/>
                <w:szCs w:val="19"/>
                <w:color w:val="auto"/>
              </w:rPr>
            </w:pPr>
          </w:p>
        </w:tc>
        <w:tc>
          <w:tcPr>
            <w:tcW w:w="2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35,499,947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2019 and prior</w:t>
            </w:r>
          </w:p>
        </w:tc>
        <w:tc>
          <w:tcPr>
            <w:tcW w:w="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21,989,049</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6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148" w:lineRule="exact"/>
        <w:rPr>
          <w:sz w:val="20"/>
          <w:szCs w:val="20"/>
          <w:color w:val="auto"/>
        </w:rPr>
      </w:pPr>
    </w:p>
    <w:p>
      <w:pPr>
        <w:jc w:val="both"/>
        <w:ind w:right="80" w:firstLine="405"/>
        <w:spacing w:after="0" w:line="258"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our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00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000" w:type="dxa"/>
            <w:vAlign w:val="bottom"/>
            <w:gridSpan w:val="2"/>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r>
      <w:tr>
        <w:trPr>
          <w:trHeight w:val="22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7"/>
              </w:rPr>
              <w:t>0.41 %</w:t>
            </w:r>
          </w:p>
        </w:tc>
        <w:tc>
          <w:tcPr>
            <w:tcW w:w="100" w:type="dxa"/>
            <w:vAlign w:val="bottom"/>
            <w:tcBorders>
              <w:top w:val="single" w:sz="8" w:color="auto"/>
            </w:tcBorders>
            <w:shd w:val="clear" w:color="auto" w:fill="CCEEFF"/>
          </w:tcPr>
          <w:p>
            <w:pPr>
              <w:spacing w:after="0"/>
              <w:rPr>
                <w:sz w:val="19"/>
                <w:szCs w:val="19"/>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r>
      <w:tr>
        <w:trPr>
          <w:trHeight w:val="223"/>
        </w:trPr>
        <w:tc>
          <w:tcPr>
            <w:tcW w:w="6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0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6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r>
      <w:tr>
        <w:trPr>
          <w:trHeight w:val="248"/>
        </w:trPr>
        <w:tc>
          <w:tcPr>
            <w:tcW w:w="6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7"/>
              </w:rPr>
              <w:t>0.37 %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reduce our average net premium rate in future periods.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162"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U.S. mortgage insurance policy cancellations on IIF is our persistency rate, defined as the percentage of IIF that remains on our books after any twelve-month period. See additional discussion regarding the impact of the persistency rate on our performance in "— Factors Affecting Our Results of Operations—Persistency and Business Mix."</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162"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1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2024, the net risk in force for Essent Guaranty was $35.2 billion and its statutory capital was $3.6 billion, resulting in a risk-to-capital ratio of 9.8:1.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9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820,029</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842,527</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1,000,824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(174,704)</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988,187</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729,403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696,386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831,353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60"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increase in net premiums earned for 2024 compared to 2023 is primarily driven by increases in net premiums earned in both our mortgage insurance and title insurance operations in 2024. For more information, see Net Premiums Written and Earned under “Results of Operations: Mortgage Insurance” and Net Premiums Earned under “Results of Operations: Corporate &amp; Other”.</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consolidated net investment income was derived from the following sources for the periods indicated:</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192,480</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The increase in our consolidated net investment income to $222.1 million for the year ended December 31, 2024 as compared to $186.1 million for the year ended December 31, 2023 was due to the increase in the weighted average balance of our investment portfolio, as well as an increase in the average yield on the investment portfolio. The average balance of investments at amortized cost increased to $6.1 billion during the year ended December 31, 2024 from $5.5 billion during the year ended December 31, 2023, primarily as a result of investing cash flows generated from operations. The pre-tax investment income yield increased from 3.5% in the year ended December 31, 2023 to 3.7% in the year ended December 31, 2024 primarily due to a general increase in investment yields due to increasing interest rates.</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69" w:name="page70"/>
    <w:bookmarkEnd w:id="69"/>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pre-tax investment income yields are calculated based on amortized cost and exclude investment expenses. See "—Liquidity and Capital Resources" for further details of our investment portfolio.</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(Loss) from Other Invested Assets</w:t>
      </w:r>
    </w:p>
    <w:p>
      <w:pPr>
        <w:spacing w:after="0" w:line="160"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Income from other invested assets for the year ended December 31, 2024 was a gain of $7.4 million as compared to a loss of $11.1 million for the year ended December 31, 2023. The increase in income from other invested assets for the year ended December 31, 2024 as compared to the year ended December 31, 2023 was primarily due to favorable fair value adjustments recorded during 2024.</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4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Other income was $24.9 million for the year ended December 31, 2024 compared to $25.0 million for the year ended December 31, 2023. Other income includes fair value adjustments on embedded derivatives contained in certain of our reinsurance agreements. In the year ended December 31, 2024 we recorded a net unfavorable decrease in the fair value of the embedded derivatives of $2.1 million compared to a net favorable increase of $1.9 million in the year ended December 31, 2023.</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4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The increased provision for losses for 2024 compared to 2023 was primarily driven by an increase in new mortgage insurance defaults, which impacted our mortgage insurance reserves. See “Results of Operations: Mortgage Insurance" for more information.</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60"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underwriting and operating expenses for 2024 compared to 2023 was primarily due to an increase in compensation expense, including stock compensation, primarily due to increased headcounts, as well as an increase other general operating expenses, both resulting from 12 months of title insurance operations in 2024. For more information, see “Results of Operations: Mortgage Insurance” and “Results of Operations: Corporate &amp; Other.”</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2023, we incurred interest expense of $35.3 million and $30.1 million, respectively. Interest expense increased in 2024 compared to 2023 due to an increase in the average outstanding borrowings during the period and a $3.2 million loss on debt extinguishment for the write-off of unamortized debt issuance costs, partially offset by a decrease in the weighted average interest rate. On July 1, 2024, Essent Group issued $500 million of 6.25% senior notes and utilized the proceeds to repay all of the outstanding term loan borrowings under the Credit Facility. For the years ending December 31, 2024 and 2023, our borrowings carried a weighted average interest rate of 6.68% and 6.84%, respectively. For the years ended December 31, 2024 and 2023, the average amount of borrowings outstanding was $462.5 million and $425.0 million, respectively.</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$126.1 million for the year ended December 31, 2024 compared to $126.6 million for the year ended December 31, 2023. The effective tax rate for the year ended December 31, 2024 was 14.7% compared to 15.4% for the year ended December 31, 2023. Our effective income tax rate reflects the amount of earnings or losses generated in the jurisdictions in which we operate, the applicable tax rates and regulations in those jurisdictions, and the impact of discrete items. For the year ended December 31, 2024, income tax expense includes $1.3 million of favorable adjustments related to prior year tax returns and $0.7 million of excess tax benefits associated with the vesting of common shares and common share units. For the year ended December 31, 2023, income tax expense includes $5.3 million of net expense associated with prior year tax returns and a $2.7 million net benefit for the deferred tax asset recognized for unrealized losses on the investment portfolios of Essent Group and Essent Re upon the enactment of the Bermuda Corporate Income Tax. See Note 12 to our consolidated financial statements.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and 2023, we concluded that it was more likely than not that our deferred tax assets would be realized.</w:t>
      </w:r>
    </w:p>
    <w:p>
      <w:pPr>
        <w:spacing w:after="0" w:line="156" w:lineRule="exact"/>
        <w:rPr>
          <w:sz w:val="20"/>
          <w:szCs w:val="20"/>
          <w:color w:val="auto"/>
        </w:rPr>
      </w:pPr>
    </w:p>
    <w:p>
      <w:pPr>
        <w:jc w:val="both"/>
        <w:ind w:right="4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Pursuant to the FAST Act Modernization and Simplification of Regulation S-K, discussions related to the changes in the consolidated results of operations for the year ended December 31, 2023 compared to the year ended December 31, 2022 have been omitted. Such omitted discussion can be found under Item 7 of our Annual Report on Form 10-K for the year ended December 31, 2023 filed with the Securities and Exchange Commission on February 16, 2024.</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02"/>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924,676</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878,937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842,527</w:t>
            </w: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183,341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112,285</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(1,829)</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33,142</w:t>
            </w: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20,692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18,384</w:t>
            </w:r>
          </w:p>
        </w:tc>
      </w:tr>
      <w:tr>
        <w:trPr>
          <w:trHeight w:val="223"/>
        </w:trPr>
        <w:tc>
          <w:tcPr>
            <w:tcW w:w="6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1,126,997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1,052,615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1,004,509</w:t>
            </w:r>
          </w:p>
        </w:tc>
      </w:tr>
      <w:tr>
        <w:trPr>
          <w:trHeight w:val="250"/>
        </w:trPr>
        <w:tc>
          <w:tcPr>
            <w:tcW w:w="6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(174,704)</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115,744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115,182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111,505</w:t>
            </w:r>
          </w:p>
        </w:tc>
      </w:tr>
      <w:tr>
        <w:trPr>
          <w:trHeight w:val="223"/>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190,926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(63,199)</w:t>
            </w:r>
          </w:p>
        </w:tc>
      </w:tr>
      <w:tr>
        <w:trPr>
          <w:trHeight w:val="229"/>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43,787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48,100</w:t>
            </w:r>
          </w:p>
        </w:tc>
      </w:tr>
      <w:tr>
        <w:trPr>
          <w:trHeight w:val="223"/>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234,713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192,576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(15,099)</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892,284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860,039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1,019,608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21"/>
        </w:trPr>
        <w:tc>
          <w:tcPr>
            <w:tcW w:w="6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25.4 %</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21.9 %</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0" w:hanging="174"/>
        <w:spacing w:after="0"/>
        <w:tabs>
          <w:tab w:leader="none" w:pos="20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for losses and LAE by net premiums earned.</w:t>
      </w:r>
    </w:p>
    <w:p>
      <w:pPr>
        <w:spacing w:after="0" w:line="26" w:lineRule="exact"/>
        <w:rPr>
          <w:rFonts w:ascii="Times New Roman" w:cs="Times New Roman" w:eastAsia="Times New Roman" w:hAnsi="Times New Roman"/>
          <w:sz w:val="13"/>
          <w:szCs w:val="13"/>
          <w:b w:val="1"/>
          <w:bCs w:val="1"/>
          <w:color w:val="auto"/>
        </w:rPr>
      </w:pPr>
    </w:p>
    <w:p>
      <w:pPr>
        <w:ind w:left="20" w:right="5120" w:firstLine="6"/>
        <w:spacing w:after="0" w:line="229" w:lineRule="auto"/>
        <w:tabs>
          <w:tab w:leader="none" w:pos="198"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098030"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111760"/>
                    </a:xfrm>
                    <a:prstGeom prst="rect">
                      <a:avLst/>
                    </a:prstGeom>
                    <a:noFill/>
                  </pic:spPr>
                </pic:pic>
              </a:graphicData>
            </a:graphic>
          </wp:anchor>
        </w:drawing>
      </w:r>
    </w:p>
    <w:p>
      <w:pPr>
        <w:spacing w:after="0" w:line="31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Year Ended December 31, 2024 Compared to the Year Ended December 31, 2023 and Year Ended December 31, 2023 Compared to the Year Ended December 31, 2022</w:t>
      </w:r>
    </w:p>
    <w:p>
      <w:pPr>
        <w:spacing w:after="0" w:line="9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Mortgage Insurance segment reported income before income tax expense of $892.3 million, compared to income before income tax expense of $860.0 million for the year ended December 31, 2023. The increase in our operating results in 2024 over 2023 was primarily due to an increase in net premiums earned and investment income, partially offset by an increase in the provision for losses and LAE.</w:t>
      </w:r>
    </w:p>
    <w:p>
      <w:pPr>
        <w:spacing w:after="0" w:line="10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Our Mortgage Insurance segment reported income before income tax expense of $1.0 billion for the year ended December 31, 2022. The decrease in our operating results in 2023 compared to 2022 was primarily due to an increase in the provision for losses and LAE, partially offset by increases in net premiums earned and net investment income.</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16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Mortgage Insurance net premiums earned increased in the year ended December 31, 2024 by 5% compared to the year ended December 31, 2023. The increase in net premiums earned was due to the increase in our average IIF from $234.5 billion in 2023 to $241.6 billion in 2024. The average net premium rate was 0.35% for both the years ended December 31, 2024 and 2023.</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Mortgage Insurance net premiums earned increased in the year ended December 31, 2023 by 9% compared to the year ended December 31, 2022. The increase in net premiums written and earned was due to the increase in our average IIF from $215.5 billion in 2022 to $234.5 billion in 2023, partially offset by the decrease in the average net premium rate from 0.37% for the year ended December 31, 2022 to 0.35% for the year ended December 31, 2023. The decrease in the average net premium rate during the year ended December 31, 2023 was a primarily due to changes in the mix of the mortgages we insure, changes in our pricing and a decrease in premiums earned on the cancellation of non-refundable single premium policies. In the year ended December 31, 2023, premiums earned on the cancellation of non-refundable single premium policies decreased to $6.3 million from $20.8 million in the year ended December 31, 2022 as a result of a decrease in existing borrowers refinancing their mortgages during 2023 as compared to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71" w:name="page72"/>
    <w:bookmarkEnd w:id="71"/>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the year ended December 31, 2024, unearned premiums decreased by $24.3 million as a result of $33.3 million of unearned premium that was recognized in earnings during the year partially offset by net premiums written on single premium policies of $9.0 million. In the year ended December 31, 2023, unearned premiums decreased by $22.6 million as a result of $44.6 million of unearned premium that was recognized in earnings during the year partially offset by net premiums written on single premium policies of $22.0 million. In the year ended December 31, 2022, unearned premiums decreased by $22.5 million as a result of $64.2 million of unearned premium that was recognized in earnings during the year partially offset by net premiums written on single premium policies of $41.7 million.</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16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Mortgage Insurance segment recorded a provision losses of $75.2 million compared to a provision of $30.1 million for the year ended December 31, 2023. The increase in the provision for losses in 2024 was primarily due to increases in new defaults reported, resulting in an increase in the provision for losses recorded for current year defaults, partially offset by cure activity for defaults reported in prior years. The increase in defaults was due in part to defaulted loans in the areas impacted by Hurricanes Helene and Milton. In 2024, loans in default increased by a total of 3,620, including 2,119 defaults we identified as hurricane-related defaults. For the year ended December 31, 2022, we recorded a benefit to the provision for losses of $174.7 million primarily due to a decrease in the estimate of ultimate loss for Early COVID Defaults as well as cure activity for defaults with reserves using our normal reserve methodology.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02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Pr>
          <w:p>
            <w:pPr>
              <w:spacing w:after="0"/>
              <w:rPr>
                <w:sz w:val="16"/>
                <w:szCs w:val="16"/>
                <w:color w:val="auto"/>
              </w:rPr>
            </w:pPr>
          </w:p>
        </w:tc>
      </w:tr>
      <w:tr>
        <w:trPr>
          <w:trHeight w:val="23"/>
        </w:trPr>
        <w:tc>
          <w:tcPr>
            <w:tcW w:w="6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6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25,636</w:t>
            </w: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(28,873)</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w:t>
            </w:r>
          </w:p>
        </w:tc>
      </w:tr>
      <w:tr>
        <w:trPr>
          <w:trHeight w:val="21"/>
        </w:trPr>
        <w:tc>
          <w:tcPr>
            <w:tcW w:w="6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 reserves (in thousands) (1)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285,944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226,121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reserves (in thousands) (1)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245,402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14,819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20" w:right="420" w:hanging="412"/>
        <w:spacing w:after="0" w:line="272" w:lineRule="auto"/>
        <w:tabs>
          <w:tab w:leader="none" w:pos="4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$51 thousand and $29 thousand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2" w:name="page73"/>
    <w:bookmarkEnd w:id="72"/>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U.S. mortgage insurance reserve balances for losses and LAE: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406,096</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380,156</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99,351</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(272,785)</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(173,434)</w:t>
            </w:r>
          </w:p>
        </w:tc>
        <w:tc>
          <w:tcPr>
            <w:tcW w:w="0" w:type="dxa"/>
            <w:vAlign w:val="bottom"/>
          </w:tcPr>
          <w:p>
            <w:pPr>
              <w:spacing w:after="0"/>
              <w:rPr>
                <w:sz w:val="1"/>
                <w:szCs w:val="1"/>
                <w:color w:val="auto"/>
              </w:rPr>
            </w:pPr>
          </w:p>
        </w:tc>
      </w:tr>
      <w:tr>
        <w:trPr>
          <w:trHeight w:val="209"/>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201,772</w:t>
            </w:r>
          </w:p>
        </w:tc>
        <w:tc>
          <w:tcPr>
            <w:tcW w:w="0" w:type="dxa"/>
            <w:vAlign w:val="bottom"/>
          </w:tcPr>
          <w:p>
            <w:pPr>
              <w:spacing w:after="0"/>
              <w:rPr>
                <w:sz w:val="1"/>
                <w:szCs w:val="1"/>
                <w:color w:val="auto"/>
              </w:rPr>
            </w:pPr>
          </w:p>
        </w:tc>
      </w:tr>
      <w:tr>
        <w:trPr>
          <w:trHeight w:val="230"/>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0" w:type="dxa"/>
            <w:vAlign w:val="bottom"/>
          </w:tcPr>
          <w:p>
            <w:pPr>
              <w:spacing w:after="0"/>
              <w:rPr>
                <w:sz w:val="1"/>
                <w:szCs w:val="1"/>
                <w:color w:val="auto"/>
              </w:rPr>
            </w:pP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216,390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w:t>
      </w:r>
    </w:p>
    <w:p>
      <w:pPr>
        <w:spacing w:after="0" w:line="113" w:lineRule="exact"/>
        <w:rPr>
          <w:sz w:val="20"/>
          <w:szCs w:val="20"/>
          <w:color w:val="auto"/>
        </w:rPr>
      </w:pPr>
    </w:p>
    <w:p>
      <w:pPr>
        <w:ind w:firstLine="8"/>
        <w:spacing w:after="0" w:line="282"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$51 thousand, $29 thousand, and $0.1 million as of December 31, 2024, 2023 and 2022, respectively.</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73" w:name="page74"/>
    <w:bookmarkEnd w:id="73"/>
    <w:p>
      <w:pPr>
        <w:ind w:right="36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gridSpan w:val="3"/>
          </w:tcPr>
          <w:p>
            <w:pPr>
              <w:jc w:val="center"/>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600" w:type="dxa"/>
            <w:vAlign w:val="bottom"/>
            <w:gridSpan w:val="3"/>
          </w:tcPr>
          <w:p>
            <w:pPr>
              <w:jc w:val="center"/>
              <w:ind w:right="17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60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7"/>
                <w:szCs w:val="17"/>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122,551</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515,600</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93,269</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153,376</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1,454,794</w:t>
            </w:r>
          </w:p>
        </w:tc>
        <w:tc>
          <w:tcPr>
            <w:tcW w:w="1460" w:type="dxa"/>
            <w:vAlign w:val="bottom"/>
            <w:tcBorders>
              <w:top w:val="single" w:sz="8" w:color="CCEEFF"/>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$51 thousand.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1"/>
                <w:szCs w:val="11"/>
                <w:color w:val="auto"/>
              </w:rPr>
            </w:pPr>
          </w:p>
        </w:tc>
        <w:tc>
          <w:tcPr>
            <w:tcW w:w="10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8"/>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3380" w:type="dxa"/>
            <w:vAlign w:val="bottom"/>
            <w:gridSpan w:val="2"/>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6"/>
                <w:szCs w:val="16"/>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Pr>
          <w:p>
            <w:pPr>
              <w:spacing w:after="0"/>
              <w:rPr>
                <w:sz w:val="16"/>
                <w:szCs w:val="16"/>
                <w:color w:val="auto"/>
              </w:rPr>
            </w:pPr>
          </w:p>
        </w:tc>
        <w:tc>
          <w:tcPr>
            <w:tcW w:w="10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361,986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165,433</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97,424</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417,876</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78,540</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132,257</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3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1,083,854</w:t>
            </w:r>
          </w:p>
        </w:tc>
        <w:tc>
          <w:tcPr>
            <w:tcW w:w="1460" w:type="dxa"/>
            <w:vAlign w:val="bottom"/>
            <w:tcBorders>
              <w:top w:val="single" w:sz="8" w:color="CCEEFF"/>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8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20" w:right="680" w:hanging="412"/>
        <w:spacing w:after="0" w:line="272" w:lineRule="auto"/>
        <w:tabs>
          <w:tab w:leader="none" w:pos="4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$29 thousand as of December 31, 2023.</w:t>
      </w:r>
    </w:p>
    <w:p>
      <w:pPr>
        <w:spacing w:after="0" w:line="19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provision for losses and LAE was $75.2 million, comprised of $171.9 million for current year losses, partially offset by $96.8 million of favorable prior years' loss development. During the year ended December 31, 2023, the provision for losses and LAE was a benefit of $30.2 million, comprised of $138.6 million of current year losses, offset by $108.4 million of favorable prior years' loss development. During the year ended December 31, 2022, the provision for losses and LAE was a benefit of $174.7 million, comprised of $99.4 million of current year losses, offset by $272.8 million of favorable prior years' loss development. In each period, the favorable prior years' loss development was the result of a re-estimation of amounts ultimately to be paid on prior year defaults in the default inventory, including the impact of previously identified defaults that cured.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4" w:name="page75"/>
    <w:bookmarkEnd w:id="74"/>
    <w:p>
      <w:pPr>
        <w:ind w:left="38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mortgage insurance claims paid and claim severity as of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 paid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of claims paid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9"/>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Claim severity</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r>
      <w:tr>
        <w:trPr>
          <w:trHeight w:val="196"/>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7"/>
                <w:szCs w:val="17"/>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23,007</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10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41,634</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44" w:lineRule="exact"/>
        <w:rPr>
          <w:sz w:val="20"/>
          <w:szCs w:val="20"/>
          <w:color w:val="auto"/>
        </w:rPr>
      </w:pPr>
    </w:p>
    <w:p>
      <w:pPr>
        <w:ind w:left="620" w:right="220" w:hanging="247"/>
        <w:spacing w:after="0" w:line="312" w:lineRule="auto"/>
        <w:tabs>
          <w:tab w:leader="none" w:pos="6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and benefits increased in 2024 compared to 2023 and in 2023 compared to 2022 primarily due to increases in stock based compensation expense. Compensation and benefits includes salaries, wages and bonus, stock compensation expense, benefits and payroll taxes.</w:t>
      </w:r>
    </w:p>
    <w:p>
      <w:pPr>
        <w:spacing w:after="0" w:line="72" w:lineRule="exact"/>
        <w:rPr>
          <w:rFonts w:ascii="Times New Roman" w:cs="Times New Roman" w:eastAsia="Times New Roman" w:hAnsi="Times New Roman"/>
          <w:sz w:val="17"/>
          <w:szCs w:val="17"/>
          <w:color w:val="auto"/>
        </w:rPr>
      </w:pPr>
    </w:p>
    <w:p>
      <w:pPr>
        <w:ind w:left="620" w:hanging="247"/>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from 2022 to 2023 and from 2023 to 2024 primarily due to an increase in premiums written.</w:t>
      </w:r>
    </w:p>
    <w:p>
      <w:pPr>
        <w:spacing w:after="0" w:line="157" w:lineRule="exact"/>
        <w:rPr>
          <w:rFonts w:ascii="Times New Roman" w:cs="Times New Roman" w:eastAsia="Times New Roman" w:hAnsi="Times New Roman"/>
          <w:sz w:val="18"/>
          <w:szCs w:val="18"/>
          <w:color w:val="auto"/>
        </w:rPr>
      </w:pPr>
    </w:p>
    <w:p>
      <w:pPr>
        <w:ind w:left="620" w:right="380" w:hanging="247"/>
        <w:spacing w:after="0" w:line="282" w:lineRule="auto"/>
        <w:tabs>
          <w:tab w:leader="none" w:pos="6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ceding commission from 2022 to 2023 and 2023 to 2024 results from increases in the amount of reinsured insurance in force under our outstanding quota share arrangements.</w:t>
      </w:r>
    </w:p>
    <w:p>
      <w:pPr>
        <w:spacing w:after="0" w:line="80" w:lineRule="exact"/>
        <w:rPr>
          <w:rFonts w:ascii="Times New Roman" w:cs="Times New Roman" w:eastAsia="Times New Roman" w:hAnsi="Times New Roman"/>
          <w:sz w:val="18"/>
          <w:szCs w:val="18"/>
          <w:color w:val="auto"/>
        </w:rPr>
      </w:pPr>
    </w:p>
    <w:p>
      <w:pPr>
        <w:ind w:left="620" w:right="280" w:hanging="247"/>
        <w:spacing w:after="0" w:line="312" w:lineRule="auto"/>
        <w:tabs>
          <w:tab w:leader="none" w:pos="6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increased in 2023 compared to 2022 primarily as a result of increases in professional fees and software related expenses. 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9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to premiums earned by our title insurance operations. The increase in net premiums earned in 2024 is primarily due to a full year of title insurance operations in 2024. Net premiums earned in 2023 represent six months of title insurance operations as a result of our acquisition effective July 1, 2023.</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4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provision for losses reported in Corporate &amp; Other relates to loss provisions recorded by our title insurance operations subsequent to our acquisition effective July 1, 2023. Upon acquisition, we recorded $14.1 million of title insurance reserves through purchase accounting. The increase in the provision for losses in 2024 was primarily due to an increase in title insurance policies issued and related title premium for the full year 2024 as compared to the six months subsequent to the acquisition of the title insurance operations as well as recent industry experience and trends. Title insurance reserves as of December 31, 2024 and 2023 were $18.7 million and $14.7 million, respectively.</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r>
      <w:tr>
        <w:trPr>
          <w:trHeight w:val="19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7"/>
                <w:szCs w:val="17"/>
                <w:color w:val="auto"/>
              </w:rPr>
            </w:pPr>
          </w:p>
        </w:tc>
        <w:tc>
          <w:tcPr>
            <w:tcW w:w="8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89,397</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60,228</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4"/>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6" w:name="page77"/>
    <w:bookmarkEnd w:id="76"/>
    <w:p>
      <w:pPr>
        <w:ind w:left="660" w:right="40" w:hanging="247"/>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in 2024 compared to 2023 and in 2023 compared to 2022 primarily due to an increase in the average number of employees, which resulted from the acquisition of the title insurance operations on July 1, 2023. Compensation and benefits includes salaries, wages and bonus, stock compensation expense, benefits and payroll taxes.</w:t>
      </w:r>
    </w:p>
    <w:p>
      <w:pPr>
        <w:spacing w:after="0" w:line="202"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and other taxes within Corporate &amp; Other are related to our title insurance operations.</w:t>
      </w:r>
    </w:p>
    <w:p>
      <w:pPr>
        <w:spacing w:after="0" w:line="252" w:lineRule="exact"/>
        <w:rPr>
          <w:rFonts w:ascii="Times New Roman" w:cs="Times New Roman" w:eastAsia="Times New Roman" w:hAnsi="Times New Roman"/>
          <w:sz w:val="18"/>
          <w:szCs w:val="18"/>
          <w:color w:val="auto"/>
        </w:rPr>
      </w:pPr>
    </w:p>
    <w:p>
      <w:pPr>
        <w:ind w:left="660" w:right="60" w:hanging="247"/>
        <w:spacing w:after="0" w:line="25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in 2024 compared to 2023 and in 2023 compared to 2022 primarily as a result of title and settlement services direct cost incurred and increases in professional fees. Other expenses include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Premiums retained by agents increased in 2024 compared to 2023 due to a full year of title insurance operations in 2024, partially offset by decreased utilization of third party agents for insurance premiums written during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158" w:lineRule="exact"/>
        <w:rPr>
          <w:sz w:val="20"/>
          <w:szCs w:val="20"/>
          <w:color w:val="auto"/>
        </w:rPr>
      </w:pPr>
    </w:p>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Senior Notes and Revolving Credit Facility;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obligations consist primarily of:</w:t>
      </w:r>
    </w:p>
    <w:p>
      <w:pPr>
        <w:spacing w:after="0" w:line="158" w:lineRule="exact"/>
        <w:rPr>
          <w:sz w:val="20"/>
          <w:szCs w:val="20"/>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14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we had substantial liquidity, with cash of $131.5 million, short-term investments of $764.0 million and fixed maturity investments of $5.1 billion. We also had $500 million of available capacity under our Revolving Credit Facility. Holding company net cash and investments available for sale totaled $1.1 billion at December 31, 2024.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December 31, 2024.</w:t>
      </w:r>
    </w:p>
    <w:p>
      <w:pPr>
        <w:spacing w:after="0" w:line="11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intends to use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 Revolving Credit Agreement provides for an effective increase in the Company’s revolving credit facility borrowing capacity from $400 million to $500 million.</w:t>
      </w:r>
    </w:p>
    <w:p>
      <w:pPr>
        <w:spacing w:after="0" w:line="120"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8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respective expected obligations, additional capital may be required to meet any new capital requirements that are adopted by regulatory authorities or the GSEs, to respond to changes in the business or economic environment, to provide additional capital related to the growth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ind w:right="40"/>
        <w:spacing w:after="0" w:line="258" w:lineRule="auto"/>
        <w:rPr>
          <w:sz w:val="20"/>
          <w:szCs w:val="20"/>
          <w:color w:val="auto"/>
        </w:rPr>
      </w:pPr>
      <w:r>
        <w:rPr>
          <w:rFonts w:ascii="Times New Roman" w:cs="Times New Roman" w:eastAsia="Times New Roman" w:hAnsi="Times New Roman"/>
          <w:sz w:val="18"/>
          <w:szCs w:val="18"/>
          <w:color w:val="auto"/>
        </w:rPr>
        <w:t>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158" w:lineRule="exact"/>
        <w:rPr>
          <w:sz w:val="20"/>
          <w:szCs w:val="20"/>
          <w:color w:val="auto"/>
        </w:rPr>
      </w:pPr>
    </w:p>
    <w:p>
      <w:pPr>
        <w:ind w:left="660" w:hanging="24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14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mortgage insurance or title insurance portfolios; or</w:t>
      </w:r>
    </w:p>
    <w:p>
      <w:pPr>
        <w:spacing w:after="0" w:line="157"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4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our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December 31, 2024, Essent Guaranty, had unassigned surplus of approximately $396.6 million. As of January 1, 2025, Essent Guaranty has dividend capacity of $396.6 million.</w:t>
      </w:r>
    </w:p>
    <w:p>
      <w:pPr>
        <w:spacing w:after="0" w:line="120" w:lineRule="exact"/>
        <w:rPr>
          <w:sz w:val="20"/>
          <w:szCs w:val="20"/>
          <w:color w:val="auto"/>
        </w:rPr>
      </w:pPr>
    </w:p>
    <w:p>
      <w:pPr>
        <w:ind w:right="100" w:firstLine="405"/>
        <w:spacing w:after="0" w:line="274" w:lineRule="auto"/>
        <w:rPr>
          <w:sz w:val="20"/>
          <w:szCs w:val="20"/>
          <w:color w:val="auto"/>
        </w:rPr>
      </w:pPr>
      <w:r>
        <w:rPr>
          <w:rFonts w:ascii="Times New Roman" w:cs="Times New Roman" w:eastAsia="Times New Roman" w:hAnsi="Times New Roman"/>
          <w:sz w:val="17"/>
          <w:szCs w:val="17"/>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December 31, 2024, Essent Re had total equity of $1.8 billion. In connection with its insurance and reinsurance activities, Essent Re is required to maintain assets in trusts for the benefit of its contractual counterparties. See Note 3 to our consolidated financial statements. As of January 1, 2025, Essent Re has dividend capacity of $441.9 million.</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our insurance subsidiaries were in compliance with these rules, regulations and agreements.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861,532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588,817</w:t>
            </w:r>
          </w:p>
        </w:tc>
        <w:tc>
          <w:tcPr>
            <w:tcW w:w="0" w:type="dxa"/>
            <w:vAlign w:val="bottom"/>
          </w:tcPr>
          <w:p>
            <w:pPr>
              <w:spacing w:after="0"/>
              <w:rPr>
                <w:sz w:val="1"/>
                <w:szCs w:val="1"/>
                <w:color w:val="auto"/>
              </w:rPr>
            </w:pP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(398,872)</w:t>
            </w:r>
          </w:p>
        </w:tc>
        <w:tc>
          <w:tcPr>
            <w:tcW w:w="0" w:type="dxa"/>
            <w:vAlign w:val="bottom"/>
          </w:tcPr>
          <w:p>
            <w:pPr>
              <w:spacing w:after="0"/>
              <w:rPr>
                <w:sz w:val="1"/>
                <w:szCs w:val="1"/>
                <w:color w:val="auto"/>
              </w:rPr>
            </w:pPr>
          </w:p>
        </w:tc>
      </w:tr>
      <w:tr>
        <w:trPr>
          <w:trHeight w:val="23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(190,196)</w:t>
            </w:r>
          </w:p>
        </w:tc>
        <w:tc>
          <w:tcPr>
            <w:tcW w:w="0" w:type="dxa"/>
            <w:vAlign w:val="bottom"/>
          </w:tcPr>
          <w:p>
            <w:pPr>
              <w:spacing w:after="0"/>
              <w:rPr>
                <w:sz w:val="1"/>
                <w:szCs w:val="1"/>
                <w:color w:val="auto"/>
              </w:rPr>
            </w:pPr>
          </w:p>
        </w:tc>
      </w:tr>
      <w:tr>
        <w:trPr>
          <w:trHeight w:val="22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60" w:firstLine="405"/>
        <w:spacing w:after="0" w:line="274" w:lineRule="auto"/>
        <w:rPr>
          <w:sz w:val="20"/>
          <w:szCs w:val="20"/>
          <w:color w:val="auto"/>
        </w:rPr>
      </w:pPr>
      <w:r>
        <w:rPr>
          <w:rFonts w:ascii="Times New Roman" w:cs="Times New Roman" w:eastAsia="Times New Roman" w:hAnsi="Times New Roman"/>
          <w:sz w:val="17"/>
          <w:szCs w:val="17"/>
          <w:color w:val="auto"/>
        </w:rPr>
        <w:t>Cash flow provided by operating activities totaled $861.5 million for the year ended December 31, 2024, as compared to $763.0 million for the year ended December 31, 2023 and $588.8 million for the year ended December 31, 2022. The increase in cash flow from operations of $98.5 million in 2024 compared to 2023 was primarily due to increases in net premiums written and investment income and a decrease in income tax and interest payments, partially offset by an increase in operating expenses paid in the year ended December 31, 2024. The increase in cash flow from operations of $174.2 million in 2023 compared to 2022 was primarily due to an increase in prepayments, a component of other assets, in the year ended December 31, 2022 and increases in net premiums written and investment income partially offset by an increase in operating expenses paid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8" w:name="page79"/>
    <w:bookmarkEnd w:id="7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flow used in investing activities totaled $706.9 million for the year ended December 31, 2024, $525.6 million for the year ended December 31,</w:t>
      </w:r>
    </w:p>
    <w:p>
      <w:pPr>
        <w:spacing w:after="0" w:line="2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auto"/>
        </w:rPr>
        <w:t>2023 and $398.9 million for the year ended December 31, 2022. Cash used in investing activities primarily related to investing cash flows from the operations of the business in each of the periods presented.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Cash flow used in financing activities totaled $164.9 million, $176.9 million and $190.2 million for the years ended December 31, 2024, 2023 and 2022, respectively. In each year, cash flows used in financing activities primarily related to the repurchases of common shares as part of our share repurchase plans, quarterly cash dividends paid and treasury stock acquired from employees to satisfy tax withholding obligations. Cash flow from financing activities for the year ended December 31, 2024 also included cash inflow from the issuance of Senior Notes, partially offset by cash outflows associated with the repayment of the term loan portion of the Existing Credit Facility, as well as the payment of debt issuance costs.</w:t>
      </w:r>
    </w:p>
    <w:p>
      <w:pPr>
        <w:spacing w:after="0" w:line="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162"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2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no capital contributions were made to our U.S. mortgage insurance subsidiaries and Essent Guaranty paid dividends to Essent US Holdings, Inc. totaling $165.5 million. During the years ended December 31, 2024 and 2023, Essent US Holdings made capital contributions totaling $24.5 million and $38.1 million to its title insurance subsidiary, respectively. 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2024. The aggregate excess of loss reinsurance coverages decrease over a ten-year period as the underlying covered mortgages amortize.</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These reinsurance coverages also reduce net risk in force and PMIERs Minimum Required Assets. See Note 5 to our consolidated financial statements.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QSR agreements as of December 31, 2024:</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6020" w:type="dxa"/>
            <w:vAlign w:val="bottom"/>
            <w:gridSpan w:val="3"/>
          </w:tcPr>
          <w:p>
            <w:pPr>
              <w:ind w:left="2280"/>
              <w:spacing w:after="0"/>
              <w:rPr>
                <w:sz w:val="20"/>
                <w:szCs w:val="20"/>
                <w:color w:val="auto"/>
              </w:rPr>
            </w:pPr>
            <w:r>
              <w:rPr>
                <w:rFonts w:ascii="Times New Roman" w:cs="Times New Roman" w:eastAsia="Times New Roman" w:hAnsi="Times New Roman"/>
                <w:sz w:val="14"/>
                <w:szCs w:val="14"/>
                <w:b w:val="1"/>
                <w:bCs w:val="1"/>
                <w:color w:val="auto"/>
              </w:rPr>
              <w:t>Eligible Policy Period</w:t>
            </w: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Ceding Percentage</w:t>
            </w:r>
          </w:p>
        </w:tc>
      </w:tr>
      <w:tr>
        <w:trPr>
          <w:trHeight w:val="23"/>
        </w:trPr>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shd w:val="clear" w:color="auto" w:fill="CCEEFF"/>
          </w:tcPr>
          <w:p>
            <w:pPr>
              <w:spacing w:after="0"/>
              <w:rPr>
                <w:sz w:val="19"/>
                <w:szCs w:val="19"/>
                <w:color w:val="auto"/>
              </w:rPr>
            </w:pPr>
          </w:p>
        </w:tc>
      </w:tr>
      <w:tr>
        <w:trPr>
          <w:trHeight w:val="230"/>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QSR-2022</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r>
      <w:tr>
        <w:trPr>
          <w:trHeight w:val="229"/>
        </w:trPr>
        <w:tc>
          <w:tcPr>
            <w:tcW w:w="2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QSR-2023</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r>
      <w:tr>
        <w:trPr>
          <w:trHeight w:val="234"/>
        </w:trPr>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QSR-2024</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5540" w:right="2940" w:hanging="5532"/>
        <w:spacing w:after="0" w:line="914" w:lineRule="auto"/>
        <w:tabs>
          <w:tab w:leader="none" w:pos="4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9" w:name="page80"/>
    <w:bookmarkEnd w:id="79"/>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Essent Guaranty entered into two forward quota share agreements with highly rated third-party reinsurers ceding 25% of the risk on all eligible policies written by Essent Guaranty in calendar years 2025 and 2026.</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December 31, 2024 was as follows:</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Statutory capital:</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233"/>
        </w:trPr>
        <w:tc>
          <w:tcPr>
            <w:tcW w:w="9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1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1,101,894</w:t>
            </w:r>
          </w:p>
        </w:tc>
        <w:tc>
          <w:tcPr>
            <w:tcW w:w="0" w:type="dxa"/>
            <w:vAlign w:val="bottom"/>
          </w:tcPr>
          <w:p>
            <w:pPr>
              <w:spacing w:after="0"/>
              <w:rPr>
                <w:sz w:val="1"/>
                <w:szCs w:val="1"/>
                <w:color w:val="auto"/>
              </w:rPr>
            </w:pPr>
          </w:p>
        </w:tc>
      </w:tr>
      <w:tr>
        <w:trPr>
          <w:trHeight w:val="229"/>
        </w:trPr>
        <w:tc>
          <w:tcPr>
            <w:tcW w:w="9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2,492,487</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3,594,381</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0" w:type="dxa"/>
            <w:vAlign w:val="bottom"/>
            <w:tcBorders>
              <w:bottom w:val="single" w:sz="8" w:color="CCEEFF"/>
            </w:tcBorders>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35,159,976</w:t>
            </w:r>
          </w:p>
        </w:tc>
        <w:tc>
          <w:tcPr>
            <w:tcW w:w="0" w:type="dxa"/>
            <w:vAlign w:val="bottom"/>
          </w:tcPr>
          <w:p>
            <w:pPr>
              <w:spacing w:after="0"/>
              <w:rPr>
                <w:sz w:val="1"/>
                <w:szCs w:val="1"/>
                <w:color w:val="auto"/>
              </w:rPr>
            </w:pPr>
          </w:p>
        </w:tc>
      </w:tr>
      <w:tr>
        <w:trPr>
          <w:trHeight w:val="248"/>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16 to our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1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under through December 31, 2020 and 35% of Essent Guaranty's NIW after December 31, 2020. During the year ended December 31, 2024 Essent Re paid dividends totaling $300 million to Essent Group. During the year ended December 31, 2023, Essent Re paid $60 million in dividends to Essent Group. As of December 31, 2024, Essent Re had total stockholders’ equity of $1.8 billion and net risk in force of $23.3 billion.</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14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insurer financial strength ratings of Essent Guaranty, our principal mortgage insurance subsidiary, are A3 with a positive outlook by Moody's, A-with a stable outlook by S&amp;P and A (Excellent) with a stable outlook by A.M. Best. The insurer financial strength ratings of Essent Re are A- with a stable outlook by S&amp;P and A (Excellent) with a stable outlook by A.M. Best.</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162" w:lineRule="exact"/>
        <w:rPr>
          <w:sz w:val="20"/>
          <w:szCs w:val="20"/>
          <w:color w:val="auto"/>
        </w:rPr>
      </w:pPr>
    </w:p>
    <w:p>
      <w:pPr>
        <w:ind w:right="640" w:firstLine="405"/>
        <w:spacing w:after="0" w:line="276" w:lineRule="auto"/>
        <w:rPr>
          <w:sz w:val="20"/>
          <w:szCs w:val="20"/>
          <w:color w:val="auto"/>
        </w:rPr>
      </w:pPr>
      <w:r>
        <w:rPr>
          <w:rFonts w:ascii="Times New Roman" w:cs="Times New Roman" w:eastAsia="Times New Roman" w:hAnsi="Times New Roman"/>
          <w:sz w:val="17"/>
          <w:szCs w:val="17"/>
          <w:color w:val="auto"/>
        </w:rPr>
        <w:t>Fannie Mae and Freddie Mac, maintain coordinated Private Mortgage Insurer Eligibility Requirements (PMIERs). The PMIERs represent the standards by which private mortgage insurers are eligible to provide mortgage insurance on loans owned or guaranteed by Fannie Mae and Freddie</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December 31, 2024, Essent Guaranty, our GSE-approved mortgage insurance company, was in compliance with the PMIERs. As of December 31, 2024, Essent Guaranty's Available Assets were $3.6 billion or 178% of its Minimum Required Assets were $2.0 billion based on our interpretation of the PMIERs.</w:t>
      </w:r>
    </w:p>
    <w:p>
      <w:pPr>
        <w:spacing w:after="0" w:line="10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0" w:name="page81"/>
    <w:bookmarkEnd w:id="80"/>
    <w:p>
      <w:pPr>
        <w:ind w:right="20"/>
        <w:spacing w:after="0" w:line="258" w:lineRule="auto"/>
        <w:rPr>
          <w:sz w:val="20"/>
          <w:szCs w:val="20"/>
          <w:color w:val="auto"/>
        </w:rPr>
      </w:pPr>
      <w:r>
        <w:rPr>
          <w:rFonts w:ascii="Times New Roman" w:cs="Times New Roman" w:eastAsia="Times New Roman" w:hAnsi="Times New Roman"/>
          <w:sz w:val="18"/>
          <w:szCs w:val="18"/>
          <w:color w:val="auto"/>
        </w:rPr>
        <w:t>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0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FHFA and the GSEs announced that effective November 1, 2023, defaulted loans will be no longer eligible for COVID forbearance plans and will follow the GSEs standard forbearance plans going forward. In August 2024, Fannie Mae and Freddie Mac, under the oversight of FHFA, issued an update to the planned sunset of the use of the 0.3x Required Asset multiplier for loans in a COVID forbearance plan. The sunset of the 0.3x Required Asset multiplier for loans in a COVID forbearance plan will become effective on March 31, 2025. Also in August 2024, the GSEs issued updates to the PMIERs calculation of Available Assets. The updated PMIERs Available Asset requirements are subject to a phased-in implementation, will have no impact on Essent’s Available Assets or sufficiency ratio until March 31, 2025, and will become fully effective on September 30, 2026. Essent expects to remain in full compliance with the existing and updated PMIERs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48"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stockholders’ equity was $5.6 billion compared to $5.1 billion as of December 31, 2023. Stockholders' equity increased primarily due to net income generated in 2024, partially offset by an increase in accumulated other comprehensive loss related to an increase in our net unrealized investment losses and by dividends paid and the repurchase of common shares under our share repurchase plan.</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investments totaled $6.2 billion compared to $5.5 billion as of December 31, 2023. In addition, our total cash was $131.5 million as of December 31, 2024, compared to $141.8 million as of December 31, 2023. The increase in investments was primarily due to investing net cash flows from operations during the year ended December 31, 2024 partially offset by an increase in our net unrealized investment losses.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00" w:type="dxa"/>
            <w:vAlign w:val="bottom"/>
          </w:tcPr>
          <w:p>
            <w:pPr>
              <w:spacing w:after="0"/>
              <w:rPr>
                <w:sz w:val="16"/>
                <w:szCs w:val="16"/>
                <w:color w:val="auto"/>
              </w:rPr>
            </w:pPr>
          </w:p>
        </w:tc>
        <w:tc>
          <w:tcPr>
            <w:tcW w:w="20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2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300" w:type="dxa"/>
            <w:vAlign w:val="bottom"/>
          </w:tcPr>
          <w:p>
            <w:pPr>
              <w:spacing w:after="0"/>
              <w:rPr>
                <w:sz w:val="19"/>
                <w:szCs w:val="19"/>
                <w:color w:val="auto"/>
              </w:rPr>
            </w:pPr>
          </w:p>
        </w:tc>
        <w:tc>
          <w:tcPr>
            <w:tcW w:w="20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2,513,014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2,561,363</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208,882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511,076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226,449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80,235</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5,219,116</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4,819,618</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$657,605 and $444,121 of money market funds at December 31, 2024 and December 31, 2023, respectively.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1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1,587,022</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1,892,074</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544,630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402,668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2,279,740</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1,681,917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5,263,739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 from Known Contractual and Other Obligations</w:t>
      </w:r>
    </w:p>
    <w:p>
      <w:pPr>
        <w:spacing w:after="0" w:line="14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the approximate future cash requirements from known contractual and other obligations of the type described in the table below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1"/>
                <w:szCs w:val="1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40" w:type="dxa"/>
            <w:vAlign w:val="bottom"/>
          </w:tcPr>
          <w:p>
            <w:pPr>
              <w:spacing w:after="0"/>
              <w:rPr>
                <w:sz w:val="11"/>
                <w:szCs w:val="11"/>
                <w:color w:val="auto"/>
              </w:rPr>
            </w:pPr>
          </w:p>
        </w:tc>
        <w:tc>
          <w:tcPr>
            <w:tcW w:w="9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15"/>
              <w:spacing w:after="0" w:line="127" w:lineRule="exact"/>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loss and LAE payments (1)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Unfunded investment commitments (2)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420" w:right="120" w:hanging="412"/>
        <w:spacing w:after="0" w:line="254" w:lineRule="auto"/>
        <w:tabs>
          <w:tab w:leader="none" w:pos="4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loss and LAE payments reflects the application of accounting policies described below in "—Critical Accounting Policies—Reserve for Losses and Loss Adjustment Expenses." The payments due by period are based on management's estimates and assume that all of the loss and LAE reserves included in the table will result in payments.</w:t>
      </w:r>
    </w:p>
    <w:p>
      <w:pPr>
        <w:ind w:left="420" w:right="60" w:hanging="412"/>
        <w:spacing w:after="0" w:line="260" w:lineRule="auto"/>
        <w:tabs>
          <w:tab w:leader="none" w:pos="4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investment commitments are callable by our investment counterparties. We have assumed that these investments will be funded in the next year but the funding may occur over a longer period of time, due to market conditions and other factors.</w:t>
      </w:r>
    </w:p>
    <w:p>
      <w:pPr>
        <w:spacing w:after="0" w:line="20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lease office space in Pennsylvania, Missouri, North Carolina, New York, Virginia and Bermuda under leases accounted for as operating leases. A portion of the space leased in North Carolina has been subleased to Triad; minimum lease</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83" w:name="page84"/>
    <w:bookmarkEnd w:id="83"/>
    <w:p>
      <w:pPr>
        <w:ind w:right="660"/>
        <w:spacing w:after="0" w:line="414" w:lineRule="auto"/>
        <w:rPr>
          <w:sz w:val="20"/>
          <w:szCs w:val="20"/>
          <w:color w:val="auto"/>
        </w:rPr>
      </w:pPr>
      <w:r>
        <w:rPr>
          <w:rFonts w:ascii="Times New Roman" w:cs="Times New Roman" w:eastAsia="Times New Roman" w:hAnsi="Times New Roman"/>
          <w:sz w:val="18"/>
          <w:szCs w:val="18"/>
          <w:color w:val="auto"/>
        </w:rPr>
        <w:t xml:space="preserve">payments shown above have not been reduced by minimum sublease rental income of $0.2 million due in 2025 under the non-cancelable sublease. </w:t>
      </w:r>
      <w:r>
        <w:rPr>
          <w:rFonts w:ascii="Times New Roman" w:cs="Times New Roman" w:eastAsia="Times New Roman" w:hAnsi="Times New Roman"/>
          <w:sz w:val="18"/>
          <w:szCs w:val="18"/>
          <w:b w:val="1"/>
          <w:bCs w:val="1"/>
          <w:color w:val="auto"/>
        </w:rPr>
        <w:t>Off-Balance Sheet Arrangements</w:t>
      </w:r>
    </w:p>
    <w:p>
      <w:pPr>
        <w:spacing w:after="0" w:line="1"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consolidated financial statements because we do not have the unilateral power to direct those activities that are significant to their economic performance. As of December 31, 2024, our estimated off-balance sheet maximum exposure to loss from the Radnor Re entities was $0.2 million, representing the estimated net present value of investment earnings on the assets in the reinsurance trusts. See Note 5 to our consolidated financial statements for additional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Premium Revenue Recognition</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14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 See "Results of Operations: Mortgage Insurance - Provision for Losses and Loss Adjustment Expenses" for 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discussion of this estimate and Note 6 to our consolidated financial statements a sensitivity of the key assumption for this estimate.</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2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Our fixed maturity and short-term investments are classified as available for sale and are reported at fair value. The related unrealized gains or losses are, after considering the related tax expense or benefit, recognized as a component of accumulated other comprehensive income (loss) in stockholders' equity. Realized investment gains and losses are reported in income based upon specific identification of securities sold. Each quarter we perform reviews of all of our investments in order to determine whether declines in fair value below amortized cost were as a result of credit losses in accordance with applicable guidance. We determine whether a credit loss exists by considering information about the collectability of the instrument, current market conditions, and reasonable and supportable forecasts of economic conditions. We recognize an allowance for credit losses, up to the amount of the impairment when appropriate, and write down the amortized cost basis of the investment if it is more likely than not we will be required or we intend to sell the investment before recovery of its amortized cost basis. Under the previous other-than-temporary impairment model for available-for-sale investment securities, a security impairment was deemed other-than-temporary if we either intend to sell the security, or it was more likely than not that we would be required to sell the security before recovery or we did not expect to collect cash flows sufficient to recover the amortized cost basis of the security. During the years ended December 31, 2024, 2023 and 2022, the unrealized losses recorded in the investment portfolio principally resulted from fluctuations in market interest rates and credit spreads. Each issuer was current on its scheduled interest and principal payments. We recorded impairments of $0.5 million, $0.2 million and $12.7 million in the years ended December 31, 2024, 2023, and 2022, respectively. The impairments resulted from our intent to sell these securities subsequent to the reporting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information on our material holdings in an unrealized loss position, see "—Financial Condition—Investments."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There are no recently issued accounting standards that are expected to have a material effect on our financial condition, results of operations or cash flows. See Note 2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1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92" w:lineRule="exact"/>
        <w:rPr>
          <w:sz w:val="20"/>
          <w:szCs w:val="20"/>
          <w:color w:val="auto"/>
        </w:rPr>
      </w:pPr>
    </w:p>
    <w:p>
      <w:pPr>
        <w:jc w:val="both"/>
        <w:ind w:left="660" w:right="120" w:hanging="247"/>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9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90" w:lineRule="exact"/>
        <w:rPr>
          <w:rFonts w:ascii="Times New Roman" w:cs="Times New Roman" w:eastAsia="Times New Roman" w:hAnsi="Times New Roman"/>
          <w:sz w:val="18"/>
          <w:szCs w:val="18"/>
          <w:color w:val="auto"/>
        </w:rPr>
      </w:pPr>
    </w:p>
    <w:p>
      <w:pPr>
        <w:ind w:left="660" w:right="280" w:hanging="247"/>
        <w:spacing w:after="0" w:line="284"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90" w:lineRule="exact"/>
        <w:rPr>
          <w:rFonts w:ascii="Times New Roman" w:cs="Times New Roman" w:eastAsia="Times New Roman" w:hAnsi="Times New Roman"/>
          <w:sz w:val="18"/>
          <w:szCs w:val="18"/>
          <w:color w:val="auto"/>
        </w:rPr>
      </w:pPr>
    </w:p>
    <w:p>
      <w:pPr>
        <w:ind w:left="660" w:right="160" w:hanging="247"/>
        <w:spacing w:after="0" w:line="284"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77" w:lineRule="exact"/>
        <w:rPr>
          <w:rFonts w:ascii="Times New Roman" w:cs="Times New Roman" w:eastAsia="Times New Roman" w:hAnsi="Times New Roman"/>
          <w:sz w:val="18"/>
          <w:szCs w:val="18"/>
          <w:color w:val="auto"/>
        </w:rPr>
      </w:pPr>
    </w:p>
    <w:p>
      <w:pPr>
        <w:ind w:left="660" w:right="400" w:hanging="247"/>
        <w:spacing w:after="0" w:line="284"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9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08"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At December 31, 2024, the effective duration of our investments available for sale was 3.9 years, which means that an instantaneous parallel shift (movement up or down) in the yield curve of 100 basis points would result in a change of 3.9%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86" w:name="page87"/>
    <w:bookmarkEnd w:id="8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20" w:type="dxa"/>
            <w:vAlign w:val="bottom"/>
          </w:tcPr>
          <w:p>
            <w:pPr>
              <w:spacing w:after="0"/>
              <w:rPr>
                <w:sz w:val="16"/>
                <w:szCs w:val="16"/>
                <w:color w:val="auto"/>
              </w:rPr>
            </w:pP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20" w:type="dxa"/>
            <w:vAlign w:val="bottom"/>
            <w:vMerge w:val="restart"/>
          </w:tcPr>
          <w:p>
            <w:pPr>
              <w:ind w:left="33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Report of Independent Registered Public Accounting Firm (Auditor Firm ID: 238)</w:t>
            </w:r>
          </w:p>
        </w:tc>
        <w:tc>
          <w:tcPr>
            <w:tcW w:w="7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4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Schedule I—Summary of Investments—Other Than Investments in Related Parties as of December 31, 2024</w:t>
            </w:r>
          </w:p>
        </w:tc>
        <w:tc>
          <w:tcPr>
            <w:tcW w:w="76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Schedule II—Condensed Financial Information of Registrant at December 31, 2024 and 2023 and for each of the</w:t>
            </w:r>
          </w:p>
        </w:tc>
        <w:tc>
          <w:tcPr>
            <w:tcW w:w="4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2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three years in the period ended December 31, 2024</w:t>
            </w:r>
          </w:p>
        </w:tc>
        <w:tc>
          <w:tcPr>
            <w:tcW w:w="48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FF"/>
                <w:w w:val="96"/>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20" w:type="dxa"/>
            <w:vAlign w:val="bottom"/>
          </w:tcPr>
          <w:p>
            <w:pPr>
              <w:spacing w:after="0"/>
              <w:rPr>
                <w:sz w:val="20"/>
                <w:szCs w:val="20"/>
                <w:color w:val="auto"/>
              </w:rPr>
            </w:pPr>
            <w:r>
              <w:rPr>
                <w:rFonts w:ascii="Times New Roman" w:cs="Times New Roman" w:eastAsia="Times New Roman" w:hAnsi="Times New Roman"/>
                <w:sz w:val="18"/>
                <w:szCs w:val="18"/>
                <w:color w:val="auto"/>
              </w:rPr>
              <w:t>Schedule IV—Reinsurance for the years ended December 31, 2024, 2023 and 2022</w:t>
            </w:r>
          </w:p>
        </w:tc>
        <w:tc>
          <w:tcPr>
            <w:tcW w:w="480" w:type="dxa"/>
            <w:vAlign w:val="bottom"/>
          </w:tcPr>
          <w:p>
            <w:pPr>
              <w:spacing w:after="0"/>
              <w:rPr>
                <w:sz w:val="18"/>
                <w:szCs w:val="18"/>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Essent Group Ltd.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Essent Group Ltd. and its subsidiaries (the "Company") as of December 31, 2024 and 2023, and the related consolidated statements of comprehensive income, of changes in stockholders’ equity and of cash flows for each of the three years in the period ended December 31, 2024, including the related notes and financial statement schedules listed in the accompanying index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2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3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Mortgage Insurance Reserve for Losses and Loss Adjustment Expenses</w:t>
      </w:r>
    </w:p>
    <w:p>
      <w:pPr>
        <w:spacing w:after="0" w:line="13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As described in Note 6 to the consolidated financial statements, the mortgage insurance reserve for losses and loss adjustment expenses makes up a significant portion of the total recorded reserve for losses and loss adjustment expenses of $329 million as of December 31, 2024, and is based on management’s best estimate of ultimate claim costs for defaulted loans. Upon notification that a borrower has defaulted, management considers internal and third-party information and models to determine the likelihood that a default will reach claim status and projects the amount that the Company will pay if a default becomes a claim. Management’s estimates of claim rates and claim sizes will be influenced by prevailing economic conditions, such as the overall state of the economy, current rates or trends in unemployment, changes in housing values and/or interest rates, and management’s best judgments as to the future values or trends of these macroeconomic factors. Losses incurred are also generally affected by the characteristics of the Company’s insured loans, such as the loan amount, loan-to-value ratio, the percentage of coverage on the insured loan and the credit quality of the borrower.</w:t>
      </w:r>
    </w:p>
    <w:p>
      <w:pPr>
        <w:spacing w:after="0" w:line="21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reserve for losses and loss adjustment expenses is a critical audit matter are (i) the significant judgment by management when developing their estimate, which in turn led to a high degree of auditor judgment, subjectivity, and effort in performing procedures and evaluating the audit evidence related to management’s estimates of claim rates and claim sizes, including management’s assumptions related to the macroeconomic factors and their assessment of the relevance of internal and third-party historical default data and (ii) the audit effort included the involvement of professionals with specialized skill and knowledge.</w:t>
      </w:r>
    </w:p>
    <w:p>
      <w:pPr>
        <w:spacing w:after="0" w:line="2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valuation of the reserve for losses and loss adjustment expenses, including controls over the development of significant assumptions. These procedures also included, among others, the involvement of professionals with specialized skill and knowledge to assist in developing an independent estimate of the reserve for losses and loss adjustment expenses using Company and historical mortgage insurance industry data and comparing this independent estimate to management’s recorded reserve. Developing the independent estimate involved independently estimating claim rates and claim sizes, testing the completeness and accuracy of data provided by management, and evaluating the reasonableness of management’s assumptions related to macroeconomic factors based on broader sector experience and management’s assessment of internal and third-party historical default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2024 — $5,467,238; 2023 —</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$4,658,168)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4,335,008</w:t>
            </w:r>
          </w:p>
        </w:tc>
        <w:tc>
          <w:tcPr>
            <w:tcW w:w="0" w:type="dxa"/>
            <w:vAlign w:val="bottom"/>
          </w:tcPr>
          <w:p>
            <w:pPr>
              <w:spacing w:after="0"/>
              <w:rPr>
                <w:sz w:val="1"/>
                <w:szCs w:val="1"/>
                <w:color w:val="auto"/>
              </w:rPr>
            </w:pPr>
          </w:p>
        </w:tc>
      </w:tr>
      <w:tr>
        <w:trPr>
          <w:trHeight w:val="175"/>
        </w:trPr>
        <w:tc>
          <w:tcPr>
            <w:tcW w:w="79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2024 — $763,780; 2023 —</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$928,562)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764,024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928,731</w:t>
            </w:r>
          </w:p>
        </w:tc>
        <w:tc>
          <w:tcPr>
            <w:tcW w:w="0" w:type="dxa"/>
            <w:vAlign w:val="bottom"/>
          </w:tcPr>
          <w:p>
            <w:pPr>
              <w:spacing w:after="0"/>
              <w:rPr>
                <w:sz w:val="1"/>
                <w:szCs w:val="1"/>
                <w:color w:val="auto"/>
              </w:rPr>
            </w:pPr>
          </w:p>
        </w:tc>
      </w:tr>
      <w:tr>
        <w:trPr>
          <w:trHeight w:val="223"/>
        </w:trPr>
        <w:tc>
          <w:tcPr>
            <w:tcW w:w="7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invested assets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277,226</w:t>
            </w:r>
          </w:p>
        </w:tc>
        <w:tc>
          <w:tcPr>
            <w:tcW w:w="0" w:type="dxa"/>
            <w:vAlign w:val="bottom"/>
          </w:tcPr>
          <w:p>
            <w:pPr>
              <w:spacing w:after="0"/>
              <w:rPr>
                <w:sz w:val="1"/>
                <w:szCs w:val="1"/>
                <w:color w:val="auto"/>
              </w:rPr>
            </w:pP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5,540,965</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141,787</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63,266</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 less accumulated depreciation of $72,270 in 2024 and $71,168 in 2023)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41,304</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470,646</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72,826</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51,051</w:t>
            </w:r>
          </w:p>
        </w:tc>
        <w:tc>
          <w:tcPr>
            <w:tcW w:w="0" w:type="dxa"/>
            <w:vAlign w:val="bottom"/>
          </w:tcPr>
          <w:p>
            <w:pPr>
              <w:spacing w:after="0"/>
              <w:rPr>
                <w:sz w:val="1"/>
                <w:szCs w:val="1"/>
                <w:color w:val="auto"/>
              </w:rPr>
            </w:pP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6,426,673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140,285</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362,753</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facility borrowings, net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421,920</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176,755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139,070</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1,324,123</w:t>
            </w:r>
          </w:p>
        </w:tc>
        <w:tc>
          <w:tcPr>
            <w:tcW w:w="0" w:type="dxa"/>
            <w:vAlign w:val="bottom"/>
          </w:tcPr>
          <w:p>
            <w:pPr>
              <w:spacing w:after="0"/>
              <w:rPr>
                <w:sz w:val="1"/>
                <w:szCs w:val="1"/>
                <w:color w:val="auto"/>
              </w:rPr>
            </w:pPr>
          </w:p>
        </w:tc>
      </w:tr>
      <w:tr>
        <w:trPr>
          <w:trHeight w:val="21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Authorized - 233,333; issued and outstanding - 105,015 shares in 2024 and 106,597 shares in 2023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5,102,550</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7,111,649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6,426,673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820,029</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842,527</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124,409</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1,000,824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(174,704)</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171,733</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988,187</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831,353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107,205</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107,653</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831,353</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unrealized (depreciation) appreciation of investments, net of tax (benefit)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expense of $(7,818) in 2024, $17,944 in 2023 and $(75,013) in 2022</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(433,497)</w:t>
            </w:r>
          </w:p>
        </w:tc>
        <w:tc>
          <w:tcPr>
            <w:tcW w:w="0" w:type="dxa"/>
            <w:vAlign w:val="bottom"/>
          </w:tcPr>
          <w:p>
            <w:pPr>
              <w:spacing w:after="0"/>
              <w:rPr>
                <w:sz w:val="1"/>
                <w:szCs w:val="1"/>
                <w:color w:val="auto"/>
              </w:rPr>
            </w:pPr>
          </w:p>
        </w:tc>
      </w:tr>
      <w:tr>
        <w:trPr>
          <w:trHeight w:val="223"/>
        </w:trPr>
        <w:tc>
          <w:tcPr>
            <w:tcW w:w="6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(433,497)</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705,915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397,856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1,428,952</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(111,512)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(97,879)</w:t>
            </w:r>
          </w:p>
        </w:tc>
        <w:tc>
          <w:tcPr>
            <w:tcW w:w="0" w:type="dxa"/>
            <w:vAlign w:val="bottom"/>
          </w:tcPr>
          <w:p>
            <w:pPr>
              <w:spacing w:after="0"/>
              <w:rPr>
                <w:sz w:val="1"/>
                <w:szCs w:val="1"/>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1,350,377</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(433,497)</w:t>
            </w:r>
          </w:p>
        </w:tc>
        <w:tc>
          <w:tcPr>
            <w:tcW w:w="0" w:type="dxa"/>
            <w:vAlign w:val="bottom"/>
          </w:tcPr>
          <w:p>
            <w:pPr>
              <w:spacing w:after="0"/>
              <w:rPr>
                <w:sz w:val="1"/>
                <w:szCs w:val="1"/>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2,754,814</w:t>
            </w: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831,353</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(93,060)</w:t>
            </w: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3,493,107</w:t>
            </w:r>
          </w:p>
        </w:tc>
        <w:tc>
          <w:tcPr>
            <w:tcW w:w="0" w:type="dxa"/>
            <w:vAlign w:val="bottom"/>
          </w:tcPr>
          <w:p>
            <w:pPr>
              <w:spacing w:after="0"/>
              <w:rPr>
                <w:sz w:val="1"/>
                <w:szCs w:val="1"/>
                <w:color w:val="auto"/>
              </w:rPr>
            </w:pP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(97,914)</w:t>
            </w: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97,914</w:t>
            </w:r>
          </w:p>
        </w:tc>
        <w:tc>
          <w:tcPr>
            <w:tcW w:w="0" w:type="dxa"/>
            <w:vAlign w:val="bottom"/>
          </w:tcPr>
          <w:p>
            <w:pPr>
              <w:spacing w:after="0"/>
              <w:rPr>
                <w:sz w:val="1"/>
                <w:szCs w:val="1"/>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5,102,550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4,462,309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729,403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696,386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831,353</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Realized investment losses (gains),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(28,676)</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14,105</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18,381</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58,168</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(11,211)</w:t>
            </w:r>
          </w:p>
        </w:tc>
        <w:tc>
          <w:tcPr>
            <w:tcW w:w="0" w:type="dxa"/>
            <w:vAlign w:val="bottom"/>
          </w:tcPr>
          <w:p>
            <w:pPr>
              <w:spacing w:after="0"/>
              <w:rPr>
                <w:sz w:val="1"/>
                <w:szCs w:val="1"/>
                <w:color w:val="auto"/>
              </w:rPr>
            </w:pPr>
          </w:p>
        </w:tc>
      </w:tr>
      <w:tr>
        <w:trPr>
          <w:trHeight w:val="213"/>
        </w:trPr>
        <w:tc>
          <w:tcPr>
            <w:tcW w:w="6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(57,650)</w:t>
            </w:r>
          </w:p>
        </w:tc>
        <w:tc>
          <w:tcPr>
            <w:tcW w:w="0" w:type="dxa"/>
            <w:vAlign w:val="bottom"/>
          </w:tcPr>
          <w:p>
            <w:pPr>
              <w:spacing w:after="0"/>
              <w:rPr>
                <w:sz w:val="1"/>
                <w:szCs w:val="1"/>
                <w:color w:val="auto"/>
              </w:rPr>
            </w:pPr>
          </w:p>
        </w:tc>
      </w:tr>
      <w:tr>
        <w:trPr>
          <w:trHeight w:val="213"/>
        </w:trPr>
        <w:tc>
          <w:tcPr>
            <w:tcW w:w="6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(50,333)</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(190,981)</w:t>
            </w:r>
          </w:p>
        </w:tc>
        <w:tc>
          <w:tcPr>
            <w:tcW w:w="0" w:type="dxa"/>
            <w:vAlign w:val="bottom"/>
          </w:tcPr>
          <w:p>
            <w:pPr>
              <w:spacing w:after="0"/>
              <w:rPr>
                <w:sz w:val="1"/>
                <w:szCs w:val="1"/>
                <w:color w:val="auto"/>
              </w:rPr>
            </w:pPr>
          </w:p>
        </w:tc>
      </w:tr>
      <w:tr>
        <w:trPr>
          <w:trHeight w:val="213"/>
        </w:trPr>
        <w:tc>
          <w:tcPr>
            <w:tcW w:w="69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(22,498)</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0" w:type="dxa"/>
            <w:vAlign w:val="bottom"/>
          </w:tcPr>
          <w:p>
            <w:pPr>
              <w:spacing w:after="0"/>
              <w:rPr>
                <w:sz w:val="1"/>
                <w:szCs w:val="1"/>
                <w:color w:val="auto"/>
              </w:rPr>
            </w:pPr>
          </w:p>
        </w:tc>
      </w:tr>
      <w:tr>
        <w:trPr>
          <w:trHeight w:val="207"/>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861,532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588,817</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(655,596)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61,060</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(1,378,231)</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paydowns of investments available for sale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247,296</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707,544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747,883</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(74,620)</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paid in acquisition</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0" w:type="dxa"/>
            <w:vAlign w:val="bottom"/>
          </w:tcPr>
          <w:p>
            <w:pPr>
              <w:spacing w:after="0"/>
              <w:rPr>
                <w:sz w:val="1"/>
                <w:szCs w:val="1"/>
                <w:color w:val="auto"/>
              </w:rPr>
            </w:pPr>
          </w:p>
        </w:tc>
      </w:tr>
      <w:tr>
        <w:trPr>
          <w:trHeight w:val="212"/>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(398,872)</w:t>
            </w:r>
          </w:p>
        </w:tc>
        <w:tc>
          <w:tcPr>
            <w:tcW w:w="0" w:type="dxa"/>
            <w:vAlign w:val="bottom"/>
          </w:tcPr>
          <w:p>
            <w:pPr>
              <w:spacing w:after="0"/>
              <w:rPr>
                <w:sz w:val="1"/>
                <w:szCs w:val="1"/>
                <w:color w:val="auto"/>
              </w:rPr>
            </w:pPr>
          </w:p>
        </w:tc>
      </w:tr>
      <w:tr>
        <w:trPr>
          <w:trHeight w:val="21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senior notes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Credit facility repayments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(97,914)</w:t>
            </w:r>
          </w:p>
        </w:tc>
        <w:tc>
          <w:tcPr>
            <w:tcW w:w="0" w:type="dxa"/>
            <w:vAlign w:val="bottom"/>
          </w:tcPr>
          <w:p>
            <w:pPr>
              <w:spacing w:after="0"/>
              <w:rPr>
                <w:sz w:val="1"/>
                <w:szCs w:val="1"/>
                <w:color w:val="auto"/>
              </w:rPr>
            </w:pPr>
          </w:p>
        </w:tc>
      </w:tr>
      <w:tr>
        <w:trPr>
          <w:trHeight w:val="213"/>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(92,128)</w:t>
            </w:r>
          </w:p>
        </w:tc>
        <w:tc>
          <w:tcPr>
            <w:tcW w:w="0" w:type="dxa"/>
            <w:vAlign w:val="bottom"/>
          </w:tcPr>
          <w:p>
            <w:pPr>
              <w:spacing w:after="0"/>
              <w:rPr>
                <w:sz w:val="1"/>
                <w:szCs w:val="1"/>
                <w:color w:val="auto"/>
              </w:rPr>
            </w:pPr>
          </w:p>
        </w:tc>
      </w:tr>
      <w:tr>
        <w:trPr>
          <w:trHeight w:val="207"/>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(190,196)</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81,491</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9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(98,006)</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(17,196)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(28,574)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(13,595)</w:t>
            </w:r>
          </w:p>
        </w:tc>
        <w:tc>
          <w:tcPr>
            <w:tcW w:w="0" w:type="dxa"/>
            <w:vAlign w:val="bottom"/>
          </w:tcPr>
          <w:p>
            <w:pPr>
              <w:spacing w:after="0"/>
              <w:rPr>
                <w:sz w:val="1"/>
                <w:szCs w:val="1"/>
                <w:color w:val="auto"/>
              </w:rPr>
            </w:pPr>
          </w:p>
        </w:tc>
      </w:tr>
      <w:tr>
        <w:trPr>
          <w:trHeight w:val="214"/>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these notes to consolidated financial statements, “Essent”, “Company”, “we”, “us”, and “our” refer to Essent Group Ltd. and its subsidiaries, unless the context otherwise requires.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16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112"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The U.S.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77"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Prior to December 31, 2024, Essent Guaranty also reinsured that portion of the risk that is in excess of 25% of the mortgage balance with respect to any loan insured prior to April 1, 2019, after consideration of other reinsurance, to Essent Guaranty of PA, Inc. (“Essent PA”), an affiliate domiciled in the state of Pennsylvania.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24"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11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(renamed Essent Title Insurance, Inc. effective January 1, 2025) and Boston National Holdings LLC on July 1, 2023, we now offer title insurance products and title and settlement services. Our title insurance operations are headquartered in Radnor, Pennsylvania, with additional locations in Charlotte, North Carolina and Pittsburgh, Pennsylvania.</w:t>
      </w:r>
    </w:p>
    <w:p>
      <w:pPr>
        <w:spacing w:after="0" w:line="9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w:t>
      </w:r>
    </w:p>
    <w:p>
      <w:pPr>
        <w:spacing w:after="0" w:line="11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4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fixed maturity and short-term investments are classified as available for sale as we may sell securities from time to time to provide liquidity and in response to changes in the market. Debt securities classified as available for sale are reported at fair value with unrealized gains and losses on these securities reported in other comprehensive income, net of deferred income taxes. See Note 15 for a description of the valuation methods for investments available for sale.</w:t>
      </w:r>
    </w:p>
    <w:p>
      <w:pPr>
        <w:spacing w:after="0" w:line="112"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monitor our fixed maturities for unrealized losses that appear to be the result of credit losses. A fixed maturity security is considered to be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unrealized loss is separated into the portion of the impairment that is credit related and the portion of the impairment that is due to other factors. For those fixed maturities for which a credit loss has occurred, the impairment amount is calculated as the difference between the amortized cost and the present value of future expected cash flows, limited by the amount that the fair value is less than the amortized cost basis. Estimates of expected future cash flows consider among other things, macroeconomic conditions as well as the financial condition, near-term and long-term prospects for the issuer, and the likelihood of the recoverability of principal and interest. Credit losses are recognized through an allowance account subject to reversal. Declines in value attributable to factors other than credit are reported as an unrealized loss in other comprehensive income while the allowance for credit loss is record a realized loss in the consolidated statements of comprehensive income.</w:t>
      </w:r>
    </w:p>
    <w:p>
      <w:pPr>
        <w:spacing w:after="0" w:line="122"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We recognize purchase premiums and discounts in interest income using the interest method over the securities' estimated holding periods, until maturity, or call date, if applicable. Gains and losses on the sales of securities are recorded on the trade date and are determined using the specific identification method.</w:t>
      </w:r>
    </w:p>
    <w:p>
      <w:pPr>
        <w:spacing w:after="0" w:line="9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Short-term investments are defined as short-term, highly liquid investments, both readily convertible to cash and having maturities at acquisition of twelve months or less.</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Other invested assets are principally comprised of limited partnership interests which are generally accounted for under the equity method of accounting or fair value using net asset value (or its equivalent) as a practical expedient, with changes in value reported in income from other invested assets. In applying the equity method or fair value using net asset value (or its equivalent) as a practical expedient, these investments are initially recorded at cost and are subsequently adjusted based on the Company’s proportionate share of the net income or loss of the partnership or changes in fair value. We have elected to classify distributions received from these investments using the cumulative earnings approach for purposes of classification in the statements of cash flows. Due to the timing of receiving financial information from these partnerships, the results are generally reported on a one month or quarter lag.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right"/>
              <w:ind w:right="3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Depreciation/</w:t>
            </w:r>
          </w:p>
        </w:tc>
        <w:tc>
          <w:tcPr>
            <w:tcW w:w="240" w:type="dxa"/>
            <w:vAlign w:val="bottom"/>
          </w:tcPr>
          <w:p>
            <w:pPr>
              <w:spacing w:after="0"/>
              <w:rPr>
                <w:sz w:val="12"/>
                <w:szCs w:val="12"/>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ind w:right="195"/>
              <w:spacing w:after="0" w:line="146"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96"/>
        </w:trPr>
        <w:tc>
          <w:tcPr>
            <w:tcW w:w="60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internal-use software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16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 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$2.0 million, $2.6 million and $3.6 million for the years ended December 31, 2024, 2023 and 2022, respectively. Amortization of deferred policy acquisition costs totaled $3.7 million, $4.4 million and $5.8 million for the years ended December 31, 2024, 2023 and 2022, respectively, and was included in other underwriting and operating expenses on the consolidated statements of comprehensive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Acquired Intangible Assets, Net</w:t>
      </w:r>
    </w:p>
    <w:p>
      <w:pPr>
        <w:spacing w:after="0" w:line="1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Goodwill is an asset representing the estimated future economic benefits arising from the assets we have acquired that were not individually identified and separately recognized. Goodwill is deemed to have an indefinite useful life and is subject to review for impairment annually, or more frequently whenever circumstances indicate potential impairment at the reporting unit level. A reporting unit represents a business for which discrete financial information is available. We generally perform our annual goodwill impairment test during the fourth quarter of each year to determine whether it is more likely than not that the fair value of a reporting unit is less than its carrying value. An impairment charge is recognized for any excess of the reporting unit’s carrying amount over the reporting unit’s estimated fair value, up to the full amount of the goodwill allocated to the reporting unit.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rollforward of goodwill for the years ended December 31, 2024 and 2023:</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resulting from acquisitions</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acquired intangible assets, other than goodwill, primarily consist of customer relationships and represent the value of the specifically acquired customer relationships. For financial reporting purposes, intangible assets with finite lives are amortized over their applicable estimated useful lives in a manner that approximates the pattern of expected economic benefit from each intangible asset. Other acquired intangible assets also include title plants and records, which are carried at original cost. Such values represent the cost of producing or acquiring interests in title records and indexes and the appraised value of purchased subsidiaries' title records and indexes at dates of acquisition. The cost of maintaining, updating, and operating title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records is charged to income as incurred. Title records and indexes are not amortized unless events or circumstances indicate that the carrying amount of the capitalized costs may not be recoverable. Title plants and records were $10 million as of December 31, 2024. We did not own any title plant or records as of December 31, 2023.</w:t>
      </w:r>
    </w:p>
    <w:p>
      <w:pPr>
        <w:spacing w:after="0" w:line="9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gross carrying amount and accumulated amortization of our customer relationship intangible assets as of December 31, 2024 and 2023 were $22.9 million and $2.1 million and $23.5 million and $0.7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Premium Revenue Recognition</w:t>
      </w:r>
    </w:p>
    <w:p>
      <w:pPr>
        <w:spacing w:after="0" w:line="162"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approximately 93% of earned premium in 2024.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$5.4 million and $6.3 million of earned premium related to policy cancellations for the years ended December 31, 2024 and 2023,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1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Revenues from title policies issued by agents are recorded when notice of issuance is received from the agent, which is generally when cash payment is received by the Company.</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 significant portion of our premium revenue relates to master policies with certain lending institutions. For the year ended December 31, 2024 one lender represented approximately 17% of our total revenue. The loss of this customer could have a significant impact on our revenues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14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We establish mortgage insurance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2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 Deficiency Reserve</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2024 and 2023, we concluded that no premium deficiency reserve was required to be recorded in the accompanying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6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Derivative instruments, including embedded derivative instruments, are recognized at fair value in the consolidated balance sheets. The amount of monthly reinsurance premiums ceded under our reinsurance contracts will fluctuate due to changes in one-month SOFR and changes in money market rates. As the reinsurance premium will vary based on changes in these rates, we concluded that these reinsurance agreements contain embedded derivatives that are accounted for separately like freestanding derivatives.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awards of equity instruments at the grant date of the award using a fair value based method. Quoted market prices are used for the valuation of common shares granted that do not contain a market condition under ASC 718. The performance-based share awards granted beginning in 2021 contain a market condition and were valued based on analysis provided by a third-party valuation firm using a risk neutral simulation and considering the vesting conditions of the grant. We recognize compensation expense on nonvested shares over the vesting period of the award. Excess tax benefits and tax deficiencies associated with share-based payments are recognized as income tax expense or benefit in the income statement and treated as discrete items in the reporting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Deferred income tax assets and liabilities are determined using the asset and liability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w:t>
      </w:r>
    </w:p>
    <w:p>
      <w:pPr>
        <w:spacing w:after="0" w:line="127"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2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8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It is our policy to classify interest and penalties as income tax expense and to use the aggregate portfolio approach to release income tax effects from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4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amounts are calculated based on income available to common stockholders and the weighted average number of common shares outstanding during the reporting period. Diluted earnings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and common share units, are included in the earnings per share calculation to the extent that they are dilutive.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During the Period</w:t>
      </w:r>
    </w:p>
    <w:p>
      <w:pPr>
        <w:spacing w:after="0" w:line="14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June 2022, the Financial Accounting Standards Board (“FASB”) issued Accounting Standards Update (“ASU”) No. 2022-03, Fair Value Measurement (Topic 820): Fair Value Measurement of Equity Securities Subject to Contractual Sale Restrictions. This update clarifies the guidance in ASC 820 on the fair value measurement of an equity security that is subject to a 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was effective for fiscal years beginning after December 15, 2023, and interim periods within those fiscal years, with early adoption permitted. The adoption of this ASU did not have a material effect on the Company's consolidated operating results or financial position.</w:t>
      </w:r>
    </w:p>
    <w:p>
      <w:pPr>
        <w:spacing w:after="0" w:line="1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public entities to disclose information about their reportable segments’ significant expenses on an interim and annual basis. The ASU requires that public entities disclose significant expense categories and amounts for each reportable segment, which are derived from expenses that are 1) regularly reported to an entity’s chief operating decision-maker ("CODM") and 2) included in a segment’s reported measures of profit or loss. Public entities must also disclose an amount for “other segment items,” representing the difference between 1) segment revenue less significant segment expenses and 2) the reportable segment’s profit or loss measures. A description of the composition of “other segment items” also is required as well as the title and position of the CODM and entities must explain how the CODM uses the reported measures of profit or loss to assess segment performance. The ASU also requires interim disclosure of certain segment-related disclosures that previously were required only on an annual basis and clarifies that entities with a single reportable segment will be subject to both new and existing segment reporting requirements under Topic 280. It also clarifies that an entity is permitted to disclose multiple measures of segment profit or loss, provided that certain criteria are met. The ASU was effective for fiscal years beginning after December 15, 2023, and interim periods within fiscal years beginning after December 15, 2024. Entities must adopt the changes to the segment reporting guidance on a retrospective basis. Upon the adoption of the accounting standard, the Company has disclosed required segment information with Footnote 18: Segment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4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11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9" w:name="page100"/>
    <w:bookmarkEnd w:id="99"/>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after December 15, 2027.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60" w:right="75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90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9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9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20"/>
                <w:szCs w:val="20"/>
                <w:color w:val="auto"/>
              </w:rPr>
            </w:pPr>
          </w:p>
        </w:tc>
        <w:tc>
          <w:tcPr>
            <w:tcW w:w="90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0"/>
                <w:szCs w:val="2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9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7"/>
                <w:szCs w:val="17"/>
                <w:color w:val="auto"/>
              </w:rPr>
            </w:pPr>
          </w:p>
        </w:tc>
        <w:tc>
          <w:tcPr>
            <w:tcW w:w="9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996,382</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821,346</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547,258</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(87,903)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1,297,055</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517,940</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(19,376)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564,995</w:t>
            </w: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444,121</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5,586,730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(336,437)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5,263,739</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revenue bonds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obligation bonds</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4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40" w:type="dxa"/>
            <w:vAlign w:val="bottom"/>
          </w:tcPr>
          <w:p>
            <w:pPr>
              <w:spacing w:after="0"/>
              <w:rPr>
                <w:sz w:val="2"/>
                <w:szCs w:val="2"/>
                <w:color w:val="auto"/>
              </w:rPr>
            </w:pPr>
          </w:p>
        </w:tc>
        <w:tc>
          <w:tcPr>
            <w:tcW w:w="5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right="200" w:firstLine="405"/>
        <w:spacing w:after="0" w:line="260"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December 31, 2024,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tbl>
      <w:tblPr>
        <w:tblLayout w:type="fixed"/>
        <w:tblInd w:w="60" w:type="dxa"/>
        <w:tblCellMar>
          <w:top w:w="0" w:type="dxa"/>
          <w:left w:w="0" w:type="dxa"/>
          <w:bottom w:w="0" w:type="dxa"/>
          <w:right w:w="0" w:type="dxa"/>
        </w:tblCellMar>
      </w:tblPr>
      <w:tr>
        <w:trPr>
          <w:trHeight w:val="150"/>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660" w:type="dxa"/>
            <w:vAlign w:val="bottom"/>
            <w:gridSpan w:val="2"/>
          </w:tcPr>
          <w:p>
            <w:pPr>
              <w:jc w:val="center"/>
              <w:ind w:right="480"/>
              <w:spacing w:after="0" w:line="15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line="150"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1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7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213,553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212,961</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292,711</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29,303</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81,905</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134,741</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350,231</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0" w:type="dxa"/>
            <w:vAlign w:val="bottom"/>
          </w:tcPr>
          <w:p>
            <w:pPr>
              <w:spacing w:after="0"/>
              <w:rPr>
                <w:sz w:val="1"/>
                <w:szCs w:val="1"/>
                <w:color w:val="auto"/>
              </w:rPr>
            </w:pPr>
          </w:p>
        </w:tc>
      </w:tr>
      <w:tr>
        <w:trPr>
          <w:trHeight w:val="229"/>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1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163,676</w:t>
            </w:r>
          </w:p>
        </w:tc>
        <w:tc>
          <w:tcPr>
            <w:tcW w:w="0" w:type="dxa"/>
            <w:vAlign w:val="bottom"/>
          </w:tcPr>
          <w:p>
            <w:pPr>
              <w:spacing w:after="0"/>
              <w:rPr>
                <w:sz w:val="1"/>
                <w:szCs w:val="1"/>
                <w:color w:val="auto"/>
              </w:rPr>
            </w:pPr>
          </w:p>
        </w:tc>
      </w:tr>
      <w:tr>
        <w:trPr>
          <w:trHeight w:val="229"/>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489,307</w:t>
            </w:r>
          </w:p>
        </w:tc>
        <w:tc>
          <w:tcPr>
            <w:tcW w:w="0" w:type="dxa"/>
            <w:vAlign w:val="bottom"/>
          </w:tcPr>
          <w:p>
            <w:pPr>
              <w:spacing w:after="0"/>
              <w:rPr>
                <w:sz w:val="1"/>
                <w:szCs w:val="1"/>
                <w:color w:val="auto"/>
              </w:rPr>
            </w:pPr>
          </w:p>
        </w:tc>
      </w:tr>
      <w:tr>
        <w:trPr>
          <w:trHeight w:val="230"/>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1,014,720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959,079</w:t>
            </w:r>
          </w:p>
        </w:tc>
        <w:tc>
          <w:tcPr>
            <w:tcW w:w="0" w:type="dxa"/>
            <w:vAlign w:val="bottom"/>
          </w:tcPr>
          <w:p>
            <w:pPr>
              <w:spacing w:after="0"/>
              <w:rPr>
                <w:sz w:val="1"/>
                <w:szCs w:val="1"/>
                <w:color w:val="auto"/>
              </w:rPr>
            </w:pPr>
          </w:p>
        </w:tc>
      </w:tr>
      <w:tr>
        <w:trPr>
          <w:trHeight w:val="230"/>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170,984</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consolidated statements of comprehensive income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gross losses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right="160" w:firstLine="405"/>
        <w:spacing w:after="0" w:line="270"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41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r>
        <w:trPr>
          <w:trHeight w:val="22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0" w:type="dxa"/>
            <w:vAlign w:val="bottom"/>
          </w:tcPr>
          <w:p>
            <w:pPr>
              <w:spacing w:after="0"/>
              <w:rPr>
                <w:sz w:val="1"/>
                <w:szCs w:val="1"/>
                <w:color w:val="auto"/>
              </w:rPr>
            </w:pPr>
          </w:p>
        </w:tc>
      </w:tr>
      <w:tr>
        <w:trPr>
          <w:trHeight w:val="22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30"/>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0" w:type="dxa"/>
            <w:vAlign w:val="bottom"/>
          </w:tcPr>
          <w:p>
            <w:pPr>
              <w:spacing w:after="0"/>
              <w:rPr>
                <w:sz w:val="1"/>
                <w:szCs w:val="1"/>
                <w:color w:val="auto"/>
              </w:rPr>
            </w:pPr>
          </w:p>
        </w:tc>
      </w:tr>
      <w:tr>
        <w:trPr>
          <w:trHeight w:val="229"/>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23"/>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24"/>
                <w:szCs w:val="24"/>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4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6"/>
        </w:trPr>
        <w:tc>
          <w:tcPr>
            <w:tcW w:w="41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7"/>
                <w:szCs w:val="17"/>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9"/>
        </w:trPr>
        <w:tc>
          <w:tcPr>
            <w:tcW w:w="4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0" w:type="dxa"/>
            <w:vAlign w:val="bottom"/>
          </w:tcPr>
          <w:p>
            <w:pPr>
              <w:spacing w:after="0"/>
              <w:rPr>
                <w:sz w:val="1"/>
                <w:szCs w:val="1"/>
                <w:color w:val="auto"/>
              </w:rPr>
            </w:pPr>
          </w:p>
        </w:tc>
      </w:tr>
      <w:tr>
        <w:trPr>
          <w:trHeight w:val="23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0" w:type="dxa"/>
            <w:vAlign w:val="bottom"/>
          </w:tcPr>
          <w:p>
            <w:pPr>
              <w:spacing w:after="0"/>
              <w:rPr>
                <w:sz w:val="1"/>
                <w:szCs w:val="1"/>
                <w:color w:val="auto"/>
              </w:rPr>
            </w:pPr>
          </w:p>
        </w:tc>
      </w:tr>
      <w:tr>
        <w:trPr>
          <w:trHeight w:val="23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(44,449)</w:t>
            </w: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0" w:type="dxa"/>
            <w:vAlign w:val="bottom"/>
          </w:tcPr>
          <w:p>
            <w:pPr>
              <w:spacing w:after="0"/>
              <w:rPr>
                <w:sz w:val="1"/>
                <w:szCs w:val="1"/>
                <w:color w:val="auto"/>
              </w:rPr>
            </w:pPr>
          </w:p>
        </w:tc>
      </w:tr>
      <w:tr>
        <w:trPr>
          <w:trHeight w:val="23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(87,903)</w:t>
            </w:r>
          </w:p>
        </w:tc>
        <w:tc>
          <w:tcPr>
            <w:tcW w:w="0" w:type="dxa"/>
            <w:vAlign w:val="bottom"/>
          </w:tcPr>
          <w:p>
            <w:pPr>
              <w:spacing w:after="0"/>
              <w:rPr>
                <w:sz w:val="1"/>
                <w:szCs w:val="1"/>
                <w:color w:val="auto"/>
              </w:rPr>
            </w:pPr>
          </w:p>
        </w:tc>
      </w:tr>
      <w:tr>
        <w:trPr>
          <w:trHeight w:val="229"/>
        </w:trPr>
        <w:tc>
          <w:tcPr>
            <w:tcW w:w="4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(53,509)</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(336,437)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At December 31, 2024 and 2023, we held 2,481 and 2,256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December 31, 2024 of any of these securities resulted from a credit loss or other factors, we made inquiries of our investment managers to determine that each issuer was current on its scheduled interest and principal payments. We reviewed the credit rating of these securities noting that 98% of the securities at December 31, 2024 had investment-grade ratings. We concluded that gross unrealized losses noted above were primarily associated with the changes in interest rates subsequent to purchase rather than due to credit impairment. We recorded impairments of $0.5 million, $0.2 million and $12.7 million in the years ended December 31, 2024, 2023 and 2022, respectively. The impairments resulted from our intent to sell these securities subsequent to a reporting date.</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Company's other invested assets at December 31, 2024 and December 31, 2023 totaled $303.9 million and $277.2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10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$171.7 million as of December 31, 2024. The majority of these investments were in limited partnerships invested in real estate or consumer credit. At December 31, 2024, maximum future funding commitments were $45.1 million. For limited partnership investments that have a contractual expiration date, we expect the liquidation of the underlying assets 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occur over the next two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9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$9.3 million at December 31, 2024 and $9.2 million at December 31, 2023. In connection with its insurance and reinsurance activities, Essent Re is required to maintain assets in trusts for the benefit of its contractual counterparties. The fair value of the investments on deposit in these trusts was $983.5 million at December 31, 2024 and $1,060.0 million at December 31, 2023. Essent Guaranty is also required to maintain assets on deposit for the benefit of the sponsor of a fixed income investment commitment. The fair value of the assets on deposit was $9.3 million at December 31, 2024 and $9.2 million at December 31, 2023.</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8"/>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3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Accounts receivable consists of the following at December 31: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Premiums receivable consists of premiums due on our mortgage insurance policies. If mortgage insurance premiums are unpaid for more than 90 days, the receivable is written off against earned premium and the related insurance policy is cancelled. For all periods presented, no provision or allowance for credit losses was required.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Reinsurance</w:t>
      </w:r>
    </w:p>
    <w:p>
      <w:pPr>
        <w:spacing w:after="0" w:line="16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1,098,603</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927,702</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(107,673)</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820,029</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1,122,905</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950,200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w w:val="99"/>
              </w:rPr>
              <w:t>(107,673)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842,527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67"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profit commission.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162"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minimum financial strength rating of A- or better by S&amp;P Global Ratings, A.M. Best or both. Under each QSR agreement, Essent Guaranty will cede premiums earned on a percentage of risk on all eligible policies written during a specified period, in exchange for reimbursement of ceded claims and claims expenses on covered policies, a specified ceding commission, as well as a profit commission that varies directly and inversely with ceded claims. Essent Guaranty has certain termination rights under each QSR agreement, including the option to terminate each QSR agreement subject to a termination fee.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summarizes Essent Guaranty's quota share reinsurance agreements as of December 31, 2024:</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QSR Agreement</w:t>
            </w:r>
          </w:p>
        </w:tc>
        <w:tc>
          <w:tcPr>
            <w:tcW w:w="7380" w:type="dxa"/>
            <w:vAlign w:val="bottom"/>
            <w:gridSpan w:val="3"/>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Ceding</w:t>
            </w:r>
          </w:p>
        </w:tc>
        <w:tc>
          <w:tcPr>
            <w:tcW w:w="0" w:type="dxa"/>
            <w:vAlign w:val="bottom"/>
          </w:tcPr>
          <w:p>
            <w:pPr>
              <w:spacing w:after="0"/>
              <w:rPr>
                <w:sz w:val="1"/>
                <w:szCs w:val="1"/>
                <w:color w:val="auto"/>
              </w:rPr>
            </w:pPr>
          </w:p>
        </w:tc>
      </w:tr>
      <w:tr>
        <w:trPr>
          <w:trHeight w:val="195"/>
        </w:trPr>
        <w:tc>
          <w:tcPr>
            <w:tcW w:w="1780" w:type="dxa"/>
            <w:vAlign w:val="bottom"/>
            <w:gridSpan w:val="2"/>
            <w:vMerge w:val="continue"/>
          </w:tcPr>
          <w:p>
            <w:pPr>
              <w:spacing w:after="0"/>
              <w:rPr>
                <w:sz w:val="16"/>
                <w:szCs w:val="16"/>
                <w:color w:val="auto"/>
              </w:rPr>
            </w:pPr>
          </w:p>
        </w:tc>
        <w:tc>
          <w:tcPr>
            <w:tcW w:w="7380" w:type="dxa"/>
            <w:vAlign w:val="bottom"/>
            <w:gridSpan w:val="3"/>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QSR-2022</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QSR-2023</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QSR-2024</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Under QSR-2019, Essent Guaranty cedes 40% of premiums on singles policies and 20% on all other policies.</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RIF ceded under these QSR agreements was $8.6 billion as of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14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 During the year ended December 31, 2023, Radnor Re 2019-1 and Radnor Re 2020-1 retired approximately 100% and 99%,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respectively of their outstanding notes through tender offers made by these special purpose insurers. As of December 31, 2024, all outstanding notes of Radnor Re 2019-1 and 2020-1 were retired.</w:t>
      </w:r>
    </w:p>
    <w:p>
      <w:pPr>
        <w:spacing w:after="0" w:line="8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Essent Guaranty has entered into reinsurance agreements with panels of reinsurers that provide excess of loss coverage on new insurance written from January 1, 2018 through August 31, 2019 and from October 1, 2021 through December 31, 2024.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11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Essent Guaranty's excess of loss coverages and retentions provided by insurance linked notes as of December 31, 2024:</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8"/>
        </w:trPr>
        <w:tc>
          <w:tcPr>
            <w:tcW w:w="17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3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3"/>
                <w:szCs w:val="13"/>
                <w:color w:val="auto"/>
              </w:rPr>
            </w:pPr>
          </w:p>
        </w:tc>
        <w:tc>
          <w:tcPr>
            <w:tcW w:w="1060" w:type="dxa"/>
            <w:vAlign w:val="bottom"/>
          </w:tcPr>
          <w:p>
            <w:pPr>
              <w:jc w:val="center"/>
              <w:ind w:right="102"/>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700" w:type="dxa"/>
            <w:vAlign w:val="bottom"/>
          </w:tcPr>
          <w:p>
            <w:pPr>
              <w:spacing w:after="0"/>
              <w:rPr>
                <w:sz w:val="13"/>
                <w:szCs w:val="13"/>
                <w:color w:val="auto"/>
              </w:rPr>
            </w:pPr>
          </w:p>
        </w:tc>
      </w:tr>
      <w:tr>
        <w:trPr>
          <w:trHeight w:val="137"/>
        </w:trPr>
        <w:tc>
          <w:tcPr>
            <w:tcW w:w="1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1"/>
                <w:szCs w:val="11"/>
                <w:color w:val="auto"/>
              </w:rPr>
            </w:pPr>
          </w:p>
        </w:tc>
        <w:tc>
          <w:tcPr>
            <w:tcW w:w="13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80" w:type="dxa"/>
            <w:vAlign w:val="bottom"/>
          </w:tcPr>
          <w:p>
            <w:pPr>
              <w:spacing w:after="0"/>
              <w:rPr>
                <w:sz w:val="11"/>
                <w:szCs w:val="11"/>
                <w:color w:val="auto"/>
              </w:rPr>
            </w:pPr>
          </w:p>
        </w:tc>
        <w:tc>
          <w:tcPr>
            <w:tcW w:w="1060" w:type="dxa"/>
            <w:vAlign w:val="bottom"/>
          </w:tcPr>
          <w:p>
            <w:pPr>
              <w:jc w:val="center"/>
              <w:ind w:right="122"/>
              <w:spacing w:after="0" w:line="137"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1700" w:type="dxa"/>
            <w:vAlign w:val="bottom"/>
          </w:tcPr>
          <w:p>
            <w:pPr>
              <w:spacing w:after="0"/>
              <w:rPr>
                <w:sz w:val="11"/>
                <w:szCs w:val="11"/>
                <w:color w:val="auto"/>
              </w:rPr>
            </w:pPr>
          </w:p>
        </w:tc>
      </w:tr>
      <w:tr>
        <w:trPr>
          <w:trHeight w:val="207"/>
        </w:trPr>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Deal Name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Vintage</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Force</w:t>
            </w:r>
          </w:p>
        </w:tc>
        <w:tc>
          <w:tcPr>
            <w:tcW w:w="180" w:type="dxa"/>
            <w:vAlign w:val="bottom"/>
          </w:tcPr>
          <w:p>
            <w:pPr>
              <w:spacing w:after="0"/>
              <w:rPr>
                <w:sz w:val="18"/>
                <w:szCs w:val="18"/>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r>
      <w:tr>
        <w:trPr>
          <w:trHeight w:val="216"/>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2021-1</w:t>
            </w: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 2020 - Mar. 2021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23,839,935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6,533,211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190,062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277,698</w:t>
            </w: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26, 2028</w:t>
            </w:r>
          </w:p>
        </w:tc>
      </w:tr>
      <w:tr>
        <w:trPr>
          <w:trHeight w:val="21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2021-2</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Apr. 2021 - Sep. 2021</w:t>
            </w:r>
          </w:p>
        </w:tc>
        <w:tc>
          <w:tcPr>
            <w:tcW w:w="2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29,757,565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265,134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276,141</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r>
      <w:tr>
        <w:trPr>
          <w:trHeight w:val="219"/>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2022-1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Oct. 2021 - Jul. 2022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27,859,437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7,621,952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175,026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300,105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2028</w:t>
            </w:r>
          </w:p>
        </w:tc>
      </w:tr>
      <w:tr>
        <w:trPr>
          <w:trHeight w:val="213"/>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Radnor Re 2023-1</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Aug. 2022 - Jun. 2023</w:t>
            </w:r>
          </w:p>
        </w:tc>
        <w:tc>
          <w:tcPr>
            <w:tcW w:w="2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28,058,061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268,320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280,559</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2028</w:t>
            </w:r>
          </w:p>
        </w:tc>
      </w:tr>
      <w:tr>
        <w:trPr>
          <w:trHeight w:val="216"/>
        </w:trPr>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Radnor Re 2024-1</w:t>
            </w:r>
          </w:p>
        </w:tc>
        <w:tc>
          <w:tcPr>
            <w:tcW w:w="2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Jul. 2023 - Jul. 2024</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29,033,466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8,025,937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331,415</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256,495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25, 2029</w:t>
            </w:r>
          </w:p>
        </w:tc>
      </w:tr>
      <w:tr>
        <w:trPr>
          <w:trHeight w:val="212"/>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138,548,464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38,115,471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1,229,957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1,390,998</w:t>
            </w:r>
          </w:p>
        </w:tc>
        <w:tc>
          <w:tcPr>
            <w:tcW w:w="17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2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3"/>
                <w:szCs w:val="13"/>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22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Risk</w:t>
            </w: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160" w:type="dxa"/>
            <w:vAlign w:val="bottom"/>
          </w:tcPr>
          <w:p>
            <w:pPr>
              <w:spacing w:after="0"/>
              <w:rPr>
                <w:sz w:val="12"/>
                <w:szCs w:val="12"/>
                <w:color w:val="auto"/>
              </w:rPr>
            </w:pPr>
          </w:p>
        </w:tc>
        <w:tc>
          <w:tcPr>
            <w:tcW w:w="10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2060" w:type="dxa"/>
            <w:vAlign w:val="bottom"/>
            <w:vMerge w:val="restart"/>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5"/>
        </w:trPr>
        <w:tc>
          <w:tcPr>
            <w:tcW w:w="1260" w:type="dxa"/>
            <w:vAlign w:val="bottom"/>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60" w:type="dxa"/>
            <w:vAlign w:val="bottom"/>
          </w:tcPr>
          <w:p>
            <w:pPr>
              <w:spacing w:after="0"/>
              <w:rPr>
                <w:sz w:val="16"/>
                <w:szCs w:val="16"/>
                <w:color w:val="auto"/>
              </w:rPr>
            </w:pPr>
          </w:p>
        </w:tc>
        <w:tc>
          <w:tcPr>
            <w:tcW w:w="10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2019-1</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 2018 - Dec. 2018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4,535,941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1,195,244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76,144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243,704</w:t>
            </w:r>
          </w:p>
        </w:tc>
        <w:tc>
          <w:tcPr>
            <w:tcW w:w="2060" w:type="dxa"/>
            <w:vAlign w:val="bottom"/>
            <w:tcBorders>
              <w:top w:val="single" w:sz="8" w:color="auto"/>
            </w:tcBorders>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rPr>
              <w:t>February 25, 2026</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2020-1</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Jan. 2019 - Dec. 2019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5,760,682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1,522,699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211,678</w:t>
            </w:r>
          </w:p>
        </w:tc>
        <w:tc>
          <w:tcPr>
            <w:tcW w:w="20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January 25, 2027</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2022-1</w:t>
            </w:r>
          </w:p>
        </w:tc>
        <w:tc>
          <w:tcPr>
            <w:tcW w:w="2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Oct. 2021 - Dec. 2022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63,001,325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17,184,107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141,992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496,864</w:t>
            </w:r>
          </w:p>
        </w:tc>
        <w:tc>
          <w:tcPr>
            <w:tcW w:w="2060" w:type="dxa"/>
            <w:vAlign w:val="bottom"/>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3"/>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XOL 2023-1</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Jan. 2023 - Dec. 2023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36,841,903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10,211,722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366,028</w:t>
            </w:r>
          </w:p>
        </w:tc>
        <w:tc>
          <w:tcPr>
            <w:tcW w:w="20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January 1, 2028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XOL 2024-1</w:t>
            </w:r>
          </w:p>
        </w:tc>
        <w:tc>
          <w:tcPr>
            <w:tcW w:w="20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Jan. 2024 - Dec. 2024</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40,244,132</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11,048,540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58,005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331,456</w:t>
            </w:r>
          </w:p>
        </w:tc>
        <w:tc>
          <w:tcPr>
            <w:tcW w:w="2060" w:type="dxa"/>
            <w:vAlign w:val="bottom"/>
            <w:shd w:val="clear" w:color="auto" w:fill="CCEEFF"/>
          </w:tcPr>
          <w:p>
            <w:pPr>
              <w:jc w:val="center"/>
              <w:ind w:left="221"/>
              <w:spacing w:after="0"/>
              <w:rPr>
                <w:sz w:val="20"/>
                <w:szCs w:val="20"/>
                <w:color w:val="auto"/>
              </w:rPr>
            </w:pPr>
            <w:r>
              <w:rPr>
                <w:rFonts w:ascii="Times New Roman" w:cs="Times New Roman" w:eastAsia="Times New Roman" w:hAnsi="Times New Roman"/>
                <w:sz w:val="16"/>
                <w:szCs w:val="16"/>
                <w:color w:val="auto"/>
              </w:rPr>
              <w:t>January 1, 2030</w:t>
            </w:r>
          </w:p>
        </w:tc>
        <w:tc>
          <w:tcPr>
            <w:tcW w:w="0" w:type="dxa"/>
            <w:vAlign w:val="bottom"/>
          </w:tcPr>
          <w:p>
            <w:pPr>
              <w:spacing w:after="0"/>
              <w:rPr>
                <w:sz w:val="1"/>
                <w:szCs w:val="1"/>
                <w:color w:val="auto"/>
              </w:rPr>
            </w:pPr>
          </w:p>
        </w:tc>
      </w:tr>
      <w:tr>
        <w:trPr>
          <w:trHeight w:val="212"/>
        </w:trPr>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150,383,983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41,162,312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341,920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1,649,730</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9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99"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consolidated balance sheet and the estimated net present value of investment earnings on the assets in the reinsurance trusts, each as of December 31, 2024:</w:t>
      </w:r>
    </w:p>
    <w:p>
      <w:pPr>
        <w:spacing w:after="0" w:line="146" w:lineRule="exact"/>
        <w:rPr>
          <w:sz w:val="20"/>
          <w:szCs w:val="20"/>
          <w:color w:val="auto"/>
        </w:rPr>
      </w:pPr>
    </w:p>
    <w:tbl>
      <w:tblPr>
        <w:tblLayout w:type="fixed"/>
        <w:tblInd w:w="122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380" w:type="dxa"/>
            <w:vAlign w:val="bottom"/>
          </w:tcPr>
          <w:p>
            <w:pPr>
              <w:spacing w:after="0"/>
              <w:rPr>
                <w:sz w:val="16"/>
                <w:szCs w:val="16"/>
                <w:color w:val="auto"/>
              </w:rPr>
            </w:pPr>
          </w:p>
        </w:tc>
        <w:tc>
          <w:tcPr>
            <w:tcW w:w="12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1,229,957</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40" w:firstLine="405"/>
        <w:spacing w:after="0" w:line="312" w:lineRule="auto"/>
        <w:rPr>
          <w:sz w:val="20"/>
          <w:szCs w:val="20"/>
          <w:color w:val="auto"/>
        </w:rPr>
      </w:pPr>
      <w:r>
        <w:rPr>
          <w:rFonts w:ascii="Times New Roman" w:cs="Times New Roman" w:eastAsia="Times New Roman" w:hAnsi="Times New Roman"/>
          <w:sz w:val="17"/>
          <w:szCs w:val="17"/>
          <w:color w:val="auto"/>
        </w:rPr>
        <w:t>The assets of Radnor Re are the source of reinsurance claim payments to Essent Guaranty and provide capital relief under the PMIERs financial strength requirements (see Note 16). A decline in the assets available to pay claims would reduce the capital relief available to Essent Guaranty.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Reserve for Losses and Loss Adjustment Expenses</w:t>
      </w:r>
    </w:p>
    <w:p>
      <w:pPr>
        <w:spacing w:after="0" w:line="16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years ended December 31:</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year</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reserves acquired during the period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99,372</w:t>
            </w:r>
          </w:p>
        </w:tc>
      </w:tr>
      <w:tr>
        <w:trPr>
          <w:trHeight w:val="229"/>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(274,076)</w:t>
            </w: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year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(174,704)</w:t>
            </w:r>
          </w:p>
        </w:tc>
      </w:tr>
      <w:tr>
        <w:trPr>
          <w:trHeight w:val="20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year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year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201,846</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$21.7 million was paid for incurred claims and claim adjustment expenses attributable to insured events of prior years. There has been a $95.8 million favorable prior year development during the year ended December 31, 2024. Reserves remaining as of December 31, 2024 for prior years are $118.4 million as a result of re-estimation of unpaid losses and loss adjustment expenses. For the year ended December 31, 2023, $10.8 million was paid for incurred claims and claim adjustment expenses attributable to insured events of prior years. There was a $109.6 million favorable prior year development during the year ended December 31, 2023. Reserves remaining as of December 31, 2023 for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years were $81.4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 During the year ended December 31 2023, we acquired $14.0 million of reserves, excluding $0.1 million of reinsurance recoverables, in connection with the acquisition of our title insurance operations.</w:t>
      </w:r>
    </w:p>
    <w:p>
      <w:pPr>
        <w:spacing w:after="0" w:line="10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and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spacing w:after="0" w:line="11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w:t>
      </w:r>
    </w:p>
    <w:p>
      <w:pPr>
        <w:spacing w:after="0" w:line="121"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 risk in force for the Early COVID Defaults. The reserve for the Early COVID Defaults had not been adjusted as of December 31, 2021. 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during the third quarter of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spacing w:after="0" w:line="10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increased by 3,620 in the year ended December 31, 2024, including 2,119 defaults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w:t>
      </w:r>
    </w:p>
    <w:p>
      <w:pPr>
        <w:spacing w:after="0" w:line="12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January 31, 2025, our insurance in force in areas with Federal Emergency Management Agency ("FEMA") disaster declarations due to these wildfires was less than 0.1% of our total insurance in force. These wildfires have not affected our reserves as of December 31, 2024.</w:t>
      </w:r>
    </w:p>
    <w:p>
      <w:pPr>
        <w:spacing w:after="0" w:line="10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Federal Reserve has increased the target federal funds rate several times during 2022 and 2023 in an effort to reduce consumer price inflation. As a result of progress on inflation, the Federal Reserve reduced the target federal funds rate by 100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basis points since September 2024. Mortgage interest rates remain elevated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pacing w:after="0" w:line="95"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mortgage insurance incurred loss and allocated loss adjustment expense development, net of reinsurance, IBNR plus expected development on reported defaults and the cumulative number of reported defaults. The information about incurred loss development for the years ended December 31, 2015 to 2023 is presented as supplementary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7"/>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Incurred Loss and Allocated LAE,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7"/>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0" w:type="dxa"/>
            <w:vAlign w:val="bottom"/>
          </w:tcPr>
          <w:p>
            <w:pPr>
              <w:spacing w:after="0"/>
              <w:rPr>
                <w:sz w:val="1"/>
                <w:szCs w:val="1"/>
                <w:color w:val="auto"/>
              </w:rPr>
            </w:pPr>
          </w:p>
        </w:tc>
      </w:tr>
      <w:tr>
        <w:trPr>
          <w:trHeight w:val="18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Cumulative</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Total of IBNR plus</w:t>
            </w: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0" w:type="dxa"/>
            <w:vAlign w:val="bottom"/>
          </w:tcPr>
          <w:p>
            <w:pPr>
              <w:spacing w:after="0"/>
              <w:rPr>
                <w:sz w:val="1"/>
                <w:szCs w:val="1"/>
                <w:color w:val="auto"/>
              </w:rPr>
            </w:pPr>
          </w:p>
        </w:tc>
      </w:tr>
      <w:tr>
        <w:trPr>
          <w:trHeight w:val="135"/>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Accident Year</w:t>
            </w:r>
          </w:p>
        </w:tc>
        <w:tc>
          <w:tcPr>
            <w:tcW w:w="140" w:type="dxa"/>
            <w:vAlign w:val="bottom"/>
          </w:tcPr>
          <w:p>
            <w:pPr>
              <w:spacing w:after="0"/>
              <w:rPr>
                <w:sz w:val="11"/>
                <w:szCs w:val="11"/>
                <w:color w:val="auto"/>
              </w:rPr>
            </w:pPr>
          </w:p>
        </w:tc>
        <w:tc>
          <w:tcPr>
            <w:tcW w:w="5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1"/>
                <w:szCs w:val="11"/>
                <w:color w:val="auto"/>
              </w:rPr>
            </w:pPr>
          </w:p>
        </w:tc>
        <w:tc>
          <w:tcPr>
            <w:tcW w:w="5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2016</w:t>
            </w:r>
          </w:p>
        </w:tc>
        <w:tc>
          <w:tcPr>
            <w:tcW w:w="220" w:type="dxa"/>
            <w:vAlign w:val="bottom"/>
          </w:tcPr>
          <w:p>
            <w:pPr>
              <w:spacing w:after="0"/>
              <w:rPr>
                <w:sz w:val="11"/>
                <w:szCs w:val="11"/>
                <w:color w:val="auto"/>
              </w:rPr>
            </w:pPr>
          </w:p>
        </w:tc>
        <w:tc>
          <w:tcPr>
            <w:tcW w:w="5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200" w:type="dxa"/>
            <w:vAlign w:val="bottom"/>
          </w:tcPr>
          <w:p>
            <w:pPr>
              <w:spacing w:after="0"/>
              <w:rPr>
                <w:sz w:val="11"/>
                <w:szCs w:val="11"/>
                <w:color w:val="auto"/>
              </w:rPr>
            </w:pPr>
          </w:p>
        </w:tc>
        <w:tc>
          <w:tcPr>
            <w:tcW w:w="5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220" w:type="dxa"/>
            <w:vAlign w:val="bottom"/>
          </w:tcPr>
          <w:p>
            <w:pPr>
              <w:spacing w:after="0"/>
              <w:rPr>
                <w:sz w:val="11"/>
                <w:szCs w:val="11"/>
                <w:color w:val="auto"/>
              </w:rPr>
            </w:pPr>
          </w:p>
        </w:tc>
        <w:tc>
          <w:tcPr>
            <w:tcW w:w="5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1"/>
                <w:szCs w:val="11"/>
                <w:color w:val="auto"/>
              </w:rPr>
            </w:pPr>
          </w:p>
        </w:tc>
        <w:tc>
          <w:tcPr>
            <w:tcW w:w="5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200" w:type="dxa"/>
            <w:vAlign w:val="bottom"/>
          </w:tcPr>
          <w:p>
            <w:pPr>
              <w:spacing w:after="0"/>
              <w:rPr>
                <w:sz w:val="11"/>
                <w:szCs w:val="11"/>
                <w:color w:val="auto"/>
              </w:rPr>
            </w:pPr>
          </w:p>
        </w:tc>
        <w:tc>
          <w:tcPr>
            <w:tcW w:w="5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1"/>
                <w:szCs w:val="11"/>
                <w:color w:val="auto"/>
              </w:rPr>
            </w:pPr>
          </w:p>
        </w:tc>
        <w:tc>
          <w:tcPr>
            <w:tcW w:w="5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1"/>
                <w:szCs w:val="11"/>
                <w:color w:val="auto"/>
              </w:rPr>
            </w:pPr>
          </w:p>
        </w:tc>
        <w:tc>
          <w:tcPr>
            <w:tcW w:w="50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Expected Development</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Reported Defaults</w:t>
            </w:r>
          </w:p>
        </w:tc>
        <w:tc>
          <w:tcPr>
            <w:tcW w:w="0" w:type="dxa"/>
            <w:vAlign w:val="bottom"/>
          </w:tcPr>
          <w:p>
            <w:pPr>
              <w:spacing w:after="0"/>
              <w:rPr>
                <w:sz w:val="1"/>
                <w:szCs w:val="1"/>
                <w:color w:val="auto"/>
              </w:rPr>
            </w:pPr>
          </w:p>
        </w:tc>
      </w:tr>
      <w:tr>
        <w:trPr>
          <w:trHeight w:val="171"/>
        </w:trPr>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on Reported Defaults</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74"/>
        </w:trPr>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14,956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9,625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8,893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8,439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8,461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8,323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8,410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8,434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7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21,889</w:t>
            </w:r>
          </w:p>
        </w:tc>
        <w:tc>
          <w:tcPr>
            <w:tcW w:w="2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11,890</w:t>
            </w:r>
          </w:p>
        </w:tc>
        <w:tc>
          <w:tcPr>
            <w:tcW w:w="2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9,455</w:t>
            </w:r>
          </w:p>
        </w:tc>
        <w:tc>
          <w:tcPr>
            <w:tcW w:w="2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9,219</w:t>
            </w: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8,972</w:t>
            </w:r>
          </w:p>
        </w:tc>
        <w:tc>
          <w:tcPr>
            <w:tcW w:w="2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8,614</w:t>
            </w:r>
          </w:p>
        </w:tc>
        <w:tc>
          <w:tcPr>
            <w:tcW w:w="2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8,861</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38,178</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16,261</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12,202</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11,488</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11,249</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11,550</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7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36,438</w:t>
            </w:r>
          </w:p>
        </w:tc>
        <w:tc>
          <w:tcPr>
            <w:tcW w:w="2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23,168</w:t>
            </w: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19,536</w:t>
            </w:r>
          </w:p>
        </w:tc>
        <w:tc>
          <w:tcPr>
            <w:tcW w:w="2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17,402</w:t>
            </w:r>
          </w:p>
        </w:tc>
        <w:tc>
          <w:tcPr>
            <w:tcW w:w="2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17,249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64</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50,562</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39,085</w:t>
            </w: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23,649</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24,223</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0" w:type="dxa"/>
            <w:vAlign w:val="bottom"/>
          </w:tcPr>
          <w:p>
            <w:pPr>
              <w:spacing w:after="0"/>
              <w:rPr>
                <w:sz w:val="1"/>
                <w:szCs w:val="1"/>
                <w:color w:val="auto"/>
              </w:rPr>
            </w:pPr>
          </w:p>
        </w:tc>
      </w:tr>
      <w:tr>
        <w:trPr>
          <w:trHeight w:val="17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317,516</w:t>
            </w:r>
          </w:p>
        </w:tc>
        <w:tc>
          <w:tcPr>
            <w:tcW w:w="2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269,410</w:t>
            </w:r>
          </w:p>
        </w:tc>
        <w:tc>
          <w:tcPr>
            <w:tcW w:w="2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53,045</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0" w:type="dxa"/>
            <w:vAlign w:val="bottom"/>
          </w:tcPr>
          <w:p>
            <w:pPr>
              <w:spacing w:after="0"/>
              <w:rPr>
                <w:sz w:val="1"/>
                <w:szCs w:val="1"/>
                <w:color w:val="auto"/>
              </w:rPr>
            </w:pP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97,256</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38,551</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0" w:type="dxa"/>
            <w:vAlign w:val="bottom"/>
          </w:tcPr>
          <w:p>
            <w:pPr>
              <w:spacing w:after="0"/>
              <w:rPr>
                <w:sz w:val="1"/>
                <w:szCs w:val="1"/>
                <w:color w:val="auto"/>
              </w:rPr>
            </w:pPr>
          </w:p>
        </w:tc>
      </w:tr>
      <w:tr>
        <w:trPr>
          <w:trHeight w:val="170"/>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99,372</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1,535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0" w:type="dxa"/>
            <w:vAlign w:val="bottom"/>
          </w:tcPr>
          <w:p>
            <w:pPr>
              <w:spacing w:after="0"/>
              <w:rPr>
                <w:sz w:val="1"/>
                <w:szCs w:val="1"/>
                <w:color w:val="auto"/>
              </w:rPr>
            </w:pPr>
          </w:p>
        </w:tc>
      </w:tr>
      <w:tr>
        <w:trPr>
          <w:trHeight w:val="181"/>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138,617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5,476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w:t>
            </w:r>
          </w:p>
        </w:tc>
        <w:tc>
          <w:tcPr>
            <w:tcW w:w="0" w:type="dxa"/>
            <w:vAlign w:val="bottom"/>
          </w:tcPr>
          <w:p>
            <w:pPr>
              <w:spacing w:after="0"/>
              <w:rPr>
                <w:sz w:val="1"/>
                <w:szCs w:val="1"/>
                <w:color w:val="auto"/>
              </w:rPr>
            </w:pPr>
          </w:p>
        </w:tc>
      </w:tr>
      <w:tr>
        <w:trPr>
          <w:trHeight w:val="170"/>
        </w:trPr>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171,947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3"/>
                <w:szCs w:val="13"/>
                <w:color w:val="auto"/>
              </w:rPr>
              <w:t>13,413</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15,647</w:t>
            </w:r>
          </w:p>
        </w:tc>
        <w:tc>
          <w:tcPr>
            <w:tcW w:w="0" w:type="dxa"/>
            <w:vAlign w:val="bottom"/>
          </w:tcPr>
          <w:p>
            <w:pPr>
              <w:spacing w:after="0"/>
              <w:rPr>
                <w:sz w:val="1"/>
                <w:szCs w:val="1"/>
                <w:color w:val="auto"/>
              </w:rPr>
            </w:pPr>
          </w:p>
        </w:tc>
      </w:tr>
      <w:tr>
        <w:trPr>
          <w:trHeight w:val="175"/>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366,560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0" w:hanging="174"/>
        <w:spacing w:after="0"/>
        <w:tabs>
          <w:tab w:leader="none" w:pos="200" w:val="left"/>
        </w:tabs>
        <w:numPr>
          <w:ilvl w:val="0"/>
          <w:numId w:val="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Cumulative number of reported defaults includes cumulative paid claims plus loans in default by accident year as of December 31, 2024.</w:t>
      </w:r>
    </w:p>
    <w:p>
      <w:pPr>
        <w:spacing w:after="0" w:line="350" w:lineRule="exact"/>
        <w:rPr>
          <w:sz w:val="20"/>
          <w:szCs w:val="20"/>
          <w:color w:val="auto"/>
        </w:rPr>
      </w:pPr>
    </w:p>
    <w:p>
      <w:pPr>
        <w:ind w:right="200" w:firstLine="405"/>
        <w:spacing w:after="0" w:line="271" w:lineRule="auto"/>
        <w:rPr>
          <w:sz w:val="20"/>
          <w:szCs w:val="20"/>
          <w:color w:val="auto"/>
        </w:rPr>
      </w:pPr>
      <w:r>
        <w:rPr>
          <w:rFonts w:ascii="Times New Roman" w:cs="Times New Roman" w:eastAsia="Times New Roman" w:hAnsi="Times New Roman"/>
          <w:sz w:val="18"/>
          <w:szCs w:val="18"/>
          <w:color w:val="auto"/>
        </w:rPr>
        <w:t>The following table summarizes cumulative paid losses and allocated loss adjustment expenses, net of reinsurance. The information about paid loss development for the years ended December 31, 2015 through 2023 is presented as supplementary information.</w:t>
      </w:r>
    </w:p>
    <w:tbl>
      <w:tblPr>
        <w:tblLayout w:type="fixed"/>
        <w:tblInd w:w="4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7"/>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Cumulative Paid Losses and Allocated LAE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5"/>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Accident Year</w:t>
            </w:r>
          </w:p>
        </w:tc>
        <w:tc>
          <w:tcPr>
            <w:tcW w:w="1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19"/>
                <w:szCs w:val="19"/>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8,226</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4,896</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6,947</w:t>
            </w: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7,864</w:t>
            </w:r>
          </w:p>
        </w:tc>
        <w:tc>
          <w:tcPr>
            <w:tcW w:w="2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8,270</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8,205</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3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9,156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10,536</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10,620</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10,705</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8,067</w:t>
            </w:r>
          </w:p>
        </w:tc>
        <w:tc>
          <w:tcPr>
            <w:tcW w:w="2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13,406</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13,927</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w:t>
            </w:r>
          </w:p>
        </w:tc>
      </w:tr>
      <w:tr>
        <w:trPr>
          <w:trHeight w:val="22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10,717</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12,392</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w:t>
            </w:r>
          </w:p>
        </w:tc>
        <w:tc>
          <w:tcPr>
            <w:tcW w:w="2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r>
      <w:tr>
        <w:trPr>
          <w:trHeight w:val="230"/>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3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2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30"/>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23"/>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93,045</w:t>
            </w:r>
          </w:p>
        </w:tc>
      </w:tr>
      <w:tr>
        <w:trPr>
          <w:trHeight w:val="230"/>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00" w:type="dxa"/>
            <w:vAlign w:val="bottom"/>
            <w:gridSpan w:val="10"/>
          </w:tcPr>
          <w:p>
            <w:pPr>
              <w:jc w:val="right"/>
              <w:ind w:right="120"/>
              <w:spacing w:after="0"/>
              <w:rPr>
                <w:sz w:val="20"/>
                <w:szCs w:val="20"/>
                <w:color w:val="auto"/>
              </w:rPr>
            </w:pPr>
            <w:r>
              <w:rPr>
                <w:rFonts w:ascii="Times New Roman" w:cs="Times New Roman" w:eastAsia="Times New Roman" w:hAnsi="Times New Roman"/>
                <w:sz w:val="18"/>
                <w:szCs w:val="18"/>
                <w:color w:val="auto"/>
              </w:rPr>
              <w:t>All outstanding liabilities before 2015, net of reinsurance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720" w:type="dxa"/>
            <w:vAlign w:val="bottom"/>
            <w:gridSpan w:val="8"/>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Reserve for losses and LAE, net of reinsurance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right="180"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incurred losses and paid claims development tables above to the mortgage insurance reserve for losses and LAE at December 31, 2024:</w:t>
      </w:r>
    </w:p>
    <w:tbl>
      <w:tblPr>
        <w:tblLayout w:type="fixed"/>
        <w:tblInd w:w="0" w:type="dxa"/>
        <w:tblCellMar>
          <w:top w:w="0" w:type="dxa"/>
          <w:left w:w="0" w:type="dxa"/>
          <w:bottom w:w="0" w:type="dxa"/>
          <w:right w:w="0" w:type="dxa"/>
        </w:tblCellMar>
      </w:tblP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net of reinsurance</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273,552</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Reinsurance recoverables on unpaid claims</w:t>
            </w: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reserve for losses and LAE</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310,207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15"/>
            <w:vMerge w:val="restart"/>
          </w:tcPr>
          <w:p>
            <w:pPr>
              <w:ind w:left="420"/>
              <w:spacing w:after="0"/>
              <w:rPr>
                <w:sz w:val="20"/>
                <w:szCs w:val="20"/>
                <w:color w:val="auto"/>
              </w:rPr>
            </w:pPr>
            <w:r>
              <w:rPr>
                <w:rFonts w:ascii="Times New Roman" w:cs="Times New Roman" w:eastAsia="Times New Roman" w:hAnsi="Times New Roman"/>
                <w:sz w:val="18"/>
                <w:szCs w:val="18"/>
                <w:color w:val="auto"/>
              </w:rPr>
              <w:t>The above table excludes title insurance reserves as of December 31, 2024, which were $18.7 million.</w:t>
            </w: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gridSpan w:val="15"/>
            <w:vMerge w:val="continue"/>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gridSpan w:val="18"/>
          </w:tcPr>
          <w:p>
            <w:pPr>
              <w:ind w:left="420"/>
              <w:spacing w:after="0"/>
              <w:rPr>
                <w:sz w:val="20"/>
                <w:szCs w:val="20"/>
                <w:color w:val="auto"/>
              </w:rPr>
            </w:pPr>
            <w:r>
              <w:rPr>
                <w:rFonts w:ascii="Times New Roman" w:cs="Times New Roman" w:eastAsia="Times New Roman" w:hAnsi="Times New Roman"/>
                <w:sz w:val="18"/>
                <w:szCs w:val="18"/>
                <w:color w:val="auto"/>
              </w:rPr>
              <w:t>For our mortgage insurance portfolio, our average annual payout of losses as of December 31, 2024 is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2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17"/>
          </w:tcPr>
          <w:p>
            <w:pPr>
              <w:ind w:left="20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Losses and Allocated LAE by Year</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Payout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4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obligations under the Existing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 As of December 31, 2023, $425 million had been borrowed with a weighted average interest rate of 7.11%.</w:t>
      </w:r>
    </w:p>
    <w:p>
      <w:pPr>
        <w:spacing w:after="0" w:line="130"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Senior Notes at a redemption price equal to 100% of the principal amount of the Senior Notes to be redeemed plus accrued and unpaid interest, if any, to, but excluding, the redemption date. The net proceeds from the sale of the Senior Notes, after deducting the underwriting discounts and commissions and estimated offering expenses, were approximately $495.3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12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amending and restating the Existing Credit Facility. Under the Revolving Credit Agreement, the Refinancing Agreement Revolving Lenders (as defined therein) agreed to provide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Company with a five-year unsecured revolving credit facility of up to $500 million of senior unsecured revolving loans (the “Revolving Credit Facility”). A commitment fee is due quarterly on the average daily amount of the undrawn revolving commitment. The annual commitment fee rate at December 31, 2024 was 0.225%.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83"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The Senior Notes are presented on the consolidated balance sheets net of an unamortized issuance discount of $1.7 million and deferred issuance costs of $4.4 million as of December 31, 2024. Included in interest expense in the consolidated statement of comprehensive income for the year ended December 31, 2024 is a $3.2 million loss on debt extinguishment for the write-off of unamortized debt issuance costs on the Existing Credit Facility borrowings repaid on July 1, 2024. Our Credit facility borrowings as of December 31, 2023 are presented net of unamortized deferred costs of $3.1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indemnify certain lenders against losses incurred in the event that we make an error in determining whether loans processed meet specified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to the extent that such error materially restricts or impairs the salability of such loan, results in a material reduction in the value of such loan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 the lender repurchasing the loan. The indemnification may be in the form of monetary or other remedies. For each of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we paid less than $0.1 million related to remedies. As of December 31, 2024, management believes any potential claims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related to contract underwriting services through December 31, 2024 are not material to our consolidated financial position or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3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2024,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these indemnifications.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48"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lease office space for use in our operations under leases accounted for as operating leases. These leases generally include options to extend them for periods of up to fifteen years. Our option to extend the term of our primary office locations at the greater of existing or prevailing market rates was not recognized in our right-of-use asset and lease liability. When establishing the value of our right-of-use asset and lease liability, we determine the discount rate for the underlying leases using the prevailing market interest rate for a borrowing of the same duration of the lease plus the risk premium inherent in the borrowings under our Credit Facility. Operating lease right-of-use assets of $30.0 million and $32.2 million as of December 31, 2024 and 2023, respectively, are reported on our consolidated balance sheet as property and equipment. Operating lease liabilities of $36.2 million and $38.0 million as of December 31, 2024 and 2023, respectively, are reported on our consolidated balance sheet as other accrued liabilities. Total rent expense was $5.9 million, $5.1 million and $3.8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lease cost and other lease information as of and for the years ended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0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auto"/>
            </w:tcBorders>
            <w:shd w:val="clear" w:color="auto" w:fill="CCEEFF"/>
          </w:tcPr>
          <w:p>
            <w:pPr>
              <w:spacing w:after="0"/>
              <w:rPr>
                <w:sz w:val="19"/>
                <w:szCs w:val="19"/>
                <w:color w:val="auto"/>
              </w:rPr>
            </w:pPr>
          </w:p>
        </w:tc>
        <w:tc>
          <w:tcPr>
            <w:tcW w:w="5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9"/>
                <w:szCs w:val="19"/>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9"/>
                <w:szCs w:val="19"/>
                <w:color w:val="auto"/>
              </w:rPr>
            </w:pPr>
          </w:p>
        </w:tc>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5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9.4 years</w:t>
            </w:r>
          </w:p>
        </w:tc>
        <w:tc>
          <w:tcPr>
            <w:tcW w:w="6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10.6 years</w:t>
            </w: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6.9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8060" w:type="dxa"/>
            <w:vAlign w:val="bottom"/>
            <w:gridSpan w:val="7"/>
          </w:tcPr>
          <w:p>
            <w:pPr>
              <w:ind w:left="400"/>
              <w:spacing w:after="0"/>
              <w:rPr>
                <w:sz w:val="20"/>
                <w:szCs w:val="20"/>
                <w:color w:val="auto"/>
              </w:rPr>
            </w:pPr>
            <w:r>
              <w:rPr>
                <w:rFonts w:ascii="Times New Roman" w:cs="Times New Roman" w:eastAsia="Times New Roman" w:hAnsi="Times New Roman"/>
                <w:sz w:val="18"/>
                <w:szCs w:val="18"/>
                <w:color w:val="auto"/>
              </w:rPr>
              <w:t>The following table presents a maturity analysis of our lease liabilities as follows at December 31, 2024:</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(In thousands)</w:t>
            </w: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 to be paid</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Future interest expense</w:t>
            </w:r>
          </w:p>
        </w:tc>
        <w:tc>
          <w:tcPr>
            <w:tcW w:w="4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maturity analysis of our lease liabilities shown above have not been reduced by minimum sublease rental income of $0.2 million due in 2025 under the non-cancelable sublease.</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48"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 xml:space="preserve">Our title operations may occasionally be named as a defendant in claims concerning alleged errors or omissions pertaining to the issuance of title policies or the performance of escrow services. The Company assesses pending and threatened claims to determine whether losses are probable and reasonably estimable in accordance with </w:t>
      </w:r>
      <w:r>
        <w:rPr>
          <w:rFonts w:ascii="Times New Roman" w:cs="Times New Roman" w:eastAsia="Times New Roman" w:hAnsi="Times New Roman"/>
          <w:sz w:val="18"/>
          <w:szCs w:val="18"/>
          <w:i w:val="1"/>
          <w:iCs w:val="1"/>
          <w:color w:val="auto"/>
        </w:rPr>
        <w:t>ASC 450, Contingencies</w:t>
      </w:r>
      <w:r>
        <w:rPr>
          <w:rFonts w:ascii="Times New Roman" w:cs="Times New Roman" w:eastAsia="Times New Roman" w:hAnsi="Times New Roman"/>
          <w:sz w:val="18"/>
          <w:szCs w:val="18"/>
          <w:color w:val="auto"/>
        </w:rPr>
        <w:t>. The Company maintains a reserve for potential losses related to title research and the related title policies sold by the Company as the agent. This reserve is subjective and is based on known claims and claims incurred but not yet reported to the Company. The Company monitors the claims reserve for adequacy on a quarterly basis. As of December 31, 2024 the Company had recorded a claims reserve on the Consolidated Balance Sheet of $3.2 million, which is included in other accrued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 Stock</w:t>
      </w:r>
    </w:p>
    <w:p>
      <w:pPr>
        <w:spacing w:after="0" w:line="162" w:lineRule="exact"/>
        <w:rPr>
          <w:sz w:val="20"/>
          <w:szCs w:val="20"/>
          <w:color w:val="auto"/>
        </w:rPr>
      </w:pPr>
    </w:p>
    <w:p>
      <w:pPr>
        <w:ind w:right="180" w:firstLine="405"/>
        <w:spacing w:after="0" w:line="269" w:lineRule="auto"/>
        <w:rPr>
          <w:sz w:val="20"/>
          <w:szCs w:val="20"/>
          <w:color w:val="auto"/>
        </w:rPr>
      </w:pPr>
      <w:r>
        <w:rPr>
          <w:rFonts w:ascii="Times New Roman" w:cs="Times New Roman" w:eastAsia="Times New Roman" w:hAnsi="Times New Roman"/>
          <w:sz w:val="17"/>
          <w:szCs w:val="17"/>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20" w:type="dxa"/>
            <w:vAlign w:val="bottom"/>
            <w:tcBorders>
              <w:bottom w:val="single" w:sz="8" w:color="CCEEFF"/>
            </w:tcBorders>
          </w:tcPr>
          <w:p>
            <w:pPr>
              <w:spacing w:after="0"/>
              <w:rPr>
                <w:sz w:val="19"/>
                <w:szCs w:val="19"/>
                <w:color w:val="auto"/>
              </w:rPr>
            </w:pPr>
          </w:p>
        </w:tc>
        <w:tc>
          <w:tcPr>
            <w:tcW w:w="5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 February 2025, the Board of Directors declared a quarterly cash dividend of $0.31 per common share payable on March 24, 2025, to shareholders of record on March 14,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62"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2,136,961 common shares at a cost of $92.2 million, completing the $250 million share repurchase plan approved by the Board of Directors in May 2021. In May 2022, the Board of Directors approved a new share repurchase plan that authorized the Company to repurchase up to $250 million of its common shares in the open market by the end of 2023. The Company made no share repurchases under the 2022 plan during the year ended December 31, 2022 and repurchased 1,535,368 common shares at a cost of</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$65.6 million in the year ended December 31, 2023. In October 2023, the Board of Directors approved a share repurchase plan that authorizes the Company to repurchase $250 million of common shares in the open market between January 1, 2024 and December 31, 2025. During the year ended December 31, 2024, the Company repurchased 1,859,695 common shares at a cost of $102.7 million. The shares repurchased were recorded at cost and included in treasury stock. All treasury stock has been cancelled as of December 31, 2024 and 2023. In February 2025, the Board of Directors approved a share repurchase plan that authorizes the Company to repurchase an additional $500 million of common shares in the open market through December 31, 2026.</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6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2013,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Nonvested shares and nonvested share units granted under the 2013 Plan have rights to dividends, which entitle the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of December 31, 2024, there were 3.3 million common shares available for future grant under the 2013 Plan.</w:t>
      </w:r>
    </w:p>
    <w:p>
      <w:pPr>
        <w:spacing w:after="0" w:line="124"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February of each year, 2018 through 2020, certain members of senior management were granted nonvested common shares under the 2013 Plan that were subject to time-based and performance-based vesting. The time-based share awards vest in three equal yearly installments commencing on March 1 of the year following the grant year. The performance-based share awards vest based upon our compounded annual book value per share growth percentage during a three-year performance period that commences on January 1 of the grant year and vest on March 1 following the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portion of the nonvested performance-based share awards that will be earned based upon the achievement of compounded annual book value per share growth is as follows:</w:t>
      </w:r>
    </w:p>
    <w:p>
      <w:pPr>
        <w:spacing w:after="0" w:line="115" w:lineRule="exact"/>
        <w:rPr>
          <w:sz w:val="20"/>
          <w:szCs w:val="20"/>
          <w:color w:val="auto"/>
        </w:rPr>
      </w:pPr>
    </w:p>
    <w:tbl>
      <w:tblPr>
        <w:tblLayout w:type="fixed"/>
        <w:tblInd w:w="264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2020 Performance-Based Grants</w:t>
            </w:r>
          </w:p>
        </w:tc>
        <w:tc>
          <w:tcPr>
            <w:tcW w:w="226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2019 Performance-Based Grants</w:t>
            </w:r>
          </w:p>
        </w:tc>
        <w:tc>
          <w:tcPr>
            <w:tcW w:w="0" w:type="dxa"/>
            <w:vAlign w:val="bottom"/>
          </w:tcPr>
          <w:p>
            <w:pPr>
              <w:spacing w:after="0"/>
              <w:rPr>
                <w:sz w:val="1"/>
                <w:szCs w:val="1"/>
                <w:color w:val="auto"/>
              </w:rPr>
            </w:pPr>
          </w:p>
        </w:tc>
      </w:tr>
      <w:tr>
        <w:trPr>
          <w:trHeight w:val="23"/>
        </w:trPr>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Borders>
              <w:top w:val="single" w:sz="8" w:color="auto"/>
            </w:tcBorders>
            <w:gridSpan w:val="2"/>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w w:val="97"/>
              </w:rPr>
              <w:t>Compounded</w:t>
            </w:r>
          </w:p>
        </w:tc>
        <w:tc>
          <w:tcPr>
            <w:tcW w:w="106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8"/>
              </w:rPr>
              <w:t>Nonvested</w:t>
            </w:r>
          </w:p>
        </w:tc>
        <w:tc>
          <w:tcPr>
            <w:tcW w:w="100" w:type="dxa"/>
            <w:vAlign w:val="bottom"/>
          </w:tcPr>
          <w:p>
            <w:pPr>
              <w:spacing w:after="0"/>
              <w:rPr>
                <w:sz w:val="8"/>
                <w:szCs w:val="8"/>
                <w:color w:val="auto"/>
              </w:rPr>
            </w:pPr>
          </w:p>
        </w:tc>
        <w:tc>
          <w:tcPr>
            <w:tcW w:w="1280" w:type="dxa"/>
            <w:vAlign w:val="bottom"/>
            <w:tcBorders>
              <w:top w:val="single" w:sz="8" w:color="auto"/>
            </w:tcBorders>
          </w:tcPr>
          <w:p>
            <w:pPr>
              <w:jc w:val="center"/>
              <w:ind w:right="125"/>
              <w:spacing w:after="0" w:line="102" w:lineRule="exact"/>
              <w:rPr>
                <w:sz w:val="20"/>
                <w:szCs w:val="20"/>
                <w:color w:val="auto"/>
              </w:rPr>
            </w:pPr>
            <w:r>
              <w:rPr>
                <w:rFonts w:ascii="Times New Roman" w:cs="Times New Roman" w:eastAsia="Times New Roman" w:hAnsi="Times New Roman"/>
                <w:sz w:val="11"/>
                <w:szCs w:val="11"/>
                <w:b w:val="1"/>
                <w:bCs w:val="1"/>
                <w:color w:val="auto"/>
              </w:rPr>
              <w:t>Compounded</w:t>
            </w:r>
          </w:p>
        </w:tc>
        <w:tc>
          <w:tcPr>
            <w:tcW w:w="980" w:type="dxa"/>
            <w:vAlign w:val="bottom"/>
            <w:tcBorders>
              <w:top w:val="single" w:sz="8" w:color="auto"/>
            </w:tcBorders>
          </w:tcPr>
          <w:p>
            <w:pPr>
              <w:jc w:val="center"/>
              <w:ind w:right="24"/>
              <w:spacing w:after="0" w:line="102" w:lineRule="exact"/>
              <w:rPr>
                <w:sz w:val="20"/>
                <w:szCs w:val="20"/>
                <w:color w:val="auto"/>
              </w:rPr>
            </w:pPr>
            <w:r>
              <w:rPr>
                <w:rFonts w:ascii="Times New Roman" w:cs="Times New Roman" w:eastAsia="Times New Roman" w:hAnsi="Times New Roman"/>
                <w:sz w:val="11"/>
                <w:szCs w:val="11"/>
                <w:b w:val="1"/>
                <w:bCs w:val="1"/>
                <w:color w:val="auto"/>
                <w:w w:val="98"/>
              </w:rPr>
              <w:t>Nonvested</w:t>
            </w:r>
          </w:p>
        </w:tc>
        <w:tc>
          <w:tcPr>
            <w:tcW w:w="0" w:type="dxa"/>
            <w:vAlign w:val="bottom"/>
          </w:tcPr>
          <w:p>
            <w:pPr>
              <w:spacing w:after="0"/>
              <w:rPr>
                <w:sz w:val="1"/>
                <w:szCs w:val="1"/>
                <w:color w:val="auto"/>
              </w:rPr>
            </w:pPr>
          </w:p>
        </w:tc>
      </w:tr>
      <w:tr>
        <w:trPr>
          <w:trHeight w:val="108"/>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1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Annual Book</w:t>
            </w:r>
          </w:p>
        </w:tc>
        <w:tc>
          <w:tcPr>
            <w:tcW w:w="11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280" w:type="dxa"/>
            <w:vAlign w:val="bottom"/>
          </w:tcPr>
          <w:p>
            <w:pPr>
              <w:jc w:val="center"/>
              <w:ind w:right="125"/>
              <w:spacing w:after="0" w:line="108" w:lineRule="exact"/>
              <w:rPr>
                <w:sz w:val="20"/>
                <w:szCs w:val="20"/>
                <w:color w:val="auto"/>
              </w:rPr>
            </w:pPr>
            <w:r>
              <w:rPr>
                <w:rFonts w:ascii="Times New Roman" w:cs="Times New Roman" w:eastAsia="Times New Roman" w:hAnsi="Times New Roman"/>
                <w:sz w:val="11"/>
                <w:szCs w:val="11"/>
                <w:b w:val="1"/>
                <w:bCs w:val="1"/>
                <w:color w:val="auto"/>
                <w:w w:val="96"/>
              </w:rPr>
              <w:t>Annual Book</w:t>
            </w:r>
          </w:p>
        </w:tc>
        <w:tc>
          <w:tcPr>
            <w:tcW w:w="980" w:type="dxa"/>
            <w:vAlign w:val="bottom"/>
          </w:tcPr>
          <w:p>
            <w:pPr>
              <w:jc w:val="center"/>
              <w:ind w:right="24"/>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08"/>
        </w:trPr>
        <w:tc>
          <w:tcPr>
            <w:tcW w:w="1380" w:type="dxa"/>
            <w:vAlign w:val="bottom"/>
            <w:gridSpan w:val="2"/>
            <w:vMerge w:val="continue"/>
          </w:tcPr>
          <w:p>
            <w:pPr>
              <w:spacing w:after="0"/>
              <w:rPr>
                <w:sz w:val="9"/>
                <w:szCs w:val="9"/>
                <w:color w:val="auto"/>
              </w:rPr>
            </w:pPr>
          </w:p>
        </w:tc>
        <w:tc>
          <w:tcPr>
            <w:tcW w:w="11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Per Share</w:t>
            </w:r>
          </w:p>
        </w:tc>
        <w:tc>
          <w:tcPr>
            <w:tcW w:w="11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Shares</w:t>
            </w:r>
          </w:p>
        </w:tc>
        <w:tc>
          <w:tcPr>
            <w:tcW w:w="1280" w:type="dxa"/>
            <w:vAlign w:val="bottom"/>
          </w:tcPr>
          <w:p>
            <w:pPr>
              <w:jc w:val="center"/>
              <w:ind w:right="125"/>
              <w:spacing w:after="0" w:line="108" w:lineRule="exact"/>
              <w:rPr>
                <w:sz w:val="20"/>
                <w:szCs w:val="20"/>
                <w:color w:val="auto"/>
              </w:rPr>
            </w:pPr>
            <w:r>
              <w:rPr>
                <w:rFonts w:ascii="Times New Roman" w:cs="Times New Roman" w:eastAsia="Times New Roman" w:hAnsi="Times New Roman"/>
                <w:sz w:val="11"/>
                <w:szCs w:val="11"/>
                <w:b w:val="1"/>
                <w:bCs w:val="1"/>
                <w:color w:val="auto"/>
                <w:w w:val="98"/>
              </w:rPr>
              <w:t>Value Per Share</w:t>
            </w:r>
          </w:p>
        </w:tc>
        <w:tc>
          <w:tcPr>
            <w:tcW w:w="980" w:type="dxa"/>
            <w:vAlign w:val="bottom"/>
          </w:tcPr>
          <w:p>
            <w:pPr>
              <w:jc w:val="center"/>
              <w:ind w:right="24"/>
              <w:spacing w:after="0" w:line="108" w:lineRule="exact"/>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r>
        <w:trPr>
          <w:trHeight w:val="162"/>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level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Growth</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Earned</w:t>
            </w:r>
          </w:p>
        </w:tc>
        <w:tc>
          <w:tcPr>
            <w:tcW w:w="1280" w:type="dxa"/>
            <w:vAlign w:val="bottom"/>
          </w:tcPr>
          <w:p>
            <w:pPr>
              <w:jc w:val="center"/>
              <w:ind w:right="125"/>
              <w:spacing w:after="0"/>
              <w:rPr>
                <w:sz w:val="20"/>
                <w:szCs w:val="20"/>
                <w:color w:val="auto"/>
              </w:rPr>
            </w:pPr>
            <w:r>
              <w:rPr>
                <w:rFonts w:ascii="Times New Roman" w:cs="Times New Roman" w:eastAsia="Times New Roman" w:hAnsi="Times New Roman"/>
                <w:sz w:val="11"/>
                <w:szCs w:val="11"/>
                <w:b w:val="1"/>
                <w:bCs w:val="1"/>
                <w:color w:val="auto"/>
                <w:w w:val="98"/>
              </w:rPr>
              <w:t>Growth</w:t>
            </w:r>
          </w:p>
        </w:tc>
        <w:tc>
          <w:tcPr>
            <w:tcW w:w="98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7"/>
              </w:rPr>
              <w:t>Earned</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&lt;13 %</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8"/>
                <w:szCs w:val="18"/>
                <w:color w:val="auto"/>
              </w:rPr>
              <w:t>&lt;14 %</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9"/>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14 %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280" w:type="dxa"/>
            <w:vAlign w:val="bottom"/>
          </w:tcPr>
          <w:p>
            <w:pPr>
              <w:jc w:val="right"/>
              <w:ind w:right="145"/>
              <w:spacing w:after="0"/>
              <w:rPr>
                <w:sz w:val="20"/>
                <w:szCs w:val="20"/>
                <w:color w:val="auto"/>
              </w:rPr>
            </w:pPr>
            <w:r>
              <w:rPr>
                <w:rFonts w:ascii="Times New Roman" w:cs="Times New Roman" w:eastAsia="Times New Roman" w:hAnsi="Times New Roman"/>
                <w:sz w:val="18"/>
                <w:szCs w:val="18"/>
                <w:color w:val="auto"/>
              </w:rPr>
              <w:t>15 %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1280" w:type="dxa"/>
            <w:vAlign w:val="bottom"/>
          </w:tcPr>
          <w:p>
            <w:pPr>
              <w:jc w:val="right"/>
              <w:ind w:right="145"/>
              <w:spacing w:after="0"/>
              <w:rPr>
                <w:sz w:val="20"/>
                <w:szCs w:val="20"/>
                <w:color w:val="auto"/>
              </w:rPr>
            </w:pPr>
            <w:r>
              <w:rPr>
                <w:rFonts w:ascii="Times New Roman" w:cs="Times New Roman" w:eastAsia="Times New Roman" w:hAnsi="Times New Roman"/>
                <w:sz w:val="18"/>
                <w:szCs w:val="18"/>
                <w:color w:val="auto"/>
              </w:rPr>
              <w:t>17 %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9"/>
        </w:trPr>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8"/>
                <w:szCs w:val="18"/>
                <w:color w:val="auto"/>
              </w:rPr>
              <w:t>≥18 %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falls between the performance levels shown above, the nonvested common shares earned will be determined on a straight-line basis between the respective levels shown. The compounded annual book value per share growth for each of the 2019 and 2020 performance-based grants exceeded the maximum performance level and have vested at 100%.</w:t>
      </w:r>
    </w:p>
    <w:p>
      <w:pPr>
        <w:spacing w:after="0" w:line="9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each the years 2021 through 2024, certain members of senior management were granted nonvested common shares and units under the 2013 Plan that were subject to time-based and performance-based vesting. The time-based share awards and units granted vest in three equal installments commencing on March 1 of the year following the grant year. The performance-based share awards and units granted vest based upon our compounded annual book value per share growth percentage and relative total shareholder return during a three-year performance period that commenced on January 1, 2021, 2022, 2023 and 2024, respectively and vest(ed) on March 1, 2024, 2025, 2026 and 2027, respectively. Shares and units were issued at the maximum 200% of target. The portion of these nonvested performance-based share awards and units that will be earned is as follows:</w:t>
      </w:r>
    </w:p>
    <w:p>
      <w:pPr>
        <w:spacing w:after="0" w:line="149"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2021 Awards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center"/>
              <w:ind w:right="4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tcBorders>
              <w:top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≥75th percentile</w:t>
            </w: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8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14%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0" w:type="dxa"/>
            <w:vAlign w:val="bottom"/>
          </w:tcPr>
          <w:p>
            <w:pPr>
              <w:spacing w:after="0"/>
              <w:rPr>
                <w:sz w:val="23"/>
                <w:szCs w:val="23"/>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75%</w:t>
            </w:r>
          </w:p>
        </w:tc>
        <w:tc>
          <w:tcPr>
            <w:tcW w:w="2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5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50%</w:t>
            </w:r>
          </w:p>
        </w:tc>
        <w:tc>
          <w:tcPr>
            <w:tcW w:w="270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80" w:type="dxa"/>
            <w:vAlign w:val="bottom"/>
          </w:tcPr>
          <w:p>
            <w:pPr>
              <w:spacing w:after="0"/>
              <w:rPr>
                <w:sz w:val="16"/>
                <w:szCs w:val="16"/>
                <w:color w:val="auto"/>
              </w:rPr>
            </w:pPr>
          </w:p>
        </w:tc>
        <w:tc>
          <w:tcPr>
            <w:tcW w:w="18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25%</w:t>
            </w:r>
          </w:p>
        </w:tc>
        <w:tc>
          <w:tcPr>
            <w:tcW w:w="27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6"/>
        </w:trPr>
        <w:tc>
          <w:tcPr>
            <w:tcW w:w="27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70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50%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0"/>
        </w:trPr>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2022 Awards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3"/>
          </w:tcPr>
          <w:p>
            <w:pPr>
              <w:jc w:val="center"/>
              <w:ind w:right="460"/>
              <w:spacing w:after="0" w:line="171"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≥75th percentile</w:t>
            </w: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8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13%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80" w:type="dxa"/>
            <w:vAlign w:val="bottom"/>
          </w:tcPr>
          <w:p>
            <w:pPr>
              <w:spacing w:after="0"/>
              <w:rPr>
                <w:sz w:val="23"/>
                <w:szCs w:val="23"/>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75%</w:t>
            </w:r>
          </w:p>
        </w:tc>
        <w:tc>
          <w:tcPr>
            <w:tcW w:w="2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5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50%</w:t>
            </w:r>
          </w:p>
        </w:tc>
        <w:tc>
          <w:tcPr>
            <w:tcW w:w="270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80" w:type="dxa"/>
            <w:vAlign w:val="bottom"/>
          </w:tcPr>
          <w:p>
            <w:pPr>
              <w:spacing w:after="0"/>
              <w:rPr>
                <w:sz w:val="16"/>
                <w:szCs w:val="16"/>
                <w:color w:val="auto"/>
              </w:rPr>
            </w:pPr>
          </w:p>
        </w:tc>
        <w:tc>
          <w:tcPr>
            <w:tcW w:w="18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25%</w:t>
            </w:r>
          </w:p>
        </w:tc>
        <w:tc>
          <w:tcPr>
            <w:tcW w:w="27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6"/>
        </w:trPr>
        <w:tc>
          <w:tcPr>
            <w:tcW w:w="27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70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50%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2023 Awards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Borders>
              <w:top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center"/>
              <w:ind w:right="4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tcBorders>
              <w:top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≥75th percentile</w:t>
            </w: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8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10%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80" w:type="dxa"/>
            <w:vAlign w:val="bottom"/>
          </w:tcPr>
          <w:p>
            <w:pPr>
              <w:spacing w:after="0"/>
              <w:rPr>
                <w:sz w:val="23"/>
                <w:szCs w:val="23"/>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75%</w:t>
            </w:r>
          </w:p>
        </w:tc>
        <w:tc>
          <w:tcPr>
            <w:tcW w:w="2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5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50%</w:t>
            </w:r>
          </w:p>
        </w:tc>
        <w:tc>
          <w:tcPr>
            <w:tcW w:w="270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80" w:type="dxa"/>
            <w:vAlign w:val="bottom"/>
          </w:tcPr>
          <w:p>
            <w:pPr>
              <w:spacing w:after="0"/>
              <w:rPr>
                <w:sz w:val="16"/>
                <w:szCs w:val="16"/>
                <w:color w:val="auto"/>
              </w:rPr>
            </w:pPr>
          </w:p>
        </w:tc>
        <w:tc>
          <w:tcPr>
            <w:tcW w:w="18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25%</w:t>
            </w:r>
          </w:p>
        </w:tc>
        <w:tc>
          <w:tcPr>
            <w:tcW w:w="27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6"/>
        </w:trPr>
        <w:tc>
          <w:tcPr>
            <w:tcW w:w="27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70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50%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540"/>
        </w:trPr>
        <w:tc>
          <w:tcPr>
            <w:tcW w:w="2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Relative Total Shareholder Return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vs. S&amp;P 1500 Financial Services Index</w:t>
            </w:r>
          </w:p>
        </w:tc>
        <w:tc>
          <w:tcPr>
            <w:tcW w:w="1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4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2024 Awards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3"/>
          </w:tcPr>
          <w:p>
            <w:pPr>
              <w:jc w:val="center"/>
              <w:ind w:right="460"/>
              <w:spacing w:after="0" w:line="171"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18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≥75th percentile</w:t>
            </w:r>
          </w:p>
        </w:tc>
        <w:tc>
          <w:tcPr>
            <w:tcW w:w="0" w:type="dxa"/>
            <w:vAlign w:val="bottom"/>
          </w:tcPr>
          <w:p>
            <w:pPr>
              <w:spacing w:after="0"/>
              <w:rPr>
                <w:sz w:val="1"/>
                <w:szCs w:val="1"/>
                <w:color w:val="auto"/>
              </w:rPr>
            </w:pPr>
          </w:p>
        </w:tc>
      </w:tr>
      <w:tr>
        <w:trPr>
          <w:trHeight w:val="148"/>
        </w:trPr>
        <w:tc>
          <w:tcPr>
            <w:tcW w:w="27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8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7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12% "Target"</w:t>
            </w:r>
          </w:p>
        </w:tc>
        <w:tc>
          <w:tcPr>
            <w:tcW w:w="18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100%</w:t>
            </w:r>
          </w:p>
        </w:tc>
        <w:tc>
          <w:tcPr>
            <w:tcW w:w="270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80" w:type="dxa"/>
            <w:vAlign w:val="bottom"/>
          </w:tcPr>
          <w:p>
            <w:pPr>
              <w:spacing w:after="0"/>
              <w:rPr>
                <w:sz w:val="23"/>
                <w:szCs w:val="23"/>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75%</w:t>
            </w:r>
          </w:p>
        </w:tc>
        <w:tc>
          <w:tcPr>
            <w:tcW w:w="2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50"/>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58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50%</w:t>
            </w:r>
          </w:p>
        </w:tc>
        <w:tc>
          <w:tcPr>
            <w:tcW w:w="2700" w:type="dxa"/>
            <w:vAlign w:val="bottom"/>
            <w:tcBorders>
              <w:bottom w:val="single" w:sz="8" w:color="CCEEFF"/>
            </w:tcBorders>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4"/>
        </w:trPr>
        <w:tc>
          <w:tcPr>
            <w:tcW w:w="27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w:t>
            </w:r>
          </w:p>
        </w:tc>
        <w:tc>
          <w:tcPr>
            <w:tcW w:w="80" w:type="dxa"/>
            <w:vAlign w:val="bottom"/>
          </w:tcPr>
          <w:p>
            <w:pPr>
              <w:spacing w:after="0"/>
              <w:rPr>
                <w:sz w:val="16"/>
                <w:szCs w:val="16"/>
                <w:color w:val="auto"/>
              </w:rPr>
            </w:pPr>
          </w:p>
        </w:tc>
        <w:tc>
          <w:tcPr>
            <w:tcW w:w="184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6"/>
              </w:rPr>
              <w:t>25%</w:t>
            </w:r>
          </w:p>
        </w:tc>
        <w:tc>
          <w:tcPr>
            <w:tcW w:w="2700" w:type="dxa"/>
            <w:vAlign w:val="bottom"/>
            <w:gridSpan w:val="3"/>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6"/>
        </w:trPr>
        <w:tc>
          <w:tcPr>
            <w:tcW w:w="274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w:t>
            </w:r>
          </w:p>
        </w:tc>
        <w:tc>
          <w:tcPr>
            <w:tcW w:w="2700" w:type="dxa"/>
            <w:vAlign w:val="bottom"/>
            <w:gridSpan w:val="3"/>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6"/>
              </w:rPr>
              <w:t>50%</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Certain time-and-performance based share awards and units granted in 2022 and subsequent periods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12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for the 2024, 2023, 2022 or 2021 performance-based share awards, the nonvested common shares earned will be determined on a straight-line basis between the respective levels shown.</w:t>
      </w:r>
    </w:p>
    <w:p>
      <w:pPr>
        <w:spacing w:after="0" w:line="9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2024, 2023, 2022 and 2021 contain a market condition and were valued based on analysis provided by a third-party valuation firm using a risk neutral simulation taking into effect the vesting conditions of the grant.</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and 2020 awards vested on March 1, 2022 and March 1, 2023, respectively, subject to the continued service requirements and other terms and conditions set forth in the applicable award agreements, without taking into consideration any performance metrics. Total incremental compensation expense related to amending these awards was $4.0 million.</w:t>
      </w:r>
    </w:p>
    <w:p>
      <w:pPr>
        <w:spacing w:after="0" w:line="11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In January 2020, time-based share units were issued to all vice president and staff level employees that vested in three equal installments in January 2021, 2022 and 2023. In January 2023, time-based share units were issued to all vice president and staff level employees that vested in three equal installments in January 2024, 2025 and 2026. In February 2024, nonvested common share units were issued to certain vice president and staff level employees and are subject to time-based vesting in two equal installments on January 6, 2025 and 2026. Also in February 2024, time-based share units were granted to certain vice president and staff level employees that vest in three equal installments on March 1, 2027, 2028 and 2029.</w:t>
      </w:r>
    </w:p>
    <w:p>
      <w:pPr>
        <w:spacing w:after="0" w:line="10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years 2019 through 2023, in February following each performance year, time-based share units were issued to certain employees that vest in three equal yearly installments commencing on March 1 of the year following the grant year.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May of each year, 2021 through 2024, time-based share units were granted to non-employee directors that vest one year from the date of grant.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nonvested common share, nonvested common share unit and DEU activity for the year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gridSpan w:val="3"/>
          </w:tcPr>
          <w:p>
            <w:pPr>
              <w:jc w:val="center"/>
              <w:ind w:right="5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6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8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8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840" w:type="dxa"/>
            <w:vAlign w:val="bottom"/>
            <w:gridSpan w:val="5"/>
            <w:vMerge w:val="continue"/>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7"/>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7"/>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1720" w:type="dxa"/>
            <w:vAlign w:val="bottom"/>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9"/>
        </w:trPr>
        <w:tc>
          <w:tcPr>
            <w:tcW w:w="172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Outstanding at</w:t>
            </w: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164"/>
        </w:trPr>
        <w:tc>
          <w:tcPr>
            <w:tcW w:w="17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Outstanding at end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center"/>
              <w:ind w:right="5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6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80" w:type="dxa"/>
            <w:vAlign w:val="bottom"/>
            <w:gridSpan w:val="5"/>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8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840" w:type="dxa"/>
            <w:vAlign w:val="bottom"/>
            <w:gridSpan w:val="5"/>
            <w:vMerge w:val="continue"/>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7"/>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7"/>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1720" w:type="dxa"/>
            <w:vAlign w:val="bottom"/>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1"/>
        </w:trPr>
        <w:tc>
          <w:tcPr>
            <w:tcW w:w="17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Outstanding at</w:t>
            </w: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Outstanding at end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3"/>
            <w:vMerge w:val="restart"/>
          </w:tcPr>
          <w:p>
            <w:pPr>
              <w:jc w:val="center"/>
              <w:ind w:right="5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186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80" w:type="dxa"/>
            <w:vAlign w:val="bottom"/>
            <w:gridSpan w:val="5"/>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60" w:type="dxa"/>
            <w:vAlign w:val="bottom"/>
            <w:gridSpan w:val="5"/>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8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980" w:type="dxa"/>
            <w:vAlign w:val="bottom"/>
            <w:gridSpan w:val="4"/>
            <w:vMerge w:val="restart"/>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DEUs</w:t>
            </w: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840" w:type="dxa"/>
            <w:vAlign w:val="bottom"/>
            <w:gridSpan w:val="5"/>
            <w:vMerge w:val="continue"/>
          </w:tcPr>
          <w:p>
            <w:pPr>
              <w:spacing w:after="0"/>
              <w:rPr>
                <w:sz w:val="17"/>
                <w:szCs w:val="17"/>
                <w:color w:val="auto"/>
              </w:rPr>
            </w:pPr>
          </w:p>
        </w:tc>
        <w:tc>
          <w:tcPr>
            <w:tcW w:w="19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1720" w:type="dxa"/>
            <w:vAlign w:val="bottom"/>
            <w:vMerge w:val="continue"/>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62"/>
        </w:trPr>
        <w:tc>
          <w:tcPr>
            <w:tcW w:w="17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Outstanding at</w:t>
            </w: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30"/>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155"/>
        </w:trPr>
        <w:tc>
          <w:tcPr>
            <w:tcW w:w="1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Outstanding at end of</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total fair value of nonvested shares, share units or DEUs that vested was $25.4 million, $15.3 million and $18.4 million for the years ended December 31, 2024, 2023 and 2022, respectively. As of December 31, 2024, there was $26.1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million of total unrecognized compensation expense related to nonvested shares or share units outstanding at December 31, 2024 and we expect to recognize the expense over a weighted average period of 2.4.</w:t>
      </w:r>
    </w:p>
    <w:p>
      <w:pPr>
        <w:spacing w:after="0" w:line="1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2024, in February 2025, 61,404 nonvested common share units were issued to certain employees and are subject to time-based vesting. In February 2025, 289,033 nonvested common shares and 79,192 nonvested common share units were granted to certain members of senior management and are subject to time-based and performance-based vesting.</w:t>
      </w:r>
    </w:p>
    <w:p>
      <w:pPr>
        <w:spacing w:after="0" w:line="20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163,812, 119,334 and 133,011 in 2024, 2023 and 2022, respectively. The tendered shares were recorded at cost and included in treasury stock. All treasury stock has been cancelled as of December 31, 2024 and 2023.</w:t>
      </w:r>
    </w:p>
    <w:p>
      <w:pPr>
        <w:spacing w:after="0" w:line="207" w:lineRule="exact"/>
        <w:rPr>
          <w:sz w:val="20"/>
          <w:szCs w:val="20"/>
          <w:color w:val="auto"/>
        </w:rPr>
      </w:pPr>
    </w:p>
    <w:p>
      <w:pPr>
        <w:ind w:right="140" w:firstLine="405"/>
        <w:spacing w:after="0" w:line="270" w:lineRule="auto"/>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were as follows for the years ended December 31:</w:t>
      </w:r>
    </w:p>
    <w:tbl>
      <w:tblPr>
        <w:tblLayout w:type="fixed"/>
        <w:tblInd w:w="0" w:type="dxa"/>
        <w:tblCellMar>
          <w:top w:w="0" w:type="dxa"/>
          <w:left w:w="0" w:type="dxa"/>
          <w:bottom w:w="0" w:type="dxa"/>
          <w:right w:w="0" w:type="dxa"/>
        </w:tblCellMar>
      </w:tblPr>
      <w:tr>
        <w:trPr>
          <w:trHeight w:val="19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r>
      <w:tr>
        <w:trPr>
          <w:trHeight w:val="23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Dividends Restrictions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December 31, 2024, Essent Guaranty had unassigned surplus of approximately $396.6 million. As of January 1, 2025, Essent Guaranty has dividend capacity of $396.6 million.</w:t>
      </w:r>
    </w:p>
    <w:p>
      <w:pPr>
        <w:spacing w:after="0" w:line="120"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2023 and 2022, Essent Guaranty paid to its parent, Essent Holdings, dividends totaling $165.5 million, $295.0 million and $315.0 million, respectively. During the year ended December 31, 2023, Essent PA paid to its parent, Essent Holdings, dividends totaling $5 million, Essent PA did not pay a dividend in 2024 or 2022.</w:t>
      </w:r>
    </w:p>
    <w:p>
      <w:pPr>
        <w:spacing w:after="0" w:line="9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the quota share reinsurance agreement with Essent Guaranty, Essent Re has agreed to maintain a minimum total equity of $100 million. As of December 31, 2024, Essent Re had total equity of $1.8 billion. During the year ended December 31, 2024 and 2023, Essent Re paid to its parent, Essent Group, dividends totaling $300 million and $60 million, respectively. As of January 1, 2025, Essent Re has dividend capacity of $441.9 million.</w:t>
      </w:r>
    </w:p>
    <w:p>
      <w:pPr>
        <w:spacing w:after="0" w:line="120"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and 2023 Essent Holdings contributed $24.5 million and $38.1 million, respectively, of capital to its Title insurance subsidiary.</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2024, our insurance subsidiaries were in compliance with these rules, regulations and agreements.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statutory income tax rates of the countries where the Company does business are 21% in the United States and 0.0% in Bermuda. The statutory income tax rate of each country is applied against the taxable income from each country to calculate the income tax expense.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tax expense which is generated in the U.S. consists of the following components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139,859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98,666</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(13,246)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58,168</w:t>
            </w:r>
          </w:p>
        </w:tc>
      </w:tr>
      <w:tr>
        <w:trPr>
          <w:trHeight w:val="248"/>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126,613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pre-tax income attributable to Bermuda and U.S. operations was $277.0 million and $578.5 million, respectively, as compared to $268.8 million and $554.2 million, respectively, for the year ended December 31, 2023 and $282.5 million and $705.6 million, respectively, for the year ended December 31, 2022.</w:t>
      </w:r>
    </w:p>
    <w:p>
      <w:pPr>
        <w:spacing w:after="0" w:line="9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Income tax expense is different from that which would be obtained by applying the applicable statutory income tax rates to income before taxes by jurisdiction as of December 31, 2024 (i.e. U.S. 21%; Bermuda 0.0%). The reconciliation of the difference between income tax expense and the expected tax provision at the weighted average tax rate was as follows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gridSpan w:val="2"/>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2"/>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6"/>
                <w:szCs w:val="16"/>
                <w:b w:val="1"/>
                <w:bCs w:val="1"/>
                <w:color w:val="auto"/>
              </w:rPr>
              <w:t>% of pretax</w:t>
            </w:r>
          </w:p>
        </w:tc>
        <w:tc>
          <w:tcPr>
            <w:tcW w:w="0" w:type="dxa"/>
            <w:vAlign w:val="bottom"/>
          </w:tcPr>
          <w:p>
            <w:pPr>
              <w:spacing w:after="0"/>
              <w:rPr>
                <w:sz w:val="1"/>
                <w:szCs w:val="1"/>
                <w:color w:val="auto"/>
              </w:rPr>
            </w:pPr>
          </w:p>
        </w:tc>
      </w:tr>
      <w:tr>
        <w:trPr>
          <w:trHeight w:val="214"/>
        </w:trPr>
        <w:tc>
          <w:tcPr>
            <w:tcW w:w="4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225"/>
        </w:trPr>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 at weighted average statutory rates</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121,227</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116,389</w:t>
            </w:r>
          </w:p>
        </w:tc>
        <w:tc>
          <w:tcPr>
            <w:tcW w:w="1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148,176</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3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3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exempt interest, net of proration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3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3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Excess tax (benefit) deficit from stock-based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34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126,613</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156,834</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0" w:firstLine="405"/>
        <w:spacing w:after="0" w:line="270" w:lineRule="auto"/>
        <w:rPr>
          <w:sz w:val="20"/>
          <w:szCs w:val="20"/>
          <w:color w:val="auto"/>
        </w:rPr>
      </w:pPr>
      <w:r>
        <w:rPr>
          <w:rFonts w:ascii="Times New Roman" w:cs="Times New Roman" w:eastAsia="Times New Roman" w:hAnsi="Times New Roman"/>
          <w:sz w:val="18"/>
          <w:szCs w:val="18"/>
          <w:color w:val="auto"/>
        </w:rPr>
        <w:t>We provide deferred taxes to reflect the estimated future tax effects of the differences between the financial statement and tax bases of assets and liabilities using currently enacted tax laws. The net deferred tax liability was comprised of the following at December 31:</w:t>
      </w: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75,864</w:t>
            </w:r>
          </w:p>
        </w:tc>
      </w:tr>
      <w:tr>
        <w:trPr>
          <w:trHeight w:val="229"/>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(438,617)</w:t>
            </w: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Our net deferred tax liability presented above and on our consolidated balance sheet relates to deferred tax items recognized within the U.S. In addition, we have recorded a deferred tax asset within Bermuda's jurisdiction related to unrealized losses on investment for sale securities in the amount of $5.3 million as of December 31, 2024, which is included in Other Assets in our consolidated balance sheet.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the net deferred tax liability were as follows at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(425,360)</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45,226</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11,978</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ceding commissions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30"/>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market value of derivatives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shares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reserves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Start-up expenditures,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on available-for-sale investment securities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(392,428)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(362,753)</w:t>
            </w:r>
          </w:p>
        </w:tc>
      </w:tr>
      <w:tr>
        <w:trPr>
          <w:trHeight w:val="21"/>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mortgage guaranty insurer, we are eligible for a tax deduction, subject to certain limitations, under Section 832(e) of the Internal Revenue Code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 for amounts required by state law or regulation to be set aside in statutory contingency reserves. The deduction is allowed only to the extent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purchase T&amp;L Bonds in an amount equal to the tax benefit derived from deducting any portion of our statutory contingency reserves.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2024, we had net purchases of T&amp;L Bonds in the amount of $19.0 million and had net purchases of T&amp;L Bonds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$52.2 million during the year ended December 31, 2023. As of December 31, 2024 and 2023, we held $489.6 million and $470.6 million of T&amp;L Bonds,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3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evaluating our ability to realize the benefit of our deferred tax assets, we consider the relevant impact of all available positive and negative evidence including our past operating results and our forecasts of future taxable income. For the year ended December 31, 2024, the Company had unrealized losses attributable to its available-for-sale investment securities that if sold would result in capital losses. Accordingly, management considered the ability and intent to hold such available-for-sale securities until recovery. At December 31, 2024 and 2023, after weighing all the evidence, management concluded that it was more likely than not that our ordinary and capital deferred tax assets would be realized.</w:t>
      </w:r>
    </w:p>
    <w:p>
      <w:pPr>
        <w:spacing w:after="0" w:line="116"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Under current Bermuda law, our parent company, Essent Group, and its Bermuda subsidiary, Essent Re, are not required to pay any taxes on income and capital gains as of December 31, 2024. 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 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on Essent's effective tax rate until we no longer meet the exemption criteria, or January 1, 2030, the fifth anniversary of the inception date of the tax, whichever may occur sooner. The exemption criteria are subject to interpretation of existing Bermuda law, as well any related new regulations that may be issued by the Government of Bermuda. No assurances can be made that we will continue meeting such criteria for the entire five-year period.</w:t>
      </w:r>
    </w:p>
    <w:p>
      <w:pPr>
        <w:spacing w:after="0" w:line="11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Essent Holdings and its subsidiaries are subject to income taxes imposed by U.S. law and file a U.S. Consolidated Income Tax Return. Should Essent Holdings pay a dividend to its parent company, Essent Irish Intermediate Holdings Limited,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intention of remitting these earnings. Similarly, no foreign income taxes have been provided on the unremitted earnings of the Company's U.S. subsidiaries as management has neither the intention of remitting these earnings, nor would any Ireland tax be due, as any Irish tax would be expected to be fully offset by credit for taxes paid to the U.S. An estimate of the cumulative amount of U.S. earnings that would be subject to withholding tax, if distributed outside of the U.S., is approximately $4.5 billion. The associated withholding tax liability under the U.S./Ireland tax treaty would be approximately $226.8 million.</w:t>
      </w:r>
    </w:p>
    <w:p>
      <w:pPr>
        <w:spacing w:after="0" w:line="9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9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no unrecognized tax benefits. As of December 31, 2024, the U.S. federal income tax returns for the tax years 2020 through 2023 remain subject to examination. The Company has not recorded any uncertain tax positions as of December 31, 2024 or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 (EPS)</w:t>
      </w:r>
    </w:p>
    <w:p>
      <w:pPr>
        <w:spacing w:after="0" w:line="14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 for the years ended December 31: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831,353</w:t>
            </w:r>
          </w:p>
        </w:tc>
      </w:tr>
      <w:tr>
        <w:trPr>
          <w:trHeight w:val="229"/>
        </w:trPr>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107,205</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107,653</w:t>
            </w:r>
          </w:p>
        </w:tc>
      </w:tr>
      <w:tr>
        <w:trPr>
          <w:trHeight w:val="270"/>
        </w:trPr>
        <w:tc>
          <w:tcPr>
            <w:tcW w:w="6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bl>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51,776, 48,087 and 77,759 antidilutive shares for the years ended December 31, 2024, 2023 and 2022, respectively.</w:t>
      </w:r>
    </w:p>
    <w:p>
      <w:pPr>
        <w:spacing w:after="0" w:line="144"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2024, 2023 and 2022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9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2021 Performance-Based</w:t>
            </w: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1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0" w:type="dxa"/>
            <w:vAlign w:val="bottom"/>
          </w:tcPr>
          <w:p>
            <w:pPr>
              <w:spacing w:after="0"/>
              <w:rPr>
                <w:sz w:val="1"/>
                <w:szCs w:val="1"/>
                <w:color w:val="auto"/>
              </w:rPr>
            </w:pPr>
          </w:p>
        </w:tc>
      </w:tr>
      <w:tr>
        <w:trPr>
          <w:trHeight w:val="120"/>
        </w:trPr>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8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100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a Percent of</w:t>
            </w:r>
          </w:p>
        </w:tc>
        <w:tc>
          <w:tcPr>
            <w:tcW w:w="9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Issuable</w:t>
            </w:r>
          </w:p>
        </w:tc>
        <w:tc>
          <w:tcPr>
            <w:tcW w:w="1000" w:type="dxa"/>
            <w:vAlign w:val="bottom"/>
            <w:vMerge w:val="restart"/>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w w:val="97"/>
              </w:rPr>
              <w:t>As a Percent of</w:t>
            </w:r>
          </w:p>
        </w:tc>
        <w:tc>
          <w:tcPr>
            <w:tcW w:w="0" w:type="dxa"/>
            <w:vAlign w:val="bottom"/>
          </w:tcPr>
          <w:p>
            <w:pPr>
              <w:spacing w:after="0"/>
              <w:rPr>
                <w:sz w:val="1"/>
                <w:szCs w:val="1"/>
                <w:color w:val="auto"/>
              </w:rPr>
            </w:pPr>
          </w:p>
        </w:tc>
      </w:tr>
      <w:tr>
        <w:trPr>
          <w:trHeight w:val="128"/>
        </w:trPr>
        <w:tc>
          <w:tcPr>
            <w:tcW w:w="2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3"/>
              </w:rPr>
              <w:t>Relative to</w:t>
            </w:r>
          </w:p>
        </w:tc>
        <w:tc>
          <w:tcPr>
            <w:tcW w:w="1020" w:type="dxa"/>
            <w:vAlign w:val="bottom"/>
            <w:gridSpan w:val="2"/>
            <w:vMerge w:val="continue"/>
          </w:tcPr>
          <w:p>
            <w:pPr>
              <w:spacing w:after="0"/>
              <w:rPr>
                <w:sz w:val="11"/>
                <w:szCs w:val="11"/>
                <w:color w:val="auto"/>
              </w:rPr>
            </w:pPr>
          </w:p>
        </w:tc>
        <w:tc>
          <w:tcPr>
            <w:tcW w:w="10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980" w:type="dxa"/>
            <w:vAlign w:val="bottom"/>
            <w:gridSpan w:val="2"/>
            <w:vMerge w:val="continue"/>
          </w:tcPr>
          <w:p>
            <w:pPr>
              <w:spacing w:after="0"/>
              <w:rPr>
                <w:sz w:val="11"/>
                <w:szCs w:val="11"/>
                <w:color w:val="auto"/>
              </w:rPr>
            </w:pPr>
          </w:p>
        </w:tc>
        <w:tc>
          <w:tcPr>
            <w:tcW w:w="9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Relative to</w:t>
            </w:r>
          </w:p>
        </w:tc>
        <w:tc>
          <w:tcPr>
            <w:tcW w:w="1000" w:type="dxa"/>
            <w:vAlign w:val="bottom"/>
            <w:gridSpan w:val="2"/>
            <w:vMerge w:val="continue"/>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Relative to</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60" w:type="dxa"/>
            <w:vAlign w:val="bottom"/>
            <w:gridSpan w:val="2"/>
            <w:vMerge w:val="continue"/>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100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w w:val="97"/>
              </w:rPr>
              <w:t>Shares Issued</w:t>
            </w:r>
          </w:p>
        </w:tc>
        <w:tc>
          <w:tcPr>
            <w:tcW w:w="0" w:type="dxa"/>
            <w:vAlign w:val="bottom"/>
          </w:tcPr>
          <w:p>
            <w:pPr>
              <w:spacing w:after="0"/>
              <w:rPr>
                <w:sz w:val="1"/>
                <w:szCs w:val="1"/>
                <w:color w:val="auto"/>
              </w:rPr>
            </w:pPr>
          </w:p>
        </w:tc>
      </w:tr>
      <w:tr>
        <w:trPr>
          <w:trHeight w:val="213"/>
        </w:trPr>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Borders>
              <w:top w:val="single" w:sz="8" w:color="auto"/>
            </w:tcBorders>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w w:val="96"/>
              </w:rPr>
              <w:t>(1)</w:t>
            </w:r>
          </w:p>
        </w:tc>
        <w:tc>
          <w:tcPr>
            <w:tcW w:w="0" w:type="dxa"/>
            <w:vAlign w:val="bottom"/>
          </w:tcPr>
          <w:p>
            <w:pPr>
              <w:spacing w:after="0"/>
              <w:rPr>
                <w:sz w:val="1"/>
                <w:szCs w:val="1"/>
                <w:color w:val="auto"/>
              </w:rPr>
            </w:pPr>
          </w:p>
        </w:tc>
      </w:tr>
      <w:tr>
        <w:trPr>
          <w:trHeight w:val="213"/>
        </w:trPr>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88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133%</w:t>
            </w:r>
          </w:p>
        </w:tc>
        <w:tc>
          <w:tcPr>
            <w:tcW w:w="1000" w:type="dxa"/>
            <w:vAlign w:val="bottom"/>
          </w:tcPr>
          <w:p>
            <w:pPr>
              <w:jc w:val="center"/>
              <w:ind w:left="26"/>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000" w:type="dxa"/>
            <w:vAlign w:val="bottom"/>
            <w:shd w:val="clear" w:color="auto" w:fill="CCEEFF"/>
          </w:tcPr>
          <w:p>
            <w:pPr>
              <w:jc w:val="center"/>
              <w:ind w:left="26"/>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hanging="247"/>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performance based awards vested at 133% relative to target on March 1, 2024.</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1"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rollforward of accumulated other comprehensive income (loss) for the year ended December 31:</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229"/>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3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investments: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holding gains (losses) arising during the year</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96,401</w:t>
            </w:r>
          </w:p>
        </w:tc>
        <w:tc>
          <w:tcPr>
            <w:tcW w:w="0" w:type="dxa"/>
            <w:vAlign w:val="bottom"/>
          </w:tcPr>
          <w:p>
            <w:pPr>
              <w:spacing w:after="0"/>
              <w:rPr>
                <w:sz w:val="1"/>
                <w:szCs w:val="1"/>
                <w:color w:val="auto"/>
              </w:rPr>
            </w:pPr>
          </w:p>
        </w:tc>
      </w:tr>
      <w:tr>
        <w:trPr>
          <w:trHeight w:val="175"/>
        </w:trPr>
        <w:tc>
          <w:tcPr>
            <w:tcW w:w="45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losses (gains)</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net realized investments gains on our consolidated statements of comprehensive income.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62"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112" w:lineRule="exact"/>
        <w:rPr>
          <w:sz w:val="20"/>
          <w:szCs w:val="20"/>
          <w:color w:val="auto"/>
        </w:rPr>
      </w:pPr>
    </w:p>
    <w:p>
      <w:pPr>
        <w:ind w:left="660" w:hanging="247"/>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for identical instruments in active markets accessible at the measurement date.</w:t>
      </w:r>
    </w:p>
    <w:p>
      <w:pPr>
        <w:spacing w:after="0" w:line="144" w:lineRule="exact"/>
        <w:rPr>
          <w:rFonts w:ascii="Times New Roman" w:cs="Times New Roman" w:eastAsia="Times New Roman" w:hAnsi="Times New Roman"/>
          <w:sz w:val="18"/>
          <w:szCs w:val="18"/>
          <w:color w:val="auto"/>
        </w:rPr>
      </w:pPr>
    </w:p>
    <w:p>
      <w:pPr>
        <w:jc w:val="both"/>
        <w:ind w:left="660" w:right="80" w:hanging="247"/>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0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one or more significant inputs that are unobservable.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14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jc w:val="center"/>
        <w:ind w:right="353"/>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ind w:left="3047"/>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ind w:left="247" w:hanging="247"/>
        <w:spacing w:after="0" w:line="256" w:lineRule="auto"/>
        <w:tabs>
          <w:tab w:leader="none" w:pos="24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06" w:lineRule="exact"/>
        <w:rPr>
          <w:sz w:val="20"/>
          <w:szCs w:val="20"/>
          <w:color w:val="auto"/>
        </w:rPr>
      </w:pPr>
    </w:p>
    <w:p>
      <w:pPr>
        <w:ind w:left="247" w:right="20" w:hanging="146"/>
        <w:spacing w:after="0" w:line="253" w:lineRule="auto"/>
        <w:rPr>
          <w:sz w:val="20"/>
          <w:szCs w:val="20"/>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53"/>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733" w:top="360" w:right="37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14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4,671,826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996,382</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821,346</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547,258</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1,297,055</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517,940</w:t>
            </w:r>
          </w:p>
        </w:tc>
        <w:tc>
          <w:tcPr>
            <w:tcW w:w="0" w:type="dxa"/>
            <w:vAlign w:val="bottom"/>
          </w:tcPr>
          <w:p>
            <w:pPr>
              <w:spacing w:after="0"/>
              <w:rPr>
                <w:sz w:val="1"/>
                <w:szCs w:val="1"/>
                <w:color w:val="auto"/>
              </w:rPr>
            </w:pPr>
          </w:p>
        </w:tc>
      </w:tr>
      <w:tr>
        <w:trPr>
          <w:trHeight w:val="230"/>
        </w:trPr>
        <w:tc>
          <w:tcPr>
            <w:tcW w:w="4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564,995</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444,121</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3,823,236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5,263,739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7" w:lineRule="exact"/>
        <w:rPr>
          <w:sz w:val="20"/>
          <w:szCs w:val="20"/>
          <w:color w:val="auto"/>
        </w:rPr>
      </w:pPr>
    </w:p>
    <w:p>
      <w:pPr>
        <w:ind w:left="660" w:right="40" w:hanging="328"/>
        <w:spacing w:after="0" w:line="256"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consolidated balance sheet. See Note 5 for more information.</w:t>
      </w:r>
    </w:p>
    <w:p>
      <w:pPr>
        <w:ind w:left="660" w:right="280" w:hanging="328"/>
        <w:spacing w:after="0" w:line="260" w:lineRule="auto"/>
        <w:tabs>
          <w:tab w:leader="none" w:pos="65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1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$494.0 million and $510.8 million, respectively, as of December 31, 2024. The fair value of our senior notes is estimated based on quoted market prices.</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Statutory Accounting</w:t>
      </w:r>
    </w:p>
    <w:p>
      <w:pPr>
        <w:spacing w:after="0" w:line="148"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years ended December 31:</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431,266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590,505</w:t>
            </w: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1,020,034</w:t>
            </w:r>
          </w:p>
        </w:tc>
      </w:tr>
      <w:tr>
        <w:trPr>
          <w:trHeight w:val="230"/>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2,492,487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2,265,713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2,048,740</w:t>
            </w:r>
          </w:p>
        </w:tc>
      </w:tr>
      <w:tr>
        <w:trPr>
          <w:trHeight w:val="257"/>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5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440" w:type="dxa"/>
            <w:vAlign w:val="bottom"/>
          </w:tcPr>
          <w:p>
            <w:pPr>
              <w:spacing w:after="0"/>
              <w:rPr>
                <w:sz w:val="19"/>
                <w:szCs w:val="19"/>
                <w:color w:val="auto"/>
              </w:rPr>
            </w:pPr>
          </w:p>
        </w:tc>
        <w:tc>
          <w:tcPr>
            <w:tcW w:w="14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52,609</w:t>
            </w:r>
          </w:p>
        </w:tc>
      </w:tr>
      <w:tr>
        <w:trPr>
          <w:trHeight w:val="229"/>
        </w:trPr>
        <w:tc>
          <w:tcPr>
            <w:tcW w:w="5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56,744</w:t>
            </w:r>
          </w:p>
        </w:tc>
      </w:tr>
    </w:tbl>
    <w:p>
      <w:pPr>
        <w:spacing w:after="0" w:line="211"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1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years presented above,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21"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2024 and 2023, the statutory capital of our U.S. insurance subsidiaries, which is defined as the total of statutory surplus and contingency reserves, was in excess of the statutory capital necessary to satisfy their respective regulatory requirements.</w:t>
      </w:r>
    </w:p>
    <w:p>
      <w:pPr>
        <w:spacing w:after="0" w:line="8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December 31, 2024, Essent Guaranty, our GSE-approved mortgage insurance company, was in compliance with PMIERs 2.0.</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2024, Essent Guaranty increased its contingency reserve by $226.8 million. This reserve is required to be maintained for a period of 120 months to protect against the effects of adverse economic cycles. After 120 months, the reserve is released to unassigned funds. In the event an insurer’s loss ratio in any calendar year exceeds 35%,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however, the insurer may, after regulatory approval, release from its contingency reserves an amount equal to the excess portion of such losses. During the years ended December 31, 2024 and 2023, Essent Guaranty released contingency reserves of $99.3 million and $56.6 million, respectively, to unassigned funds upon completion of the 120 month holding period.</w:t>
      </w:r>
    </w:p>
    <w:p>
      <w:pPr>
        <w:spacing w:after="0" w:line="95"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2024 and 2023, all such requirements were met.</w:t>
      </w:r>
    </w:p>
    <w:p>
      <w:pPr>
        <w:spacing w:after="0" w:line="116"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Essent Re's statutory capital and surplus was $1.8 billion and $1.9 billion as of December 31, 2024 and 2023, respectively, and statutory net income was $320.2 million and $304.8 million, respectively. Statutory capital and surplus and net income determined in accordance with statutory accounting practices were not significantly different than the amounts determined under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Acquisitions</w:t>
      </w:r>
    </w:p>
    <w:p>
      <w:pPr>
        <w:spacing w:after="0" w:line="14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Effective July 1, 2023, Essent Holdings acquired all of the issued and outstanding shares of capital stock of Agents National Title Holding Company (“Agents National Title”) and the issued and outstanding membership interests of Boston National Holdings LLC (“Boston National Title”) for</w:t>
      </w:r>
    </w:p>
    <w:p>
      <w:pPr>
        <w:ind w:right="60"/>
        <w:spacing w:after="0" w:line="273" w:lineRule="auto"/>
        <w:rPr>
          <w:sz w:val="20"/>
          <w:szCs w:val="20"/>
          <w:color w:val="auto"/>
        </w:rPr>
      </w:pPr>
      <w:r>
        <w:rPr>
          <w:rFonts w:ascii="Times New Roman" w:cs="Times New Roman" w:eastAsia="Times New Roman" w:hAnsi="Times New Roman"/>
          <w:sz w:val="17"/>
          <w:szCs w:val="17"/>
          <w:color w:val="auto"/>
        </w:rPr>
        <w:t>$92.6 million in cash in a single settlement with the seller. The purchase price was subject to further customary post-closing adjustments as described in a securities purchase agreement among the parties to the transaction, in which a post closing adjustment of $1.3 million was paid by the seller to Essent Holdings.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w:t>
      </w:r>
    </w:p>
    <w:p>
      <w:pPr>
        <w:spacing w:after="0" w:line="10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acquired businesses contributed revenues of $80.1 million, principally comprised of $66.2 million of net premiums earned and $9.0 million of settlement services revenues, which is included in other income, and pre-tax net losses of $21.5 million to our results for the year ended December 31, 2024. The following unaudited pro forma summary presents consolidated information for Essent as if the business combination had occurred on January 1, 2022.</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1,153,872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1,131,032</w:t>
            </w:r>
          </w:p>
        </w:tc>
        <w:tc>
          <w:tcPr>
            <w:tcW w:w="0" w:type="dxa"/>
            <w:vAlign w:val="bottom"/>
          </w:tcPr>
          <w:p>
            <w:pPr>
              <w:spacing w:after="0"/>
              <w:rPr>
                <w:sz w:val="1"/>
                <w:szCs w:val="1"/>
                <w:color w:val="auto"/>
              </w:rPr>
            </w:pP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3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690,327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did not have any material, nonrecurring pro forma adjustments directly attributable to the business combination included in the reported pro forma revenue and earnings. These pro forma amounts have been calculated after applying our accounting policies and adjusting the results of Agents National Title and Boston National Title to reflect the additional amortization that would have been charged to earnings assuming the fair value adjustments for the intangible assets acquired had been applied from January 1, 2022, including consequential income tax effects.</w:t>
      </w:r>
    </w:p>
    <w:p>
      <w:pPr>
        <w:spacing w:after="0" w:line="112"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incurred $4.5 million of acquisition-related costs for the year ended December 31, 2023, respectively, as well as $3 million of acquisition-related costs during 2022. These expenses are included in other underwriting and operating expenses on our consolidated statements of comprehensive income and are reflected in pro forma earnings for year ended December 31, 2022 in the table above.</w:t>
      </w:r>
    </w:p>
    <w:p>
      <w:pPr>
        <w:spacing w:after="0" w:line="95"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 acquisition of Agents National Title and Boston National Title was accounted for as a business combination using the acquisition method of accounting and, accordingly, the assets acquired, liabilities assumed and consideration transferred were recorded at their estimated fair values as of the acquisition date. The excess of consideration transferred over the fair value of net assets acquired was recorded as goodwill. The Company allocated the goodwill to its Title operating segment.</w:t>
      </w:r>
    </w:p>
    <w:p>
      <w:pPr>
        <w:spacing w:after="0" w:line="112"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to acquire Agents National Title and Boston National Title and the amounts of identified assets acquired and liabilities assumed, including purchase accounting adjustments that have been recorded by Essent during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Originally Reported</w:t>
            </w:r>
          </w:p>
        </w:tc>
        <w:tc>
          <w:tcPr>
            <w:tcW w:w="1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Measurement Period</w:t>
            </w:r>
          </w:p>
        </w:tc>
        <w:tc>
          <w:tcPr>
            <w:tcW w:w="260" w:type="dxa"/>
            <w:vAlign w:val="bottom"/>
          </w:tcPr>
          <w:p>
            <w:pPr>
              <w:spacing w:after="0"/>
              <w:rPr>
                <w:sz w:val="17"/>
                <w:szCs w:val="17"/>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Paid:</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0" w:type="dxa"/>
            <w:vAlign w:val="bottom"/>
          </w:tcPr>
          <w:p>
            <w:pPr>
              <w:spacing w:after="0"/>
              <w:rPr>
                <w:sz w:val="1"/>
                <w:szCs w:val="1"/>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maturities available for sale</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 for losses</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Adjustments to Goodwill were primarily related to the fair value of claims reserve liabilities, agency relationship intangible assets and other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assets acquired and liabilities assumed, as well as resulting goodwill, were finalized as of June 30, 2024.</w:t>
      </w:r>
    </w:p>
    <w:p>
      <w:pPr>
        <w:spacing w:after="0" w:line="139" w:lineRule="exact"/>
        <w:rPr>
          <w:sz w:val="20"/>
          <w:szCs w:val="20"/>
          <w:color w:val="auto"/>
        </w:rPr>
      </w:pPr>
    </w:p>
    <w:p>
      <w:pPr>
        <w:ind w:right="580" w:firstLine="405"/>
        <w:spacing w:after="0" w:line="312" w:lineRule="auto"/>
        <w:rPr>
          <w:sz w:val="20"/>
          <w:szCs w:val="20"/>
          <w:color w:val="auto"/>
        </w:rPr>
      </w:pPr>
      <w:r>
        <w:rPr>
          <w:rFonts w:ascii="Times New Roman" w:cs="Times New Roman" w:eastAsia="Times New Roman" w:hAnsi="Times New Roman"/>
          <w:sz w:val="17"/>
          <w:szCs w:val="17"/>
          <w:color w:val="auto"/>
        </w:rPr>
        <w:t>The amount of goodwill recorded reflects the increased market share and related synergies that are expected to result from the acquisition, and represents the excess purchase price over the estimated fair value of the net assets acquired from Agents National Title and Boston National Title.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14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 Our U.S. mortgage insurance business and GSE and other risk share business each represent operating segments that we have aggregated as one reportable segment based on their shared economic characteristics and the similarities between the two operating segments.</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 to consolidated results and includes business activities associated with our title insurance operations, income and losses from holding company treasury operations, as well as general corporate operating expenses not attributable to our operating segments. Our title insurance operations are an operating segment that does not meet the quantitative thresholds of a separate reportable segment.</w:t>
      </w:r>
    </w:p>
    <w:p>
      <w:pPr>
        <w:spacing w:after="0" w:line="11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9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segment through analysis of the loss ratio, expense ratio and combined ratio. We do not manage our segments by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4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reconcile the components of reportable segment profit and loss to consolidated profit and loss. Within the tables, we have disclosed significant segment expenses at a level of disaggregation that coincides with what is regularly provided to the CODM. Other underwriting and operating expenses in the Mortgage Insurance segment include software, professional fees, travel, and occupancy costs. The accounting policies of our operating segments are the same as those described in the summary of significant accounting policies. We do not have inter-segment transactions.</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120" w:type="dxa"/>
            <w:vAlign w:val="bottom"/>
          </w:tcPr>
          <w:p>
            <w:pPr>
              <w:spacing w:after="0"/>
              <w:rPr>
                <w:sz w:val="16"/>
                <w:szCs w:val="16"/>
                <w:color w:val="auto"/>
              </w:rPr>
            </w:pPr>
          </w:p>
        </w:tc>
      </w:tr>
      <w:tr>
        <w:trPr>
          <w:trHeight w:val="23"/>
        </w:trPr>
        <w:tc>
          <w:tcPr>
            <w:tcW w:w="64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0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1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180" w:type="dxa"/>
            <w:vAlign w:val="bottom"/>
          </w:tcPr>
          <w:p>
            <w:pPr>
              <w:spacing w:after="0"/>
              <w:rPr>
                <w:sz w:val="24"/>
                <w:szCs w:val="24"/>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924,676</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990,882</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183,341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222,070</w:t>
            </w: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r>
      <w:tr>
        <w:trPr>
          <w:trHeight w:val="223"/>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1,126,997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1,242,904</w:t>
            </w:r>
          </w:p>
        </w:tc>
      </w:tr>
      <w:tr>
        <w:trPr>
          <w:trHeight w:val="250"/>
        </w:trPr>
        <w:tc>
          <w:tcPr>
            <w:tcW w:w="6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81,220</w:t>
            </w:r>
          </w:p>
        </w:tc>
      </w:tr>
      <w:tr>
        <w:trPr>
          <w:trHeight w:val="148"/>
        </w:trPr>
        <w:tc>
          <w:tcPr>
            <w:tcW w:w="6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136,392</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24,504</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(24,248)</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134,226</w:t>
            </w:r>
          </w:p>
        </w:tc>
      </w:tr>
      <w:tr>
        <w:trPr>
          <w:trHeight w:val="223"/>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270,874</w:t>
            </w:r>
          </w:p>
        </w:tc>
      </w:tr>
      <w:tr>
        <w:trPr>
          <w:trHeight w:val="229"/>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43,787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159,531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270,874</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892,284</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855,491</w:t>
            </w:r>
          </w:p>
        </w:tc>
      </w:tr>
      <w:tr>
        <w:trPr>
          <w:trHeight w:val="256"/>
        </w:trPr>
        <w:tc>
          <w:tcPr>
            <w:tcW w:w="6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Loss ratio </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 ratio </w:t>
            </w:r>
            <w:r>
              <w:rPr>
                <w:rFonts w:ascii="Times New Roman" w:cs="Times New Roman" w:eastAsia="Times New Roman" w:hAnsi="Times New Roman"/>
                <w:sz w:val="12"/>
                <w:szCs w:val="12"/>
                <w:b w:val="1"/>
                <w:bCs w:val="1"/>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6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ind w:left="600" w:hanging="169"/>
        <w:spacing w:after="0"/>
        <w:tabs>
          <w:tab w:leader="none" w:pos="600"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(benefit) for losses and LAE by net premiums earned.</w:t>
      </w:r>
    </w:p>
    <w:p>
      <w:pPr>
        <w:spacing w:after="0" w:line="21" w:lineRule="exact"/>
        <w:rPr>
          <w:rFonts w:ascii="Times New Roman" w:cs="Times New Roman" w:eastAsia="Times New Roman" w:hAnsi="Times New Roman"/>
          <w:sz w:val="13"/>
          <w:szCs w:val="13"/>
          <w:b w:val="1"/>
          <w:bCs w:val="1"/>
          <w:color w:val="auto"/>
        </w:rPr>
      </w:pPr>
    </w:p>
    <w:p>
      <w:pPr>
        <w:ind w:left="600" w:hanging="169"/>
        <w:spacing w:after="0"/>
        <w:tabs>
          <w:tab w:leader="none" w:pos="600" w:val="left"/>
        </w:tabs>
        <w:numPr>
          <w:ilvl w:val="0"/>
          <w:numId w:val="6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-91440</wp:posOffset>
            </wp:positionV>
            <wp:extent cx="6814820" cy="1117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482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27" w:name="page128"/>
    <w:bookmarkEnd w:id="12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20" w:type="dxa"/>
            <w:vAlign w:val="bottom"/>
          </w:tcPr>
          <w:p>
            <w:pPr>
              <w:spacing w:after="0"/>
              <w:rPr>
                <w:sz w:val="16"/>
                <w:szCs w:val="16"/>
                <w:color w:val="auto"/>
              </w:rPr>
            </w:pPr>
          </w:p>
        </w:tc>
      </w:tr>
      <w:tr>
        <w:trPr>
          <w:trHeight w:val="23"/>
        </w:trPr>
        <w:tc>
          <w:tcPr>
            <w:tcW w:w="64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02"/>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1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180" w:type="dxa"/>
            <w:vAlign w:val="bottom"/>
          </w:tcPr>
          <w:p>
            <w:pPr>
              <w:spacing w:after="0"/>
              <w:rPr>
                <w:sz w:val="24"/>
                <w:szCs w:val="24"/>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878,937</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916,906</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186,139</w:t>
            </w: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20,692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r>
      <w:tr>
        <w:trPr>
          <w:trHeight w:val="223"/>
        </w:trPr>
        <w:tc>
          <w:tcPr>
            <w:tcW w:w="6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1,052,615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1,109,759</w:t>
            </w:r>
          </w:p>
        </w:tc>
      </w:tr>
      <w:tr>
        <w:trPr>
          <w:trHeight w:val="250"/>
        </w:trPr>
        <w:tc>
          <w:tcPr>
            <w:tcW w:w="6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30,120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31,542</w:t>
            </w:r>
          </w:p>
        </w:tc>
      </w:tr>
      <w:tr>
        <w:trPr>
          <w:trHeight w:val="149"/>
        </w:trPr>
        <w:tc>
          <w:tcPr>
            <w:tcW w:w="6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114,898</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44,968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109,341</w:t>
            </w:r>
          </w:p>
        </w:tc>
      </w:tr>
      <w:tr>
        <w:trPr>
          <w:trHeight w:val="223"/>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225,081</w:t>
            </w:r>
          </w:p>
        </w:tc>
      </w:tr>
      <w:tr>
        <w:trPr>
          <w:trHeight w:val="229"/>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162,456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225,081</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860,039</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822,999</w:t>
            </w:r>
          </w:p>
        </w:tc>
      </w:tr>
      <w:tr>
        <w:trPr>
          <w:trHeight w:val="257"/>
        </w:trPr>
        <w:tc>
          <w:tcPr>
            <w:tcW w:w="6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Loss ratio </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 ratio </w:t>
            </w:r>
            <w:r>
              <w:rPr>
                <w:rFonts w:ascii="Times New Roman" w:cs="Times New Roman" w:eastAsia="Times New Roman" w:hAnsi="Times New Roman"/>
                <w:sz w:val="12"/>
                <w:szCs w:val="12"/>
                <w:b w:val="1"/>
                <w:bCs w:val="1"/>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6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78"/>
        </w:trPr>
        <w:tc>
          <w:tcPr>
            <w:tcW w:w="6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ind w:left="180" w:hanging="169"/>
        <w:spacing w:after="0"/>
        <w:tabs>
          <w:tab w:leader="none" w:pos="18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(benefit) for losses and LAE by net premiums earned.</w:t>
      </w:r>
    </w:p>
    <w:p>
      <w:pPr>
        <w:spacing w:after="0" w:line="21" w:lineRule="exact"/>
        <w:rPr>
          <w:rFonts w:ascii="Times New Roman" w:cs="Times New Roman" w:eastAsia="Times New Roman" w:hAnsi="Times New Roman"/>
          <w:sz w:val="13"/>
          <w:szCs w:val="13"/>
          <w:b w:val="1"/>
          <w:bCs w:val="1"/>
          <w:color w:val="auto"/>
        </w:rPr>
      </w:pPr>
    </w:p>
    <w:p>
      <w:pPr>
        <w:ind w:left="180" w:hanging="169"/>
        <w:spacing w:after="0"/>
        <w:tabs>
          <w:tab w:leader="none" w:pos="180" w:val="left"/>
        </w:tabs>
        <w:numPr>
          <w:ilvl w:val="0"/>
          <w:numId w:val="6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6814820" cy="111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48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40" w:top="360" w:right="439" w:bottom="1440" w:gutter="0" w:footer="0" w:header="0"/>
        </w:sectPr>
      </w:pPr>
    </w:p>
    <w:bookmarkStart w:id="128" w:name="page129"/>
    <w:bookmarkEnd w:id="12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Profit &amp; Loss</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4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Mortgage Insurance</w:t>
            </w:r>
          </w:p>
        </w:tc>
        <w:tc>
          <w:tcPr>
            <w:tcW w:w="100" w:type="dxa"/>
            <w:vAlign w:val="bottom"/>
          </w:tcPr>
          <w:p>
            <w:pPr>
              <w:spacing w:after="0"/>
              <w:rPr>
                <w:sz w:val="10"/>
                <w:szCs w:val="10"/>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 &amp; Other</w:t>
            </w:r>
          </w:p>
        </w:tc>
        <w:tc>
          <w:tcPr>
            <w:tcW w:w="180" w:type="dxa"/>
            <w:vAlign w:val="bottom"/>
          </w:tcPr>
          <w:p>
            <w:pPr>
              <w:spacing w:after="0"/>
              <w:rPr>
                <w:sz w:val="10"/>
                <w:szCs w:val="10"/>
                <w:color w:val="auto"/>
              </w:rPr>
            </w:pPr>
          </w:p>
        </w:tc>
        <w:tc>
          <w:tcPr>
            <w:tcW w:w="11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842,527</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842,527</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112,285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124,409</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1,004,509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1,000,824</w:t>
            </w: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(174,704)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(174,704)</w:t>
            </w:r>
          </w:p>
        </w:tc>
        <w:tc>
          <w:tcPr>
            <w:tcW w:w="0" w:type="dxa"/>
            <w:vAlign w:val="bottom"/>
          </w:tcPr>
          <w:p>
            <w:pPr>
              <w:spacing w:after="0"/>
              <w:rPr>
                <w:sz w:val="1"/>
                <w:szCs w:val="1"/>
                <w:color w:val="auto"/>
              </w:rPr>
            </w:pPr>
          </w:p>
        </w:tc>
      </w:tr>
      <w:tr>
        <w:trPr>
          <w:trHeight w:val="148"/>
        </w:trPr>
        <w:tc>
          <w:tcPr>
            <w:tcW w:w="6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100,302</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 and other taxes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20,977</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12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67,970</w:t>
            </w:r>
          </w:p>
        </w:tc>
        <w:tc>
          <w:tcPr>
            <w:tcW w:w="0" w:type="dxa"/>
            <w:vAlign w:val="bottom"/>
          </w:tcPr>
          <w:p>
            <w:pPr>
              <w:spacing w:after="0"/>
              <w:rPr>
                <w:sz w:val="1"/>
                <w:szCs w:val="1"/>
                <w:color w:val="auto"/>
              </w:rPr>
            </w:pPr>
          </w:p>
        </w:tc>
      </w:tr>
      <w:tr>
        <w:trPr>
          <w:trHeight w:val="223"/>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operating expenses before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111,505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171,733</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48,100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 after allocations</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159,605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171,733</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1,019,608</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988,187</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Loss ratio </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Expense ratio </w:t>
            </w:r>
            <w:r>
              <w:rPr>
                <w:rFonts w:ascii="Times New Roman" w:cs="Times New Roman" w:eastAsia="Times New Roman" w:hAnsi="Times New Roman"/>
                <w:sz w:val="12"/>
                <w:szCs w:val="12"/>
                <w:b w:val="1"/>
                <w:bCs w:val="1"/>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Combined ratio</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180" w:hanging="169"/>
        <w:spacing w:after="0"/>
        <w:tabs>
          <w:tab w:leader="none" w:pos="18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Loss ratio is calculated by dividing the provision (benefit) for losses and LAE by net premiums earned.</w:t>
      </w:r>
    </w:p>
    <w:p>
      <w:pPr>
        <w:spacing w:after="0" w:line="21" w:lineRule="exact"/>
        <w:rPr>
          <w:rFonts w:ascii="Times New Roman" w:cs="Times New Roman" w:eastAsia="Times New Roman" w:hAnsi="Times New Roman"/>
          <w:sz w:val="13"/>
          <w:szCs w:val="13"/>
          <w:b w:val="1"/>
          <w:bCs w:val="1"/>
          <w:color w:val="auto"/>
        </w:rPr>
      </w:pPr>
    </w:p>
    <w:p>
      <w:pPr>
        <w:ind w:left="180" w:hanging="169"/>
        <w:spacing w:after="0"/>
        <w:tabs>
          <w:tab w:leader="none" w:pos="18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6814820" cy="1111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48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740" w:top="360" w:right="439" w:bottom="1440" w:gutter="0" w:footer="0" w:header="0"/>
        </w:sectPr>
      </w:pPr>
    </w:p>
    <w:bookmarkStart w:id="129" w:name="page130"/>
    <w:bookmarkEnd w:id="1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I—Summary of Investments—Other Than Investments in Related Parties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280" w:type="dxa"/>
            <w:vAlign w:val="bottom"/>
          </w:tcPr>
          <w:p>
            <w:pPr>
              <w:spacing w:after="0"/>
              <w:rPr>
                <w:sz w:val="13"/>
                <w:szCs w:val="13"/>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60" w:type="dxa"/>
            <w:vAlign w:val="bottom"/>
          </w:tcPr>
          <w:p>
            <w:pPr>
              <w:spacing w:after="0"/>
              <w:rPr>
                <w:sz w:val="13"/>
                <w:szCs w:val="13"/>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Amount at which</w:t>
            </w:r>
          </w:p>
        </w:tc>
        <w:tc>
          <w:tcPr>
            <w:tcW w:w="0" w:type="dxa"/>
            <w:vAlign w:val="bottom"/>
          </w:tcPr>
          <w:p>
            <w:pPr>
              <w:spacing w:after="0"/>
              <w:rPr>
                <w:sz w:val="1"/>
                <w:szCs w:val="1"/>
                <w:color w:val="auto"/>
              </w:rPr>
            </w:pPr>
          </w:p>
        </w:tc>
      </w:tr>
      <w:tr>
        <w:trPr>
          <w:trHeight w:val="146"/>
        </w:trPr>
        <w:tc>
          <w:tcPr>
            <w:tcW w:w="5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194"/>
              <w:spacing w:after="0" w:line="146" w:lineRule="exact"/>
              <w:rPr>
                <w:sz w:val="20"/>
                <w:szCs w:val="20"/>
                <w:color w:val="auto"/>
              </w:rPr>
            </w:pPr>
            <w:r>
              <w:rPr>
                <w:rFonts w:ascii="Times New Roman" w:cs="Times New Roman" w:eastAsia="Times New Roman" w:hAnsi="Times New Roman"/>
                <w:sz w:val="14"/>
                <w:szCs w:val="14"/>
                <w:b w:val="1"/>
                <w:bCs w:val="1"/>
                <w:color w:val="auto"/>
              </w:rPr>
              <w:t>shown in the</w:t>
            </w:r>
          </w:p>
        </w:tc>
        <w:tc>
          <w:tcPr>
            <w:tcW w:w="0" w:type="dxa"/>
            <w:vAlign w:val="bottom"/>
          </w:tcPr>
          <w:p>
            <w:pPr>
              <w:spacing w:after="0"/>
              <w:rPr>
                <w:sz w:val="1"/>
                <w:szCs w:val="1"/>
                <w:color w:val="auto"/>
              </w:rPr>
            </w:pPr>
          </w:p>
        </w:tc>
      </w:tr>
      <w:tr>
        <w:trPr>
          <w:trHeight w:val="19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6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7"/>
                <w:szCs w:val="17"/>
                <w:color w:val="auto"/>
              </w:rPr>
            </w:pPr>
          </w:p>
        </w:tc>
        <w:tc>
          <w:tcPr>
            <w:tcW w:w="170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28"/>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Bonds: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 Government and government agencies and authorities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1,566,307</w:t>
            </w:r>
          </w:p>
        </w:tc>
        <w:tc>
          <w:tcPr>
            <w:tcW w:w="0" w:type="dxa"/>
            <w:vAlign w:val="bottom"/>
          </w:tcPr>
          <w:p>
            <w:pPr>
              <w:spacing w:after="0"/>
              <w:rPr>
                <w:sz w:val="1"/>
                <w:szCs w:val="1"/>
                <w:color w:val="auto"/>
              </w:rPr>
            </w:pPr>
          </w:p>
        </w:tc>
      </w:tr>
      <w:tr>
        <w:trPr>
          <w:trHeight w:val="230"/>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States, municipalities and political subdivisions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9"/>
        </w:trPr>
        <w:tc>
          <w:tcPr>
            <w:tcW w:w="5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government and agency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All other corporate bonds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maturities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764,024</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303,900</w:t>
            </w:r>
          </w:p>
        </w:tc>
        <w:tc>
          <w:tcPr>
            <w:tcW w:w="0" w:type="dxa"/>
            <w:vAlign w:val="bottom"/>
          </w:tcPr>
          <w:p>
            <w:pPr>
              <w:spacing w:after="0"/>
              <w:rPr>
                <w:sz w:val="1"/>
                <w:szCs w:val="1"/>
                <w:color w:val="auto"/>
              </w:rPr>
            </w:pPr>
          </w:p>
        </w:tc>
      </w:tr>
      <w:tr>
        <w:trPr>
          <w:trHeight w:val="223"/>
        </w:trPr>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6,534,918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6,180,621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6,180,621</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maturities available for sale, at fair value (amortized cost: 2024 — $158,953; 2023 — $94,221)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w:t>
            </w:r>
          </w:p>
        </w:tc>
        <w:tc>
          <w:tcPr>
            <w:tcW w:w="0" w:type="dxa"/>
            <w:vAlign w:val="bottom"/>
          </w:tcPr>
          <w:p>
            <w:pPr>
              <w:spacing w:after="0"/>
              <w:rPr>
                <w:sz w:val="1"/>
                <w:szCs w:val="1"/>
                <w:color w:val="auto"/>
              </w:rPr>
            </w:pPr>
          </w:p>
        </w:tc>
      </w:tr>
      <w:tr>
        <w:trPr>
          <w:trHeight w:val="176"/>
        </w:trPr>
        <w:tc>
          <w:tcPr>
            <w:tcW w:w="798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2024 — $158,242; 2023 —</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$81,993)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81,992</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168,550</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consolidated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5,792,965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5,346,888</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6,114,222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5,527,447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affiliates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facility borrowings,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424,897</w:t>
            </w:r>
          </w:p>
        </w:tc>
        <w:tc>
          <w:tcPr>
            <w:tcW w:w="0" w:type="dxa"/>
            <w:vAlign w:val="bottom"/>
          </w:tcPr>
          <w:p>
            <w:pPr>
              <w:spacing w:after="0"/>
              <w:rPr>
                <w:sz w:val="1"/>
                <w:szCs w:val="1"/>
                <w:color w:val="auto"/>
              </w:rPr>
            </w:pPr>
          </w:p>
        </w:tc>
      </w:tr>
      <w:tr>
        <w:trPr>
          <w:trHeight w:val="20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5,603,658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5,102,550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6,114,222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5,527,447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other invested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service fees from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service fees to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equity in undistributed net income in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(32,226)</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equity in undistributed net income of subsidiaries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(32,226)</w:t>
            </w: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net income of subsidiaries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863,579</w:t>
            </w:r>
          </w:p>
        </w:tc>
        <w:tc>
          <w:tcPr>
            <w:tcW w:w="0" w:type="dxa"/>
            <w:vAlign w:val="bottom"/>
          </w:tcPr>
          <w:p>
            <w:pPr>
              <w:spacing w:after="0"/>
              <w:rPr>
                <w:sz w:val="1"/>
                <w:szCs w:val="1"/>
                <w:color w:val="auto"/>
              </w:rPr>
            </w:pP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831,353</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unrealized (depreciation) appreciation of investments, net of tax (benefit) expense of</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$(7,818) in 2024, $17,944 in 2023 and $(75,013) in 2022</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(433,497)</w:t>
            </w: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(433,497)</w:t>
            </w:r>
          </w:p>
        </w:tc>
        <w:tc>
          <w:tcPr>
            <w:tcW w:w="0" w:type="dxa"/>
            <w:vAlign w:val="bottom"/>
          </w:tcPr>
          <w:p>
            <w:pPr>
              <w:spacing w:after="0"/>
              <w:rPr>
                <w:sz w:val="1"/>
                <w:szCs w:val="1"/>
                <w:color w:val="auto"/>
              </w:rPr>
            </w:pPr>
          </w:p>
        </w:tc>
      </w:tr>
      <w:tr>
        <w:trPr>
          <w:trHeight w:val="223"/>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397,856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2" w:name="page133"/>
    <w:bookmarkEnd w:id="1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729,403</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831,353</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(863,579)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the sale of investments,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other invested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 in short-term investments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investments available for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(157,468)</w:t>
            </w: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paydowns of investments available for sale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81,351</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investments available for sale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164,733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(141,112)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183,604</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senior notes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facility repayments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acquired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(92,128)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(190,196)</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at end of year</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46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supplementary notes to Parent Company condensed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financial information and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II—Condensed Financial Information of Registrant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Notes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w:t>
      </w:r>
    </w:p>
    <w:p>
      <w:pPr>
        <w:spacing w:after="0" w:line="14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 method of accounting for its majority-owned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insurance laws of the Commonwealth of Pennsylvania,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As of December 31, 2024, Essent Guaranty had unassigned surplus of approximately $396.6 million. As of January 1, 2025, Essent Guaranty has dividend capacity of $396.6 million.</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years ended December 31, 2024 and 2023, the Parent Company received dividends from Essent Re totaling $300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respectively. As of January 1, 2025, Essent Re has dividend capacity of $441.9 million. During the year ended December 31, 2022,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Company did not receive any dividends from its subsidiaries.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IV—Reinsurance</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Insurance Premiums Earned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Assumed from</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Assumed Premiums as</w:t>
            </w:r>
          </w:p>
        </w:tc>
        <w:tc>
          <w:tcPr>
            <w:tcW w:w="0" w:type="dxa"/>
            <w:vAlign w:val="bottom"/>
          </w:tcPr>
          <w:p>
            <w:pPr>
              <w:spacing w:after="0"/>
              <w:rPr>
                <w:sz w:val="1"/>
                <w:szCs w:val="1"/>
                <w:color w:val="auto"/>
              </w:rPr>
            </w:pPr>
          </w:p>
        </w:tc>
      </w:tr>
      <w:tr>
        <w:trPr>
          <w:trHeight w:val="146"/>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vMerge w:val="restart"/>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 Percentage of Net</w:t>
            </w:r>
          </w:p>
        </w:tc>
        <w:tc>
          <w:tcPr>
            <w:tcW w:w="0" w:type="dxa"/>
            <w:vAlign w:val="bottom"/>
          </w:tcPr>
          <w:p>
            <w:pPr>
              <w:spacing w:after="0"/>
              <w:rPr>
                <w:sz w:val="1"/>
                <w:szCs w:val="1"/>
                <w:color w:val="auto"/>
              </w:rPr>
            </w:pPr>
          </w:p>
        </w:tc>
      </w:tr>
      <w:tr>
        <w:trPr>
          <w:trHeight w:val="198"/>
        </w:trPr>
        <w:tc>
          <w:tcPr>
            <w:tcW w:w="4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 Companies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253"/>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990,882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1,051,405</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(134,499)</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ind w:left="10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916,906</w:t>
            </w:r>
          </w:p>
        </w:tc>
        <w:tc>
          <w:tcPr>
            <w:tcW w:w="15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842,527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135" w:name="page136"/>
    <w:bookmarkEnd w:id="1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48"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2024, the end of the period covered by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assessed the effectiveness of internal control over financial reporting as of December 31, 2024.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2024,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20" w:lineRule="exact"/>
        <w:rPr>
          <w:sz w:val="20"/>
          <w:szCs w:val="20"/>
          <w:color w:val="auto"/>
        </w:rPr>
      </w:pPr>
    </w:p>
    <w:p>
      <w:pPr>
        <w:ind w:right="560" w:firstLine="405"/>
        <w:spacing w:after="0" w:line="266"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is included in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Rule 105b5-1 Trading Plans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On September 5, 2024, Mark Casale, the Company’s President and Chief Executive Officer, entered into a 10b5-1 sales plan (the “Casale Plan”) intended to satisfy the affirmative defense of Rule 10b5-1(c) under the Exchange Act. On December 2. 2024, Mr. Casale terminated the Casale Plan in its entirety. No shares were sold under the Casale Plan prior to its termination.</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December 14, 2024, Mary Gibbons, the Company’s Senior Vice President and Chief Legal Officer, entered into a 10b5-1 sales plan (the “Gibbons Sales Plan”) intended to satisfy the affirmative defense of Rule 10b5-1(c) under the Exchange Act. The Gibbons Sales Plan provides for the sale of up to an aggregate of 26,610 shares of the Company’s common stock beneficially owned by Ms. Gibbons during the term of the Gibbons Sales Plan and will be in effect until the earlier of (1) December 31, 2025 and (2) the date on which an aggregate of 26,610 shares of the Company’s common stock have been sold under the Gibbons Sales Plan.</w:t>
      </w:r>
    </w:p>
    <w:p>
      <w:pPr>
        <w:spacing w:after="0" w:line="9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6" w:name="page137"/>
    <w:bookmarkEnd w:id="136"/>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2025 Annual General Meeting of Shareholders.</w:t>
      </w:r>
    </w:p>
    <w:p>
      <w:pPr>
        <w:spacing w:after="0" w:line="158"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that governs the purchase, sale, and/or other transactions of our securities by our directors, officers and employees. A copy of our insider trading policy is filed as Exhibit 19.1 to this Annual Report on Form 10-K for the fiscal year ended December 31, 2024. In addition, with regard to the Company’s trading in its own securities, it is the Company’s policy to comply with the federal securities laws and the applicable exchange listing requirements.</w:t>
      </w:r>
    </w:p>
    <w:p>
      <w:pPr>
        <w:spacing w:after="0" w:line="10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2025 Annual General Meeting of Shareholders.</w:t>
      </w:r>
    </w:p>
    <w:p>
      <w:pPr>
        <w:spacing w:after="0" w:line="248" w:lineRule="exact"/>
        <w:rPr>
          <w:sz w:val="20"/>
          <w:szCs w:val="20"/>
          <w:color w:val="auto"/>
        </w:rPr>
      </w:pPr>
    </w:p>
    <w:p>
      <w:pPr>
        <w:ind w:left="940" w:right="38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2025 Annual General Meeting of Shareholders.</w:t>
      </w:r>
    </w:p>
    <w:p>
      <w:pPr>
        <w:spacing w:after="0" w:line="1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2025 Annual General Meeting of Shareholders.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right="7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2024, information concerning equity compensation plans under which our securities are authorized for issuance. The table does not reflect grants, awards, exercises, terminations or expirations since that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180" w:type="dxa"/>
            <w:vAlign w:val="bottom"/>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8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4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7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180" w:type="dxa"/>
            <w:vAlign w:val="bottom"/>
          </w:tcPr>
          <w:p>
            <w:pPr>
              <w:jc w:val="center"/>
              <w:ind w:right="328"/>
              <w:spacing w:after="0" w:line="137"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6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180" w:type="dxa"/>
            <w:vAlign w:val="bottom"/>
          </w:tcPr>
          <w:p>
            <w:pPr>
              <w:jc w:val="center"/>
              <w:ind w:right="328"/>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98"/>
        </w:trPr>
        <w:tc>
          <w:tcPr>
            <w:tcW w:w="4940" w:type="dxa"/>
            <w:vAlign w:val="bottom"/>
            <w:gridSpan w:val="2"/>
            <w:vMerge w:val="continue"/>
          </w:tcPr>
          <w:p>
            <w:pPr>
              <w:spacing w:after="0"/>
              <w:rPr>
                <w:sz w:val="17"/>
                <w:szCs w:val="17"/>
                <w:color w:val="auto"/>
              </w:rPr>
            </w:pPr>
          </w:p>
        </w:tc>
        <w:tc>
          <w:tcPr>
            <w:tcW w:w="2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18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89"/>
        </w:trPr>
        <w:tc>
          <w:tcPr>
            <w:tcW w:w="4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6"/>
                <w:szCs w:val="16"/>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2180" w:type="dxa"/>
            <w:vAlign w:val="bottom"/>
            <w:tcBorders>
              <w:top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00"/>
          </w:cols>
          <w:pgMar w:left="320" w:top="887" w:right="379" w:bottom="1440" w:gutter="0" w:footer="0" w:header="0"/>
        </w:sectPr>
      </w:pPr>
    </w:p>
    <w:p>
      <w:pPr>
        <w:ind w:left="20"/>
        <w:spacing w:after="0" w:line="289" w:lineRule="auto"/>
        <w:rPr>
          <w:sz w:val="20"/>
          <w:szCs w:val="20"/>
          <w:color w:val="auto"/>
        </w:rPr>
      </w:pPr>
      <w:r>
        <w:rPr>
          <w:rFonts w:ascii="Times New Roman" w:cs="Times New Roman" w:eastAsia="Times New Roman" w:hAnsi="Times New Roman"/>
          <w:sz w:val="18"/>
          <w:szCs w:val="18"/>
          <w:color w:val="auto"/>
        </w:rPr>
        <w:t>Equity compensation plans approved by security holders Equity compensation plans not approved by security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897,158</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3,300,041</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897,158</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3,300,041</w:t>
            </w:r>
          </w:p>
        </w:tc>
        <w:tc>
          <w:tcPr>
            <w:tcW w:w="420" w:type="dxa"/>
            <w:vAlign w:val="bottom"/>
            <w:tcBorders>
              <w:top w:val="single" w:sz="8" w:color="auto"/>
              <w:bottom w:val="single" w:sz="8" w:color="auto"/>
            </w:tcBorders>
          </w:tcPr>
          <w:p>
            <w:pPr>
              <w:spacing w:after="0"/>
              <w:rPr>
                <w:sz w:val="19"/>
                <w:szCs w:val="19"/>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-479425</wp:posOffset>
            </wp:positionV>
            <wp:extent cx="709803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-187960</wp:posOffset>
            </wp:positionV>
            <wp:extent cx="709803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380" w:space="560"/>
            <w:col w:w="6260"/>
          </w:cols>
          <w:pgMar w:left="320" w:top="88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54" w:lineRule="exact"/>
        <w:rPr>
          <w:sz w:val="20"/>
          <w:szCs w:val="20"/>
          <w:color w:val="auto"/>
        </w:rPr>
      </w:pPr>
    </w:p>
    <w:p>
      <w:pPr>
        <w:ind w:left="420" w:right="200" w:hanging="412"/>
        <w:spacing w:after="0" w:line="266" w:lineRule="auto"/>
        <w:tabs>
          <w:tab w:leader="none" w:pos="4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are subject to outstanding restricted common share unit awards. This number does not include 964,347 shares that are subject to then-outstanding, but unvested, restricted common share awards because those securities have been subtracted from the number of securities remaining available for future issuance under column (c).</w:t>
      </w:r>
    </w:p>
    <w:p>
      <w:pPr>
        <w:spacing w:after="0" w:line="10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all outstanding awards reflected in column (a) will be issued upon the vesting of outstanding restricted common share units.</w:t>
      </w:r>
    </w:p>
    <w:p>
      <w:pPr>
        <w:spacing w:after="0" w:line="144" w:lineRule="exact"/>
        <w:rPr>
          <w:rFonts w:ascii="Times New Roman" w:cs="Times New Roman" w:eastAsia="Times New Roman" w:hAnsi="Times New Roman"/>
          <w:sz w:val="18"/>
          <w:szCs w:val="18"/>
          <w:color w:val="auto"/>
        </w:rPr>
      </w:pPr>
    </w:p>
    <w:p>
      <w:pPr>
        <w:ind w:left="420" w:hanging="412"/>
        <w:spacing w:after="0" w:line="255" w:lineRule="auto"/>
        <w:tabs>
          <w:tab w:leader="none" w:pos="4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that remained available for future issuance as of December 31, 2024 were available under the 2013 Essent Group Ltd. Long-Term Incentive Plan, as amended and restated effective May 2, 2023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6,115,530 common shares are reserved and available for delivery under the 2013 Plan. Common shares underlying awards that are settled in cash, cancelled, forfeited, or otherwise terminated without delivery to a participant will again be available for issuance under the 2013 Plan. Common shares withheld 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137" w:name="page138"/>
    <w:bookmarkEnd w:id="137"/>
    <w:p>
      <w:pPr>
        <w:ind w:left="420"/>
        <w:spacing w:after="0" w:line="282" w:lineRule="auto"/>
        <w:rPr>
          <w:sz w:val="20"/>
          <w:szCs w:val="20"/>
          <w:color w:val="auto"/>
        </w:rPr>
      </w:pPr>
      <w:r>
        <w:rPr>
          <w:rFonts w:ascii="Times New Roman" w:cs="Times New Roman" w:eastAsia="Times New Roman" w:hAnsi="Times New Roman"/>
          <w:sz w:val="18"/>
          <w:szCs w:val="18"/>
          <w:color w:val="auto"/>
        </w:rPr>
        <w:t>surrendered in connection with the payment of an exercise price of an award or to satisfy tax withholding will not again become available for issuance under the 2013 Plan.</w:t>
      </w:r>
    </w:p>
    <w:p>
      <w:pPr>
        <w:spacing w:after="0" w:line="7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Incorporated herein by reference to our definitive proxy statement to be filed with respect to our 2025 Annual General Meeting of Shareholders.</w:t>
      </w:r>
    </w:p>
    <w:p>
      <w:pPr>
        <w:spacing w:after="0" w:line="1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6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57"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the "Index to Financial Statements—Consolidated Financial Statements" included in Item 8 of Part II of this Annual Report for a list of the financial statements filed as a part of this Annual Report.</w:t>
      </w:r>
    </w:p>
    <w:p>
      <w:pPr>
        <w:spacing w:after="0" w:line="80"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See the "Index to Financial Statements—Financial Statement Schedules" included in Item 8 of Part II of this Annual Report for a list of the financial statements filed as a part of this Annual Report.</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0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60" w:type="dxa"/>
            <w:vAlign w:val="bottom"/>
          </w:tcPr>
          <w:p>
            <w:pPr>
              <w:spacing w:after="0"/>
              <w:rPr>
                <w:sz w:val="16"/>
                <w:szCs w:val="16"/>
                <w:color w:val="auto"/>
              </w:rPr>
            </w:pPr>
          </w:p>
        </w:tc>
        <w:tc>
          <w:tcPr>
            <w:tcW w:w="9800" w:type="dxa"/>
            <w:vAlign w:val="bottom"/>
            <w:gridSpan w:val="2"/>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gridSpan w:val="2"/>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680" w:type="dxa"/>
            <w:vAlign w:val="bottom"/>
            <w:tcBorders>
              <w:top w:val="single" w:sz="8" w:color="auto"/>
            </w:tcBorders>
            <w:gridSpan w:val="5"/>
          </w:tcPr>
          <w:p>
            <w:pPr>
              <w:jc w:val="center"/>
              <w:ind w:left="279"/>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Memorandum of Association (incorporated herein by reference to Exhibit 3.1 of the Registration Statement on Form S-1 (File</w:t>
            </w:r>
          </w:p>
        </w:tc>
        <w:tc>
          <w:tcPr>
            <w:tcW w:w="20" w:type="dxa"/>
            <w:vAlign w:val="bottom"/>
          </w:tcPr>
          <w:p>
            <w:pPr>
              <w:spacing w:after="0"/>
              <w:rPr>
                <w:sz w:val="15"/>
                <w:szCs w:val="15"/>
                <w:color w:val="auto"/>
              </w:rPr>
            </w:pP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No. 333-191193) filed on September 16, 2013)</w:t>
            </w:r>
          </w:p>
        </w:tc>
      </w:tr>
      <w:tr>
        <w:trPr>
          <w:trHeight w:val="194"/>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Certificate of Deposit of Memorandum of Increase of Share Capital, dated as of February 18, 2009 (incorporated herein by reference</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to Exhibit 3.2 of the Registration Statement on Form S-1 (File No. 333-191193) filed on September 16, 2013)</w:t>
            </w:r>
          </w:p>
        </w:tc>
      </w:tr>
      <w:tr>
        <w:trPr>
          <w:trHeight w:val="194"/>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2.1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Certificate of Deposit of Memorandum of Increase of Share Capital, dated as of October 3, 2013 (incorporated herein by reference to</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3.2.1 of Amendment No.3 to the Registration Statement on Form S-1 (File No. 333-191193) filed on October 21, 2013)</w:t>
            </w:r>
          </w:p>
        </w:tc>
      </w:tr>
      <w:tr>
        <w:trPr>
          <w:trHeight w:val="194"/>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Amended and Restated Bye-laws (incorporated herein by reference to Exhibit 3.3 of the Form 10-K (File No. 001-36157) filed on</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March 10, 2014)</w:t>
            </w:r>
          </w:p>
        </w:tc>
      </w:tr>
      <w:tr>
        <w:trPr>
          <w:trHeight w:val="194"/>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Form of Common Share Certificate (incorporated herein by reference to Exhibit 4.1 of Amendment No.3 to the Registration Statement</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on Form S-1 (File No. 333-191193) filed on October 21, 2013)</w:t>
            </w:r>
          </w:p>
        </w:tc>
      </w:tr>
      <w:tr>
        <w:trPr>
          <w:trHeight w:val="194"/>
        </w:trPr>
        <w:tc>
          <w:tcPr>
            <w:tcW w:w="720" w:type="dxa"/>
            <w:vAlign w:val="bottom"/>
            <w:gridSpan w:val="6"/>
          </w:tcPr>
          <w:p>
            <w:pPr>
              <w:jc w:val="center"/>
              <w:ind w:left="310"/>
              <w:spacing w:after="0" w:line="19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Third Amended and Restated Registration Rights Agreement, dated as of November 11, 2014, among Essent Group Ltd. and the</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shareholders party thereto (incorporated herein by reference to Exhibit 4.1 of the Form 10-Q (File No. 001-36157) filed on</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14, 2014)</w:t>
            </w:r>
          </w:p>
        </w:tc>
      </w:tr>
      <w:tr>
        <w:trPr>
          <w:trHeight w:val="198"/>
        </w:trPr>
        <w:tc>
          <w:tcPr>
            <w:tcW w:w="720" w:type="dxa"/>
            <w:vAlign w:val="bottom"/>
            <w:gridSpan w:val="6"/>
          </w:tcPr>
          <w:p>
            <w:pPr>
              <w:jc w:val="center"/>
              <w:ind w:left="310"/>
              <w:spacing w:after="0" w:line="19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Description of Securities (incorporated herein by reference to Exhibit 4.3 of the Form 10-K (File No. 001-36157) filed on February 17,</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40" w:type="dxa"/>
            <w:vAlign w:val="bottom"/>
            <w:gridSpan w:val="2"/>
          </w:tcPr>
          <w:p>
            <w:pPr>
              <w:ind w:left="380"/>
              <w:spacing w:after="0" w:line="205"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7"/>
                <w:szCs w:val="17"/>
                <w:color w:val="auto"/>
              </w:rPr>
            </w:pPr>
          </w:p>
        </w:tc>
      </w:tr>
      <w:tr>
        <w:trPr>
          <w:trHeight w:val="194"/>
        </w:trPr>
        <w:tc>
          <w:tcPr>
            <w:tcW w:w="680" w:type="dxa"/>
            <w:vAlign w:val="bottom"/>
            <w:gridSpan w:val="5"/>
          </w:tcPr>
          <w:p>
            <w:pPr>
              <w:jc w:val="center"/>
              <w:ind w:left="350"/>
              <w:spacing w:after="0" w:line="194"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4.</w:t>
            </w:r>
            <w:hyperlink r:id="rId168">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Senior Indenture dated as of July 1, 2024 between Essent Group Ltd. and U.S. Bank Trust Company, National Association, as trustee</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(incorporated by reference to Exhibit 4.1 of the Company’s Current Report on Form 8-K (File No. 001-36157) filed on July 1, 2024)</w:t>
            </w:r>
          </w:p>
        </w:tc>
      </w:tr>
      <w:tr>
        <w:trPr>
          <w:trHeight w:val="194"/>
        </w:trPr>
        <w:tc>
          <w:tcPr>
            <w:tcW w:w="680" w:type="dxa"/>
            <w:vAlign w:val="bottom"/>
            <w:gridSpan w:val="5"/>
          </w:tcPr>
          <w:p>
            <w:pPr>
              <w:jc w:val="center"/>
              <w:ind w:left="350"/>
              <w:spacing w:after="0" w:line="194"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4.</w:t>
            </w:r>
            <w:hyperlink r:id="rId168">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First Supplemental Indenture dated as of July 1, 2024 between Essent Group Ltd. and U.S. Bank Trust Company, National</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Association, as trustee (incorporated by reference to Exhibit 4.2 of the Company’s Current Report on Form 8-K (File No. 001-36157)</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filed on July 1, 2024)</w:t>
            </w:r>
          </w:p>
        </w:tc>
      </w:tr>
      <w:tr>
        <w:trPr>
          <w:trHeight w:val="198"/>
        </w:trPr>
        <w:tc>
          <w:tcPr>
            <w:tcW w:w="680" w:type="dxa"/>
            <w:vAlign w:val="bottom"/>
            <w:gridSpan w:val="5"/>
          </w:tcPr>
          <w:p>
            <w:pPr>
              <w:jc w:val="center"/>
              <w:ind w:left="350"/>
              <w:spacing w:after="0" w:line="198"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4.</w:t>
            </w:r>
            <w:hyperlink r:id="rId168">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Form of 6.250% Senior Notes due 2029 (included as Exhibit A to the First Supplemental Indenture in Exhibit 4.2 of the Company’s</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 Report on Form 8-K (File No. 001-36157) filed on July 1, 2024)</w:t>
            </w:r>
          </w:p>
        </w:tc>
      </w:tr>
      <w:tr>
        <w:trPr>
          <w:trHeight w:val="194"/>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Asset Purchase Agreement, dated as of October 7, 2009, between Essent Guaranty, Inc. and Triad Guaranty Insurance Corporation</w:t>
            </w:r>
          </w:p>
        </w:tc>
      </w:tr>
      <w:tr>
        <w:trPr>
          <w:trHeight w:val="142"/>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10.4 of the Registration Statement on Form S-1 (File No. 333-191193) filed on</w:t>
            </w: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16, 2013)</w:t>
            </w:r>
          </w:p>
        </w:tc>
      </w:tr>
      <w:tr>
        <w:trPr>
          <w:trHeight w:val="198"/>
        </w:trPr>
        <w:tc>
          <w:tcPr>
            <w:tcW w:w="740" w:type="dxa"/>
            <w:vAlign w:val="bottom"/>
            <w:gridSpan w:val="7"/>
          </w:tcPr>
          <w:p>
            <w:pPr>
              <w:jc w:val="center"/>
              <w:ind w:left="290"/>
              <w:spacing w:after="0" w:line="198"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40" w:type="dxa"/>
            <w:vAlign w:val="bottom"/>
          </w:tcPr>
          <w:p>
            <w:pPr>
              <w:spacing w:after="0"/>
              <w:rPr>
                <w:sz w:val="17"/>
                <w:szCs w:val="17"/>
                <w:color w:val="auto"/>
              </w:rPr>
            </w:pPr>
          </w:p>
        </w:tc>
        <w:tc>
          <w:tcPr>
            <w:tcW w:w="101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  Leadership Bonus Program (incorporated herein by reference to Exhibit 10.8 of the Annual Report on Form 10-K (File No. 001-</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36157) filed on February 29, 2016)</w:t>
            </w:r>
          </w:p>
        </w:tc>
      </w:tr>
      <w:tr>
        <w:trPr>
          <w:trHeight w:val="194"/>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40" w:type="dxa"/>
            <w:vAlign w:val="bottom"/>
          </w:tcPr>
          <w:p>
            <w:pPr>
              <w:spacing w:after="0"/>
              <w:rPr>
                <w:sz w:val="16"/>
                <w:szCs w:val="16"/>
                <w:color w:val="auto"/>
              </w:rPr>
            </w:pPr>
          </w:p>
        </w:tc>
        <w:tc>
          <w:tcPr>
            <w:tcW w:w="101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  Second Amended and Restated 2013 Long-Term Incentive Plan (incorporated herein by reference to Appendix A to the Company's</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Definitive Proxy Statement on Schedule 14A (File No. 333-191193) filed on April 6, 2023)</w:t>
            </w:r>
          </w:p>
        </w:tc>
      </w:tr>
      <w:tr>
        <w:trPr>
          <w:trHeight w:val="194"/>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40" w:type="dxa"/>
            <w:vAlign w:val="bottom"/>
          </w:tcPr>
          <w:p>
            <w:pPr>
              <w:spacing w:after="0"/>
              <w:rPr>
                <w:sz w:val="16"/>
                <w:szCs w:val="16"/>
                <w:color w:val="auto"/>
              </w:rPr>
            </w:pPr>
          </w:p>
        </w:tc>
        <w:tc>
          <w:tcPr>
            <w:tcW w:w="101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  Form of Time-Based Restricted Share Agreement (incorporated herein by reference to Exhibit 10.11 of Amendment No.1 to the</w:t>
            </w:r>
          </w:p>
        </w:tc>
      </w:tr>
      <w:tr>
        <w:trPr>
          <w:trHeight w:val="205"/>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Registration Statement on Form S-1 (File No. 333-191193) filed on September 26, 2013)</w:t>
            </w:r>
          </w:p>
        </w:tc>
      </w:tr>
      <w:tr>
        <w:trPr>
          <w:trHeight w:val="194"/>
        </w:trPr>
        <w:tc>
          <w:tcPr>
            <w:tcW w:w="740" w:type="dxa"/>
            <w:vAlign w:val="bottom"/>
            <w:gridSpan w:val="7"/>
          </w:tcPr>
          <w:p>
            <w:pPr>
              <w:jc w:val="center"/>
              <w:ind w:left="290"/>
              <w:spacing w:after="0" w:line="194"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340" w:type="dxa"/>
            <w:vAlign w:val="bottom"/>
          </w:tcPr>
          <w:p>
            <w:pPr>
              <w:spacing w:after="0"/>
              <w:rPr>
                <w:sz w:val="16"/>
                <w:szCs w:val="16"/>
                <w:color w:val="auto"/>
              </w:rPr>
            </w:pPr>
          </w:p>
        </w:tc>
        <w:tc>
          <w:tcPr>
            <w:tcW w:w="101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  Form of Performance-Based Restricted Share Agreement (incorporated herein by reference to Exhibit 10.7 of the Annual Report on</w:t>
            </w:r>
          </w:p>
        </w:tc>
      </w:tr>
      <w:tr>
        <w:trPr>
          <w:trHeight w:val="214"/>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10-K (File No. 001-36157) filed on February 26, 2021)</w:t>
            </w:r>
          </w:p>
        </w:tc>
      </w:tr>
      <w:tr>
        <w:trPr>
          <w:trHeight w:val="84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2"/>
          </w:tcPr>
          <w:p>
            <w:pPr>
              <w:ind w:left="440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8" w:name="page139"/>
    <w:bookmarkEnd w:id="138"/>
    <w:tbl>
      <w:tblPr>
        <w:tblLayout w:type="fixed"/>
        <w:tblInd w:w="140" w:type="dxa"/>
        <w:tblCellMar>
          <w:top w:w="0" w:type="dxa"/>
          <w:left w:w="0" w:type="dxa"/>
          <w:bottom w:w="0" w:type="dxa"/>
          <w:right w:w="0" w:type="dxa"/>
        </w:tblCellMar>
      </w:tblPr>
      <w:tr>
        <w:trPr>
          <w:trHeight w:val="207"/>
        </w:trPr>
        <w:tc>
          <w:tcPr>
            <w:tcW w:w="360" w:type="dxa"/>
            <w:vAlign w:val="bottom"/>
            <w:gridSpan w:val="2"/>
          </w:tcPr>
          <w:p>
            <w:pPr>
              <w:jc w:val="cente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Annual Incentive Plan (incorporated herein by reference to Exhibit 10.13 of Amendment No.1 to the Registration Statement on Form</w:t>
            </w:r>
          </w:p>
        </w:tc>
      </w:tr>
      <w:tr>
        <w:trPr>
          <w:trHeight w:val="205"/>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S-1 (File No. 333-191193) filed on September 26, 2013)</w:t>
            </w:r>
          </w:p>
        </w:tc>
      </w:tr>
      <w:tr>
        <w:trPr>
          <w:trHeight w:val="194"/>
        </w:trPr>
        <w:tc>
          <w:tcPr>
            <w:tcW w:w="360" w:type="dxa"/>
            <w:vAlign w:val="bottom"/>
            <w:gridSpan w:val="2"/>
          </w:tcPr>
          <w:p>
            <w:pPr>
              <w:jc w:val="center"/>
              <w:spacing w:after="0" w:line="19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Employment Agreement, dated as of September 25, 2013, by and between Essent US Holdings, Inc. and Mark Casale (incorporated</w:t>
            </w:r>
          </w:p>
        </w:tc>
      </w:tr>
      <w:tr>
        <w:trPr>
          <w:trHeight w:val="142"/>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herein by reference to Exhibit 10.14 of Amendment No.2 to the Registration Statement on Form S-1 (File No. 333-191193) filed on</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4, 2013)</w:t>
            </w:r>
          </w:p>
        </w:tc>
      </w:tr>
      <w:tr>
        <w:trPr>
          <w:trHeight w:val="198"/>
        </w:trPr>
        <w:tc>
          <w:tcPr>
            <w:tcW w:w="360" w:type="dxa"/>
            <w:vAlign w:val="bottom"/>
            <w:gridSpan w:val="2"/>
          </w:tcPr>
          <w:p>
            <w:pPr>
              <w:jc w:val="center"/>
              <w:spacing w:after="0" w:line="198"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  Employment Agreement, dated as of September 26, 2013, by and between Essent US Holdings, Inc. and Vijay Bhasin (incorporated</w:t>
            </w:r>
          </w:p>
        </w:tc>
      </w:tr>
      <w:tr>
        <w:trPr>
          <w:trHeight w:val="142"/>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herein by reference to Exhibit 10.16 of Amendment No.2 to the Registration Statement on Form S-1 (File No. 333-191193) filed on</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October 4, 2013)</w:t>
            </w:r>
          </w:p>
        </w:tc>
      </w:tr>
      <w:tr>
        <w:trPr>
          <w:trHeight w:val="198"/>
        </w:trPr>
        <w:tc>
          <w:tcPr>
            <w:tcW w:w="360" w:type="dxa"/>
            <w:vAlign w:val="bottom"/>
            <w:gridSpan w:val="2"/>
          </w:tcPr>
          <w:p>
            <w:pPr>
              <w:jc w:val="center"/>
              <w:spacing w:after="0" w:line="198"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  Employment Agreement, dated as of September 26, 2013, by and between Essent US Holdings, Inc. and Mary Lourdes Gibbons</w:t>
            </w:r>
          </w:p>
        </w:tc>
      </w:tr>
      <w:tr>
        <w:trPr>
          <w:trHeight w:val="142"/>
        </w:trPr>
        <w:tc>
          <w:tcPr>
            <w:tcW w:w="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10.17 of the Annual Report on Form 10-K (File No. 001-36157) filed on February 27,</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2015)</w:t>
            </w:r>
          </w:p>
        </w:tc>
      </w:tr>
      <w:tr>
        <w:trPr>
          <w:trHeight w:val="198"/>
        </w:trPr>
        <w:tc>
          <w:tcPr>
            <w:tcW w:w="620" w:type="dxa"/>
            <w:vAlign w:val="bottom"/>
            <w:gridSpan w:val="4"/>
          </w:tcPr>
          <w:p>
            <w:pPr>
              <w:jc w:val="center"/>
              <w:ind w:right="220"/>
              <w:spacing w:after="0" w:line="198" w:lineRule="exact"/>
              <w:rPr>
                <w:rFonts w:ascii="Times New Roman" w:cs="Times New Roman" w:eastAsia="Times New Roman" w:hAnsi="Times New Roman"/>
                <w:sz w:val="18"/>
                <w:szCs w:val="18"/>
                <w:color w:val="0000FF"/>
                <w:w w:val="98"/>
              </w:rPr>
            </w:pPr>
            <w:hyperlink r:id="rId18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102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  Employment Agreement, dated as of September 26, 2013, by and between Essent Guaranty, Inc. and Christopher G. Curran</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(incorporated herein by reference to Exhibit 10.13 of the Annual Report on Form 10-K (File No. 001-36157) filed on February 19,</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2019)</w:t>
            </w:r>
          </w:p>
        </w:tc>
      </w:tr>
      <w:tr>
        <w:trPr>
          <w:trHeight w:val="198"/>
        </w:trPr>
        <w:tc>
          <w:tcPr>
            <w:tcW w:w="400" w:type="dxa"/>
            <w:vAlign w:val="bottom"/>
            <w:tcBorders>
              <w:bottom w:val="single" w:sz="8" w:color="0000FF"/>
            </w:tcBorders>
            <w:gridSpan w:val="3"/>
          </w:tcPr>
          <w:p>
            <w:pPr>
              <w:jc w:val="center"/>
              <w:spacing w:after="0" w:line="198"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220" w:type="dxa"/>
            <w:vAlign w:val="bottom"/>
          </w:tcPr>
          <w:p>
            <w:pPr>
              <w:spacing w:after="0"/>
              <w:rPr>
                <w:sz w:val="17"/>
                <w:szCs w:val="17"/>
                <w:color w:val="auto"/>
              </w:rPr>
            </w:pPr>
          </w:p>
        </w:tc>
        <w:tc>
          <w:tcPr>
            <w:tcW w:w="102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  Offer Letter between Essent US Holdings, Inc. and David Weinstock dated March 14, 2023 (incorporated herein by reference to</w:t>
            </w:r>
          </w:p>
        </w:tc>
      </w:tr>
      <w:tr>
        <w:trPr>
          <w:trHeight w:val="205"/>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Exhibit 10.1 of the Current Report on Form 8-K (File No. 001-36157) filed on March 15, 2023)</w:t>
            </w:r>
          </w:p>
        </w:tc>
      </w:tr>
      <w:tr>
        <w:trPr>
          <w:trHeight w:val="194"/>
        </w:trPr>
        <w:tc>
          <w:tcPr>
            <w:tcW w:w="620" w:type="dxa"/>
            <w:vAlign w:val="bottom"/>
            <w:gridSpan w:val="4"/>
          </w:tcPr>
          <w:p>
            <w:pPr>
              <w:jc w:val="center"/>
              <w:ind w:right="220"/>
              <w:spacing w:after="0" w:line="194"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10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Form of Director and Officer Indemnification Agreement (incorporated herein by reference to Exhibit 10.17 of the Registration</w:t>
            </w:r>
          </w:p>
        </w:tc>
      </w:tr>
      <w:tr>
        <w:trPr>
          <w:trHeight w:val="205"/>
        </w:trPr>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Statement on Form S-1 (File No. 333-191193) filed on September 16, 2013)</w:t>
            </w:r>
          </w:p>
        </w:tc>
      </w:tr>
      <w:tr>
        <w:trPr>
          <w:trHeight w:val="194"/>
        </w:trPr>
        <w:tc>
          <w:tcPr>
            <w:tcW w:w="620" w:type="dxa"/>
            <w:vAlign w:val="bottom"/>
            <w:gridSpan w:val="4"/>
          </w:tcPr>
          <w:p>
            <w:pPr>
              <w:jc w:val="center"/>
              <w:ind w:right="220"/>
              <w:spacing w:after="0" w:line="194"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10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Section 409A Specified Employee Policy (incorporated herein by reference to Exhibit 10.18 of Amendment No.2 to the Registration</w:t>
            </w:r>
          </w:p>
        </w:tc>
      </w:tr>
      <w:tr>
        <w:trPr>
          <w:trHeight w:val="205"/>
        </w:trPr>
        <w:tc>
          <w:tcPr>
            <w:tcW w:w="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Statement on Form S-1 (File No. 333-191193) filed on October 4, 2013)</w:t>
            </w:r>
          </w:p>
        </w:tc>
      </w:tr>
      <w:tr>
        <w:trPr>
          <w:trHeight w:val="194"/>
        </w:trPr>
        <w:tc>
          <w:tcPr>
            <w:tcW w:w="620" w:type="dxa"/>
            <w:vAlign w:val="bottom"/>
            <w:gridSpan w:val="4"/>
          </w:tcPr>
          <w:p>
            <w:pPr>
              <w:jc w:val="center"/>
              <w:ind w:right="220"/>
              <w:spacing w:after="0" w:line="194"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1020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Third Amended and Restated Credit Agreement, dated as of December 10, 2021, by and among Essent Group Ltd., Essent Irish</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Intermediate Holdings Limited and Essent US Holdings, Inc., as borrowers, the several banks and other financial institutions or entities</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from time to time parties to this agreement, as lenders, and JPMorgan Chase Bank, N.A., as administrative agent (incorporated by</w:t>
            </w:r>
          </w:p>
        </w:tc>
      </w:t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reference herein to Exhibit 10.1 of the Current Report on Form 8-K (File No. 001-36157) filed on December 14, 2021)</w:t>
            </w:r>
          </w:p>
        </w:tc>
      </w:tr>
      <w:tr>
        <w:trPr>
          <w:trHeight w:val="194"/>
        </w:trPr>
        <w:tc>
          <w:tcPr>
            <w:tcW w:w="620" w:type="dxa"/>
            <w:vAlign w:val="bottom"/>
            <w:gridSpan w:val="4"/>
          </w:tcPr>
          <w:p>
            <w:pPr>
              <w:jc w:val="center"/>
              <w:ind w:right="220"/>
              <w:spacing w:after="0" w:line="194"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1020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Amendment No. 1 to Third Amended and Restated Credit Agreement, dated as of November 21, 2022, by and among Essent Group</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Ltd., Essent Irish Intermediate Holdings Limited and Essent US Holdings, Inc., as borrowers, the several banks and other financial</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institutions or entities from time to time parties to this agreement, as lenders, and JPMorgan Chase Bank, N.A., as administrative agent</w:t>
            </w:r>
          </w:p>
        </w:tc>
      </w:tr>
      <w:tr>
        <w:trPr>
          <w:trHeight w:val="198"/>
        </w:trPr>
        <w:tc>
          <w:tcPr>
            <w:tcW w:w="620" w:type="dxa"/>
            <w:vAlign w:val="bottom"/>
            <w:gridSpan w:val="4"/>
          </w:tcPr>
          <w:p>
            <w:pPr>
              <w:jc w:val="center"/>
              <w:ind w:right="220"/>
              <w:spacing w:after="0" w:line="198" w:lineRule="exact"/>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10.</w:t>
            </w:r>
            <w:hyperlink r:id="rId186">
              <w:r>
                <w:rPr>
                  <w:rFonts w:ascii="Times New Roman" w:cs="Times New Roman" w:eastAsia="Times New Roman" w:hAnsi="Times New Roman"/>
                  <w:sz w:val="18"/>
                  <w:szCs w:val="18"/>
                  <w:u w:val="single" w:color="auto"/>
                  <w:color w:val="0000FF"/>
                  <w:w w:val="98"/>
                </w:rPr>
                <w:t>16</w:t>
              </w:r>
            </w:hyperlink>
          </w:p>
        </w:tc>
        <w:tc>
          <w:tcPr>
            <w:tcW w:w="1020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Revolving Facility Refinancing Agreement, dated as of June 26, 2024, by and among Essent Group Ltd., Essent Irish Intermediate</w:t>
            </w:r>
          </w:p>
        </w:tc>
      </w:tr>
      <w:tr>
        <w:trPr>
          <w:trHeight w:val="142"/>
        </w:trPr>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10200" w:type="dxa"/>
            <w:vAlign w:val="bottom"/>
          </w:tcPr>
          <w:p>
            <w:pPr>
              <w:ind w:left="480"/>
              <w:spacing w:after="0" w:line="142" w:lineRule="exact"/>
              <w:rPr>
                <w:sz w:val="20"/>
                <w:szCs w:val="20"/>
                <w:color w:val="auto"/>
              </w:rPr>
            </w:pPr>
            <w:r>
              <w:rPr>
                <w:rFonts w:ascii="Times New Roman" w:cs="Times New Roman" w:eastAsia="Times New Roman" w:hAnsi="Times New Roman"/>
                <w:sz w:val="16"/>
                <w:szCs w:val="16"/>
                <w:color w:val="auto"/>
              </w:rPr>
              <w:t>Holdings Limited, and Essent US Holdings, Inc., as borrowers, Bank of America, N.A., as administrative agent under the Fourth</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Amended and Restated Credit Agreement, JPMorgan Chase Bank, N.A., as administrative agent under the existing credit agreement,</w:t>
            </w:r>
          </w:p>
        </w:tc>
      </w:tr>
      <w:tr>
        <w:trPr>
          <w:trHeight w:val="180"/>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and the several banks and other financial institutions or entities from time to time parties to the Revolving Facility Refinancing</w:t>
            </w:r>
          </w:p>
        </w:tc>
      </w:tr>
      <w:tr>
        <w:trPr>
          <w:trHeight w:val="175"/>
        </w:trPr>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Agreement, as lenders, including the Revolving Credit Agreement which is attached as Annex II thereto (incorporated by reference to</w:t>
            </w: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Exhibit 4.1 of the Company’s Current Report on Form 8-K (File No. 001-36157) filed on June 26, 2024)</w:t>
            </w:r>
          </w:p>
        </w:tc>
      </w:tr>
      <w:tr>
        <w:trPr>
          <w:trHeight w:val="198"/>
        </w:trPr>
        <w:tc>
          <w:tcPr>
            <w:tcW w:w="4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198" w:lineRule="exact"/>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  Insider Trading Policy of Essent Group Ltd.</w:t>
            </w:r>
          </w:p>
        </w:tc>
      </w:tr>
      <w:tr>
        <w:trPr>
          <w:trHeight w:val="209"/>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List of Subsidiaries</w:t>
            </w:r>
          </w:p>
        </w:tc>
      </w:tr>
      <w:tr>
        <w:trPr>
          <w:trHeight w:val="210"/>
        </w:trPr>
        <w:tc>
          <w:tcPr>
            <w:tcW w:w="40" w:type="dxa"/>
            <w:vAlign w:val="bottom"/>
          </w:tcPr>
          <w:p>
            <w:pPr>
              <w:spacing w:after="0"/>
              <w:rPr>
                <w:sz w:val="18"/>
                <w:szCs w:val="18"/>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Consent of PricewaterhouseCoopers LLP</w:t>
            </w:r>
          </w:p>
        </w:tc>
      </w:tr>
      <w:tr>
        <w:trPr>
          <w:trHeight w:val="210"/>
        </w:trPr>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Certification of Chief Executive Officer required by Rule 13a-14(a) or Rule 15d-14(a) of the Securities Exchange Act of 1934, as</w:t>
            </w:r>
          </w:p>
        </w:tc>
      </w:tr>
      <w:tr>
        <w:trPr>
          <w:trHeight w:val="205"/>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4"/>
        </w:trPr>
        <w:tc>
          <w:tcPr>
            <w:tcW w:w="3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Certification of Chief Financial Officer required by Rule 13a-14(a) or Rule 15d-14(a) of the Securities Exchange Act of 1934, as</w:t>
            </w:r>
          </w:p>
        </w:tc>
      </w:tr>
      <w:tr>
        <w:trPr>
          <w:trHeight w:val="205"/>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94"/>
        </w:trPr>
        <w:tc>
          <w:tcPr>
            <w:tcW w:w="3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  Certification of Chief Executive Officer and Chief Financial Officer pursuant to 18 U.S.C. 1350, as adopted pursuant to Section 906 of</w:t>
            </w:r>
          </w:p>
        </w:tc>
      </w:tr>
      <w:tr>
        <w:trPr>
          <w:trHeight w:val="214"/>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Sarbanes-Oxley Act of 2002</w:t>
            </w:r>
          </w:p>
        </w:tc>
      </w:tr>
    </w:tbl>
    <w:p>
      <w:pPr>
        <w:ind w:left="1240" w:right="140" w:hanging="989"/>
        <w:spacing w:after="0" w:line="231" w:lineRule="auto"/>
        <w:tabs>
          <w:tab w:leader="none" w:pos="1240" w:val="left"/>
        </w:tabs>
        <w:numPr>
          <w:ilvl w:val="0"/>
          <w:numId w:val="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Essent Group Ltd. Policy for the Recovery of Erroneously Awarded Compensation (incorporated herein by reference to Exhibit 97 of the Annual Report on Form 10-K (File No. 001-36157) filed on February 16, 2024)</w:t>
      </w:r>
    </w:p>
    <w:tbl>
      <w:tblPr>
        <w:tblLayout w:type="fixed"/>
        <w:tblInd w:w="0" w:type="dxa"/>
        <w:tblCellMar>
          <w:top w:w="0" w:type="dxa"/>
          <w:left w:w="0" w:type="dxa"/>
          <w:bottom w:w="0" w:type="dxa"/>
          <w:right w:w="0" w:type="dxa"/>
        </w:tblCellMar>
      </w:tblPr>
      <w:tr>
        <w:trPr>
          <w:trHeight w:val="191"/>
        </w:trPr>
        <w:tc>
          <w:tcPr>
            <w:tcW w:w="84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34"/>
        </w:trPr>
        <w:tc>
          <w:tcPr>
            <w:tcW w:w="840" w:type="dxa"/>
            <w:vAlign w:val="bottom"/>
          </w:tcPr>
          <w:p>
            <w:pPr>
              <w:spacing w:after="0"/>
              <w:rPr>
                <w:sz w:val="20"/>
                <w:szCs w:val="20"/>
                <w:color w:val="auto"/>
              </w:rPr>
            </w:pPr>
          </w:p>
        </w:tc>
        <w:tc>
          <w:tcPr>
            <w:tcW w:w="9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Schema Document</w:t>
            </w:r>
          </w:p>
        </w:tc>
      </w:tr>
      <w:tr>
        <w:trPr>
          <w:trHeight w:val="230"/>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Calculation Linkbase Document</w:t>
            </w:r>
          </w:p>
        </w:tc>
      </w:tr>
      <w:tr>
        <w:trPr>
          <w:trHeight w:val="230"/>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Definition Linkbase Document</w:t>
            </w:r>
          </w:p>
        </w:tc>
      </w:tr>
      <w:tr>
        <w:trPr>
          <w:trHeight w:val="229"/>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Label Linkbase Document</w:t>
            </w:r>
          </w:p>
        </w:tc>
      </w:tr>
      <w:tr>
        <w:trPr>
          <w:trHeight w:val="23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9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XBRL Taxonomy Extension Presentation Linkbase Document</w:t>
            </w:r>
          </w:p>
        </w:tc>
      </w:tr>
    </w:tbl>
    <w:p>
      <w:pPr>
        <w:ind w:left="1240" w:hanging="1034"/>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-530860</wp:posOffset>
            </wp:positionV>
            <wp:extent cx="8826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ectPr>
          <w:pgSz w:w="11900" w:h="16838" w:orient="portrait"/>
          <w:cols w:equalWidth="0" w:num="1">
            <w:col w:w="10960"/>
          </w:cols>
          <w:pgMar w:left="540" w:top="1012" w:right="399" w:bottom="1440" w:gutter="0" w:footer="0" w:header="0"/>
        </w:sectPr>
      </w:pPr>
    </w:p>
    <w:bookmarkStart w:id="139" w:name="page140"/>
    <w:bookmarkEnd w:id="139"/>
    <w:p>
      <w:pPr>
        <w:ind w:left="1100" w:hanging="583"/>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233680</wp:posOffset>
            </wp:positionH>
            <wp:positionV relativeFrom="page">
              <wp:posOffset>654685</wp:posOffset>
            </wp:positionV>
            <wp:extent cx="7089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089140" cy="8255"/>
                    </a:xfrm>
                    <a:prstGeom prst="rect">
                      <a:avLst/>
                    </a:prstGeom>
                    <a:noFill/>
                  </pic:spPr>
                </pic:pic>
              </a:graphicData>
            </a:graphic>
          </wp:anchor>
        </w:drawing>
        <w:t>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3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140" w:name="page141"/>
    <w:bookmarkEnd w:id="1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Under the requirements of Section 13 or 15(d) of the Securities Exchange Act of 1934, this report was signed on behalf of the Registrant by the authorized person named below in Radnor, Pennsylvania on the 18th day of February, 2025.</w:t>
      </w:r>
    </w:p>
    <w:p>
      <w:pPr>
        <w:spacing w:after="0" w:line="135" w:lineRule="exact"/>
        <w:rPr>
          <w:sz w:val="20"/>
          <w:szCs w:val="20"/>
          <w:color w:val="auto"/>
        </w:rPr>
      </w:pPr>
    </w:p>
    <w:tbl>
      <w:tblPr>
        <w:tblLayout w:type="fixed"/>
        <w:tblInd w:w="514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 GROUP LTD.</w:t>
            </w:r>
          </w:p>
        </w:tc>
        <w:tc>
          <w:tcPr>
            <w:tcW w:w="402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MARK A. CASALE</w:t>
            </w:r>
          </w:p>
        </w:tc>
      </w:tr>
      <w:tr>
        <w:trPr>
          <w:trHeight w:val="216"/>
        </w:trPr>
        <w:tc>
          <w:tcPr>
            <w:tcW w:w="10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Mark A. Casale</w:t>
            </w:r>
          </w:p>
        </w:tc>
      </w:tr>
      <w:tr>
        <w:trPr>
          <w:trHeight w:val="182"/>
        </w:trPr>
        <w:tc>
          <w:tcPr>
            <w:tcW w:w="1000" w:type="dxa"/>
            <w:vAlign w:val="bottom"/>
          </w:tcPr>
          <w:p>
            <w:pPr>
              <w:spacing w:after="0"/>
              <w:rPr>
                <w:sz w:val="15"/>
                <w:szCs w:val="15"/>
                <w:color w:val="auto"/>
              </w:rPr>
            </w:pPr>
          </w:p>
        </w:tc>
        <w:tc>
          <w:tcPr>
            <w:tcW w:w="1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320"/>
              <w:spacing w:after="0" w:line="182" w:lineRule="exact"/>
              <w:rPr>
                <w:sz w:val="20"/>
                <w:szCs w:val="20"/>
                <w:color w:val="auto"/>
              </w:rPr>
            </w:pPr>
            <w:r>
              <w:rPr>
                <w:rFonts w:ascii="Times New Roman" w:cs="Times New Roman" w:eastAsia="Times New Roman" w:hAnsi="Times New Roman"/>
                <w:sz w:val="18"/>
                <w:szCs w:val="18"/>
                <w:i w:val="1"/>
                <w:iCs w:val="1"/>
                <w:color w:val="auto"/>
              </w:rPr>
              <w:t>Chairman of the Board of Directors, Chief</w:t>
            </w:r>
          </w:p>
        </w:tc>
      </w:tr>
      <w:tr>
        <w:trPr>
          <w:trHeight w:val="236"/>
        </w:trPr>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Executive Officer and President</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6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Under the requirements of the Securities Exchange Act of 1934, this report was signed by the following persons on behalf of the Registrant and in the capacities and on the date indicated.</w:t>
      </w:r>
    </w:p>
    <w:p>
      <w:pPr>
        <w:spacing w:after="0" w:line="115" w:lineRule="exact"/>
        <w:rPr>
          <w:sz w:val="20"/>
          <w:szCs w:val="20"/>
          <w:color w:val="auto"/>
        </w:rPr>
      </w:pPr>
    </w:p>
    <w:p>
      <w:pPr>
        <w:ind w:left="1700"/>
        <w:spacing w:after="0"/>
        <w:tabs>
          <w:tab w:leader="none" w:pos="6320" w:val="left"/>
          <w:tab w:leader="none" w:pos="99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035" w:right="339" w:bottom="1440" w:gutter="0" w:footer="0" w:header="0"/>
        </w:sect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Mark A. Casale</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37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ADITYA DUTT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Aditya Dutt</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ROBERT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Robert Glanville</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ANGELA HEISE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Angela Heise</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HENNA KARNA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Henna Karna</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ROY J. KASMAR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Roy J. Kasmar</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ALLAN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Allan Levine</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DOUGLAS J. PAULS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Douglas J. Pauls</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WILLIAM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William Spiegel</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180"/>
        </w:trPr>
        <w:tc>
          <w:tcPr>
            <w:tcW w:w="408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Chief Executive Officer and President (Principal</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140"/>
        </w:trPr>
        <w:tc>
          <w:tcPr>
            <w:tcW w:w="40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0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5"/>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70"/>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69"/>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70"/>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70"/>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69"/>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70"/>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r>
        <w:trPr>
          <w:trHeight w:val="769"/>
        </w:trPr>
        <w:tc>
          <w:tcPr>
            <w:tcW w:w="40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Director</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February 18, 2025</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4020" w:space="720"/>
            <w:col w:w="6500"/>
          </w:cols>
          <w:pgMar w:left="320" w:top="10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QuickLinks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SPECIAL NOTE REGARDING FORWARD-LOOKING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RISK FACTOR SUMMARY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Residential Purchase vs. Refinancing Mortgage Originations ($ in billions)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Relative Share of Private and Public Mortgage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Private mortgage insurance NIW ($ in billions)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Credit Score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LTV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Portfolio by Loan Amortization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Top Ten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Top Ten Metropolitan Statistical Areas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Number of Loans in Default and Default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Loan Defaults by Originating Year</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1B. UNRESOLVED STAFF COMMENTS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2. PROPERTIES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3. LEGAL PROCEEDINGS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252" w:lineRule="exact"/>
        <w:rPr>
          <w:sz w:val="20"/>
          <w:szCs w:val="20"/>
          <w:color w:val="auto"/>
        </w:rPr>
      </w:pPr>
    </w:p>
    <w:p>
      <w:pPr>
        <w:ind w:right="360" w:firstLine="364"/>
        <w:spacing w:after="0" w:line="282" w:lineRule="auto"/>
        <w:rPr>
          <w:sz w:val="20"/>
          <w:szCs w:val="20"/>
          <w:color w:val="auto"/>
        </w:rPr>
      </w:pPr>
      <w:r>
        <w:rPr>
          <w:rFonts w:ascii="Times New Roman" w:cs="Times New Roman" w:eastAsia="Times New Roman" w:hAnsi="Times New Roman"/>
          <w:sz w:val="18"/>
          <w:szCs w:val="18"/>
          <w:u w:val="single" w:color="auto"/>
          <w:color w:val="0000FF"/>
        </w:rPr>
        <w:t>ITEM 5. MARKET FOR THE COMPANY'S COMMON EQUITY, RELATED STOCKHOLDER MATTERS AND ISSUER PURCHASES OF EQUITY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6. [RESERVED]</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Asset Class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Investment Portfolio by Effective Duration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Top Ten Portfolio Holdings</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7A. QUANTITATIVE AND QUALITATIVE DISCLOSURES ABOUT MARKET RISK</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8. 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INDEX TO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Statements of Comprehensive Income</w:t>
      </w:r>
    </w:p>
    <w:p>
      <w:pPr>
        <w:spacing w:after="0" w:line="9" w:lineRule="exact"/>
        <w:rPr>
          <w:sz w:val="20"/>
          <w:szCs w:val="20"/>
          <w:color w:val="auto"/>
        </w:rPr>
      </w:pPr>
    </w:p>
    <w:p>
      <w:pPr>
        <w:ind w:right="4180"/>
        <w:spacing w:after="0" w:line="250"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Consolidated Statements of Changes in Stockholders' Equity Essent Group Ltd. and Subsidiaries Consolidated Statements of Cash Flows Essent Group Ltd. and Subsidiaries Notes to Consolidated Financial Statements</w:t>
      </w:r>
    </w:p>
    <w:p>
      <w:pPr>
        <w:spacing w:after="0" w:line="1" w:lineRule="exact"/>
        <w:rPr>
          <w:sz w:val="20"/>
          <w:szCs w:val="20"/>
          <w:color w:val="auto"/>
        </w:rPr>
      </w:pPr>
    </w:p>
    <w:p>
      <w:pPr>
        <w:ind w:right="2200"/>
        <w:spacing w:after="0" w:line="265" w:lineRule="auto"/>
        <w:rPr>
          <w:sz w:val="20"/>
          <w:szCs w:val="20"/>
          <w:color w:val="auto"/>
        </w:rPr>
      </w:pPr>
      <w:r>
        <w:rPr>
          <w:rFonts w:ascii="Times New Roman" w:cs="Times New Roman" w:eastAsia="Times New Roman" w:hAnsi="Times New Roman"/>
          <w:sz w:val="17"/>
          <w:szCs w:val="17"/>
          <w:u w:val="single" w:color="auto"/>
          <w:color w:val="0000FF"/>
        </w:rPr>
        <w:t>Essent Group Ltd. and Subsidiaries Schedule I—Summary of Investments—Other Than Investments in Related Parties Essent Group Ltd. and Subsidiaries Schedule II—Financial Information of Registrant Balance Sheets Parent Company Only</w:t>
      </w:r>
    </w:p>
    <w:p>
      <w:pPr>
        <w:spacing w:after="0" w:line="250"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Condensed Statements of Comprehensive Income Parent Company Only</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Condensed Statements of Cash Flows Parent Company Only</w:t>
      </w:r>
    </w:p>
    <w:p>
      <w:pPr>
        <w:sectPr>
          <w:pgSz w:w="11900" w:h="16838" w:orient="portrait"/>
          <w:cols w:equalWidth="0" w:num="1">
            <w:col w:w="11140"/>
          </w:cols>
          <w:pgMar w:left="320" w:top="1039" w:right="4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142" w:name="page143"/>
    <w:bookmarkEnd w:id="142"/>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0000FF"/>
        </w:rPr>
        <w:t>Essent Group Ltd. and Subsidiaries Schedule II—Condensed Financial Information of Registrant Parent Company Only Supplementary Notes Schedule IV—Reinsurance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 CHANGES IN AND DISAGREEMENTS WITH ACCOUNTANTS ON ACCOUNTING AND FINANCIAL DISCLOSURE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9A. CONTROLS AND PROCEDURES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9B. OTHER INFORMATION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9C. DISCLOSURE REGARDING FOREIGN JURISDICTIONS THAT PREVENT INSPECTIONS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252" w:lineRule="exact"/>
        <w:rPr>
          <w:sz w:val="20"/>
          <w:szCs w:val="20"/>
          <w:color w:val="auto"/>
        </w:rPr>
      </w:pPr>
    </w:p>
    <w:p>
      <w:pPr>
        <w:ind w:left="380" w:right="3580"/>
        <w:spacing w:after="0" w:line="261" w:lineRule="auto"/>
        <w:rPr>
          <w:sz w:val="20"/>
          <w:szCs w:val="20"/>
          <w:color w:val="auto"/>
        </w:rPr>
      </w:pPr>
      <w:r>
        <w:rPr>
          <w:rFonts w:ascii="Times New Roman" w:cs="Times New Roman" w:eastAsia="Times New Roman" w:hAnsi="Times New Roman"/>
          <w:sz w:val="18"/>
          <w:szCs w:val="18"/>
          <w:u w:val="single" w:color="auto"/>
          <w:color w:val="0000FF"/>
        </w:rPr>
        <w:t>ITEM 10. DIRECTORS, EXECUTIVE OFFICERS AND CORPORATE GOVERNANCE ITEM 11. EXECUTIVE COMPENSATION</w:t>
      </w:r>
    </w:p>
    <w:p>
      <w:pPr>
        <w:ind w:firstLine="364"/>
        <w:spacing w:after="0" w:line="250" w:lineRule="auto"/>
        <w:rPr>
          <w:sz w:val="20"/>
          <w:szCs w:val="20"/>
          <w:color w:val="auto"/>
        </w:rPr>
      </w:pPr>
      <w:r>
        <w:rPr>
          <w:rFonts w:ascii="Times New Roman" w:cs="Times New Roman" w:eastAsia="Times New Roman" w:hAnsi="Times New Roman"/>
          <w:sz w:val="18"/>
          <w:szCs w:val="18"/>
          <w:u w:val="single" w:color="auto"/>
          <w:color w:val="0000FF"/>
        </w:rPr>
        <w:t>ITEM 12. SECURITY OWNERSHIP OF CERTAIN BENEFICIAL OWNERS AND MANAGEMENT AND RELATED STOCKHOLDER MATTERS</w:t>
      </w:r>
    </w:p>
    <w:p>
      <w:pPr>
        <w:spacing w:after="0" w:line="1" w:lineRule="exact"/>
        <w:rPr>
          <w:sz w:val="20"/>
          <w:szCs w:val="20"/>
          <w:color w:val="auto"/>
        </w:rPr>
      </w:pPr>
    </w:p>
    <w:p>
      <w:pPr>
        <w:ind w:left="380" w:right="1680"/>
        <w:spacing w:after="0" w:line="260" w:lineRule="auto"/>
        <w:rPr>
          <w:sz w:val="20"/>
          <w:szCs w:val="20"/>
          <w:color w:val="auto"/>
        </w:rPr>
      </w:pPr>
      <w:r>
        <w:rPr>
          <w:rFonts w:ascii="Times New Roman" w:cs="Times New Roman" w:eastAsia="Times New Roman" w:hAnsi="Times New Roman"/>
          <w:sz w:val="18"/>
          <w:szCs w:val="18"/>
          <w:u w:val="single" w:color="auto"/>
          <w:color w:val="0000FF"/>
        </w:rPr>
        <w:t>ITEM 13. CERTAIN RELATIONSHIPS AND RELATED TRANSACTIONS, AND DIRECTOR INDEPENDENCE ITEM 14. PRINCIPAL ACCOUNTING FEES AND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2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15. EXHIBITS, FINANCIAL STATEMENT SCHEDULES</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0000FF"/>
        </w:rPr>
        <w:t>ITEM 16. FORM 10-K SUMMARY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500"/>
          </w:cols>
          <w:pgMar w:left="320" w:top="891" w:right="107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5"/>
          <w:szCs w:val="25"/>
          <w:b w:val="1"/>
          <w:bCs w:val="1"/>
          <w:color w:val="auto"/>
        </w:rPr>
        <w:t>ESSENT GROUP LTD.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16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This Policy of Essent Group Ltd. (“Essent”) concerns trading in the securities of Essent or its affiliates, as well as trading in securities of other companies. This Policy applies to all directors, officers and employees of Essent, and to their immediate family members and other persons living in their households (“Essent Associates” or “you”). Certain sections of this Policy include special restrictions and procedures for “Designated Insiders” and “Section 16 Insiders,” as defined in those sections.</w:t>
      </w:r>
    </w:p>
    <w:p>
      <w:pPr>
        <w:spacing w:after="0" w:line="8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Essent’s reputation for integrity and high ethical standards in the conduct of its affairs is of paramount importance. To preserve this reputation, it is essential that all your transactions in securities conform to U.S. securities laws and avoid even the appearance of impropriety.</w:t>
      </w:r>
    </w:p>
    <w:p>
      <w:pPr>
        <w:spacing w:after="0" w:line="40"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All Essent Associates must familiarize themselves with this Policy and abide by it. Violations of this Policy may result in civil and criminal penalties under U.S. securities laws, including fines and jail sentences, and in disciplinary action by Essent, up to and including termination of employment.</w:t>
      </w:r>
    </w:p>
    <w:p>
      <w:pPr>
        <w:spacing w:after="0" w:line="36"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Prohibition on Insider Trading or Tipping</w:t>
      </w:r>
    </w:p>
    <w:p>
      <w:pPr>
        <w:spacing w:after="0" w:line="161" w:lineRule="exact"/>
        <w:rPr>
          <w:rFonts w:ascii="Times New Roman" w:cs="Times New Roman" w:eastAsia="Times New Roman" w:hAnsi="Times New Roman"/>
          <w:sz w:val="18"/>
          <w:szCs w:val="18"/>
          <w:b w:val="1"/>
          <w:bCs w:val="1"/>
          <w:color w:val="auto"/>
        </w:rPr>
      </w:pPr>
    </w:p>
    <w:p>
      <w:pPr>
        <w:ind w:left="660" w:right="2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U.S. securities laws prohibit trading in securities while in the possession of material nonpublic information. You may not, directly or indirectly, purchase or sell securities of Essent or its affiliates while in possession of material nonpublic information concerning Essent or its affiliates.</w:t>
      </w:r>
    </w:p>
    <w:p>
      <w:pPr>
        <w:spacing w:after="0" w:line="1" w:lineRule="exact"/>
        <w:rPr>
          <w:rFonts w:ascii="Times New Roman" w:cs="Times New Roman" w:eastAsia="Times New Roman" w:hAnsi="Times New Roman"/>
          <w:sz w:val="18"/>
          <w:szCs w:val="18"/>
          <w:b w:val="1"/>
          <w:bCs w:val="1"/>
          <w:color w:val="auto"/>
        </w:rPr>
      </w:pPr>
    </w:p>
    <w:p>
      <w:pPr>
        <w:ind w:left="660" w:right="2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Similarly, you may not trade in the securities of another Essent if you obtained material nonpublic information about that Essent in the course of your employment by Essent.</w:t>
      </w:r>
    </w:p>
    <w:p>
      <w:pPr>
        <w:spacing w:after="0" w:line="67" w:lineRule="exact"/>
        <w:rPr>
          <w:rFonts w:ascii="Times New Roman" w:cs="Times New Roman" w:eastAsia="Times New Roman" w:hAnsi="Times New Roman"/>
          <w:sz w:val="18"/>
          <w:szCs w:val="18"/>
          <w:b w:val="1"/>
          <w:bCs w:val="1"/>
          <w:color w:val="auto"/>
        </w:rPr>
      </w:pPr>
    </w:p>
    <w:p>
      <w:pPr>
        <w:ind w:left="6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U.S. insider trading laws prohibit you from “selectively disclosing” material nonpublic information to others with limited exceptions. On occasion, it may be necessary for you to disclose material nonpublic information regarding Essent to persons outside Essent, such as customers, for</w:t>
      </w:r>
    </w:p>
    <w:p>
      <w:pPr>
        <w:spacing w:after="0" w:line="1" w:lineRule="exact"/>
        <w:rPr>
          <w:rFonts w:ascii="Times New Roman" w:cs="Times New Roman" w:eastAsia="Times New Roman" w:hAnsi="Times New Roman"/>
          <w:sz w:val="18"/>
          <w:szCs w:val="18"/>
          <w:b w:val="1"/>
          <w:bCs w:val="1"/>
          <w:color w:val="auto"/>
        </w:rPr>
      </w:pPr>
    </w:p>
    <w:p>
      <w:pPr>
        <w:ind w:left="660" w:right="2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legitimate business reasons. In such circumstances, you should not convey information until an understanding, preferably in writing, has been reached that such information is not to be used for trading purposes and may not be further disclosed other than for legitimate business reasons;</w:t>
      </w:r>
    </w:p>
    <w:p>
      <w:pPr>
        <w:spacing w:after="0" w:line="1" w:lineRule="exact"/>
        <w:rPr>
          <w:rFonts w:ascii="Times New Roman" w:cs="Times New Roman" w:eastAsia="Times New Roman" w:hAnsi="Times New Roman"/>
          <w:sz w:val="18"/>
          <w:szCs w:val="18"/>
          <w:b w:val="1"/>
          <w:bCs w:val="1"/>
          <w:color w:val="auto"/>
        </w:rPr>
      </w:pPr>
    </w:p>
    <w:p>
      <w:pPr>
        <w:ind w:left="660" w:right="28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such understanding need not be reached in connection with the disclosure of such information to Essent’s legal department or independent auditors in connection with their provision of services to Essent. You are at risk of personal liability if you disclose material nonpublic Essent information to third parties who do not agree not to trade on the information. U.S. insider trading laws also prohibit you from</w:t>
      </w:r>
    </w:p>
    <w:p>
      <w:pPr>
        <w:ind w:left="660" w:right="44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making recommendations or “tips” concerning Essent’s securities while you are aware of material nonpublic information. Anyone who gives another person, including a family member, a stock market “tip” based on material nonpublic information can be held liable for transactions</w:t>
      </w:r>
    </w:p>
    <w:p>
      <w:pPr>
        <w:spacing w:after="0" w:line="1" w:lineRule="exact"/>
        <w:rPr>
          <w:rFonts w:ascii="Times New Roman" w:cs="Times New Roman" w:eastAsia="Times New Roman" w:hAnsi="Times New Roman"/>
          <w:sz w:val="18"/>
          <w:szCs w:val="18"/>
          <w:b w:val="1"/>
          <w:bCs w:val="1"/>
          <w:color w:val="auto"/>
        </w:rPr>
      </w:pPr>
    </w:p>
    <w:p>
      <w:pPr>
        <w:ind w:left="660" w:right="3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effected by the “tipee” or even a “tipee” of a tipee. Insider trading prohibitions apply to the act of trading, regardless of the size or value of the transaction.</w:t>
      </w:r>
    </w:p>
    <w:p>
      <w:pPr>
        <w:spacing w:after="0" w:line="6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148"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Evaluating whether information is “material” is difficult and often only possible with the benefit of hindsight. Information is considered</w:t>
      </w:r>
    </w:p>
    <w:p>
      <w:pPr>
        <w:spacing w:after="0" w:line="49" w:lineRule="exact"/>
        <w:rPr>
          <w:rFonts w:ascii="Times New Roman" w:cs="Times New Roman" w:eastAsia="Times New Roman" w:hAnsi="Times New Roman"/>
          <w:sz w:val="18"/>
          <w:szCs w:val="18"/>
          <w:b w:val="1"/>
          <w:bCs w:val="1"/>
          <w:color w:val="auto"/>
        </w:rPr>
      </w:pPr>
    </w:p>
    <w:p>
      <w:pPr>
        <w:ind w:left="1300" w:right="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 if it would be likely to affect the share price of Essent or if it would be important to a reasonable investor in deciding whether to buy, hold or sell the securities of Essent.</w:t>
      </w:r>
    </w:p>
    <w:p>
      <w:pPr>
        <w:spacing w:after="0" w:line="67" w:lineRule="exact"/>
        <w:rPr>
          <w:rFonts w:ascii="Times New Roman" w:cs="Times New Roman" w:eastAsia="Times New Roman" w:hAnsi="Times New Roman"/>
          <w:sz w:val="18"/>
          <w:szCs w:val="18"/>
          <w:b w:val="1"/>
          <w:bCs w:val="1"/>
          <w:color w:val="auto"/>
        </w:rPr>
      </w:pPr>
    </w:p>
    <w:p>
      <w:pPr>
        <w:ind w:left="1300" w:right="4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this information include but are not limited to:</w:t>
      </w:r>
    </w:p>
    <w:p>
      <w:pPr>
        <w:spacing w:after="0" w:line="61" w:lineRule="exact"/>
        <w:rPr>
          <w:rFonts w:ascii="Times New Roman" w:cs="Times New Roman" w:eastAsia="Times New Roman" w:hAnsi="Times New Roman"/>
          <w:sz w:val="18"/>
          <w:szCs w:val="18"/>
          <w:b w:val="1"/>
          <w:bCs w:val="1"/>
          <w:color w:val="auto"/>
        </w:rPr>
      </w:pPr>
    </w:p>
    <w:p>
      <w:pPr>
        <w:ind w:left="1620" w:hanging="316"/>
        <w:spacing w:after="0"/>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other earnings information;</w:t>
      </w:r>
    </w:p>
    <w:p>
      <w:pPr>
        <w:spacing w:after="0" w:line="15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and plans;</w:t>
      </w:r>
    </w:p>
    <w:p>
      <w:pPr>
        <w:spacing w:after="0" w:line="14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acquisitions, dispositions, joint ventures and other major transactions;</w:t>
      </w:r>
    </w:p>
    <w:p>
      <w:pPr>
        <w:spacing w:after="0" w:line="15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personnel or management changes;</w:t>
      </w:r>
    </w:p>
    <w:p>
      <w:pPr>
        <w:sectPr>
          <w:pgSz w:w="11900" w:h="16838" w:orient="portrait"/>
          <w:cols w:equalWidth="0" w:num="1">
            <w:col w:w="11240"/>
          </w:cols>
          <w:pgMar w:left="320" w:top="14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0077D0"/>
        </w:rPr>
        <w:t>INSIDER TRADING POLICY</w:t>
        <w:tab/>
        <w:t>Page 1 of #NUM_PAGES#</w:t>
      </w:r>
    </w:p>
    <w:p>
      <w:pPr>
        <w:sectPr>
          <w:pgSz w:w="11900" w:h="16838" w:orient="portrait"/>
          <w:cols w:equalWidth="0" w:num="1">
            <w:col w:w="11240"/>
          </w:cols>
          <w:pgMar w:left="320" w:top="1433" w:right="339" w:bottom="1440" w:gutter="0" w:footer="0" w:header="0"/>
          <w:type w:val="continuous"/>
        </w:sectPr>
      </w:pPr>
    </w:p>
    <w:bookmarkStart w:id="144" w:name="page145"/>
    <w:bookmarkEnd w:id="144"/>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would have an impact on earnings (such as unanticipated write-downs or gains and operating losses or gains);</w:t>
      </w:r>
    </w:p>
    <w:p>
      <w:pPr>
        <w:spacing w:after="0" w:line="15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contract or customer;</w:t>
      </w:r>
    </w:p>
    <w:p>
      <w:pPr>
        <w:spacing w:after="0" w:line="14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lawsuit or governmental investigation;</w:t>
      </w:r>
    </w:p>
    <w:p>
      <w:pPr>
        <w:spacing w:after="0" w:line="15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w:t>
      </w:r>
    </w:p>
    <w:p>
      <w:pPr>
        <w:spacing w:after="0" w:line="144"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w:t>
      </w:r>
    </w:p>
    <w:p>
      <w:pPr>
        <w:spacing w:after="0" w:line="157" w:lineRule="exact"/>
        <w:rPr>
          <w:rFonts w:ascii="Times New Roman" w:cs="Times New Roman" w:eastAsia="Times New Roman" w:hAnsi="Times New Roman"/>
          <w:sz w:val="18"/>
          <w:szCs w:val="18"/>
          <w:color w:val="auto"/>
        </w:rPr>
      </w:pPr>
    </w:p>
    <w:p>
      <w:pPr>
        <w:ind w:left="1620" w:right="160" w:hanging="316"/>
        <w:spacing w:after="0" w:line="313" w:lineRule="auto"/>
        <w:tabs>
          <w:tab w:leader="none" w:pos="16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 substantial changes in accounting methodologies or auditor notification that an issuer may no longer rely on an audit report;</w:t>
      </w:r>
    </w:p>
    <w:p>
      <w:pPr>
        <w:spacing w:after="0" w:line="67" w:lineRule="exact"/>
        <w:rPr>
          <w:rFonts w:ascii="Times New Roman" w:cs="Times New Roman" w:eastAsia="Times New Roman" w:hAnsi="Times New Roman"/>
          <w:sz w:val="18"/>
          <w:szCs w:val="18"/>
          <w:color w:val="auto"/>
        </w:rPr>
      </w:pPr>
    </w:p>
    <w:p>
      <w:pPr>
        <w:ind w:left="1620" w:right="20" w:hanging="316"/>
        <w:spacing w:after="0" w:line="313" w:lineRule="auto"/>
        <w:tabs>
          <w:tab w:leader="none" w:pos="16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issuance of shares or debt or other significant financing developments (e.g., defaults, repurchase plans, share splits, changes in dividend policy); and</w:t>
      </w:r>
    </w:p>
    <w:p>
      <w:pPr>
        <w:spacing w:after="0" w:line="6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change in control.</w:t>
      </w:r>
    </w:p>
    <w:p>
      <w:pPr>
        <w:spacing w:after="0" w:line="144" w:lineRule="exact"/>
        <w:rPr>
          <w:sz w:val="20"/>
          <w:szCs w:val="20"/>
          <w:color w:val="auto"/>
        </w:rPr>
      </w:pPr>
    </w:p>
    <w:p>
      <w:pPr>
        <w:ind w:left="1300" w:right="40"/>
        <w:spacing w:after="0" w:line="305" w:lineRule="auto"/>
        <w:rPr>
          <w:sz w:val="20"/>
          <w:szCs w:val="20"/>
          <w:color w:val="auto"/>
        </w:rPr>
      </w:pPr>
      <w:r>
        <w:rPr>
          <w:rFonts w:ascii="Times New Roman" w:cs="Times New Roman" w:eastAsia="Times New Roman" w:hAnsi="Times New Roman"/>
          <w:sz w:val="18"/>
          <w:szCs w:val="18"/>
          <w:color w:val="auto"/>
        </w:rPr>
        <w:t>Nonpublic information is any information that has not been previously disclosed into the marketplace, such as in a press release or public filing (such as a report filed with the U.S. Securities and Exchange Commission (“SEC”)). Unless the circumstances indicate that such information has been published or is otherwise generally known, it should be considered nonpublic.</w:t>
      </w:r>
    </w:p>
    <w:p>
      <w:pPr>
        <w:spacing w:after="0" w:line="7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Prohibited Transactions</w:t>
      </w:r>
    </w:p>
    <w:p>
      <w:pPr>
        <w:spacing w:after="0" w:line="14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 Sales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 sales of securities of Essent or its affiliates evidence an expectation on the part of the seller that such securities will decline in</w:t>
      </w:r>
    </w:p>
    <w:p>
      <w:pPr>
        <w:spacing w:after="0" w:line="49" w:lineRule="exact"/>
        <w:rPr>
          <w:rFonts w:ascii="Times New Roman" w:cs="Times New Roman" w:eastAsia="Times New Roman" w:hAnsi="Times New Roman"/>
          <w:sz w:val="18"/>
          <w:szCs w:val="18"/>
          <w:b w:val="1"/>
          <w:bCs w:val="1"/>
          <w:color w:val="auto"/>
        </w:rPr>
      </w:pPr>
    </w:p>
    <w:p>
      <w:pPr>
        <w:jc w:val="both"/>
        <w:ind w:left="1300" w:right="20"/>
        <w:spacing w:after="0" w:line="30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value, and signal to the market an absence of confidence in the short-term prospects of Essent or its affiliates. In addition, short sales may reduce the seller’s incentive to improve the performance of the relevant Essent. </w:t>
      </w:r>
      <w:r>
        <w:rPr>
          <w:rFonts w:ascii="Times New Roman" w:cs="Times New Roman" w:eastAsia="Times New Roman" w:hAnsi="Times New Roman"/>
          <w:sz w:val="17"/>
          <w:szCs w:val="17"/>
          <w:b w:val="1"/>
          <w:bCs w:val="1"/>
          <w:color w:val="auto"/>
        </w:rPr>
        <w:t>For these reasons, short sales of securities of Essent or</w:t>
      </w:r>
    </w:p>
    <w:p>
      <w:pPr>
        <w:ind w:left="1300"/>
        <w:spacing w:after="0" w:line="3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its affiliates are prohibited by this Policy</w:t>
      </w:r>
      <w:r>
        <w:rPr>
          <w:rFonts w:ascii="Times New Roman" w:cs="Times New Roman" w:eastAsia="Times New Roman" w:hAnsi="Times New Roman"/>
          <w:sz w:val="18"/>
          <w:szCs w:val="18"/>
          <w:color w:val="auto"/>
        </w:rPr>
        <w:t>. Moreover, Section 16(c) of the Securities Exchange Act of 1934 (as amended,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generally prohibits officers and directors from engaging in short sales.</w:t>
      </w:r>
    </w:p>
    <w:p>
      <w:pPr>
        <w:spacing w:after="0" w:line="5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Publicly Traded Options</w:t>
      </w:r>
    </w:p>
    <w:p>
      <w:pPr>
        <w:spacing w:after="0" w:line="148"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transaction in publicly traded options is, in effect, a bet on the short-term movement of the equity of Essent or its affiliates and creates</w:t>
      </w:r>
    </w:p>
    <w:p>
      <w:pPr>
        <w:spacing w:after="0" w:line="49" w:lineRule="exact"/>
        <w:rPr>
          <w:rFonts w:ascii="Times New Roman" w:cs="Times New Roman" w:eastAsia="Times New Roman" w:hAnsi="Times New Roman"/>
          <w:sz w:val="18"/>
          <w:szCs w:val="18"/>
          <w:b w:val="1"/>
          <w:bCs w:val="1"/>
          <w:color w:val="auto"/>
        </w:rPr>
      </w:pPr>
    </w:p>
    <w:p>
      <w:pPr>
        <w:ind w:left="13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appearance that Essent Associate is trading based on inside information. Transactions in options also may focus a Essent Associate’s attention on short-term performance at the expense of the long-term objectives of the relevant Essent. </w:t>
      </w:r>
      <w:r>
        <w:rPr>
          <w:rFonts w:ascii="Times New Roman" w:cs="Times New Roman" w:eastAsia="Times New Roman" w:hAnsi="Times New Roman"/>
          <w:sz w:val="18"/>
          <w:szCs w:val="18"/>
          <w:b w:val="1"/>
          <w:bCs w:val="1"/>
          <w:color w:val="auto"/>
        </w:rPr>
        <w:t>Accordingly, transactions in puts,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calls or other derivative securities (whether on an exchange or in any other organized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INSIDER TRADING POLICY</w:t>
        <w:tab/>
        <w:t>Page 2 of 5</w:t>
      </w:r>
    </w:p>
    <w:p>
      <w:pPr>
        <w:sectPr>
          <w:pgSz w:w="11900" w:h="16838" w:orient="portrait"/>
          <w:cols w:equalWidth="0" w:num="1">
            <w:col w:w="11220"/>
          </w:cols>
          <w:pgMar w:left="320" w:top="1431" w:right="359" w:bottom="1440" w:gutter="0" w:footer="0" w:header="0"/>
        </w:sectPr>
      </w:pPr>
    </w:p>
    <w:bookmarkStart w:id="145" w:name="page146"/>
    <w:bookmarkEnd w:id="145"/>
    <w:p>
      <w:pPr>
        <w:ind w:left="1300" w:right="480"/>
        <w:spacing w:after="0" w:line="333" w:lineRule="auto"/>
        <w:rPr>
          <w:sz w:val="20"/>
          <w:szCs w:val="20"/>
          <w:color w:val="auto"/>
        </w:rPr>
      </w:pPr>
      <w:r>
        <w:rPr>
          <w:rFonts w:ascii="Times New Roman" w:cs="Times New Roman" w:eastAsia="Times New Roman" w:hAnsi="Times New Roman"/>
          <w:sz w:val="18"/>
          <w:szCs w:val="18"/>
          <w:b w:val="1"/>
          <w:bCs w:val="1"/>
          <w:color w:val="auto"/>
        </w:rPr>
        <w:t>with respect to the equity of Essent or its affiliates are prohibited by this Policy</w:t>
      </w:r>
      <w:r>
        <w:rPr>
          <w:rFonts w:ascii="Times New Roman" w:cs="Times New Roman" w:eastAsia="Times New Roman" w:hAnsi="Times New Roman"/>
          <w:sz w:val="18"/>
          <w:szCs w:val="18"/>
          <w:color w:val="auto"/>
        </w:rPr>
        <w:t>. (Option positions arising from certain types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hedging transactions are governed by the “Hedging Transactions” section.)</w:t>
      </w:r>
    </w:p>
    <w:p>
      <w:pPr>
        <w:spacing w:after="0" w:line="33" w:lineRule="exact"/>
        <w:rPr>
          <w:sz w:val="20"/>
          <w:szCs w:val="20"/>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Hedging Transactions</w:t>
      </w:r>
    </w:p>
    <w:p>
      <w:pPr>
        <w:spacing w:after="0" w:line="161" w:lineRule="exact"/>
        <w:rPr>
          <w:rFonts w:ascii="Times New Roman" w:cs="Times New Roman" w:eastAsia="Times New Roman" w:hAnsi="Times New Roman"/>
          <w:sz w:val="18"/>
          <w:szCs w:val="18"/>
          <w:b w:val="1"/>
          <w:bCs w:val="1"/>
          <w:color w:val="auto"/>
        </w:rPr>
      </w:pPr>
    </w:p>
    <w:p>
      <w:pPr>
        <w:ind w:left="13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 person to lock in much of the value of his or her shareholdings, often in exchange for all or part of the potential for upside appreciation in the shares. These</w:t>
      </w:r>
    </w:p>
    <w:p>
      <w:pPr>
        <w:spacing w:after="0" w:line="1" w:lineRule="exact"/>
        <w:rPr>
          <w:rFonts w:ascii="Times New Roman" w:cs="Times New Roman" w:eastAsia="Times New Roman" w:hAnsi="Times New Roman"/>
          <w:sz w:val="18"/>
          <w:szCs w:val="18"/>
          <w:b w:val="1"/>
          <w:bCs w:val="1"/>
          <w:color w:val="auto"/>
        </w:rPr>
      </w:pPr>
    </w:p>
    <w:p>
      <w:pPr>
        <w:ind w:left="1300" w:right="120"/>
        <w:spacing w:after="0" w:line="30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transactions allow the person to continue to own the applicable security, but without the full risks and rewards of ownership. When that occurs, the person may no longer have the same objectives as Essent’s other shareholders. </w:t>
      </w:r>
      <w:r>
        <w:rPr>
          <w:rFonts w:ascii="Times New Roman" w:cs="Times New Roman" w:eastAsia="Times New Roman" w:hAnsi="Times New Roman"/>
          <w:sz w:val="17"/>
          <w:szCs w:val="17"/>
          <w:b w:val="1"/>
          <w:bCs w:val="1"/>
          <w:color w:val="auto"/>
        </w:rPr>
        <w:t>Therefore, Essent strongly discourages you</w:t>
      </w:r>
    </w:p>
    <w:p>
      <w:pPr>
        <w:ind w:left="1300" w:right="380"/>
        <w:spacing w:after="0" w:line="2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from engaging in such transactions with respect to securities of Essent or its affiliates</w:t>
      </w:r>
      <w:r>
        <w:rPr>
          <w:rFonts w:ascii="Times New Roman" w:cs="Times New Roman" w:eastAsia="Times New Roman" w:hAnsi="Times New Roman"/>
          <w:sz w:val="18"/>
          <w:szCs w:val="18"/>
          <w:color w:val="auto"/>
        </w:rPr>
        <w:t>. Any person wishing to enter into such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must first pre-clear the proposed transaction with the Chief Legal Officer of Essent. Any request for pre-clearance of a</w:t>
      </w:r>
    </w:p>
    <w:p>
      <w:pPr>
        <w:spacing w:after="0" w:line="1" w:lineRule="exact"/>
        <w:rPr>
          <w:rFonts w:ascii="Times New Roman" w:cs="Times New Roman" w:eastAsia="Times New Roman" w:hAnsi="Times New Roman"/>
          <w:sz w:val="18"/>
          <w:szCs w:val="18"/>
          <w:b w:val="1"/>
          <w:bCs w:val="1"/>
          <w:color w:val="auto"/>
        </w:rPr>
      </w:pPr>
    </w:p>
    <w:p>
      <w:pPr>
        <w:ind w:left="13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hedging or similar arrangement must be submitted to the Chief Legal Officer of Essent at least two weeks before the proposed execution of documents evidencing the proposed transaction. The Chief Legal Officer will then determine whether the transaction may proceed and, if so, assist in complying with the SEC’s reporting requirements.</w:t>
      </w:r>
    </w:p>
    <w:p>
      <w:pPr>
        <w:spacing w:after="0" w:line="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Margin Accounts and Pledges</w:t>
      </w:r>
    </w:p>
    <w:p>
      <w:pPr>
        <w:spacing w:after="0" w:line="161" w:lineRule="exact"/>
        <w:rPr>
          <w:rFonts w:ascii="Times New Roman" w:cs="Times New Roman" w:eastAsia="Times New Roman" w:hAnsi="Times New Roman"/>
          <w:sz w:val="18"/>
          <w:szCs w:val="18"/>
          <w:b w:val="1"/>
          <w:bCs w:val="1"/>
          <w:color w:val="auto"/>
        </w:rPr>
      </w:pPr>
    </w:p>
    <w:p>
      <w:pPr>
        <w:jc w:val="both"/>
        <w:ind w:left="1300" w:right="120"/>
        <w:spacing w:after="0" w:line="3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w:t>
      </w:r>
    </w:p>
    <w:p>
      <w:pPr>
        <w:spacing w:after="0" w:line="1" w:lineRule="exact"/>
        <w:rPr>
          <w:rFonts w:ascii="Times New Roman" w:cs="Times New Roman" w:eastAsia="Times New Roman" w:hAnsi="Times New Roman"/>
          <w:sz w:val="18"/>
          <w:szCs w:val="18"/>
          <w:b w:val="1"/>
          <w:bCs w:val="1"/>
          <w:color w:val="auto"/>
        </w:rPr>
      </w:pPr>
    </w:p>
    <w:p>
      <w:pPr>
        <w:ind w:left="1300" w:right="14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permitted to trade in Essent securities pursuant to a blackout period restriction. </w:t>
      </w:r>
      <w:r>
        <w:rPr>
          <w:rFonts w:ascii="Times New Roman" w:cs="Times New Roman" w:eastAsia="Times New Roman" w:hAnsi="Times New Roman"/>
          <w:sz w:val="17"/>
          <w:szCs w:val="17"/>
          <w:b w:val="1"/>
          <w:bCs w:val="1"/>
          <w:color w:val="auto"/>
        </w:rPr>
        <w:t>Therefore, Essent prohibits you from pledging Essent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 as collateral for a loan, unless such persons first pre-clear the proposed transaction with the Chief Legal Officer of</w:t>
      </w:r>
    </w:p>
    <w:p>
      <w:pPr>
        <w:spacing w:after="0" w:line="1" w:lineRule="exact"/>
        <w:rPr>
          <w:rFonts w:ascii="Times New Roman" w:cs="Times New Roman" w:eastAsia="Times New Roman" w:hAnsi="Times New Roman"/>
          <w:sz w:val="18"/>
          <w:szCs w:val="18"/>
          <w:b w:val="1"/>
          <w:bCs w:val="1"/>
          <w:color w:val="auto"/>
        </w:rPr>
      </w:pPr>
    </w:p>
    <w:p>
      <w:pPr>
        <w:ind w:left="1300" w:right="20"/>
        <w:spacing w:after="0" w:line="2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Essent</w:t>
      </w:r>
      <w:r>
        <w:rPr>
          <w:rFonts w:ascii="Times New Roman" w:cs="Times New Roman" w:eastAsia="Times New Roman" w:hAnsi="Times New Roman"/>
          <w:sz w:val="18"/>
          <w:szCs w:val="18"/>
          <w:color w:val="auto"/>
        </w:rPr>
        <w:t>. Any person preparing to pledge Essent securities must clearly demonstrate the financial capacity to repay the loan without resort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pledged securities. Any person proposing to pledge Essent securities as collateral for a loan must submit a request for pre-clearance</w:t>
      </w:r>
    </w:p>
    <w:p>
      <w:pPr>
        <w:spacing w:after="0" w:line="1" w:lineRule="exact"/>
        <w:rPr>
          <w:rFonts w:ascii="Times New Roman" w:cs="Times New Roman" w:eastAsia="Times New Roman" w:hAnsi="Times New Roman"/>
          <w:sz w:val="18"/>
          <w:szCs w:val="18"/>
          <w:b w:val="1"/>
          <w:bCs w:val="1"/>
          <w:color w:val="auto"/>
        </w:rPr>
      </w:pPr>
    </w:p>
    <w:p>
      <w:pPr>
        <w:ind w:left="1300" w:right="2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Chief Legal Officer at least two weeks prior to the proposed execution of documents evidencing the proposed pledge. The Chief Legal Officer will then determine whether the transaction may proceed.</w:t>
      </w:r>
    </w:p>
    <w:p>
      <w:pPr>
        <w:spacing w:after="0" w:line="6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Trading Guideline</w:t>
      </w:r>
    </w:p>
    <w:p>
      <w:pPr>
        <w:spacing w:after="0" w:line="1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not subject to a blackout period or a Rule 10b5-1 plan as described below, it is usually relatively safe for you to trade during the period</w:t>
      </w:r>
    </w:p>
    <w:p>
      <w:pPr>
        <w:spacing w:after="0" w:line="49" w:lineRule="exact"/>
        <w:rPr>
          <w:rFonts w:ascii="Times New Roman" w:cs="Times New Roman" w:eastAsia="Times New Roman" w:hAnsi="Times New Roman"/>
          <w:sz w:val="18"/>
          <w:szCs w:val="18"/>
          <w:b w:val="1"/>
          <w:bCs w:val="1"/>
          <w:color w:val="auto"/>
        </w:rPr>
      </w:pPr>
    </w:p>
    <w:p>
      <w:pPr>
        <w:ind w:left="660" w:right="2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begins on the second full business day after Essent publicly announces quarterly or annual earnings and ends fifteen days prior to the end of the next fiscal quarter, although you may never trade at any time (including during this period) that you are aware of material nonpublic information about Essent.</w:t>
      </w:r>
    </w:p>
    <w:p>
      <w:pPr>
        <w:spacing w:after="0" w:line="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Trading Restrictions on Designated Insiders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Essent officers, directors and employees who routinely have access to material nonpublic information, including (i) all directors of Essent,</w:t>
      </w:r>
    </w:p>
    <w:p>
      <w:pPr>
        <w:spacing w:after="0" w:line="36"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and all persons reporting directly to the Chief Executive Officer, (iii) the Chief Financial Officer and all persons in</w:t>
      </w:r>
    </w:p>
    <w:p>
      <w:pPr>
        <w:spacing w:after="0" w:line="49" w:lineRule="exact"/>
        <w:rPr>
          <w:rFonts w:ascii="Times New Roman" w:cs="Times New Roman" w:eastAsia="Times New Roman" w:hAnsi="Times New Roman"/>
          <w:sz w:val="18"/>
          <w:szCs w:val="18"/>
          <w:color w:val="auto"/>
        </w:rPr>
      </w:pPr>
    </w:p>
    <w:p>
      <w:pPr>
        <w:ind w:left="660" w:right="1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organization of Essent having access to unreported consolidated financial results or projections of Essent and (iv) any member of the extended management team having access to Essent’s unreported financial results and projections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INSIDER TRADING POLICY</w:t>
        <w:tab/>
        <w:t>Page 3 of 5</w:t>
      </w:r>
    </w:p>
    <w:p>
      <w:pPr>
        <w:sectPr>
          <w:pgSz w:w="11900" w:h="16838" w:orient="portrait"/>
          <w:cols w:equalWidth="0" w:num="1">
            <w:col w:w="11240"/>
          </w:cols>
          <w:pgMar w:left="320" w:top="1427"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“Designated Insiders”), are subject to additional restrictions.</w:t>
      </w:r>
    </w:p>
    <w:p>
      <w:pPr>
        <w:spacing w:after="0" w:line="154"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Blackout Periods</w:t>
      </w:r>
    </w:p>
    <w:p>
      <w:pPr>
        <w:spacing w:after="0" w:line="148"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Purchases and sales of securities of Essent or its affiliates by Designated Insiders, as well as their immediate family members, any other</w:t>
      </w:r>
    </w:p>
    <w:p>
      <w:pPr>
        <w:spacing w:after="0" w:line="49" w:lineRule="exact"/>
        <w:rPr>
          <w:rFonts w:ascii="Times New Roman" w:cs="Times New Roman" w:eastAsia="Times New Roman" w:hAnsi="Times New Roman"/>
          <w:sz w:val="18"/>
          <w:szCs w:val="18"/>
          <w:b w:val="1"/>
          <w:bCs w:val="1"/>
          <w:color w:val="auto"/>
        </w:rPr>
      </w:pPr>
    </w:p>
    <w:p>
      <w:pPr>
        <w:ind w:left="1300" w:right="1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persons living in a Designated Insider’s household and any entities a Designated Insider may control, will not be permitted (A) during a period beginning 15 days prior to the end of each fiscal quarter and ending after the second full business day following the release of Essent’s quarterly or annual earnings and (B) such other periods as to which Designated Insiders will be specifically advised.</w:t>
      </w:r>
    </w:p>
    <w:p>
      <w:pPr>
        <w:spacing w:after="0" w:line="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Mandatory Pre-clearance Procedure</w:t>
      </w:r>
    </w:p>
    <w:p>
      <w:pPr>
        <w:spacing w:after="0" w:line="161" w:lineRule="exact"/>
        <w:rPr>
          <w:rFonts w:ascii="Times New Roman" w:cs="Times New Roman" w:eastAsia="Times New Roman" w:hAnsi="Times New Roman"/>
          <w:sz w:val="18"/>
          <w:szCs w:val="18"/>
          <w:b w:val="1"/>
          <w:bCs w:val="1"/>
          <w:color w:val="auto"/>
        </w:rPr>
      </w:pPr>
    </w:p>
    <w:p>
      <w:pPr>
        <w:jc w:val="both"/>
        <w:ind w:left="1300" w:right="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Designated Insiders may not engage in any transaction involving securities of Essent or its affiliates, including gifts and pledges, without first obtaining pre-clearance of the transaction from the Chief Legal Officer of Essent. A request for pre-clearance by directors of Essent</w:t>
      </w:r>
    </w:p>
    <w:p>
      <w:pPr>
        <w:spacing w:after="0" w:line="1" w:lineRule="exact"/>
        <w:rPr>
          <w:rFonts w:ascii="Times New Roman" w:cs="Times New Roman" w:eastAsia="Times New Roman" w:hAnsi="Times New Roman"/>
          <w:sz w:val="18"/>
          <w:szCs w:val="18"/>
          <w:b w:val="1"/>
          <w:bCs w:val="1"/>
          <w:color w:val="auto"/>
        </w:rPr>
      </w:pPr>
    </w:p>
    <w:p>
      <w:pPr>
        <w:ind w:left="1300"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should be submitted to the Chief Legal Officer no later than the day of the proposed transaction for same day pre-clearance. All other requests for pre-clearance should be submitted to the Chief Legal Officer at least five business days before the proposed transaction. The</w:t>
      </w:r>
    </w:p>
    <w:p>
      <w:pPr>
        <w:spacing w:after="0" w:line="1" w:lineRule="exact"/>
        <w:rPr>
          <w:rFonts w:ascii="Times New Roman" w:cs="Times New Roman" w:eastAsia="Times New Roman" w:hAnsi="Times New Roman"/>
          <w:sz w:val="18"/>
          <w:szCs w:val="18"/>
          <w:b w:val="1"/>
          <w:bCs w:val="1"/>
          <w:color w:val="auto"/>
        </w:rPr>
      </w:pPr>
    </w:p>
    <w:p>
      <w:pPr>
        <w:ind w:left="1300" w:right="3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Chief Legal Officer will then determine whether the transaction may proceed and, if so, assist in complying with the SEC’s reporting requirements (as described below). In the event an approved transaction is not consummated within the time period agreed to by the Chief Legal Officer, it must be re-approved before it may be consummated at a later date.</w:t>
      </w:r>
    </w:p>
    <w:p>
      <w:pPr>
        <w:spacing w:after="0" w:line="61" w:lineRule="exact"/>
        <w:rPr>
          <w:rFonts w:ascii="Times New Roman" w:cs="Times New Roman" w:eastAsia="Times New Roman" w:hAnsi="Times New Roman"/>
          <w:sz w:val="18"/>
          <w:szCs w:val="18"/>
          <w:b w:val="1"/>
          <w:bCs w:val="1"/>
          <w:color w:val="auto"/>
        </w:rPr>
      </w:pPr>
    </w:p>
    <w:p>
      <w:pPr>
        <w:ind w:left="1300" w:right="120"/>
        <w:spacing w:after="0" w:line="31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Transactions effected pursuant to Essent-approved Rule 10b5-1 plans will not require further pre-clearance at the time of the transaction if the plan specifies the dates, prices and amounts of the contemplated trades or establishes a formula for determining the dates, prices</w:t>
      </w:r>
    </w:p>
    <w:p>
      <w:pPr>
        <w:spacing w:after="0" w:line="1" w:lineRule="exact"/>
        <w:rPr>
          <w:rFonts w:ascii="Times New Roman" w:cs="Times New Roman" w:eastAsia="Times New Roman" w:hAnsi="Times New Roman"/>
          <w:sz w:val="18"/>
          <w:szCs w:val="18"/>
          <w:b w:val="1"/>
          <w:bCs w:val="1"/>
          <w:color w:val="auto"/>
        </w:rPr>
      </w:pPr>
    </w:p>
    <w:p>
      <w:pPr>
        <w:ind w:left="1300" w:right="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amounts. Any Designated Insider who effects a transaction pursuant to such a plan (or his or her broker) must, however, report the specific transaction to the Chief Legal Officer of Essent no later than the day on which such person finds out the trade’s amount, date and price. Reliance on the terms of the plan will not constitute sufficient notice.</w:t>
      </w:r>
    </w:p>
    <w:p>
      <w:pPr>
        <w:spacing w:after="0" w:line="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 Insiders</w:t>
      </w:r>
    </w:p>
    <w:p>
      <w:pPr>
        <w:spacing w:after="0" w:line="161" w:lineRule="exact"/>
        <w:rPr>
          <w:rFonts w:ascii="Times New Roman" w:cs="Times New Roman" w:eastAsia="Times New Roman" w:hAnsi="Times New Roman"/>
          <w:sz w:val="18"/>
          <w:szCs w:val="18"/>
          <w:b w:val="1"/>
          <w:bCs w:val="1"/>
          <w:color w:val="auto"/>
        </w:rPr>
      </w:pPr>
    </w:p>
    <w:p>
      <w:pPr>
        <w:ind w:left="1300"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Section 16 of the Exchange Act imposes certain reporting obligations and limitations on certain short-swing transactions on directors, officers and 10% beneficial owners of Essent (“Section 16 Insiders”). Under Section 16 of the Exchange Act, subject to certain specified</w:t>
      </w:r>
    </w:p>
    <w:p>
      <w:pPr>
        <w:spacing w:after="0" w:line="1" w:lineRule="exact"/>
        <w:rPr>
          <w:rFonts w:ascii="Times New Roman" w:cs="Times New Roman" w:eastAsia="Times New Roman" w:hAnsi="Times New Roman"/>
          <w:sz w:val="18"/>
          <w:szCs w:val="18"/>
          <w:b w:val="1"/>
          <w:bCs w:val="1"/>
          <w:color w:val="auto"/>
        </w:rPr>
      </w:pPr>
    </w:p>
    <w:p>
      <w:pPr>
        <w:ind w:left="1300" w:right="8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exemptions, profits from purchases and sales of Essent’s securities by Section 16 Insiders within a six-month period will be disgorged to Essent, irrespective of whether they have access to material nonpublic information. In addition, subject to certain exceptions, each</w:t>
      </w:r>
    </w:p>
    <w:p>
      <w:pPr>
        <w:spacing w:after="0" w:line="1" w:lineRule="exact"/>
        <w:rPr>
          <w:rFonts w:ascii="Times New Roman" w:cs="Times New Roman" w:eastAsia="Times New Roman" w:hAnsi="Times New Roman"/>
          <w:sz w:val="18"/>
          <w:szCs w:val="18"/>
          <w:b w:val="1"/>
          <w:bCs w:val="1"/>
          <w:color w:val="auto"/>
        </w:rPr>
      </w:pPr>
    </w:p>
    <w:p>
      <w:pPr>
        <w:jc w:val="both"/>
        <w:ind w:left="13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and sale of Essent’s securities must be reported in accordance with Section 16 of the Exchange Act. It is the responsibility of the Section 16 Insider, and not Essent, to ensure compliance with Section 16 of the Exchange Act, including that required filings are made on timely basis.</w:t>
      </w:r>
    </w:p>
    <w:p>
      <w:pPr>
        <w:spacing w:after="0" w:line="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Certification</w:t>
      </w:r>
    </w:p>
    <w:p>
      <w:pPr>
        <w:spacing w:after="0" w:line="161" w:lineRule="exact"/>
        <w:rPr>
          <w:rFonts w:ascii="Times New Roman" w:cs="Times New Roman" w:eastAsia="Times New Roman" w:hAnsi="Times New Roman"/>
          <w:sz w:val="18"/>
          <w:szCs w:val="18"/>
          <w:b w:val="1"/>
          <w:bCs w:val="1"/>
          <w:color w:val="auto"/>
        </w:rPr>
      </w:pPr>
    </w:p>
    <w:p>
      <w:pPr>
        <w:ind w:left="1300" w:right="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Designated Insiders must certify annually their understanding of, and intent to comply with, the procedures set forth in this Policy. A form of certification will be distributed by the Chief Legal Officer at the beginning of each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INSIDER TRADING POLICY</w:t>
        <w:tab/>
        <w:t>Page 4 of 5</w:t>
      </w:r>
    </w:p>
    <w:p>
      <w:pPr>
        <w:sectPr>
          <w:pgSz w:w="11900" w:h="16838" w:orient="portrait"/>
          <w:cols w:equalWidth="0" w:num="1">
            <w:col w:w="11220"/>
          </w:cols>
          <w:pgMar w:left="320" w:top="1431" w:right="359" w:bottom="1440" w:gutter="0" w:footer="0" w:header="0"/>
        </w:sectPr>
      </w:pPr>
    </w:p>
    <w:bookmarkStart w:id="147" w:name="page148"/>
    <w:bookmarkEnd w:id="147"/>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Exempted Transactions</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148"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restrictions on trading in Essent securities contained in this Policy do not apply to or affect the ability of Essent Associates to</w:t>
      </w:r>
    </w:p>
    <w:p>
      <w:pPr>
        <w:spacing w:after="0" w:line="49" w:lineRule="exact"/>
        <w:rPr>
          <w:rFonts w:ascii="Times New Roman" w:cs="Times New Roman" w:eastAsia="Times New Roman" w:hAnsi="Times New Roman"/>
          <w:sz w:val="18"/>
          <w:szCs w:val="18"/>
          <w:b w:val="1"/>
          <w:bCs w:val="1"/>
          <w:color w:val="auto"/>
        </w:rPr>
      </w:pPr>
    </w:p>
    <w:p>
      <w:pPr>
        <w:ind w:left="1300" w:right="2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 options, where applicable; however, these restrictions do apply to the sale of the shares issued upon exercise of such options, including any sale of shares as a part of a broker-assisted cashless exercise of any option.</w:t>
      </w:r>
    </w:p>
    <w:p>
      <w:pPr>
        <w:spacing w:after="0" w:line="63"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Plans</w:t>
      </w:r>
    </w:p>
    <w:p>
      <w:pPr>
        <w:spacing w:after="0" w:line="148"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Designated Insider may be able to trade in securities of Essent or its affiliates during the restricted periods set forth above if the</w:t>
      </w:r>
    </w:p>
    <w:p>
      <w:pPr>
        <w:spacing w:after="0" w:line="49" w:lineRule="exact"/>
        <w:rPr>
          <w:rFonts w:ascii="Times New Roman" w:cs="Times New Roman" w:eastAsia="Times New Roman" w:hAnsi="Times New Roman"/>
          <w:sz w:val="18"/>
          <w:szCs w:val="18"/>
          <w:b w:val="1"/>
          <w:bCs w:val="1"/>
          <w:color w:val="auto"/>
        </w:rPr>
      </w:pPr>
    </w:p>
    <w:p>
      <w:pPr>
        <w:ind w:left="1300"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Designated Insider has entered into a so-called Rule 10b5-1 plan. Rule 10b5-1 plans allow corporate insiders to establish a defense to insider trading allegations by effecting transactions pursuant to a pre-established written plan that specifies (by, for example, formula or</w:t>
      </w:r>
    </w:p>
    <w:p>
      <w:pPr>
        <w:spacing w:after="0" w:line="1" w:lineRule="exact"/>
        <w:rPr>
          <w:rFonts w:ascii="Times New Roman" w:cs="Times New Roman" w:eastAsia="Times New Roman" w:hAnsi="Times New Roman"/>
          <w:sz w:val="18"/>
          <w:szCs w:val="18"/>
          <w:b w:val="1"/>
          <w:bCs w:val="1"/>
          <w:color w:val="auto"/>
        </w:rPr>
      </w:pPr>
    </w:p>
    <w:p>
      <w:pPr>
        <w:ind w:left="1300" w:right="2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actual dates) when trades are to be made, and is entered into at a point in time when the insider does not possess material nonpublic information. In general terms, a Rule 10b5-1 plan can be designed to allow purchases and sales even when the Designated Insider would otherwise be blocked by a blackout period or the possession of material nonpublic information.</w:t>
      </w:r>
    </w:p>
    <w:p>
      <w:pPr>
        <w:spacing w:after="0" w:line="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Designated Insider may wish to work with his or her broker to set up such a plan. Any Designated Insider’s Rule 10b5-1 plan must</w:t>
      </w:r>
    </w:p>
    <w:p>
      <w:pPr>
        <w:spacing w:after="0" w:line="49" w:lineRule="exact"/>
        <w:rPr>
          <w:rFonts w:ascii="Times New Roman" w:cs="Times New Roman" w:eastAsia="Times New Roman" w:hAnsi="Times New Roman"/>
          <w:sz w:val="18"/>
          <w:szCs w:val="18"/>
          <w:b w:val="1"/>
          <w:bCs w:val="1"/>
          <w:color w:val="auto"/>
        </w:rPr>
      </w:pPr>
    </w:p>
    <w:p>
      <w:pPr>
        <w:ind w:left="1300" w:right="60"/>
        <w:spacing w:after="0" w:line="30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be in writing and in a form acceptable to Essent; (B) be acknowledged in writing by the Chief Legal Officer of Essent prior to the plan becoming effective; (C) contain such terms and conditions as may be required by Rule 10b5-1 of the Exchange Act; and (D) not be entered into, amended or terminated during a blackout period or when the Designated Insider is in possession of material nonpublic information.</w:t>
      </w:r>
    </w:p>
    <w:p>
      <w:pPr>
        <w:spacing w:after="0" w:line="6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161" w:lineRule="exact"/>
        <w:rPr>
          <w:rFonts w:ascii="Times New Roman" w:cs="Times New Roman" w:eastAsia="Times New Roman" w:hAnsi="Times New Roman"/>
          <w:sz w:val="18"/>
          <w:szCs w:val="18"/>
          <w:b w:val="1"/>
          <w:bCs w:val="1"/>
          <w:color w:val="auto"/>
        </w:rPr>
      </w:pPr>
    </w:p>
    <w:p>
      <w:pPr>
        <w:ind w:left="6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continues to apply to transactions in Essent securities after a Essent Associate is no longer employed by or affiliated with Essent. Any Essent Associate in possession of material nonpublic information when their employment or affiliation terminates may not trade in Essent securities until the information becomes public or is no longer material.</w:t>
      </w:r>
    </w:p>
    <w:p>
      <w:pPr>
        <w:spacing w:after="0" w:line="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p>
    <w:p>
      <w:pPr>
        <w:spacing w:after="0" w:line="161" w:lineRule="exact"/>
        <w:rPr>
          <w:rFonts w:ascii="Times New Roman" w:cs="Times New Roman" w:eastAsia="Times New Roman" w:hAnsi="Times New Roman"/>
          <w:sz w:val="18"/>
          <w:szCs w:val="18"/>
          <w:b w:val="1"/>
          <w:bCs w:val="1"/>
          <w:color w:val="auto"/>
        </w:rPr>
      </w:pPr>
    </w:p>
    <w:p>
      <w:pPr>
        <w:ind w:left="660" w:right="42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Responsibility for compliance with all applicable securities laws with respect to trading in Essent securities rests solely with each individual person subject to this Policy. This Policy and the procedures set forth herein do not create a “safe harbor” for trading under the law, and appropriate judgment should be exercise in connection with any trade in Essent’s securities.</w:t>
      </w:r>
    </w:p>
    <w:p>
      <w:pPr>
        <w:spacing w:after="0" w:line="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Third Party Beneficiaries</w:t>
      </w:r>
    </w:p>
    <w:p>
      <w:pPr>
        <w:spacing w:after="0" w:line="162" w:lineRule="exact"/>
        <w:rPr>
          <w:sz w:val="20"/>
          <w:szCs w:val="20"/>
          <w:color w:val="auto"/>
        </w:rPr>
      </w:pPr>
    </w:p>
    <w:p>
      <w:pPr>
        <w:ind w:left="660"/>
        <w:spacing w:after="0" w:line="305" w:lineRule="auto"/>
        <w:rPr>
          <w:sz w:val="20"/>
          <w:szCs w:val="20"/>
          <w:color w:val="auto"/>
        </w:rPr>
      </w:pPr>
      <w:r>
        <w:rPr>
          <w:rFonts w:ascii="Times New Roman" w:cs="Times New Roman" w:eastAsia="Times New Roman" w:hAnsi="Times New Roman"/>
          <w:sz w:val="18"/>
          <w:szCs w:val="18"/>
          <w:color w:val="auto"/>
        </w:rPr>
        <w:t>This Policy has been adopted to protect the good name, reputation, franchises, assets, businesses and prospects of Essent and its affiliates. It is not intended to, and does not, create any legal rights in any third parties, including investors, partners, creditors, customers, suppliers and others having business relations with such entities.</w:t>
      </w:r>
    </w:p>
    <w:p>
      <w:pPr>
        <w:spacing w:after="0" w:line="61"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Essent may change or otherwise revise the terms of this Policy from time to time to respond to developments in law and practice. Essent will take steps to inform all affected persons of any material changes or revisions to this Policy.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direct your questions as to any of the matters discussed in this Policy to Essent’s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980" w:val="left"/>
        </w:tabs>
        <w:rPr>
          <w:sz w:val="20"/>
          <w:szCs w:val="20"/>
          <w:color w:val="auto"/>
        </w:rPr>
      </w:pPr>
      <w:r>
        <w:rPr>
          <w:rFonts w:ascii="Arial" w:cs="Arial" w:eastAsia="Arial" w:hAnsi="Arial"/>
          <w:sz w:val="14"/>
          <w:szCs w:val="14"/>
          <w:color w:val="auto"/>
        </w:rPr>
        <w:t>INSIDER TRADING POLICY</w:t>
        <w:tab/>
        <w:t>Page 5 of 5</w:t>
      </w:r>
    </w:p>
    <w:p>
      <w:pPr>
        <w:sectPr>
          <w:pgSz w:w="11900" w:h="16838" w:orient="portrait"/>
          <w:cols w:equalWidth="0" w:num="1">
            <w:col w:w="11160"/>
          </w:cols>
          <w:pgMar w:left="320" w:top="1427" w:right="4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Essent Group Ltd.</w:t>
            </w:r>
          </w:p>
        </w:tc>
        <w:tc>
          <w:tcPr>
            <w:tcW w:w="4500" w:type="dxa"/>
            <w:vAlign w:val="bottom"/>
            <w:gridSpan w:val="3"/>
          </w:tcPr>
          <w:p>
            <w:pPr>
              <w:spacing w:after="0"/>
              <w:rPr>
                <w:sz w:val="17"/>
                <w:szCs w:val="17"/>
                <w:color w:val="auto"/>
              </w:rPr>
            </w:pPr>
          </w:p>
        </w:tc>
      </w:tr>
      <w:tr>
        <w:trPr>
          <w:trHeight w:val="453"/>
        </w:trPr>
        <w:tc>
          <w:tcPr>
            <w:tcW w:w="8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311"/>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20" w:type="dxa"/>
            <w:vAlign w:val="bottom"/>
          </w:tcPr>
          <w:p>
            <w:pPr>
              <w:spacing w:after="0"/>
              <w:rPr>
                <w:sz w:val="24"/>
                <w:szCs w:val="24"/>
                <w:color w:val="auto"/>
              </w:rPr>
            </w:pPr>
          </w:p>
        </w:tc>
        <w:tc>
          <w:tcPr>
            <w:tcW w:w="45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Incorporation/Formation</w:t>
            </w: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 Reinsurance Ltd. (1)</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9"/>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 Agency (Bermuda) Ltd. (2)</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Essent Irish Intermediate Holdings Ltd. (1)</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 US Holdings, Inc. (3)</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CUW Solutions, LLC (4)</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EssentServices, LLC (4)</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Essent Treasury Services, LLC (4)</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EssentVentures, LLC (4)</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Essent Guaranty of PA, Inc. (4)</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Essent Guaranty, Inc. (4)</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Essent Solutions, LLC (5)</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Essent Title Holdings, Inc. (4)</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Agents National Title Holding Company (6)</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Essent Title Insurance, Inc. (7)(12)</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9"/>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Agents Exchange LLC (7)</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29"/>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Agents University LLC (7)</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TitleNet Systems LLC (7)</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Missouri</w:t>
            </w:r>
          </w:p>
        </w:tc>
      </w:tr>
      <w:tr>
        <w:trPr>
          <w:trHeight w:val="229"/>
        </w:trPr>
        <w:tc>
          <w:tcPr>
            <w:tcW w:w="4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Boston National Holdings LLC (6)</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Virtual Holdings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4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Virtual Title LLC (9)</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Ideal Title Agency LLC (10)</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4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Ideal Title of Texas LLC (10) (10)</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4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Ideal Title of Texas LLC (10)</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129 WT Charlotte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29"/>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Canyon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Boston National Title Agency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of Alabama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rPr>
              <w:t>Alabama</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Title Company of California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45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BNT of Arizona LLC (11)</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Kentucky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9"/>
              </w:rPr>
              <w:t>Kentucky</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of Arkansas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8"/>
              </w:rPr>
              <w:t>Arkansas</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Texas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9"/>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of Utah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7"/>
              </w:rPr>
              <w:t>Utah</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Oklahoma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of Louisiana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30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30"/>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BNT of New Mexico LLC (8)</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0"/>
        </w:trPr>
        <w:tc>
          <w:tcPr>
            <w:tcW w:w="4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BNT Escrow Services LLC (8)</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r>
        <w:trPr>
          <w:trHeight w:val="234"/>
        </w:trPr>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Closer LLC (8)</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9"/>
              </w:rPr>
              <w:t>North Carolina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571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54" w:lineRule="exact"/>
        <w:rPr>
          <w:sz w:val="20"/>
          <w:szCs w:val="20"/>
          <w:color w:val="auto"/>
        </w:rPr>
      </w:pPr>
    </w:p>
    <w:p>
      <w:pPr>
        <w:ind w:left="320" w:hanging="246"/>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Group Ltd.</w:t>
      </w:r>
    </w:p>
    <w:p>
      <w:pPr>
        <w:spacing w:after="0" w:line="27" w:lineRule="exact"/>
        <w:rPr>
          <w:rFonts w:ascii="Times New Roman" w:cs="Times New Roman" w:eastAsia="Times New Roman" w:hAnsi="Times New Roman"/>
          <w:sz w:val="18"/>
          <w:szCs w:val="18"/>
          <w:color w:val="auto"/>
        </w:rPr>
      </w:pPr>
    </w:p>
    <w:p>
      <w:pPr>
        <w:ind w:left="320" w:hanging="246"/>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Reinsurance Ltd.</w:t>
      </w:r>
    </w:p>
    <w:p>
      <w:pPr>
        <w:spacing w:after="0" w:line="9" w:lineRule="exact"/>
        <w:rPr>
          <w:rFonts w:ascii="Times New Roman" w:cs="Times New Roman" w:eastAsia="Times New Roman" w:hAnsi="Times New Roman"/>
          <w:sz w:val="18"/>
          <w:szCs w:val="18"/>
          <w:color w:val="auto"/>
        </w:rPr>
      </w:pPr>
    </w:p>
    <w:p>
      <w:pPr>
        <w:ind w:left="320" w:hanging="246"/>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Irish Intermediate Holdings Ltd.</w:t>
      </w:r>
    </w:p>
    <w:p>
      <w:pPr>
        <w:spacing w:after="0" w:line="9" w:lineRule="exact"/>
        <w:rPr>
          <w:rFonts w:ascii="Times New Roman" w:cs="Times New Roman" w:eastAsia="Times New Roman" w:hAnsi="Times New Roman"/>
          <w:sz w:val="18"/>
          <w:szCs w:val="18"/>
          <w:color w:val="auto"/>
        </w:rPr>
      </w:pPr>
    </w:p>
    <w:p>
      <w:pPr>
        <w:ind w:left="320" w:hanging="246"/>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or limited liability company interests held by Essent US Holdings Inc.</w:t>
      </w:r>
    </w:p>
    <w:p>
      <w:pPr>
        <w:sectPr>
          <w:pgSz w:w="11900" w:h="16838" w:orient="portrait"/>
          <w:cols w:equalWidth="0" w:num="1">
            <w:col w:w="10820"/>
          </w:cols>
          <w:pgMar w:left="740" w:top="887" w:right="339" w:bottom="1440" w:gutter="0" w:footer="0" w:header="0"/>
        </w:sectPr>
      </w:pPr>
    </w:p>
    <w:bookmarkStart w:id="149" w:name="page150"/>
    <w:bookmarkEnd w:id="149"/>
    <w:p>
      <w:pPr>
        <w:ind w:left="246" w:hanging="246"/>
        <w:spacing w:after="0"/>
        <w:tabs>
          <w:tab w:leader="none" w:pos="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Essent Guaranty, Inc.</w:t>
      </w:r>
    </w:p>
    <w:p>
      <w:pPr>
        <w:spacing w:after="0" w:line="2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common shares held by Essent Title Holdings, Inc.</w:t>
      </w:r>
    </w:p>
    <w:p>
      <w:pPr>
        <w:spacing w:after="0" w:line="9"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Essent Title Holdings, Inc.</w:t>
      </w:r>
    </w:p>
    <w:p>
      <w:pPr>
        <w:spacing w:after="0" w:line="9"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Boston National Holdings LLC</w:t>
      </w:r>
    </w:p>
    <w:p>
      <w:pPr>
        <w:spacing w:after="0" w:line="9"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BNT Virtual Holdings LLC</w:t>
      </w:r>
    </w:p>
    <w:p>
      <w:pPr>
        <w:spacing w:after="0" w:line="9" w:lineRule="exact"/>
        <w:rPr>
          <w:rFonts w:ascii="Times New Roman" w:cs="Times New Roman" w:eastAsia="Times New Roman" w:hAnsi="Times New Roman"/>
          <w:sz w:val="18"/>
          <w:szCs w:val="18"/>
          <w:color w:val="auto"/>
        </w:rPr>
      </w:pPr>
    </w:p>
    <w:p>
      <w:pPr>
        <w:ind w:left="346" w:hanging="346"/>
        <w:spacing w:after="0"/>
        <w:tabs>
          <w:tab w:leader="none" w:pos="3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of limited liability company interests held by BNT Virtual Holdings LLC</w:t>
      </w:r>
    </w:p>
    <w:p>
      <w:pPr>
        <w:spacing w:after="0" w:line="9" w:lineRule="exact"/>
        <w:rPr>
          <w:rFonts w:ascii="Times New Roman" w:cs="Times New Roman" w:eastAsia="Times New Roman" w:hAnsi="Times New Roman"/>
          <w:sz w:val="18"/>
          <w:szCs w:val="18"/>
          <w:color w:val="auto"/>
        </w:rPr>
      </w:pPr>
    </w:p>
    <w:p>
      <w:pPr>
        <w:ind w:left="346" w:hanging="346"/>
        <w:spacing w:after="0"/>
        <w:tabs>
          <w:tab w:leader="none" w:pos="3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limited liability company interests held by BNT Title Company of California</w:t>
      </w:r>
    </w:p>
    <w:p>
      <w:pPr>
        <w:spacing w:after="0" w:line="9" w:lineRule="exact"/>
        <w:rPr>
          <w:rFonts w:ascii="Times New Roman" w:cs="Times New Roman" w:eastAsia="Times New Roman" w:hAnsi="Times New Roman"/>
          <w:sz w:val="18"/>
          <w:szCs w:val="18"/>
          <w:color w:val="auto"/>
        </w:rPr>
      </w:pPr>
    </w:p>
    <w:p>
      <w:pPr>
        <w:ind w:left="326" w:hanging="326"/>
        <w:spacing w:after="0" w:line="260" w:lineRule="auto"/>
        <w:tabs>
          <w:tab w:leader="none" w:pos="3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2025, Agents National Title Insurance Company redomiciled from Missouri to Pennsylvania and was renamed Essent Title Insurance, Inc.</w:t>
      </w:r>
    </w:p>
    <w:p>
      <w:pPr>
        <w:sectPr>
          <w:pgSz w:w="11900" w:h="16838" w:orient="portrait"/>
          <w:cols w:equalWidth="0" w:num="1">
            <w:col w:w="10686"/>
          </w:cols>
          <w:pgMar w:left="814" w:top="891" w:right="3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333-277287) and Form S-8 (No. 333-192092) of Essent Group Ltd. of our report dated February 18, 2025 relating to the financial statements, financial statement schedules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00"/>
          </w:cols>
          <w:pgMar w:left="320" w:top="887" w:right="37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5" w:lineRule="exact"/>
        <w:rPr>
          <w:sz w:val="20"/>
          <w:szCs w:val="20"/>
          <w:color w:val="auto"/>
        </w:rPr>
      </w:pPr>
    </w:p>
    <w:p>
      <w:pPr>
        <w:ind w:left="560" w:hanging="552"/>
        <w:spacing w:after="0"/>
        <w:tabs>
          <w:tab w:leader="none" w:pos="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53" w:name="page154"/>
    <w:bookmarkEnd w:id="15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160" w:firstLine="8"/>
        <w:spacing w:after="0" w:line="282" w:lineRule="auto"/>
        <w:tabs>
          <w:tab w:leader="none" w:pos="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60" w:firstLine="8"/>
        <w:spacing w:after="0" w:line="532" w:lineRule="auto"/>
        <w:tabs>
          <w:tab w:leader="none" w:pos="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18, 2025</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10"/>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lowerRoman"/>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lowerRoman"/>
      <w:start w:val="3"/>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decimal"/>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2"/>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lowerLetter"/>
      <w:start w:val="1"/>
    </w:lvl>
    <w:lvl w:ilvl="1">
      <w:lvlJc w:val="left"/>
      <w:lvlText w:val="%2."/>
      <w:numFmt w:val="decimal"/>
      <w:start w:val="1"/>
    </w:lvl>
  </w:abstractNum>
  <w:abstractNum w:abstractNumId="64">
    <w:nsid w:val="42C296BD"/>
    <w:multiLevelType w:val="hybridMultilevel"/>
    <w:lvl w:ilvl="0">
      <w:lvlJc w:val="left"/>
      <w:lvlText w:val="%1"/>
      <w:numFmt w:val="decimal"/>
      <w:start w:val="97"/>
    </w:lvl>
  </w:abstractNum>
  <w:abstractNum w:abstractNumId="65">
    <w:nsid w:val="168E121F"/>
    <w:multiLevelType w:val="hybridMultilevel"/>
    <w:lvl w:ilvl="0">
      <w:lvlJc w:val="left"/>
      <w:lvlText w:val="%1"/>
      <w:numFmt w:val="decimal"/>
      <w:start w:val="104"/>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decimal"/>
      <w:start w:val="2"/>
    </w:lvl>
    <w:lvl w:ilvl="1">
      <w:lvlJc w:val="left"/>
      <w:lvlText w:val="(%2)"/>
      <w:numFmt w:val="lowerLetter"/>
      <w:start w:val="1"/>
    </w:lvl>
  </w:abstractNum>
  <w:abstractNum w:abstractNumId="70">
    <w:nsid w:val="7BD3EE7B"/>
    <w:multiLevelType w:val="hybridMultilevel"/>
    <w:lvl w:ilvl="0">
      <w:lvlJc w:val="left"/>
      <w:lvlText w:val="%1"/>
      <w:numFmt w:val="decimal"/>
      <w:start w:val="1"/>
    </w:lvl>
    <w:lvl w:ilvl="1">
      <w:lvlJc w:val="left"/>
      <w:lvlText w:val="(%2)"/>
      <w:numFmt w:val="lowerLetter"/>
      <w:start w:val="3"/>
    </w:lvl>
  </w:abstractNum>
  <w:abstractNum w:abstractNumId="71">
    <w:nsid w:val="51D9C564"/>
    <w:multiLevelType w:val="hybridMultilevel"/>
    <w:lvl w:ilvl="0">
      <w:lvlJc w:val="left"/>
      <w:lvlText w:val="%1."/>
      <w:numFmt w:val="decimal"/>
      <w:start w:val="3"/>
    </w:lvl>
    <w:lvl w:ilvl="1">
      <w:lvlJc w:val="left"/>
      <w:lvlText w:val="(%2)"/>
      <w:numFmt w:val="lowerLetter"/>
      <w:start w:val="35"/>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decimal"/>
      <w:start w:val="5"/>
    </w:lvl>
    <w:lvl w:ilvl="1">
      <w:lvlJc w:val="left"/>
      <w:lvlText w:val="(%2)"/>
      <w:numFmt w:val="lowerLetter"/>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5"/>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161" Type="http://schemas.openxmlformats.org/officeDocument/2006/relationships/hyperlink" Target="http://www.sec.gov/Archives/edgar/data/1448893/000104746913009103/a2216665zex-3_1.htm" TargetMode="External"/><Relationship Id="rId162" Type="http://schemas.openxmlformats.org/officeDocument/2006/relationships/hyperlink" Target="http://www.sec.gov/Archives/edgar/data/1448893/000104746913009103/a2216665zex-3_2.htm" TargetMode="External"/><Relationship Id="rId163" Type="http://schemas.openxmlformats.org/officeDocument/2006/relationships/hyperlink" Target="http://www.sec.gov/Archives/edgar/data/1448893/000104746913009786/a2216918zex-3_21.htm" TargetMode="External"/><Relationship Id="rId164" Type="http://schemas.openxmlformats.org/officeDocument/2006/relationships/hyperlink" Target="http://www.sec.gov/Archives/edgar/data/1448893/000104746914002063/a2218772zex-3_3.htm" TargetMode="External"/><Relationship Id="rId165" Type="http://schemas.openxmlformats.org/officeDocument/2006/relationships/hyperlink" Target="http://www.sec.gov/Archives/edgar/data/1448893/000104746913009786/a2216918zex-4_1.htm" TargetMode="External"/><Relationship Id="rId166" Type="http://schemas.openxmlformats.org/officeDocument/2006/relationships/hyperlink" Target="http://www.sec.gov/Archives/edgar/data/1448893/000110465914080985/a14-19645_1ex4d1.htm" TargetMode="External"/><Relationship Id="rId167" Type="http://schemas.openxmlformats.org/officeDocument/2006/relationships/hyperlink" Target="https://www.sec.gov/Archives/edgar/data/1448893/000144889323000013/a123122ex43.htm" TargetMode="External"/><Relationship Id="rId168" Type="http://schemas.openxmlformats.org/officeDocument/2006/relationships/hyperlink" Target="https://www.sec.gov/ix?doc=/Archives/edgar/data/0001448893/000110465924076922/tm2418516d1_8k.htm" TargetMode="External"/><Relationship Id="rId169" Type="http://schemas.openxmlformats.org/officeDocument/2006/relationships/hyperlink" Target="http://www.sec.gov/Archives/edgar/data/1448893/000104746913009103/a2216665zex-10_4.htm" TargetMode="External"/><Relationship Id="rId170" Type="http://schemas.openxmlformats.org/officeDocument/2006/relationships/hyperlink" Target="http://www.sec.gov/Archives/edgar/data/1448893/000162828016011882/a12311510kex108.htm" TargetMode="External"/><Relationship Id="rId171" Type="http://schemas.openxmlformats.org/officeDocument/2006/relationships/hyperlink" Target="https://www.sec.gov/ix?doc=/Archives/edgar/data/1448893/000110465923042762/tm231941d2_def14a.htm#tPN4A" TargetMode="External"/><Relationship Id="rId172" Type="http://schemas.openxmlformats.org/officeDocument/2006/relationships/hyperlink" Target="http://www.sec.gov/Archives/edgar/data/1448893/000104746913009304/a2216729zex-10_11.htm" TargetMode="External"/><Relationship Id="rId173" Type="http://schemas.openxmlformats.org/officeDocument/2006/relationships/hyperlink" Target="https://www.sec.gov/Archives/edgar/data/1448893/000144889321000021/a123120ex107.htm" TargetMode="External"/><Relationship Id="rId176" Type="http://schemas.openxmlformats.org/officeDocument/2006/relationships/hyperlink" Target="http://www.sec.gov/Archives/edgar/data/1448893/000104746913009304/a2216729zex-10_13.htm" TargetMode="External"/><Relationship Id="rId177" Type="http://schemas.openxmlformats.org/officeDocument/2006/relationships/hyperlink" Target="http://www.sec.gov/Archives/edgar/data/1448893/000104746913009496/a2216887zex-10_14.htm" TargetMode="External"/><Relationship Id="rId178" Type="http://schemas.openxmlformats.org/officeDocument/2006/relationships/hyperlink" Target="http://www.sec.gov/Archives/edgar/data/1448893/000104746913009496/a2216887zex-10_16.htm" TargetMode="External"/><Relationship Id="rId179" Type="http://schemas.openxmlformats.org/officeDocument/2006/relationships/hyperlink" Target="http://www.sec.gov/Archives/edgar/data/1448893/000104746915001414/a2223199zex-10_17.htm" TargetMode="External"/><Relationship Id="rId180" Type="http://schemas.openxmlformats.org/officeDocument/2006/relationships/hyperlink" Target="http://www.sec.gov/Archives/edgar/data/1448893/000144889319000015/a123118ex1013.htm" TargetMode="External"/><Relationship Id="rId181" Type="http://schemas.openxmlformats.org/officeDocument/2006/relationships/hyperlink" Target="https://www.sec.gov/Archives/edgar/data/1448893/000144889323000021/ex1018-k31523.htm" TargetMode="External"/><Relationship Id="rId182" Type="http://schemas.openxmlformats.org/officeDocument/2006/relationships/hyperlink" Target="http://www.sec.gov/Archives/edgar/data/1448893/000104746913009103/a2216665zex-10_17.htm" TargetMode="External"/><Relationship Id="rId183" Type="http://schemas.openxmlformats.org/officeDocument/2006/relationships/hyperlink" Target="http://www.sec.gov/Archives/edgar/data/1448893/000104746913009496/a2216887zex-10_18.htm" TargetMode="External"/><Relationship Id="rId184" Type="http://schemas.openxmlformats.org/officeDocument/2006/relationships/hyperlink" Target="https://www.sec.gov/Archives/edgar/data/1448893/000144889321000112/ex101thirdarcreditagreement.htm" TargetMode="External"/><Relationship Id="rId185" Type="http://schemas.openxmlformats.org/officeDocument/2006/relationships/hyperlink" Target="https://www.sec.gov/Archives/edgar/data/1448893/000144889323000013/essent-amendmentno1tothird.htm" TargetMode="External"/><Relationship Id="rId186" Type="http://schemas.openxmlformats.org/officeDocument/2006/relationships/hyperlink" Target="https://www.sec.gov/ix?doc=/Archives/edgar/data/0001448893/000110465924075004/tm2418166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2025-02-19T05:12:45Z</dcterms:created>
  <dcterms:modified xsi:type="dcterms:W3CDTF">2025-02-19T05:12:45Z</dcterms:modified>
</cp:coreProperties>
</file>