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212"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period ended March 31, 2017</w:t>
      </w:r>
    </w:p>
    <w:p>
      <w:pPr>
        <w:spacing w:after="0" w:line="145"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360"/>
          </w:cols>
          <w:pgMar w:left="240" w:top="233" w:right="299" w:bottom="1440" w:gutter="0" w:footer="0" w:header="0"/>
        </w:sectPr>
      </w:pPr>
    </w:p>
    <w:p>
      <w:pPr>
        <w:spacing w:after="0" w:line="256"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640"/>
          </w:cols>
          <w:pgMar w:left="240" w:top="233" w:right="2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140" w:lineRule="exact"/>
        <w:rPr>
          <w:sz w:val="24"/>
          <w:szCs w:val="24"/>
          <w:color w:val="auto"/>
        </w:rPr>
      </w:pPr>
    </w:p>
    <w:p>
      <w:pPr>
        <w:jc w:val="both"/>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1080" w:type="dxa"/>
        <w:tblCellMar>
          <w:top w:w="0" w:type="dxa"/>
          <w:left w:w="0" w:type="dxa"/>
          <w:bottom w:w="0" w:type="dxa"/>
          <w:right w:w="0" w:type="dxa"/>
        </w:tblCellMar>
      </w:tblPr>
      <w:tr>
        <w:trPr>
          <w:trHeight w:val="206"/>
        </w:trPr>
        <w:tc>
          <w:tcPr>
            <w:tcW w:w="3600" w:type="dxa"/>
            <w:vAlign w:val="bottom"/>
          </w:tcPr>
          <w:p>
            <w:pPr>
              <w:jc w:val="center"/>
              <w:ind w:right="519"/>
              <w:spacing w:after="0"/>
              <w:rPr>
                <w:sz w:val="20"/>
                <w:szCs w:val="20"/>
                <w:color w:val="auto"/>
              </w:rPr>
            </w:pPr>
            <w:r>
              <w:rPr>
                <w:rFonts w:ascii="Arial" w:cs="Arial" w:eastAsia="Arial" w:hAnsi="Arial"/>
                <w:sz w:val="16"/>
                <w:szCs w:val="16"/>
                <w:color w:val="auto"/>
                <w:w w:val="91"/>
              </w:rPr>
              <w:t>Large accelerated filer x</w:t>
            </w:r>
          </w:p>
        </w:tc>
        <w:tc>
          <w:tcPr>
            <w:tcW w:w="1800" w:type="dxa"/>
            <w:vAlign w:val="bottom"/>
          </w:tcPr>
          <w:p>
            <w:pPr>
              <w:ind w:left="600"/>
              <w:spacing w:after="0"/>
              <w:rPr>
                <w:sz w:val="20"/>
                <w:szCs w:val="20"/>
                <w:color w:val="auto"/>
              </w:rPr>
            </w:pPr>
            <w:r>
              <w:rPr>
                <w:rFonts w:ascii="Arial" w:cs="Arial" w:eastAsia="Arial" w:hAnsi="Arial"/>
                <w:sz w:val="16"/>
                <w:szCs w:val="16"/>
                <w:color w:val="auto"/>
              </w:rPr>
              <w:t>x</w:t>
            </w:r>
          </w:p>
        </w:tc>
        <w:tc>
          <w:tcPr>
            <w:tcW w:w="3800" w:type="dxa"/>
            <w:vAlign w:val="bottom"/>
          </w:tcPr>
          <w:p>
            <w:pPr>
              <w:jc w:val="center"/>
              <w:ind w:left="79"/>
              <w:spacing w:after="0"/>
              <w:rPr>
                <w:sz w:val="20"/>
                <w:szCs w:val="20"/>
                <w:color w:val="auto"/>
              </w:rPr>
            </w:pPr>
            <w:r>
              <w:rPr>
                <w:rFonts w:ascii="Arial" w:cs="Arial" w:eastAsia="Arial" w:hAnsi="Arial"/>
                <w:sz w:val="16"/>
                <w:szCs w:val="16"/>
                <w:color w:val="auto"/>
                <w:w w:val="94"/>
              </w:rPr>
              <w:t>Accelerated filer</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o</w:t>
            </w:r>
          </w:p>
        </w:tc>
      </w:tr>
      <w:tr>
        <w:trPr>
          <w:trHeight w:val="257"/>
        </w:trPr>
        <w:tc>
          <w:tcPr>
            <w:tcW w:w="3600" w:type="dxa"/>
            <w:vAlign w:val="bottom"/>
          </w:tcPr>
          <w:p>
            <w:pPr>
              <w:jc w:val="center"/>
              <w:ind w:right="519"/>
              <w:spacing w:after="0"/>
              <w:rPr>
                <w:sz w:val="20"/>
                <w:szCs w:val="20"/>
                <w:color w:val="auto"/>
              </w:rPr>
            </w:pPr>
            <w:r>
              <w:rPr>
                <w:rFonts w:ascii="Arial" w:cs="Arial" w:eastAsia="Arial" w:hAnsi="Arial"/>
                <w:sz w:val="16"/>
                <w:szCs w:val="16"/>
                <w:color w:val="auto"/>
                <w:w w:val="91"/>
              </w:rPr>
              <w:t>Non-accelerated filer o</w:t>
            </w:r>
          </w:p>
        </w:tc>
        <w:tc>
          <w:tcPr>
            <w:tcW w:w="1800" w:type="dxa"/>
            <w:vAlign w:val="bottom"/>
          </w:tcPr>
          <w:p>
            <w:pPr>
              <w:ind w:left="600"/>
              <w:spacing w:after="0"/>
              <w:rPr>
                <w:sz w:val="20"/>
                <w:szCs w:val="20"/>
                <w:color w:val="auto"/>
              </w:rPr>
            </w:pPr>
            <w:r>
              <w:rPr>
                <w:rFonts w:ascii="Arial" w:cs="Arial" w:eastAsia="Arial" w:hAnsi="Arial"/>
                <w:sz w:val="16"/>
                <w:szCs w:val="16"/>
                <w:color w:val="auto"/>
              </w:rPr>
              <w:t>o</w:t>
            </w:r>
          </w:p>
        </w:tc>
        <w:tc>
          <w:tcPr>
            <w:tcW w:w="3800" w:type="dxa"/>
            <w:vAlign w:val="bottom"/>
          </w:tcPr>
          <w:p>
            <w:pPr>
              <w:jc w:val="center"/>
              <w:ind w:left="79"/>
              <w:spacing w:after="0"/>
              <w:rPr>
                <w:sz w:val="20"/>
                <w:szCs w:val="20"/>
                <w:color w:val="auto"/>
              </w:rPr>
            </w:pPr>
            <w:r>
              <w:rPr>
                <w:rFonts w:ascii="Arial" w:cs="Arial" w:eastAsia="Arial" w:hAnsi="Arial"/>
                <w:sz w:val="16"/>
                <w:szCs w:val="16"/>
                <w:color w:val="auto"/>
                <w:w w:val="92"/>
              </w:rPr>
              <w:t>Smaller reporting company</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o</w:t>
            </w:r>
          </w:p>
        </w:tc>
      </w:tr>
      <w:tr>
        <w:trPr>
          <w:trHeight w:val="270"/>
        </w:trPr>
        <w:tc>
          <w:tcPr>
            <w:tcW w:w="3600" w:type="dxa"/>
            <w:vAlign w:val="bottom"/>
          </w:tcPr>
          <w:p>
            <w:pPr>
              <w:jc w:val="center"/>
              <w:ind w:right="519"/>
              <w:spacing w:after="0"/>
              <w:rPr>
                <w:sz w:val="20"/>
                <w:szCs w:val="20"/>
                <w:color w:val="auto"/>
              </w:rPr>
            </w:pPr>
            <w:r>
              <w:rPr>
                <w:rFonts w:ascii="Arial" w:cs="Arial" w:eastAsia="Arial" w:hAnsi="Arial"/>
                <w:sz w:val="16"/>
                <w:szCs w:val="16"/>
                <w:color w:val="auto"/>
                <w:w w:val="92"/>
              </w:rPr>
              <w:t>(Do not check if a smaller reporting company)</w:t>
            </w:r>
          </w:p>
        </w:tc>
        <w:tc>
          <w:tcPr>
            <w:tcW w:w="1800" w:type="dxa"/>
            <w:vAlign w:val="bottom"/>
          </w:tcPr>
          <w:p>
            <w:pPr>
              <w:spacing w:after="0"/>
              <w:rPr>
                <w:sz w:val="23"/>
                <w:szCs w:val="23"/>
                <w:color w:val="auto"/>
              </w:rPr>
            </w:pPr>
          </w:p>
        </w:tc>
        <w:tc>
          <w:tcPr>
            <w:tcW w:w="3800" w:type="dxa"/>
            <w:vAlign w:val="bottom"/>
          </w:tcPr>
          <w:p>
            <w:pPr>
              <w:jc w:val="center"/>
              <w:ind w:left="79"/>
              <w:spacing w:after="0"/>
              <w:rPr>
                <w:sz w:val="20"/>
                <w:szCs w:val="20"/>
                <w:color w:val="auto"/>
              </w:rPr>
            </w:pPr>
            <w:r>
              <w:rPr>
                <w:rFonts w:ascii="Arial" w:cs="Arial" w:eastAsia="Arial" w:hAnsi="Arial"/>
                <w:sz w:val="16"/>
                <w:szCs w:val="16"/>
                <w:color w:val="auto"/>
                <w:w w:val="92"/>
              </w:rPr>
              <w:t>Emerging growth company</w:t>
            </w:r>
          </w:p>
        </w:tc>
        <w:tc>
          <w:tcPr>
            <w:tcW w:w="1020" w:type="dxa"/>
            <w:vAlign w:val="bottom"/>
          </w:tcPr>
          <w:p>
            <w:pPr>
              <w:ind w:left="940"/>
              <w:spacing w:after="0"/>
              <w:rPr>
                <w:sz w:val="20"/>
                <w:szCs w:val="20"/>
                <w:color w:val="auto"/>
              </w:rPr>
            </w:pPr>
            <w:r>
              <w:rPr>
                <w:rFonts w:ascii="Arial" w:cs="Arial" w:eastAsia="Arial" w:hAnsi="Arial"/>
                <w:sz w:val="15"/>
                <w:szCs w:val="15"/>
                <w:color w:val="auto"/>
                <w:w w:val="71"/>
              </w:rPr>
              <w:t>o</w:t>
            </w:r>
          </w:p>
        </w:tc>
      </w:tr>
    </w:tbl>
    <w:p>
      <w:pPr>
        <w:spacing w:after="0" w:line="140" w:lineRule="exact"/>
        <w:rPr>
          <w:sz w:val="24"/>
          <w:szCs w:val="24"/>
          <w:color w:val="auto"/>
        </w:rPr>
      </w:pPr>
    </w:p>
    <w:p>
      <w:pPr>
        <w:jc w:val="both"/>
        <w:ind w:right="80" w:firstLine="55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560" w:right="162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May 1, 2017 was 93,379,636.</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8"/>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3.</w:t>
              </w:r>
            </w:hyperlink>
          </w:p>
        </w:tc>
        <w:tc>
          <w:tcPr>
            <w:tcW w:w="1060" w:type="dxa"/>
            <w:vAlign w:val="bottom"/>
            <w:gridSpan w:val="7"/>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PART II.</w:t>
              </w:r>
            </w:hyperlink>
          </w:p>
        </w:tc>
        <w:tc>
          <w:tcPr>
            <w:tcW w:w="900" w:type="dxa"/>
            <w:vAlign w:val="bottom"/>
            <w:gridSpan w:val="4"/>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1A.</w:t>
              </w:r>
            </w:hyperlink>
          </w:p>
        </w:tc>
        <w:tc>
          <w:tcPr>
            <w:tcW w:w="9580" w:type="dxa"/>
            <w:vAlign w:val="bottom"/>
            <w:gridSpan w:val="17"/>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1">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5.</w:t>
              </w:r>
            </w:hyperlink>
          </w:p>
        </w:tc>
        <w:tc>
          <w:tcPr>
            <w:tcW w:w="1060" w:type="dxa"/>
            <w:vAlign w:val="bottom"/>
            <w:gridSpan w:val="7"/>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547"/>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6.</w:t>
              </w:r>
            </w:hyperlink>
          </w:p>
        </w:tc>
        <w:tc>
          <w:tcPr>
            <w:tcW w:w="1060" w:type="dxa"/>
            <w:vAlign w:val="bottom"/>
            <w:gridSpan w:val="7"/>
          </w:tcPr>
          <w:p>
            <w:pPr>
              <w:spacing w:after="0"/>
              <w:rPr>
                <w:sz w:val="24"/>
                <w:szCs w:val="24"/>
                <w:color w:val="auto"/>
              </w:rPr>
            </w:pPr>
          </w:p>
        </w:tc>
        <w:tc>
          <w:tcPr>
            <w:tcW w:w="14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Exhibits</w:t>
              </w:r>
            </w:hyperlink>
          </w:p>
        </w:tc>
        <w:tc>
          <w:tcPr>
            <w:tcW w:w="81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2016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2017 — $1,619,677; 2016 — $1,497,186)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1,482,754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2017 — $112,381; 2016 — $132,352)</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132,348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1,615,102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21,632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$47,544 in 2017 and $46,543 in 2016)</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8,119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6,454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1,987,700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221,262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219,616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142,587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 borrowings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33,881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574,948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539,225</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6)</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- 93,377 shares in 2017 and 93,105 shares in 2016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915,895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918,296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502,861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436,335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1,412,752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1,343,773</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1,987,700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119,297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100,466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94,403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127,592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102,466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31,388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35,119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86,851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67,347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19,396</w:t>
            </w:r>
          </w:p>
        </w:tc>
      </w:tr>
      <w:tr>
        <w:trPr>
          <w:trHeight w:val="297"/>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66,598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47,951</w:t>
            </w:r>
          </w:p>
        </w:tc>
      </w:tr>
      <w:tr>
        <w:trPr>
          <w:trHeight w:val="271"/>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90,785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93,023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91,859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66,598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47,951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Change in unrealized appreciation of investments, net of tax expense of $2,061 in 2017 and $5,714 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13,359</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13,359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71,448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61,310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904,221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213,729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1,119,241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222,606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222,606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16,881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16,881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918,296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436,335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1,343,773</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66,598</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4,850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4,619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4,619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ASU 2016-09 adoption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(7,127)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7,127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March 31, 2017</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1,401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915,895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502,861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1,412,752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66,598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47,951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3,782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18,042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15,245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investment income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6,063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77,888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68,497</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(200,795)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(146,316)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82,167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(103,579)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(61,054)</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Revolving credit facility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24,606</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28,206</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Income tax payments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7"/>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2016,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2017 prior to the issuance of these condensed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will not impact the recognition of revenue related to insurance premiums or investments, which represent a significant portion of our total revenues. The adoption of this ASU is not expected to have a material effect on the Company's consolidated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Company adopted this ASU on January 1, 2017 and recorded a charge of $0.1 million to retained earnings as of that date representing a cumulative-effect adjustment associated with our election to recognize forfeitures as they occur. The classification of excess tax benefits and tax deficiencies as income tax benefit or expense may result in net income volatility in reporting periods subsequent to 2016. Through December 31, 2016, excess tax benefits were recognized in additional paid-in-capital. In the three months ended March 31, 2017, the Company recorded excess tax benefits of $3.0 million as a reduction of income tax expense. The amount of excess tax benefits or tax deficiencies in future periods will vary based on the market value of the Company’s common stock at the vesting dates of nonvested common share and nonvested common share units.</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2017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4"/>
                <w:szCs w:val="14"/>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178,743</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355,239</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358,581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361,392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505,288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64,768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65,288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134,911</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97,388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1,732,058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1,724,533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603"/>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vMerge w:val="restart"/>
          </w:tcPr>
          <w:p>
            <w:pPr>
              <w:jc w:val="right"/>
              <w:ind w:right="8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2017,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24,778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24,767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37,684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106,106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103,113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182,445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178,743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110,750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137,654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139,776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104,576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358,581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361,392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54,233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54,253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269,941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176,638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176,686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504,700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505,288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355,239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65,288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134,911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97,388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1,732,058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1,724,533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4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1,148</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Realized gross losses</w:t>
            </w: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670</w:t>
            </w:r>
          </w:p>
        </w:tc>
      </w:tr>
      <w:tr>
        <w:trPr>
          <w:trHeight w:val="702"/>
        </w:trPr>
        <w:tc>
          <w:tcPr>
            <w:tcW w:w="3620" w:type="dxa"/>
            <w:vAlign w:val="bottom"/>
          </w:tcPr>
          <w:p>
            <w:pPr>
              <w:spacing w:after="0"/>
              <w:rPr>
                <w:sz w:val="24"/>
                <w:szCs w:val="24"/>
                <w:color w:val="auto"/>
              </w:rPr>
            </w:pPr>
          </w:p>
        </w:tc>
        <w:tc>
          <w:tcPr>
            <w:tcW w:w="4380" w:type="dxa"/>
            <w:vAlign w:val="bottom"/>
          </w:tcPr>
          <w:p>
            <w:pPr>
              <w:jc w:val="right"/>
              <w:ind w:right="2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2017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141,980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26,284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116,284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834,848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49,314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884,162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160,018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149,368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877,394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77,782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the three months ended March 31, 2017. We recorded an other-than-temporary impairment of $7 thousand in the three months ended March 31, 2016 on a security in an unrealized loss position. The impairment resulted from our intent to sell the security subsequent to the reporting date.</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 million as of March 31, 2017 and December 31, 2016. In connection with its insurance and reinsurance activities, Essent Re is required to maintain assets in trusts for the benefit of its contractual counterparties. The fair value of the investments on deposit in these trusts was $406.9 million at March 31, 2017 and $349.6 million at December 31,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3,731</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1,020</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20,470</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29,468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20,470</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1,060</w:t>
            </w:r>
          </w:p>
        </w:tc>
      </w:tr>
    </w:tbl>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three months ended March 31, 2017, $2.4 million was paid for incurred claims and claim adjustment expenses attributable to insured events of prior years. There has been a $3.4 million favorable prior year development during the three months ended March 31, 2017. Reserves remaining as of March 31, 2017 for prior years are $22.4 million as a result of re-estimation of unpaid losses and loss adjustment expenses. For the three months ended March 31, 2016, $1.0 million was paid for incurred claims and claim adjustment expenses attributable to insured events of prior years. There was a $1.3 million favorable prior year development during the three months ended March 31, 2016. Reserves remaining as of March 31, 2016 for prior years were $15.4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April 19, 2016, Essent Group and its subsidiaries, Essent Irish Intermediate Holdings Limited and Essent US Holdings, Inc. (collectively, the "Borrowers"), entered into a three-year, secured revolving credit facility with a committed capacity of $200 million (the “Facility”). Borrowings under the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Facility are secured by certain assets of the Borrowers, excluding the stock and assets of its insurance and reinsurance subsidiaries. The Facility contains several covenants, including financial covenants relating to minimum net worth, capital and liquidity levels, maximum debt to capitalization level and Essent Guaranty's compliance with the PMIERS (see Note 11). This description is not intended to be complete in all respects and is qualified in its entirety by the terms of the Facility, including its covenants. As of March 31, 2017, the Company was in compliance with the covenants and $125 million had been borrowed under the Facility with a weighted average interest rate of 2.96%.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$4,775 and $0 related to remedies for the three months ended March 31, 2017 and 2016, respectively. As of March 31, 2017, management believes any potential claims for indemnification related to contract underwriting services through March 31, 2017 are not material to our consolidated financial position or results of operations.</w:t>
      </w:r>
    </w:p>
    <w:p>
      <w:pPr>
        <w:spacing w:after="0" w:line="16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2017,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three months ended March 31, 2017:</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2017, certain members of senior management were granted nonvested common shares under the Essent Group Ltd. 2013 Long-Term Incentive Plan ("2013 Plan") that were subject to time-based and performance-based vesting. The time-based share awards granted in February 2017 vest in three equal installments on March 1, 2018, 2019 and 2020. The performance-based share awards granted in February 2017 vest based upon our compounded annual book value per share growth percentage during a three-year performance period that commenced on January 1, 2017 and vest on March 1, 2020. The portion of the nonvested performance-based share awards that will be earned based upon the achievement of compounded annual book value per share growth is as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&lt;16%</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18%</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January 2017, time-based share units were issued to all vice president and staff level employees and vest in three equal installments on January 2018, 2019, and 2020. In connection with our incentive program covering bonus awards for performance year 2016, in February 2017, time-based share awards and share units were issued to certain employees that vest in three equal installments on March 1, 2018, 2019 and 2020. In May 2017, 21,021 time-based share units were granted to non-employee directors that vest one year from the date of grant.</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Amendments to our 2013 Plan were approved by shareholders and effective as of May 3, 2017. These amendments included a reduction in the maximum number of shares and share units available for issuance to 7.5 million under the Amended and Restated 2013 Plan (inclusive of approximately 2.6 million nonvested shares and share units outstanding as of May 3, 2017), down from the approximately 14.7 million maximum number of shares and share units available for issuance under the 2013 Plan.</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$19.0 million and $11.9 million for the three months ended March 31, 2017 and 2016, respectively. As of March 31, 2017, there was $32.0 million of total unrecognized compensation expense related to nonvested shares or share units outstanding at March 31, 2017 and we expect to recognize the expense over a weighted average period of 2.2 years.</w:t>
      </w:r>
    </w:p>
    <w:p>
      <w:pPr>
        <w:spacing w:after="0" w:line="16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211,412 in the three months ended March 31, 2017. The tendered shares were recorded at cost and included in treasury stock. All treasury stock has been cancelled as of March 31,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1,212</w:t>
            </w:r>
          </w:p>
        </w:tc>
      </w:tr>
      <w:tr>
        <w:trPr>
          <w:trHeight w:val="702"/>
        </w:trPr>
        <w:tc>
          <w:tcPr>
            <w:tcW w:w="3660" w:type="dxa"/>
            <w:vAlign w:val="bottom"/>
          </w:tcPr>
          <w:p>
            <w:pPr>
              <w:spacing w:after="0"/>
              <w:rPr>
                <w:sz w:val="24"/>
                <w:szCs w:val="24"/>
                <w:color w:val="auto"/>
              </w:rPr>
            </w:pPr>
          </w:p>
        </w:tc>
        <w:tc>
          <w:tcPr>
            <w:tcW w:w="4340" w:type="dxa"/>
            <w:vAlign w:val="bottom"/>
          </w:tcPr>
          <w:p>
            <w:pPr>
              <w:jc w:val="right"/>
              <w:ind w:right="21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2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91,258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90,785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93,023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91,859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162,930 and 347,611 antidilutive shares for the three months ended March 31, 2017 and 2016, respectively.</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March 31, 2017 and 2016, 100% of the dilutive performance-based share awards would be issuable under the terms of the arrangements at each date if March 31 was the end of the contingency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(loss) for the three months ended March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March 31, 2017</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13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March 31, 2016</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13,706</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13,359</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13,359</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8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securities, residential and commercial mortgage securities and asset-backed securities are classified as Level 2 investments.</w:t>
      </w:r>
    </w:p>
    <w:p>
      <w:pPr>
        <w:spacing w:after="0" w:line="239"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residential and commercial mortgage securities, municipal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69" w:lineRule="exact"/>
        <w:rPr>
          <w:sz w:val="20"/>
          <w:szCs w:val="20"/>
          <w:color w:val="auto"/>
        </w:rPr>
      </w:pPr>
    </w:p>
    <w:p>
      <w:pPr>
        <w:ind w:left="660" w:right="4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 Through June 30, 2016, certain of our Freddie Mac Agency Credit Insurance Structure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provides the most relevant information with respect to fair value estimates. These ACIS contracts were classified as Level 3 of the fair value hierarchy. During the quarter ended September 30, 2016, these contracts were amended and are now accounted for as insurance contracts rather than derivatives.</w:t>
      </w:r>
    </w:p>
    <w:p>
      <w:pPr>
        <w:spacing w:after="0" w:line="189" w:lineRule="exact"/>
        <w:rPr>
          <w:rFonts w:ascii="Arial" w:cs="Arial" w:eastAsia="Arial" w:hAnsi="Arial"/>
          <w:sz w:val="18"/>
          <w:szCs w:val="18"/>
          <w:color w:val="auto"/>
        </w:rPr>
      </w:pPr>
    </w:p>
    <w:p>
      <w:pPr>
        <w:ind w:left="660"/>
        <w:spacing w:after="0" w:line="272" w:lineRule="auto"/>
        <w:rPr>
          <w:rFonts w:ascii="Arial" w:cs="Arial" w:eastAsia="Arial" w:hAnsi="Arial"/>
          <w:sz w:val="18"/>
          <w:szCs w:val="18"/>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26,284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355,239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361,392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361,392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505,288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505,288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65,288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65,288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134,911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97,388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276,131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1,448,402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1,724,533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1,321,124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following table presents changes during the three months ended March 31, 2016 in Level 3 liabilities measured at fair value on a recurring basis, and the net realized and unrealized losses (gains) related to the Level 3 liabilities in the condensed consolidated balance sheets at March 31, 2016. During the three months ended March 31, 2017, and in the year ended December 31, 2016, we had no Level 3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Three Months Ended</w:t>
            </w:r>
          </w:p>
        </w:tc>
      </w:tr>
      <w:tr>
        <w:trPr>
          <w:trHeight w:val="192"/>
        </w:trPr>
        <w:tc>
          <w:tcPr>
            <w:tcW w:w="9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1,232</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included in income</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sales, issues and settlements, net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Gross transfers in</w:t>
            </w:r>
          </w:p>
        </w:tc>
        <w:tc>
          <w:tcPr>
            <w:tcW w:w="2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898</w:t>
            </w:r>
          </w:p>
        </w:tc>
      </w:tr>
      <w:tr>
        <w:trPr>
          <w:trHeight w:val="67"/>
        </w:trPr>
        <w:tc>
          <w:tcPr>
            <w:tcW w:w="9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305"/>
        </w:trPr>
        <w:tc>
          <w:tcPr>
            <w:tcW w:w="9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Changes in net unrealized losses (gains) included in income on instruments held at end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(677)</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2016</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60,806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48,486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532,199</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525,256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353,063</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3,516</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43,299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44,469</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38,219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29,898</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Net income determined in accordance with statutory accounting practices differs from GAAP. In 2017 and 2016,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reduces the tax provision recorded by Essent Guaranty and Essent PA and, as a result, increases statutory net income and surplus as compared to net income and equity determined in accordance with GAAP.</w:t>
      </w:r>
    </w:p>
    <w:p>
      <w:pPr>
        <w:spacing w:after="0" w:line="17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At March 31, 2017 and 2016,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2017 and December 31, 2016, Essent Guaranty, our GSE-approved mortgage insurance company, was in compliance with the PMIERs.</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three months ended March 31, 2017, Essent Guaranty increased its contingency reserve by $44.4 million and Essent PA increased its contingency reserve by $1.8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three months ended March 31, 2017 or 2016.</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2016, all such requirements were met.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$452.4 million as of March 31, 2017 and $401.1 million as of December 31, 2016. Essent Re's statutory net income was $20.2 million and $9.4 million for the three months ended March 31, 2017 and 2016, respectively. Statutory capital and surplus as of March 31, 2017 and statutory net income in the three months ended March 31, 2017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2016 as filed with the Securities and Exchange Commission and referred to herein as the “Annual Report,” and our condensed consolidated financial statements and related notes as of and for the three months ended March 31, 2017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U.S.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15.7% Market Share for the three months ended March 31, 2017.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("Essent Guaranty"), our wholly-owned insurance subsidiary, is rated Baa2 with a stable outlook by Moody’s Investor Services (“Moody's”) and BBB+ with a stable outlook by S&amp;P Global Ratings (“S&amp;P”).</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had master policy relationships with approximately 1,370 customers as of March 31, 2017. Our holding company is domiciled in Bermuda and our U.S. insurance business is headquartered in Radnor, Pennsylvania. We operate additional underwriting and service centers in Winston-Salem, North Carolina and Irvine, California. We have a highly experienced, talented team with 393 employees as of March 31, 2017. We generated NIW of approximately $8.0 billion and $5.5 billion for the three months ended March 31, 2017 and 2016, respectively. As of March 31, 2017, we had approximately $88.0 billion of insurance in force.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March 31, 2017, Essent Re provided insurance or reinsurance relating to the risk in force on loans in reference pools acquired by Freddie Mac and Fannie Mae covering approximately $437.0 million of risk, including in connection with Freddie Mac's Agency Credit Insurance Structure ("ACIS") and Fannie Mae's Credit Insurance Risk Transfer ("CIRT") programs. Essent Re has also reinsured 25% of Essent Guaranty’s GSE-eligible mortgage insurance NIW originated since July 1, 2014 under a quota share reinsurance agreement. The insurer financial strength rating of Essent Re is BBB+ with a stable outlook by S&amp;P.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2017, Essent Guaranty, our GSE-approved mortgage insurance company, was in compliance with the PMIERs. See additional discussion in “— Liquidity and Capital Resources —Private Mortgage Insurer Eligibility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0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2017 were non-refundable. Premiums collected on annual policies are recognized as net premiums earned on a straight-line basis over the year of coverage. For the three months ended March 31, 2017, monthly and single premium policies comprised 85.8% and 14.2%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78.2% at March 31, 2017. Generally, higher prepayment speeds lead to lower persistency.</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March 31, 2017.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2017 and provides for two subsequent one-year renewals at Triad’s option.</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Through June 30, 2016, the insurance and certain of the reinsurance policies issued by Essent Re in connection with the ACIS program were previously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These policies were amended in the three months ended September 30, 2016 and are now accounted for as insurance rather than as derivatives. See Note 10 to our condensed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70% of our IIF as of March 31, 2017 having been originated since January 1, 2015.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March 31, 2017, 70% of our IIF relates to business written since January 1, 2015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most significant expense is compensation and benefits for our employees, which represented 64% of other underwriting and operating expenses for the three months ended March 31, 2017, compared to 65% of other underwriting and operating expenses for the three months ended March 31, 2016. Compensation and benefits expense includes base and incentive cash compensation, stock compensation expense, benefits and payroll taxes. Compensation and benefits expense has steadily increased as we have increased our staffing from 366 employees at January 1, 2016 to 393 at March 31, 2017,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6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2017 as compared to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three-year, secured revolving credit facility with a committed capacity of $200 million (the “Facility”). Borrowings under the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2017 and 2016 for our U.S. mortgage insurance portfolio. In addition, this table includes our risk in force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6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65,242,453</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NIW - Flow</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8,034,153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5,366,675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4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93,054</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Cancellations</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(3,306,448)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(2,985,441)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46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87,993,227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67,716,741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vMerge w:val="continue"/>
          </w:tcPr>
          <w:p>
            <w:pPr>
              <w:spacing w:after="0"/>
              <w:rPr>
                <w:sz w:val="19"/>
                <w:szCs w:val="19"/>
                <w:color w:val="auto"/>
              </w:rPr>
            </w:pPr>
          </w:p>
        </w:tc>
        <w:tc>
          <w:tcPr>
            <w:tcW w:w="4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85,488,081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66,437,045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46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21,801,667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16,745,819</w:t>
            </w:r>
          </w:p>
        </w:tc>
        <w:tc>
          <w:tcPr>
            <w:tcW w:w="0" w:type="dxa"/>
            <w:vAlign w:val="bottom"/>
          </w:tcPr>
          <w:p>
            <w:pPr>
              <w:spacing w:after="0"/>
              <w:rPr>
                <w:sz w:val="1"/>
                <w:szCs w:val="1"/>
                <w:color w:val="auto"/>
              </w:rPr>
            </w:pPr>
          </w:p>
        </w:tc>
      </w:tr>
      <w:tr>
        <w:trPr>
          <w:trHeight w:val="675"/>
        </w:trPr>
        <w:tc>
          <w:tcPr>
            <w:tcW w:w="3900" w:type="dxa"/>
            <w:vAlign w:val="bottom"/>
          </w:tcPr>
          <w:p>
            <w:pPr>
              <w:spacing w:after="0"/>
              <w:rPr>
                <w:sz w:val="24"/>
                <w:szCs w:val="24"/>
                <w:color w:val="auto"/>
              </w:rPr>
            </w:pPr>
          </w:p>
        </w:tc>
        <w:tc>
          <w:tcPr>
            <w:tcW w:w="4100" w:type="dxa"/>
            <w:vAlign w:val="bottom"/>
          </w:tcPr>
          <w:p>
            <w:pPr>
              <w:jc w:val="right"/>
              <w:ind w:right="21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March 31, 2017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 (through March 31)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7,985,761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33,018,253</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37.5</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20,458,227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13,669,734</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15.5</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8,758,749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2012 and prior</w:t>
            </w: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4,102,503</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4.7</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87,993,227</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the three months ended March 31, 2017 and 2016, our average premium rate was 0.53% and 0.56%,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2017, our combined net risk in force for our U.S. insurance companies was $17.6 billion and our combined statutory capital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billion, resulting in a risk-to-capital ratio of 14.6 to 1. The amount of capital required varies in each jurisdiction in which we operate; however,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permitted risk-to-capital ratio is 25.0 to 1. State insurance regulators are currently examining their respective capital rules to determine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financial crisis, changes are needed to more accurately assess mortgage insurers’ ability to withstand stressful economic conditions.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capital metrics under which they assess and measure capital adequacy may change in the future. Independent of the state regulator and GSE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management continually assesses the risk of our insurance portfolio and current market and economic conditions to determine the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119,297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100,466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117,651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94,403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127,592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102,466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31,388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35,119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67,347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19,396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66,598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47,951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to the Three Months Ended March 31, 2016</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March 31, 2017, we reported net income of $66.6 million, compared to net income of $48.0 million for the three months ended March 31, 2016. The increase in our operating results in 2017 over the same period in 2016 was primarily due to the increase in net premiums earned associated with the growth of our IIF and the increase in net investment income, partially offset by increases in other underwriting and operating expenses, interest expense and income taxes.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Net premiums earned increased in the three months ended March 31, 2017 by 25% compared to the three months ended March 31, 2016 primarily due to the increase in our average IIF from $66.4 billion at March 31, 2016 to $85.5 billion at March 31, 2017, partially offset by a decrease in average premium rate from 0.56% for the three months ended March 31, 2016 to 0.53% for the three months ended March 31, 2017. The decrease in the average premium rate during the three months ended March 31, 2017 is due primarily to a decrease in premium earned on the cancellation of non-refundable single premium policies.</w:t>
      </w:r>
    </w:p>
    <w:p>
      <w:pPr>
        <w:spacing w:after="0" w:line="188"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increase in net premiums written was due primarily to the increase in average IIF of 29% for the three months ended March 31, 2017 as compared to the same period in 2016. Net premiums written increased in the three months ended March 31, 2017 by 19% over the three months ended March 31, 2016.</w:t>
      </w:r>
    </w:p>
    <w:p>
      <w:pPr>
        <w:spacing w:after="0" w:line="181"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In the three months ended March 31, 2017 and 2016, unearned premiums increased by $1.6 million and $6.1 million, respectively. The change in unearned premiums was a result of net premiums written on single premium policies of $18.2 million and $23.2 million, respectively, which was partially offset by $16.6 million and $17.1 million, respectively, of unearned premium that was recognized in earnings during the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increase in net investment income for the three months ended March 31, 2017 as compared to the same period in 2016 was due to the increase in the weighted average balance of our investment portfolio and the increase in the pre-tax investment income yield. The average cash and investment portfolio balance increased to $1.7 billion for the three months ended March 31, 2017 from $1.3 billion for the three months ended March 31, 2016 primarily as a result of investing cash flows from operations and investing borrowings under our revolving credit facility. The pre-tax investment income yield increased from 2.0% in the three months ended March 31, 2016 to 2.2% in the three months ended March 31, 2017 primarily due to an increase in the portion of our investment portfolio invested in spread and duration assets. The pre-tax investment income yields are calculated based on amortized cost and exclude investment expenses. See “— Liquidity and Capital Resources” for further details of our investment portfolio.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and contract underwriting revenues. In 2016, other income also included changes in the fair value of the insurance and certain reinsurance policies issued by Essent Re under the ACIS program. These policies were amended in the three months ended September 30, 2016 and are now accounted for as insurance rather than as derivatives. The decrease in other income for the three months ended March 31, 2017 as compared to the same period in 2016, was primarily due to the $0.7 million increase in the estimated fair value of our ACIS contracts in 2016, resulting from the decrease in observed prepayment speeds associated with the underlying pool of mortgages on the reference STACR notes issued by Freddie Mac, as well as a decrease in Triad service fees associated with a reduction in the number of Triad's mortgage insurance policies in force, partially offset by an increase in contract underwriting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provision for losses and LAE was $3.7 million in the three months ended March 31, 2017 and 2016. The following table presents a rollforward of insured loans in default for the periods indicated:</w:t>
      </w:r>
    </w:p>
    <w:p>
      <w:pPr>
        <w:spacing w:after="0" w:line="39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769</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increase in the number of defaults at March 31, 2017 compared to March 31, 2016 was primarily due to the increase in our IIF and policies in force, as well as further seasoning of our insurance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10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3"/>
              </w:rPr>
              <w:t>26,964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18,795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Pr>
          <w:p>
            <w:pPr>
              <w:spacing w:after="0"/>
              <w:rPr>
                <w:sz w:val="21"/>
                <w:szCs w:val="21"/>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1,060</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decrease in the average case reserve per default was primarily due to changes in the composition (such as mark-to-market loan-to-value ratios, risk in force, and number of months past due) of the underlying loans in default and improvements in economic fundamentals.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5,080</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29,468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20,470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49%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6,426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50,004</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13,428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38,252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5,673</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9,403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1,748</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26,964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99,407</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29,468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295"/>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48%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4,639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28,519</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9,689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23,147</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3,438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5,217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58,085</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20,470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March 31, 2017, the provision for losses and LAE was $3.7 million, comprised of $7.1 million of current year losses partially offset by $3.4 million of favorable prior years’ loss development. During the three months ended March 31, 2016, the provision for losses and LAE was $3.7 million, comprised of $5.1 million of current year losses partially offset by $1.3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998</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23,179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20,306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13,153</w:t>
            </w:r>
          </w:p>
        </w:tc>
        <w:tc>
          <w:tcPr>
            <w:tcW w:w="120" w:type="dxa"/>
            <w:vAlign w:val="bottom"/>
          </w:tcPr>
          <w:p>
            <w:pPr>
              <w:spacing w:after="0"/>
              <w:rPr>
                <w:sz w:val="21"/>
                <w:szCs w:val="21"/>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11,082</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35</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36,332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31,388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357</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jc w:val="both"/>
        <w:ind w:left="660" w:right="32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the size of our workforce, to 393 at March 31, 2017 from 366 at January 1, 2016 and an increase in stock compensation expense.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For the three months ended March 31, 2017, we incurred interest expense of $0.7 million associated with amounts outstanding under our revolving credit facility. At March 31, 2017, $125 million was outstanding under this facility. For the three months ended March 31, 2016, we had not yet entered into our revolving credit facility.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Our subsidiaries in the United States file a consolidated U.S. Federal income tax return. For interim reporting periods, we use an annualized effective tax rate method required under GAAP to calculate the income tax provision. Our income tax expense was $20.3 million and $19.4 million for the three months ended March 31, 2017 and 2016, respectively. Income tax expense for the three months ended March 31, 2017 was calculated using an annualized effective tax rate of 26.8% and was reduced by $3.0 million of excess tax benefits associated with the vesting of common shares and common share units during the quarter as required by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(Topic 718), adopted on January 1, 2017. Prior to the adoption of ASU 2016-09, excess tax benefits were recognized in additional paid-in-capital. The tax effects associated with the vesting of common shares and common share units are treated as discrete items in the reporting period in which they occur and are not considered in determining the annualized effective tax rate. Our effective tax rate was 28.8% for the three months ended March 31, 2016. In 2017, we expect the proportion of our consolidated earnings generated in Bermuda to be higher than in 2016 as a result of an increase in the amount of risk in force associated with insurance and reinsurance contracts executed with Freddie Mac and Fannie Mae and the quota share reinsurance agreement between Essent Guaranty and Essent Re. Bermuda does not have a corporate income tax.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borrowings under our revolving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 of borrowings under our revolving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As of March 31, 2017, we had substantial liquidity with cash of $19.7 million, short-term investments of $112.4 million and fixed maturity investments of $1.6 billion. We also had $75 million available under our revolving credit facility, with $125 million of borrowings outstanding under this facility. Borrowings accrue interest at a floating rate tied to a standard short-term borrowing index, selected at the Company’s option, plus an applicable margin and are paid monthly. At March 31, 2017, net cash and investments at the holding company were $41.1 million.</w:t>
      </w:r>
    </w:p>
    <w:p>
      <w:pPr>
        <w:spacing w:after="0" w:line="17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2017, Essent Guaranty had unassigned surplus of approximately $29.8 million and has paid no dividends since its inception. Essent Guaranty of PA, Inc. (“Essent PA") had unassigned surplus of approximately $4.3 million as of March 31, 2017. During the three months ended March 31, 2017, Essent PA paid to its parent company, Essent US Holdings, Inc., a $5.0 million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2017, Essent Re had total equity of $452.5 million. In connection with its insurance and reinsurance activities, Essent Re is required to maintain assets in trusts for the benefit of its contractual counterparties. See Note 3 to our condensed consolidated financial statements. At March 31, 2017, our insurance subsidiaries were in compliance with these rules, regulations and agreements.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68,497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(103,579)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(61,054)</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3,600</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Cash flow provided by operating activities totaled $77.9 million for the three months ended March 31, 2017, as compared to $68.5 million for the three months ended March 31, 2016. The increase in cash flow provided by operating activities of $9.4 million in 2017 was primarily a result of increases in premiums collected and net investment income, partially offset by increases in expenses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Cash flow used in investing activities totaled $103.6 million for the three months ended March 31, 2017, as compared to $61.1 million for the three months ended March 31, 2016. The increase in cash flow used in investing activities primarily related to investing cash flows from the business and investing the $25 million borrowed under the revolving credit facility in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Cash flow provided by financing activities totaled $17.9 million for the three months ended March 31, 2017, as compared to cash flow used in financing activities of $3.8 million for the three months ended March 31, 2016. The increase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cash flow provided by financing activities was primarily related to the $25 million borrowing under the revolving credit facility, which was contributed to Essent Re to support new business, partially offset by an increase in treasury stock acquired from employees to satisfy tax withholding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During the three months ended March 31, 2017 and 2016, no capital contributions were made by Essent Group Ltd. to our U.S. insurance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March 31, 2017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639,094</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563,475</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1,202,569</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17,611,301</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11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 has entered into risk share insurance and reinsurance transactions with Freddie Mac and Fannie Mae. Essent Re also executed a quota share reinsurance transaction with Essent Guaranty to reinsure 25% of Essent Guaranty’s GSE-eligible NIW effective July 1, 2014. During the three months ended March 31, 2017, Essent Group Ltd. made capital contributions to Essent Re of $30.0 million to support new business. As of March 31, 2017, Essent Re had total stockholders’ equity of $452.5 million and net risk in force of $4.6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Baa2 with a stable outlook by Moody's and BBB+ with a stable outlook by S&amp;P. The insurer financial strength rating of Essent Re is BBB+ with a stable outlook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enhanced operational performance expectations and define remedial actions that apply should an approved insurer fail to comply with these requirements. As of March 31, 2017, Essent Guaranty, our GSE-approved mortgage insurance company, was in compliance with the PMIERs. As of March 31, 2017, Essent Guaranty's Available Assets were $1.24 billion and its Minimum Required Assets were $1.19 billion based on our interpretation of the PMIERs.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2017, stockholders’ equity was $1.4 billion compared to $1.3 billion as of December 31, 2016. This increase was primarily due to net income generated in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total fair value of our investment portfolio was $1.7 billion as of March 31, 2017 and $1.6 billion as of December 31, 2016. In addition, our total cash was $19.7 million as of March 31, 2017, compared to $27.5 million as of December 31, 2016. The increase in investments was primarily due to investing net cash flows from operations and the $25 million borrowed under the revolving credit facility during the three months ended March 31,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March 31, 2017</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0"/>
              </w:rPr>
              <w:t>December 31, 2016</w:t>
            </w:r>
          </w:p>
        </w:tc>
        <w:tc>
          <w:tcPr>
            <w:tcW w:w="108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Percent</w:t>
            </w: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26,284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7"/>
        </w:trPr>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19.6</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361,392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20.7</w:t>
            </w:r>
          </w:p>
        </w:tc>
      </w:tr>
      <w:tr>
        <w:trPr>
          <w:trHeight w:val="27"/>
        </w:trPr>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505,288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28.3</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65,288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4.2</w:t>
            </w:r>
          </w:p>
        </w:tc>
      </w:tr>
      <w:tr>
        <w:trPr>
          <w:trHeight w:val="27"/>
        </w:trPr>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97,388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6.3</w:t>
            </w:r>
          </w:p>
        </w:tc>
      </w:tr>
      <w:tr>
        <w:trPr>
          <w:trHeight w:val="27"/>
        </w:trPr>
        <w:tc>
          <w:tcPr>
            <w:tcW w:w="22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1,724,533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1300" w:type="dxa"/>
            <w:vAlign w:val="bottom"/>
          </w:tcPr>
          <w:p>
            <w:pPr>
              <w:jc w:val="right"/>
              <w:ind w:right="15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General obligation bonds</w:t>
            </w:r>
          </w:p>
        </w:tc>
        <w:tc>
          <w:tcPr>
            <w:tcW w:w="4840" w:type="dxa"/>
            <w:vAlign w:val="bottom"/>
            <w:gridSpan w:val="3"/>
          </w:tcPr>
          <w:p>
            <w:pPr>
              <w:jc w:val="right"/>
              <w:ind w:right="119"/>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4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Tax allocation bonds</w:t>
            </w:r>
          </w:p>
        </w:tc>
        <w:tc>
          <w:tcPr>
            <w:tcW w:w="4840" w:type="dxa"/>
            <w:vAlign w:val="bottom"/>
            <w:gridSpan w:val="3"/>
          </w:tcPr>
          <w:p>
            <w:pPr>
              <w:jc w:val="right"/>
              <w:ind w:right="119"/>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56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4780" w:type="dxa"/>
            <w:vAlign w:val="bottom"/>
          </w:tcPr>
          <w:p>
            <w:pPr>
              <w:ind w:left="140"/>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40" w:type="dxa"/>
            <w:vAlign w:val="bottom"/>
            <w:vMerge w:val="restart"/>
          </w:tcPr>
          <w:p>
            <w:pPr>
              <w:jc w:val="right"/>
              <w:ind w:right="25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w:t>
            </w: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(2) The following table summarizes corporate debt securities as of :</w:t>
            </w: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Investment Portfolio by Rating</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140" w:type="dxa"/>
            <w:vAlign w:val="bottom"/>
            <w:gridSpan w:val="3"/>
          </w:tcPr>
          <w:p>
            <w:pPr>
              <w:ind w:left="40"/>
              <w:spacing w:after="0"/>
              <w:rPr>
                <w:sz w:val="20"/>
                <w:szCs w:val="20"/>
                <w:color w:val="auto"/>
              </w:rPr>
            </w:pPr>
            <w:r>
              <w:rPr>
                <w:rFonts w:ascii="Arial" w:cs="Arial" w:eastAsia="Arial" w:hAnsi="Arial"/>
                <w:sz w:val="14"/>
                <w:szCs w:val="14"/>
                <w:b w:val="1"/>
                <w:bCs w:val="1"/>
                <w:color w:val="auto"/>
              </w:rPr>
              <w:t>Rating(1)</w:t>
            </w: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March 31, 2017</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809,229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780,513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96,852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88,977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101,772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98,218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89,421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156,350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143,938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134,741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126,113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95,926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98,948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85,864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71,950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28,819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Below Baa3 / Unrated</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1,724,533</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8"/>
                <w:szCs w:val="18"/>
                <w:b w:val="1"/>
                <w:bCs w:val="1"/>
                <w:color w:val="auto"/>
              </w:rPr>
              <w:t>1,615,102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2017</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2016</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329,046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329,901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156,647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153,184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134,555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156,620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219,776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176,896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139,115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718,024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659,386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40.8</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1,724,533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3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2.125%</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5/15/2025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19,787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740" w:type="dxa"/>
            <w:vAlign w:val="bottom"/>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18,959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2.250%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7/20/2045</w:t>
            </w: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Ginnie Mae 4.000% 8/20/2045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5.250%</w:t>
            </w:r>
          </w:p>
        </w:tc>
        <w:tc>
          <w:tcPr>
            <w:tcW w:w="1740" w:type="dxa"/>
            <w:vAlign w:val="bottom"/>
          </w:tcPr>
          <w:p>
            <w:pPr>
              <w:ind w:left="20"/>
              <w:spacing w:after="0"/>
              <w:rPr>
                <w:sz w:val="20"/>
                <w:szCs w:val="20"/>
                <w:color w:val="auto"/>
              </w:rPr>
            </w:pPr>
            <w:r>
              <w:rPr>
                <w:rFonts w:ascii="Arial" w:cs="Arial" w:eastAsia="Arial" w:hAnsi="Arial"/>
                <w:sz w:val="18"/>
                <w:szCs w:val="18"/>
                <w:color w:val="auto"/>
              </w:rPr>
              <w:t>11/15/2028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3.000% 8/1/2046</w:t>
            </w: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Fannie Mae 3.000% 7/25/2045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3.000% 7/1/2046</w:t>
            </w: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10,643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138,993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143,218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2017, for securities in unrealized loss positions, management believes decline in fair values is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2016</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19,687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18,833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Pr>
          <w:p>
            <w:pPr>
              <w:ind w:left="20"/>
              <w:spacing w:after="0"/>
              <w:rPr>
                <w:sz w:val="20"/>
                <w:szCs w:val="20"/>
                <w:color w:val="auto"/>
              </w:rPr>
            </w:pPr>
            <w:r>
              <w:rPr>
                <w:rFonts w:ascii="Arial" w:cs="Arial" w:eastAsia="Arial" w:hAnsi="Arial"/>
                <w:sz w:val="18"/>
                <w:szCs w:val="18"/>
                <w:color w:val="auto"/>
              </w:rPr>
              <w:t>1/12/2017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Ginnie Mae 4.000% 7/20/2045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13,119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3.000% 7/25/2045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3.000% 8/1/2046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146,443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34</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municipal debt securities for states that represent more than 10% of the total municipal bond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7,385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Irving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44,051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2016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2017, the effective duration of our investment portfolio, including cash, was 4.1 years, which means that an instantaneous parallel shift (movement up or down) in the yield curve of 100 basis points would result in a change of 4.1% in fair value of our investment portfolio. Excluding cash, our investment portfolio effective duration was 4.4 years, which means that an instantaneous parallel shift (movement up or down) in the yield curve of 100 basis points would result in a change of 4.4%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2017,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2016.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2017.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2017</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56,715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2017</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2017</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64,212</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120,927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37</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Annual General Meeting of Shareholders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On May 3, 2017, we held our 2017 Annual General Meeting of Shareholders (the "Annual Meeting"). A total of 93,376,963 shares of our common shares were entitled to vote as of March 17, 2017, the record date for the Annual Meeting, of which 79,676,952 shares were present in person or by proxy at the Annual Meeting.</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the Annual Meeting, our shareholders approved the amendment and restatement of our 2013 Long-Term Incentive Plan (the “Plan”) to, among other things:</w:t>
      </w:r>
    </w:p>
    <w:p>
      <w:pPr>
        <w:spacing w:after="0" w:line="89" w:lineRule="exact"/>
        <w:rPr>
          <w:sz w:val="20"/>
          <w:szCs w:val="20"/>
          <w:color w:val="auto"/>
        </w:rPr>
      </w:pPr>
    </w:p>
    <w:p>
      <w:pPr>
        <w:ind w:left="660" w:right="1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number of common shares that may be issued or the subject of awards under the Plan to 7.5 million (down from the approximately 14.7 million shares available for issuance previously);</w:t>
      </w:r>
    </w:p>
    <w:p>
      <w:pPr>
        <w:spacing w:after="0" w:line="170" w:lineRule="exact"/>
        <w:rPr>
          <w:rFonts w:ascii="Arial" w:cs="Arial" w:eastAsia="Arial" w:hAnsi="Arial"/>
          <w:sz w:val="18"/>
          <w:szCs w:val="18"/>
          <w:color w:val="auto"/>
        </w:rPr>
      </w:pPr>
    </w:p>
    <w:p>
      <w:pPr>
        <w:jc w:val="both"/>
        <w:ind w:left="660" w:right="1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re-approve the material terms of the performance goals set forth in the Plan for purposes of Section 162(m) of the Code, including the performance objectives set forth in the Plan and the per participant limit on the number of shares that may be made subject to awards granted under the Plan per fiscal year, so that certain awards granted under the Plan may continue to qualify as performance-based compensation under Section 162(m) of the Code;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revisions to the maximum dollar value of certain awards that may be granted to participants in a calendar year for purposes of Section 162(m)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inclusion of performance cash awards to provide the Company with additional flexibility to comply with Section 162(m) of the Code;</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amendment to remove the “evergreen” feature included in the Plan pursuant to which the number of shares available for grant under the Plan would automatically increase each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amendment to provide that awards granted under the Plan generally must vest over a period of not less than one year from the date of grant;</w:t>
      </w:r>
    </w:p>
    <w:p>
      <w:pPr>
        <w:spacing w:after="0" w:line="24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amendment to clarify that for purposes of the share reserve under the Plan, shares will not be deemed to be issued on account of (i) any portion of an award that is settled in cash, and (ii) awards assumed or substituted by us or our affiliates as part of a corporate transaction (including from an entity that we merge with or into, acquire, or engage with in a similar corporate transaction);</w:t>
      </w:r>
    </w:p>
    <w:p>
      <w:pPr>
        <w:spacing w:after="0" w:line="181"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amendment to provide that participants may satisfy any withholding payment of any kind at either the minimum statutory required withholding rates or other applicable withholding rates, as may be utilized without creating adverse accounting treatment under applicable accounting standards;</w:t>
      </w:r>
    </w:p>
    <w:p>
      <w:pPr>
        <w:spacing w:after="0" w:line="123" w:lineRule="exact"/>
        <w:rPr>
          <w:rFonts w:ascii="Arial" w:cs="Arial" w:eastAsia="Arial" w:hAnsi="Arial"/>
          <w:sz w:val="16"/>
          <w:szCs w:val="16"/>
          <w:color w:val="auto"/>
        </w:rPr>
      </w:pPr>
    </w:p>
    <w:p>
      <w:pPr>
        <w:jc w:val="both"/>
        <w:ind w:left="660" w:right="3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amendment to clarify that dividend and dividend equivalents may be payable with respect to restricted common share units and performance awards; provided that, such dividend and dividend equivalents will not be paid with respect to awards of restricted stock units and performance awards, as applicable, until the underlying award is earned and vests; and</w:t>
      </w:r>
    </w:p>
    <w:p>
      <w:pPr>
        <w:spacing w:after="0" w:line="181"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clarification that no recovery of compensation under a clawback policy will be an event giving rise to a right to resign for “good reason” or “constructive termination” (or similar term) under any agreement with us or any of our affiliates.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directors, officers and employees are eligible to participate in the Plan. A copy of the Plan, as amended and restated, is included as Appendix B to our proxy statement filed with the Securities and Exchange Commission on April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final voting results for each matter presented to shareholders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1 - Election of Class III members of our board of directors to serve through the 2020 Annual General Meeting of Shareholders: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90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For</w:t>
            </w: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Votes Withheld</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 A. Casale</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74,479,406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657,408</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4,540,138</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Douglas J. Pauls</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74,715,404</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421,410</w:t>
            </w:r>
          </w:p>
        </w:tc>
        <w:tc>
          <w:tcPr>
            <w:tcW w:w="1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4,540,138</w:t>
            </w:r>
          </w:p>
        </w:tc>
      </w:tr>
      <w:tr>
        <w:trPr>
          <w:trHeight w:val="27"/>
        </w:trPr>
        <w:tc>
          <w:tcPr>
            <w:tcW w:w="4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Spiegel</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71,943,812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3,193,002</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4,540,138</w:t>
            </w:r>
          </w:p>
        </w:tc>
      </w:tr>
      <w:tr>
        <w:trPr>
          <w:trHeight w:val="27"/>
        </w:trPr>
        <w:tc>
          <w:tcPr>
            <w:tcW w:w="48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Proposal 2 - The re-appointment of PricewaterhouseCoopers LLP as the Company's independent registered public accounting firm for the year ending December 31, 2017 and until the 2018 Annual General Meeting of Shareholders, and the referral of the determination of the auditors' compensation to the board of directors, was ratified: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79,275,710</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1980" w:type="dxa"/>
            <w:vAlign w:val="bottom"/>
          </w:tcPr>
          <w:p>
            <w:pPr>
              <w:jc w:val="right"/>
              <w:spacing w:after="0"/>
              <w:rPr>
                <w:sz w:val="20"/>
                <w:szCs w:val="20"/>
                <w:color w:val="auto"/>
              </w:rPr>
            </w:pPr>
            <w:r>
              <w:rPr>
                <w:rFonts w:ascii="Arial" w:cs="Arial" w:eastAsia="Arial" w:hAnsi="Arial"/>
                <w:sz w:val="18"/>
                <w:szCs w:val="18"/>
                <w:color w:val="auto"/>
              </w:rPr>
              <w:t>278,392</w:t>
            </w:r>
          </w:p>
        </w:tc>
      </w:tr>
      <w:tr>
        <w:trPr>
          <w:trHeight w:val="27"/>
        </w:trPr>
        <w:tc>
          <w:tcPr>
            <w:tcW w:w="24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122,850</w:t>
            </w: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Proposal 3 - Provide a non-binding, advisory vote on our executive compensation:</w:t>
            </w:r>
          </w:p>
        </w:tc>
        <w:tc>
          <w:tcPr>
            <w:tcW w:w="1980" w:type="dxa"/>
            <w:vAlign w:val="bottom"/>
          </w:tcPr>
          <w:p>
            <w:pPr>
              <w:spacing w:after="0"/>
              <w:rPr>
                <w:sz w:val="24"/>
                <w:szCs w:val="24"/>
                <w:color w:val="auto"/>
              </w:rPr>
            </w:pPr>
          </w:p>
        </w:tc>
      </w:tr>
      <w:tr>
        <w:trPr>
          <w:trHeight w:val="135"/>
        </w:trPr>
        <w:tc>
          <w:tcPr>
            <w:tcW w:w="24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73,710,610</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1980" w:type="dxa"/>
            <w:vAlign w:val="bottom"/>
          </w:tcPr>
          <w:p>
            <w:pPr>
              <w:jc w:val="right"/>
              <w:spacing w:after="0"/>
              <w:rPr>
                <w:sz w:val="20"/>
                <w:szCs w:val="20"/>
                <w:color w:val="auto"/>
              </w:rPr>
            </w:pPr>
            <w:r>
              <w:rPr>
                <w:rFonts w:ascii="Arial" w:cs="Arial" w:eastAsia="Arial" w:hAnsi="Arial"/>
                <w:sz w:val="18"/>
                <w:szCs w:val="18"/>
                <w:color w:val="auto"/>
              </w:rPr>
              <w:t>1,302,658</w:t>
            </w:r>
          </w:p>
        </w:tc>
      </w:tr>
      <w:tr>
        <w:trPr>
          <w:trHeight w:val="27"/>
        </w:trPr>
        <w:tc>
          <w:tcPr>
            <w:tcW w:w="24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123,546</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1980" w:type="dxa"/>
            <w:vAlign w:val="bottom"/>
          </w:tcPr>
          <w:p>
            <w:pPr>
              <w:jc w:val="right"/>
              <w:spacing w:after="0"/>
              <w:rPr>
                <w:sz w:val="20"/>
                <w:szCs w:val="20"/>
                <w:color w:val="auto"/>
              </w:rPr>
            </w:pPr>
            <w:r>
              <w:rPr>
                <w:rFonts w:ascii="Arial" w:cs="Arial" w:eastAsia="Arial" w:hAnsi="Arial"/>
                <w:sz w:val="18"/>
                <w:szCs w:val="18"/>
                <w:color w:val="auto"/>
              </w:rPr>
              <w:t>4,540,138</w:t>
            </w:r>
          </w:p>
        </w:tc>
      </w:tr>
      <w:tr>
        <w:trPr>
          <w:trHeight w:val="459"/>
        </w:trPr>
        <w:tc>
          <w:tcPr>
            <w:tcW w:w="7060" w:type="dxa"/>
            <w:vAlign w:val="bottom"/>
            <w:gridSpan w:val="2"/>
          </w:tcPr>
          <w:p>
            <w:pPr>
              <w:spacing w:after="0"/>
              <w:rPr>
                <w:sz w:val="20"/>
                <w:szCs w:val="20"/>
                <w:color w:val="auto"/>
              </w:rPr>
            </w:pPr>
            <w:r>
              <w:rPr>
                <w:rFonts w:ascii="Arial" w:cs="Arial" w:eastAsia="Arial" w:hAnsi="Arial"/>
                <w:sz w:val="18"/>
                <w:szCs w:val="18"/>
                <w:color w:val="auto"/>
              </w:rPr>
              <w:t>Proposal 4 - Approve the Essent Group Ltd. Annual Incentive Plan:</w:t>
            </w:r>
          </w:p>
        </w:tc>
        <w:tc>
          <w:tcPr>
            <w:tcW w:w="1980" w:type="dxa"/>
            <w:vAlign w:val="bottom"/>
          </w:tcPr>
          <w:p>
            <w:pPr>
              <w:spacing w:after="0"/>
              <w:rPr>
                <w:sz w:val="24"/>
                <w:szCs w:val="24"/>
                <w:color w:val="auto"/>
              </w:rPr>
            </w:pPr>
          </w:p>
        </w:tc>
      </w:tr>
      <w:tr>
        <w:trPr>
          <w:trHeight w:val="135"/>
        </w:trPr>
        <w:tc>
          <w:tcPr>
            <w:tcW w:w="24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74,464,507</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1980" w:type="dxa"/>
            <w:vAlign w:val="bottom"/>
          </w:tcPr>
          <w:p>
            <w:pPr>
              <w:jc w:val="right"/>
              <w:spacing w:after="0"/>
              <w:rPr>
                <w:sz w:val="20"/>
                <w:szCs w:val="20"/>
                <w:color w:val="auto"/>
              </w:rPr>
            </w:pPr>
            <w:r>
              <w:rPr>
                <w:rFonts w:ascii="Arial" w:cs="Arial" w:eastAsia="Arial" w:hAnsi="Arial"/>
                <w:sz w:val="18"/>
                <w:szCs w:val="18"/>
                <w:color w:val="auto"/>
              </w:rPr>
              <w:t>642,324</w:t>
            </w:r>
          </w:p>
        </w:tc>
      </w:tr>
      <w:tr>
        <w:trPr>
          <w:trHeight w:val="27"/>
        </w:trPr>
        <w:tc>
          <w:tcPr>
            <w:tcW w:w="24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29,983</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1980" w:type="dxa"/>
            <w:vAlign w:val="bottom"/>
          </w:tcPr>
          <w:p>
            <w:pPr>
              <w:jc w:val="right"/>
              <w:spacing w:after="0"/>
              <w:rPr>
                <w:sz w:val="20"/>
                <w:szCs w:val="20"/>
                <w:color w:val="auto"/>
              </w:rPr>
            </w:pPr>
            <w:r>
              <w:rPr>
                <w:rFonts w:ascii="Arial" w:cs="Arial" w:eastAsia="Arial" w:hAnsi="Arial"/>
                <w:sz w:val="18"/>
                <w:szCs w:val="18"/>
                <w:color w:val="auto"/>
              </w:rPr>
              <w:t>4,540,138</w:t>
            </w:r>
          </w:p>
        </w:tc>
      </w:tr>
      <w:tr>
        <w:trPr>
          <w:trHeight w:val="459"/>
        </w:trPr>
        <w:tc>
          <w:tcPr>
            <w:tcW w:w="7060" w:type="dxa"/>
            <w:vAlign w:val="bottom"/>
            <w:gridSpan w:val="2"/>
          </w:tcPr>
          <w:p>
            <w:pPr>
              <w:spacing w:after="0"/>
              <w:rPr>
                <w:sz w:val="20"/>
                <w:szCs w:val="20"/>
                <w:color w:val="auto"/>
              </w:rPr>
            </w:pPr>
            <w:r>
              <w:rPr>
                <w:rFonts w:ascii="Arial" w:cs="Arial" w:eastAsia="Arial" w:hAnsi="Arial"/>
                <w:sz w:val="18"/>
                <w:szCs w:val="18"/>
                <w:color w:val="auto"/>
              </w:rPr>
              <w:t>Proposal 5 - Provide a non-binding, advisory vote on our executive compensation:</w:t>
            </w:r>
          </w:p>
        </w:tc>
        <w:tc>
          <w:tcPr>
            <w:tcW w:w="1980" w:type="dxa"/>
            <w:vAlign w:val="bottom"/>
          </w:tcPr>
          <w:p>
            <w:pPr>
              <w:spacing w:after="0"/>
              <w:rPr>
                <w:sz w:val="24"/>
                <w:szCs w:val="24"/>
                <w:color w:val="auto"/>
              </w:rPr>
            </w:pPr>
          </w:p>
        </w:tc>
      </w:tr>
      <w:tr>
        <w:trPr>
          <w:trHeight w:val="135"/>
        </w:trPr>
        <w:tc>
          <w:tcPr>
            <w:tcW w:w="24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71,027,185</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1980" w:type="dxa"/>
            <w:vAlign w:val="bottom"/>
          </w:tcPr>
          <w:p>
            <w:pPr>
              <w:jc w:val="right"/>
              <w:spacing w:after="0"/>
              <w:rPr>
                <w:sz w:val="20"/>
                <w:szCs w:val="20"/>
                <w:color w:val="auto"/>
              </w:rPr>
            </w:pPr>
            <w:r>
              <w:rPr>
                <w:rFonts w:ascii="Arial" w:cs="Arial" w:eastAsia="Arial" w:hAnsi="Arial"/>
                <w:sz w:val="18"/>
                <w:szCs w:val="18"/>
                <w:color w:val="auto"/>
              </w:rPr>
              <w:t>4,078,421</w:t>
            </w:r>
          </w:p>
        </w:tc>
      </w:tr>
      <w:tr>
        <w:trPr>
          <w:trHeight w:val="27"/>
        </w:trPr>
        <w:tc>
          <w:tcPr>
            <w:tcW w:w="24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40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31,208</w:t>
            </w:r>
          </w:p>
        </w:tc>
      </w:tr>
      <w:tr>
        <w:trPr>
          <w:trHeight w:val="243"/>
        </w:trPr>
        <w:tc>
          <w:tcPr>
            <w:tcW w:w="24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1980" w:type="dxa"/>
            <w:vAlign w:val="bottom"/>
          </w:tcPr>
          <w:p>
            <w:pPr>
              <w:jc w:val="right"/>
              <w:spacing w:after="0"/>
              <w:rPr>
                <w:sz w:val="20"/>
                <w:szCs w:val="20"/>
                <w:color w:val="auto"/>
              </w:rPr>
            </w:pPr>
            <w:r>
              <w:rPr>
                <w:rFonts w:ascii="Arial" w:cs="Arial" w:eastAsia="Arial" w:hAnsi="Arial"/>
                <w:sz w:val="18"/>
                <w:szCs w:val="18"/>
                <w:color w:val="auto"/>
              </w:rPr>
              <w:t>4,540,138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of Letter Agreement with Goldman Sachs Group, Inc.</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5, 2017, the Company’s obligations under that certain letter agreement dated October 2, 2013 (the "Agreement") between The Goldman Sachs Group, Inc. ("GS") and Essent Group Ltd. terminated pursuant to a termination agreement entered into between those parties. The parties terminated the Agreement in recognition of the fact that the Company is no longer considered to be a non-bank subsidiary of GS under the Bank Holding Company Act of 1956,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Resignation of Director</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Adolfo Marzol resigned from his positions with the Company as a member of the board of directors and Senior Policy Advisor on Housing Finance effective May 6, 2017 in light of Mr. Marzol’s appointment as Senior Advisor to Dr. Ben Carson, United States Secretary of Housing and Urban Development.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12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Essent Group Ltd. 2013 Long-Term Inventive Plan, as amended and restated (incorporated herein by reference to Appendix B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Company's Definitive Proxy Statement on Schedule 14A (File No. 001-36157) filed on April 3, 2017)</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March 31, 2017,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May 9, 2017</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May 9, 2017</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May 9, 2017</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125" w:right="4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Essent Group Ltd. 2013 Long-Term Inventive Plan, as amended and restated (incorporated herein by reference to Appendix B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Company's Definitive Proxy Statement on Schedule 14A (File No. 001-36157) filed on April 3, 2017)</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March 31, 2017,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9,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8" w:name="page49"/>
    <w:bookmarkEnd w:id="4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240" w:firstLine="8"/>
        <w:spacing w:after="0" w:line="32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2017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9, 2017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3"/>
    </w:lvl>
  </w:abstractNum>
  <w:abstractNum w:abstractNumId="30">
    <w:nsid w:val="737B8DDC"/>
    <w:multiLevelType w:val="hybridMultilevel"/>
    <w:lvl w:ilvl="0">
      <w:lvlJc w:val="left"/>
      <w:lvlText w:val="%1."/>
      <w:numFmt w:val="decimal"/>
      <w:start w:val="5"/>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2020-01-17T08:48:57Z</dcterms:created>
  <dcterms:modified xsi:type="dcterms:W3CDTF">2020-01-17T08:48:57Z</dcterms:modified>
</cp:coreProperties>
</file>