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4"/>
          <w:szCs w:val="24"/>
          <w:color w:val="auto"/>
        </w:rPr>
      </w:pPr>
    </w:p>
    <w:p>
      <w:pPr>
        <w:spacing w:after="0" w:line="325" w:lineRule="exact"/>
        <w:rPr>
          <w:sz w:val="24"/>
          <w:szCs w:val="24"/>
          <w:color w:val="auto"/>
        </w:rPr>
      </w:pPr>
    </w:p>
    <w:p>
      <w:pPr>
        <w:jc w:val="center"/>
        <w:ind w:right="140"/>
        <w:spacing w:after="0"/>
        <w:rPr>
          <w:sz w:val="20"/>
          <w:szCs w:val="20"/>
          <w:color w:val="auto"/>
        </w:rPr>
      </w:pPr>
      <w:r>
        <w:rPr>
          <w:rFonts w:ascii="Arial" w:cs="Arial" w:eastAsia="Arial" w:hAnsi="Arial"/>
          <w:sz w:val="28"/>
          <w:szCs w:val="28"/>
          <w:b w:val="1"/>
          <w:bCs w:val="1"/>
          <w:color w:val="auto"/>
        </w:rPr>
        <w:t>UNITED STATES</w:t>
      </w:r>
    </w:p>
    <w:p>
      <w:pPr>
        <w:spacing w:after="0" w:line="39" w:lineRule="exact"/>
        <w:rPr>
          <w:sz w:val="24"/>
          <w:szCs w:val="24"/>
          <w:color w:val="auto"/>
        </w:rPr>
      </w:pPr>
    </w:p>
    <w:p>
      <w:pPr>
        <w:jc w:val="center"/>
        <w:spacing w:after="0"/>
        <w:rPr>
          <w:sz w:val="20"/>
          <w:szCs w:val="20"/>
          <w:color w:val="auto"/>
        </w:rPr>
      </w:pPr>
      <w:r>
        <w:rPr>
          <w:rFonts w:ascii="Arial" w:cs="Arial" w:eastAsia="Arial" w:hAnsi="Arial"/>
          <w:sz w:val="28"/>
          <w:szCs w:val="28"/>
          <w:b w:val="1"/>
          <w:bCs w:val="1"/>
          <w:color w:val="auto"/>
        </w:rPr>
        <w:t>SECURITIES AND EXCHANGE COMMISSION</w:t>
      </w:r>
    </w:p>
    <w:p>
      <w:pPr>
        <w:spacing w:after="0" w:line="15" w:lineRule="exact"/>
        <w:rPr>
          <w:sz w:val="24"/>
          <w:szCs w:val="24"/>
          <w:color w:val="auto"/>
        </w:rPr>
      </w:pPr>
    </w:p>
    <w:p>
      <w:pPr>
        <w:jc w:val="center"/>
        <w:ind w:right="40"/>
        <w:spacing w:after="0"/>
        <w:rPr>
          <w:sz w:val="20"/>
          <w:szCs w:val="20"/>
          <w:color w:val="auto"/>
        </w:rPr>
      </w:pPr>
      <w:r>
        <w:rPr>
          <w:rFonts w:ascii="Arial" w:cs="Arial" w:eastAsia="Arial" w:hAnsi="Arial"/>
          <w:sz w:val="16"/>
          <w:szCs w:val="16"/>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2030095</wp:posOffset>
            </wp:positionH>
            <wp:positionV relativeFrom="paragraph">
              <wp:posOffset>102870</wp:posOffset>
            </wp:positionV>
            <wp:extent cx="308229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082290" cy="8255"/>
                    </a:xfrm>
                    <a:prstGeom prst="rect">
                      <a:avLst/>
                    </a:prstGeom>
                    <a:noFill/>
                  </pic:spPr>
                </pic:pic>
              </a:graphicData>
            </a:graphic>
          </wp:anchor>
        </w:drawing>
      </w:r>
    </w:p>
    <w:p>
      <w:pPr>
        <w:spacing w:after="0" w:line="201" w:lineRule="exact"/>
        <w:rPr>
          <w:sz w:val="24"/>
          <w:szCs w:val="24"/>
          <w:color w:val="auto"/>
        </w:rPr>
      </w:pPr>
    </w:p>
    <w:p>
      <w:pPr>
        <w:jc w:val="center"/>
        <w:spacing w:after="0"/>
        <w:rPr>
          <w:sz w:val="20"/>
          <w:szCs w:val="20"/>
          <w:color w:val="auto"/>
        </w:rPr>
      </w:pPr>
      <w:r>
        <w:rPr>
          <w:rFonts w:ascii="Arial" w:cs="Arial" w:eastAsia="Arial" w:hAnsi="Arial"/>
          <w:sz w:val="28"/>
          <w:szCs w:val="28"/>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2030095</wp:posOffset>
            </wp:positionH>
            <wp:positionV relativeFrom="paragraph">
              <wp:posOffset>71120</wp:posOffset>
            </wp:positionV>
            <wp:extent cx="308229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082290" cy="8255"/>
                    </a:xfrm>
                    <a:prstGeom prst="rect">
                      <a:avLst/>
                    </a:prstGeom>
                    <a:noFill/>
                  </pic:spPr>
                </pic:pic>
              </a:graphicData>
            </a:graphic>
          </wp:anchor>
        </w:drawing>
      </w:r>
    </w:p>
    <w:p>
      <w:pPr>
        <w:spacing w:after="0" w:line="312" w:lineRule="exact"/>
        <w:rPr>
          <w:sz w:val="24"/>
          <w:szCs w:val="24"/>
          <w:color w:val="auto"/>
        </w:rPr>
      </w:pPr>
    </w:p>
    <w:p>
      <w:pPr>
        <w:ind w:left="80"/>
        <w:spacing w:after="0"/>
        <w:rPr>
          <w:sz w:val="20"/>
          <w:szCs w:val="20"/>
          <w:color w:val="auto"/>
        </w:rPr>
      </w:pPr>
      <w:r>
        <w:rPr>
          <w:rFonts w:ascii="Arial" w:cs="Arial" w:eastAsia="Arial" w:hAnsi="Arial"/>
          <w:sz w:val="16"/>
          <w:szCs w:val="16"/>
          <w:b w:val="1"/>
          <w:bCs w:val="1"/>
          <w:color w:val="auto"/>
        </w:rPr>
        <w:t>(Mark One)</w:t>
      </w:r>
    </w:p>
    <w:p>
      <w:pPr>
        <w:spacing w:after="0" w:line="119" w:lineRule="exact"/>
        <w:rPr>
          <w:sz w:val="24"/>
          <w:szCs w:val="24"/>
          <w:color w:val="auto"/>
        </w:rPr>
      </w:pPr>
    </w:p>
    <w:p>
      <w:pPr>
        <w:ind w:left="760" w:hanging="445"/>
        <w:spacing w:after="0"/>
        <w:tabs>
          <w:tab w:leader="none" w:pos="76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For the period ended June 30, 2023</w:t>
      </w:r>
    </w:p>
    <w:p>
      <w:pPr>
        <w:spacing w:after="0" w:line="127" w:lineRule="exact"/>
        <w:rPr>
          <w:sz w:val="24"/>
          <w:szCs w:val="24"/>
          <w:color w:val="auto"/>
        </w:rPr>
      </w:pPr>
    </w:p>
    <w:p>
      <w:pPr>
        <w:ind w:left="780" w:hanging="465"/>
        <w:spacing w:after="0"/>
        <w:tabs>
          <w:tab w:leader="none" w:pos="780" w:val="left"/>
        </w:tabs>
        <w:numPr>
          <w:ilvl w:val="0"/>
          <w:numId w:val="2"/>
        </w:numPr>
        <w:rPr>
          <w:rFonts w:ascii="MS PGothic" w:cs="MS PGothic" w:eastAsia="MS PGothic" w:hAnsi="MS PGothic"/>
          <w:sz w:val="20"/>
          <w:szCs w:val="20"/>
          <w:color w:val="auto"/>
        </w:rPr>
      </w:pPr>
      <w:r>
        <w:rPr>
          <w:rFonts w:ascii="Arial" w:cs="Arial" w:eastAsia="Arial" w:hAnsi="Arial"/>
          <w:sz w:val="18"/>
          <w:szCs w:val="18"/>
          <w:b w:val="1"/>
          <w:bCs w:val="1"/>
          <w:color w:val="auto"/>
        </w:rPr>
        <w:t>TRANSITION REPORT PURSUANT TO SECTION 13 OR 15(d) OF THE SECURITIES EXCHANGE ACT OF 1934</w:t>
      </w:r>
    </w:p>
    <w:p>
      <w:pPr>
        <w:sectPr>
          <w:pgSz w:w="11900" w:h="16838" w:orient="portrait"/>
          <w:cols w:equalWidth="0" w:num="1">
            <w:col w:w="11240"/>
          </w:cols>
          <w:pgMar w:left="320" w:top="231" w:right="339" w:bottom="1440" w:gutter="0" w:footer="0" w:header="0"/>
        </w:sectPr>
      </w:pPr>
    </w:p>
    <w:p>
      <w:pPr>
        <w:spacing w:after="0" w:line="74" w:lineRule="exact"/>
        <w:rPr>
          <w:sz w:val="24"/>
          <w:szCs w:val="24"/>
          <w:color w:val="auto"/>
        </w:rPr>
      </w:pPr>
    </w:p>
    <w:p>
      <w:pPr>
        <w:ind w:left="4020"/>
        <w:spacing w:after="0"/>
        <w:rPr>
          <w:sz w:val="20"/>
          <w:szCs w:val="20"/>
          <w:color w:val="auto"/>
        </w:rPr>
      </w:pPr>
      <w:r>
        <w:rPr>
          <w:rFonts w:ascii="Arial" w:cs="Arial" w:eastAsia="Arial" w:hAnsi="Arial"/>
          <w:sz w:val="14"/>
          <w:szCs w:val="14"/>
          <w:b w:val="1"/>
          <w:bCs w:val="1"/>
          <w:color w:val="auto"/>
        </w:rPr>
        <w:t>For the transition period from</w:t>
      </w:r>
    </w:p>
    <w:p>
      <w:pPr>
        <w:spacing w:after="0" w:line="20" w:lineRule="exact"/>
        <w:rPr>
          <w:sz w:val="24"/>
          <w:szCs w:val="24"/>
          <w:color w:val="auto"/>
        </w:rPr>
      </w:pPr>
      <w:r>
        <w:rPr>
          <w:sz w:val="24"/>
          <w:szCs w:val="24"/>
          <w:color w:val="auto"/>
        </w:rPr>
        <w:br w:type="column"/>
      </w:r>
    </w:p>
    <w:p>
      <w:pPr>
        <w:spacing w:after="0" w:line="56"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to</w:t>
      </w:r>
    </w:p>
    <w:p>
      <w:pPr>
        <w:spacing w:after="0" w:line="184" w:lineRule="exact"/>
        <w:rPr>
          <w:sz w:val="24"/>
          <w:szCs w:val="24"/>
          <w:color w:val="auto"/>
        </w:rPr>
      </w:pPr>
    </w:p>
    <w:p>
      <w:pPr>
        <w:sectPr>
          <w:pgSz w:w="11900" w:h="16838" w:orient="portrait"/>
          <w:cols w:equalWidth="0" w:num="2">
            <w:col w:w="6040" w:space="540"/>
            <w:col w:w="4660"/>
          </w:cols>
          <w:pgMar w:left="320" w:top="231" w:right="339" w:bottom="1440" w:gutter="0" w:footer="0" w:header="0"/>
          <w:type w:val="continuous"/>
        </w:sectPr>
      </w:pPr>
    </w:p>
    <w:p>
      <w:pPr>
        <w:jc w:val="center"/>
        <w:ind w:right="20"/>
        <w:spacing w:after="0"/>
        <w:rPr>
          <w:sz w:val="20"/>
          <w:szCs w:val="20"/>
          <w:color w:val="auto"/>
        </w:rPr>
      </w:pPr>
      <w:r>
        <w:rPr>
          <w:rFonts w:ascii="Arial" w:cs="Arial" w:eastAsia="Arial" w:hAnsi="Arial"/>
          <w:sz w:val="13"/>
          <w:szCs w:val="13"/>
          <w:b w:val="1"/>
          <w:bCs w:val="1"/>
          <w:color w:val="auto"/>
        </w:rPr>
        <w:t>Commission file number 001-36157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2030095</wp:posOffset>
            </wp:positionH>
            <wp:positionV relativeFrom="paragraph">
              <wp:posOffset>128270</wp:posOffset>
            </wp:positionV>
            <wp:extent cx="308229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082290" cy="8255"/>
                    </a:xfrm>
                    <a:prstGeom prst="rect">
                      <a:avLst/>
                    </a:prstGeom>
                    <a:noFill/>
                  </pic:spPr>
                </pic:pic>
              </a:graphicData>
            </a:graphic>
          </wp:anchor>
        </w:drawing>
      </w:r>
    </w:p>
    <w:p>
      <w:pPr>
        <w:sectPr>
          <w:pgSz w:w="11900" w:h="16838" w:orient="portrait"/>
          <w:cols w:equalWidth="0" w:num="1">
            <w:col w:w="11240"/>
          </w:cols>
          <w:pgMar w:left="320" w:top="231" w:right="339" w:bottom="1440" w:gutter="0" w:footer="0" w:header="0"/>
          <w:type w:val="continuous"/>
        </w:sectPr>
      </w:pPr>
    </w:p>
    <w:p>
      <w:pPr>
        <w:spacing w:after="0" w:line="274" w:lineRule="exact"/>
        <w:rPr>
          <w:sz w:val="24"/>
          <w:szCs w:val="24"/>
          <w:color w:val="auto"/>
        </w:rPr>
      </w:pPr>
    </w:p>
    <w:tbl>
      <w:tblPr>
        <w:tblLayout w:type="fixed"/>
        <w:tblInd w:w="1760" w:type="dxa"/>
        <w:tblCellMar>
          <w:top w:w="0" w:type="dxa"/>
          <w:left w:w="0" w:type="dxa"/>
          <w:bottom w:w="0" w:type="dxa"/>
          <w:right w:w="0" w:type="dxa"/>
        </w:tblCellMar>
      </w:tblPr>
      <w:tr>
        <w:trPr>
          <w:trHeight w:val="347"/>
        </w:trPr>
        <w:tc>
          <w:tcPr>
            <w:tcW w:w="14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420" w:type="dxa"/>
            <w:vAlign w:val="bottom"/>
            <w:gridSpan w:val="2"/>
          </w:tcPr>
          <w:p>
            <w:pPr>
              <w:jc w:val="center"/>
              <w:ind w:right="1820"/>
              <w:spacing w:after="0"/>
              <w:rPr>
                <w:sz w:val="20"/>
                <w:szCs w:val="20"/>
                <w:color w:val="auto"/>
              </w:rPr>
            </w:pPr>
            <w:r>
              <w:rPr>
                <w:rFonts w:ascii="Arial" w:cs="Arial" w:eastAsia="Arial" w:hAnsi="Arial"/>
                <w:sz w:val="28"/>
                <w:szCs w:val="28"/>
                <w:b w:val="1"/>
                <w:bCs w:val="1"/>
                <w:color w:val="auto"/>
                <w:w w:val="95"/>
              </w:rPr>
              <w:t>ESSENT GROUP LTD.</w:t>
            </w:r>
          </w:p>
        </w:tc>
      </w:tr>
      <w:tr>
        <w:trPr>
          <w:trHeight w:val="199"/>
        </w:trPr>
        <w:tc>
          <w:tcPr>
            <w:tcW w:w="14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5420" w:type="dxa"/>
            <w:vAlign w:val="bottom"/>
            <w:gridSpan w:val="2"/>
          </w:tcPr>
          <w:p>
            <w:pPr>
              <w:jc w:val="center"/>
              <w:ind w:right="1800"/>
              <w:spacing w:after="0"/>
              <w:rPr>
                <w:sz w:val="20"/>
                <w:szCs w:val="20"/>
                <w:color w:val="auto"/>
              </w:rPr>
            </w:pPr>
            <w:r>
              <w:rPr>
                <w:rFonts w:ascii="Arial" w:cs="Arial" w:eastAsia="Arial" w:hAnsi="Arial"/>
                <w:sz w:val="16"/>
                <w:szCs w:val="16"/>
                <w:color w:val="auto"/>
                <w:w w:val="88"/>
              </w:rPr>
              <w:t>(Exact name of registrant as specified in its charter)</w:t>
            </w:r>
          </w:p>
        </w:tc>
      </w:tr>
      <w:tr>
        <w:trPr>
          <w:trHeight w:val="162"/>
        </w:trPr>
        <w:tc>
          <w:tcPr>
            <w:tcW w:w="1440" w:type="dxa"/>
            <w:vAlign w:val="bottom"/>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4240" w:type="dxa"/>
            <w:vAlign w:val="bottom"/>
            <w:tcBorders>
              <w:bottom w:val="single" w:sz="8" w:color="auto"/>
            </w:tcBorders>
          </w:tcPr>
          <w:p>
            <w:pPr>
              <w:spacing w:after="0"/>
              <w:rPr>
                <w:sz w:val="14"/>
                <w:szCs w:val="14"/>
                <w:color w:val="auto"/>
              </w:rPr>
            </w:pPr>
          </w:p>
        </w:tc>
        <w:tc>
          <w:tcPr>
            <w:tcW w:w="1180" w:type="dxa"/>
            <w:vAlign w:val="bottom"/>
          </w:tcPr>
          <w:p>
            <w:pPr>
              <w:spacing w:after="0"/>
              <w:rPr>
                <w:sz w:val="14"/>
                <w:szCs w:val="14"/>
                <w:color w:val="auto"/>
              </w:rPr>
            </w:pPr>
          </w:p>
        </w:tc>
      </w:tr>
      <w:tr>
        <w:trPr>
          <w:trHeight w:val="312"/>
        </w:trPr>
        <w:tc>
          <w:tcPr>
            <w:tcW w:w="206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89"/>
              </w:rPr>
              <w:t>Bermuda</w:t>
            </w:r>
          </w:p>
        </w:tc>
        <w:tc>
          <w:tcPr>
            <w:tcW w:w="5420" w:type="dxa"/>
            <w:vAlign w:val="bottom"/>
            <w:gridSpan w:val="2"/>
          </w:tcPr>
          <w:p>
            <w:pPr>
              <w:jc w:val="center"/>
              <w:ind w:left="3872"/>
              <w:spacing w:after="0"/>
              <w:rPr>
                <w:sz w:val="20"/>
                <w:szCs w:val="20"/>
                <w:color w:val="auto"/>
              </w:rPr>
            </w:pPr>
            <w:r>
              <w:rPr>
                <w:rFonts w:ascii="Arial" w:cs="Arial" w:eastAsia="Arial" w:hAnsi="Arial"/>
                <w:sz w:val="16"/>
                <w:szCs w:val="16"/>
                <w:b w:val="1"/>
                <w:bCs w:val="1"/>
                <w:color w:val="auto"/>
                <w:w w:val="87"/>
              </w:rPr>
              <w:t>Not Applicable</w:t>
            </w:r>
          </w:p>
        </w:tc>
      </w:tr>
      <w:tr>
        <w:trPr>
          <w:trHeight w:val="165"/>
        </w:trPr>
        <w:tc>
          <w:tcPr>
            <w:tcW w:w="2060" w:type="dxa"/>
            <w:vAlign w:val="bottom"/>
            <w:gridSpan w:val="2"/>
          </w:tcPr>
          <w:p>
            <w:pPr>
              <w:jc w:val="center"/>
              <w:ind w:right="180"/>
              <w:spacing w:after="0" w:line="165" w:lineRule="exact"/>
              <w:rPr>
                <w:sz w:val="20"/>
                <w:szCs w:val="20"/>
                <w:color w:val="auto"/>
              </w:rPr>
            </w:pPr>
            <w:r>
              <w:rPr>
                <w:rFonts w:ascii="Arial" w:cs="Arial" w:eastAsia="Arial" w:hAnsi="Arial"/>
                <w:sz w:val="16"/>
                <w:szCs w:val="16"/>
                <w:color w:val="auto"/>
                <w:w w:val="89"/>
              </w:rPr>
              <w:t>(State or other jurisdiction of</w:t>
            </w:r>
          </w:p>
        </w:tc>
        <w:tc>
          <w:tcPr>
            <w:tcW w:w="5420" w:type="dxa"/>
            <w:vAlign w:val="bottom"/>
            <w:gridSpan w:val="2"/>
          </w:tcPr>
          <w:p>
            <w:pPr>
              <w:jc w:val="center"/>
              <w:ind w:left="3872"/>
              <w:spacing w:after="0" w:line="165" w:lineRule="exact"/>
              <w:rPr>
                <w:sz w:val="20"/>
                <w:szCs w:val="20"/>
                <w:color w:val="auto"/>
              </w:rPr>
            </w:pPr>
            <w:r>
              <w:rPr>
                <w:rFonts w:ascii="Arial" w:cs="Arial" w:eastAsia="Arial" w:hAnsi="Arial"/>
                <w:sz w:val="16"/>
                <w:szCs w:val="16"/>
                <w:color w:val="auto"/>
                <w:w w:val="90"/>
              </w:rPr>
              <w:t>(I.R.S. Employer</w:t>
            </w:r>
          </w:p>
        </w:tc>
      </w:tr>
      <w:tr>
        <w:trPr>
          <w:trHeight w:val="199"/>
        </w:trPr>
        <w:tc>
          <w:tcPr>
            <w:tcW w:w="2060" w:type="dxa"/>
            <w:vAlign w:val="bottom"/>
            <w:gridSpan w:val="2"/>
          </w:tcPr>
          <w:p>
            <w:pPr>
              <w:jc w:val="center"/>
              <w:ind w:right="180"/>
              <w:spacing w:after="0"/>
              <w:rPr>
                <w:sz w:val="20"/>
                <w:szCs w:val="20"/>
                <w:color w:val="auto"/>
              </w:rPr>
            </w:pPr>
            <w:r>
              <w:rPr>
                <w:rFonts w:ascii="Arial" w:cs="Arial" w:eastAsia="Arial" w:hAnsi="Arial"/>
                <w:sz w:val="16"/>
                <w:szCs w:val="16"/>
                <w:color w:val="auto"/>
                <w:w w:val="90"/>
              </w:rPr>
              <w:t>incorporation or organization)</w:t>
            </w:r>
          </w:p>
        </w:tc>
        <w:tc>
          <w:tcPr>
            <w:tcW w:w="5420" w:type="dxa"/>
            <w:vAlign w:val="bottom"/>
            <w:gridSpan w:val="2"/>
          </w:tcPr>
          <w:p>
            <w:pPr>
              <w:jc w:val="center"/>
              <w:ind w:left="3892"/>
              <w:spacing w:after="0"/>
              <w:rPr>
                <w:sz w:val="20"/>
                <w:szCs w:val="20"/>
                <w:color w:val="auto"/>
              </w:rPr>
            </w:pPr>
            <w:r>
              <w:rPr>
                <w:rFonts w:ascii="Arial" w:cs="Arial" w:eastAsia="Arial" w:hAnsi="Arial"/>
                <w:sz w:val="16"/>
                <w:szCs w:val="16"/>
                <w:color w:val="auto"/>
                <w:w w:val="91"/>
              </w:rPr>
              <w:t>Identification Number)</w:t>
            </w:r>
          </w:p>
        </w:tc>
      </w:tr>
      <w:tr>
        <w:trPr>
          <w:trHeight w:val="273"/>
        </w:trPr>
        <w:tc>
          <w:tcPr>
            <w:tcW w:w="144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5420" w:type="dxa"/>
            <w:vAlign w:val="bottom"/>
            <w:gridSpan w:val="2"/>
          </w:tcPr>
          <w:p>
            <w:pPr>
              <w:jc w:val="center"/>
              <w:ind w:right="1820"/>
              <w:spacing w:after="0"/>
              <w:rPr>
                <w:sz w:val="20"/>
                <w:szCs w:val="20"/>
                <w:color w:val="auto"/>
              </w:rPr>
            </w:pPr>
            <w:r>
              <w:rPr>
                <w:rFonts w:ascii="Arial" w:cs="Arial" w:eastAsia="Arial" w:hAnsi="Arial"/>
                <w:sz w:val="16"/>
                <w:szCs w:val="16"/>
                <w:b w:val="1"/>
                <w:bCs w:val="1"/>
                <w:color w:val="auto"/>
                <w:w w:val="87"/>
              </w:rPr>
              <w:t>Clarendon House</w:t>
            </w:r>
          </w:p>
        </w:tc>
      </w:tr>
    </w:tbl>
    <w:p>
      <w:pPr>
        <w:jc w:val="center"/>
        <w:spacing w:after="0"/>
        <w:rPr>
          <w:sz w:val="20"/>
          <w:szCs w:val="20"/>
          <w:color w:val="auto"/>
        </w:rPr>
      </w:pPr>
      <w:r>
        <w:rPr>
          <w:rFonts w:ascii="Arial" w:cs="Arial" w:eastAsia="Arial" w:hAnsi="Arial"/>
          <w:sz w:val="16"/>
          <w:szCs w:val="16"/>
          <w:b w:val="1"/>
          <w:bCs w:val="1"/>
          <w:color w:val="auto"/>
        </w:rPr>
        <w:t>2 Church Street</w:t>
      </w:r>
    </w:p>
    <w:p>
      <w:pPr>
        <w:spacing w:after="0" w:line="8"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Hamilton HM11, Bermuda</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(Address of principal executive offices and zip code)</w:t>
      </w:r>
    </w:p>
    <w:p>
      <w:pPr>
        <w:spacing w:after="0" w:line="5"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(441) 297-9901</w:t>
      </w:r>
    </w:p>
    <w:p>
      <w:pPr>
        <w:jc w:val="center"/>
        <w:spacing w:after="0"/>
        <w:rPr>
          <w:sz w:val="20"/>
          <w:szCs w:val="20"/>
          <w:color w:val="auto"/>
        </w:rPr>
      </w:pPr>
      <w:r>
        <w:rPr>
          <w:rFonts w:ascii="Arial" w:cs="Arial" w:eastAsia="Arial" w:hAnsi="Arial"/>
          <w:sz w:val="16"/>
          <w:szCs w:val="16"/>
          <w:color w:val="auto"/>
        </w:rPr>
        <w:t>(Registrant’s telephone number, including area code)</w:t>
      </w:r>
    </w:p>
    <w:p>
      <w:pPr>
        <w:spacing w:after="0" w:line="228" w:lineRule="exact"/>
        <w:rPr>
          <w:sz w:val="24"/>
          <w:szCs w:val="24"/>
          <w:color w:val="auto"/>
        </w:rPr>
      </w:pPr>
    </w:p>
    <w:p>
      <w:pPr>
        <w:ind w:left="480"/>
        <w:spacing w:after="0"/>
        <w:rPr>
          <w:sz w:val="20"/>
          <w:szCs w:val="20"/>
          <w:color w:val="auto"/>
        </w:rPr>
      </w:pPr>
      <w:r>
        <w:rPr>
          <w:rFonts w:ascii="Arial" w:cs="Arial" w:eastAsia="Arial" w:hAnsi="Arial"/>
          <w:sz w:val="17"/>
          <w:szCs w:val="17"/>
          <w:color w:val="auto"/>
        </w:rPr>
        <w:t>Securities registered pursuant to Section 12(b) of the Act:</w:t>
      </w:r>
    </w:p>
    <w:p>
      <w:pPr>
        <w:spacing w:after="0" w:line="108" w:lineRule="exact"/>
        <w:rPr>
          <w:sz w:val="24"/>
          <w:szCs w:val="24"/>
          <w:color w:val="auto"/>
        </w:rPr>
      </w:pPr>
    </w:p>
    <w:tbl>
      <w:tblPr>
        <w:tblLayout w:type="fixed"/>
        <w:tblInd w:w="30" w:type="dxa"/>
        <w:tblCellMar>
          <w:top w:w="0" w:type="dxa"/>
          <w:left w:w="0" w:type="dxa"/>
          <w:bottom w:w="0" w:type="dxa"/>
          <w:right w:w="0" w:type="dxa"/>
        </w:tblCellMar>
      </w:tblPr>
      <w:tr>
        <w:trPr>
          <w:trHeight w:val="218"/>
        </w:trPr>
        <w:tc>
          <w:tcPr>
            <w:tcW w:w="418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84"/>
              </w:rPr>
              <w:t>Title of each class</w:t>
            </w:r>
          </w:p>
        </w:tc>
        <w:tc>
          <w:tcPr>
            <w:tcW w:w="288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88"/>
              </w:rPr>
              <w:t>Trading Symbol(s)</w:t>
            </w:r>
          </w:p>
        </w:tc>
        <w:tc>
          <w:tcPr>
            <w:tcW w:w="416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85"/>
              </w:rPr>
              <w:t>Name of each exchange on which registered</w:t>
            </w:r>
          </w:p>
        </w:tc>
      </w:tr>
      <w:tr>
        <w:trPr>
          <w:trHeight w:val="223"/>
        </w:trPr>
        <w:tc>
          <w:tcPr>
            <w:tcW w:w="41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91"/>
              </w:rPr>
              <w:t>Common Shares, $0.015 par value</w:t>
            </w:r>
          </w:p>
        </w:tc>
        <w:tc>
          <w:tcPr>
            <w:tcW w:w="28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96"/>
              </w:rPr>
              <w:t>ESNT</w:t>
            </w:r>
          </w:p>
        </w:tc>
        <w:tc>
          <w:tcPr>
            <w:tcW w:w="4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92"/>
              </w:rPr>
              <w:t>New York Stock Exchange</w:t>
            </w:r>
          </w:p>
        </w:tc>
      </w:tr>
    </w:tbl>
    <w:p>
      <w:pPr>
        <w:spacing w:after="0" w:line="299" w:lineRule="exact"/>
        <w:rPr>
          <w:sz w:val="24"/>
          <w:szCs w:val="24"/>
          <w:color w:val="auto"/>
        </w:rPr>
      </w:pPr>
    </w:p>
    <w:p>
      <w:pPr>
        <w:ind w:right="180" w:firstLine="545"/>
        <w:spacing w:after="0" w:line="220" w:lineRule="exact"/>
        <w:rPr>
          <w:sz w:val="20"/>
          <w:szCs w:val="20"/>
          <w:color w:val="auto"/>
        </w:rPr>
      </w:pPr>
      <w:r>
        <w:rPr>
          <w:rFonts w:ascii="Arial" w:cs="Arial" w:eastAsia="Arial" w:hAnsi="Arial"/>
          <w:sz w:val="17"/>
          <w:szCs w:val="17"/>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p>
    <w:p>
      <w:pPr>
        <w:spacing w:after="0" w:line="93" w:lineRule="exact"/>
        <w:rPr>
          <w:sz w:val="24"/>
          <w:szCs w:val="24"/>
          <w:color w:val="auto"/>
        </w:rPr>
      </w:pPr>
    </w:p>
    <w:p>
      <w:pPr>
        <w:ind w:right="200" w:firstLine="545"/>
        <w:spacing w:after="0" w:line="294" w:lineRule="auto"/>
        <w:rPr>
          <w:sz w:val="20"/>
          <w:szCs w:val="20"/>
          <w:color w:val="auto"/>
        </w:rPr>
      </w:pPr>
      <w:r>
        <w:rPr>
          <w:rFonts w:ascii="Arial" w:cs="Arial" w:eastAsia="Arial" w:hAnsi="Arial"/>
          <w:sz w:val="15"/>
          <w:szCs w:val="15"/>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w:t>
      </w:r>
    </w:p>
    <w:p>
      <w:pPr>
        <w:ind w:left="240" w:hanging="236"/>
        <w:spacing w:after="0" w:line="196" w:lineRule="exact"/>
        <w:tabs>
          <w:tab w:leader="none" w:pos="240" w:val="left"/>
        </w:tabs>
        <w:numPr>
          <w:ilvl w:val="0"/>
          <w:numId w:val="3"/>
        </w:numPr>
        <w:rPr>
          <w:rFonts w:ascii="MS PGothic" w:cs="MS PGothic" w:eastAsia="MS PGothic" w:hAnsi="MS PGothic"/>
          <w:sz w:val="17"/>
          <w:szCs w:val="17"/>
          <w:color w:val="auto"/>
        </w:rPr>
      </w:pPr>
      <w:r>
        <w:rPr>
          <w:rFonts w:ascii="Arial" w:cs="Arial" w:eastAsia="Arial" w:hAnsi="Arial"/>
          <w:sz w:val="17"/>
          <w:szCs w:val="17"/>
          <w:color w:val="auto"/>
        </w:rPr>
        <w:t xml:space="preserve">No </w:t>
      </w:r>
      <w:r>
        <w:rPr>
          <w:rFonts w:ascii="MS PGothic" w:cs="MS PGothic" w:eastAsia="MS PGothic" w:hAnsi="MS PGothic"/>
          <w:sz w:val="17"/>
          <w:szCs w:val="17"/>
          <w:color w:val="auto"/>
        </w:rPr>
        <w:t>☐</w:t>
      </w:r>
    </w:p>
    <w:p>
      <w:pPr>
        <w:spacing w:after="0" w:line="134" w:lineRule="exact"/>
        <w:rPr>
          <w:sz w:val="24"/>
          <w:szCs w:val="24"/>
          <w:color w:val="auto"/>
        </w:rPr>
      </w:pPr>
    </w:p>
    <w:p>
      <w:pPr>
        <w:jc w:val="both"/>
        <w:ind w:right="140" w:firstLine="545"/>
        <w:spacing w:after="0" w:line="270"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36" w:lineRule="exact"/>
        <w:rPr>
          <w:sz w:val="24"/>
          <w:szCs w:val="24"/>
          <w:color w:val="auto"/>
        </w:rPr>
      </w:pPr>
    </w:p>
    <w:tbl>
      <w:tblPr>
        <w:tblLayout w:type="fixed"/>
        <w:tblInd w:w="2440" w:type="dxa"/>
        <w:tblCellMar>
          <w:top w:w="0" w:type="dxa"/>
          <w:left w:w="0" w:type="dxa"/>
          <w:bottom w:w="0" w:type="dxa"/>
          <w:right w:w="0" w:type="dxa"/>
        </w:tblCellMar>
      </w:tblPr>
      <w:tr>
        <w:trPr>
          <w:trHeight w:val="221"/>
        </w:trPr>
        <w:tc>
          <w:tcPr>
            <w:tcW w:w="174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940" w:type="dxa"/>
            <w:vAlign w:val="bottom"/>
          </w:tcPr>
          <w:p>
            <w:pPr>
              <w:ind w:left="340"/>
              <w:spacing w:after="0" w:line="171" w:lineRule="exact"/>
              <w:rPr>
                <w:sz w:val="20"/>
                <w:szCs w:val="20"/>
                <w:color w:val="auto"/>
              </w:rPr>
            </w:pPr>
            <w:r>
              <w:rPr>
                <w:rFonts w:ascii="MS PGothic" w:cs="MS PGothic" w:eastAsia="MS PGothic" w:hAnsi="MS PGothic"/>
                <w:sz w:val="17"/>
                <w:szCs w:val="17"/>
                <w:color w:val="auto"/>
              </w:rPr>
              <w:t>☒</w:t>
            </w:r>
          </w:p>
        </w:tc>
        <w:tc>
          <w:tcPr>
            <w:tcW w:w="2760" w:type="dxa"/>
            <w:vAlign w:val="bottom"/>
          </w:tcPr>
          <w:p>
            <w:pPr>
              <w:ind w:left="460"/>
              <w:spacing w:after="0"/>
              <w:rPr>
                <w:sz w:val="20"/>
                <w:szCs w:val="20"/>
                <w:color w:val="auto"/>
              </w:rPr>
            </w:pPr>
            <w:r>
              <w:rPr>
                <w:rFonts w:ascii="Arial" w:cs="Arial" w:eastAsia="Arial" w:hAnsi="Arial"/>
                <w:sz w:val="16"/>
                <w:szCs w:val="16"/>
                <w:color w:val="auto"/>
              </w:rPr>
              <w:t>Accelerated filer</w:t>
            </w:r>
          </w:p>
        </w:tc>
        <w:tc>
          <w:tcPr>
            <w:tcW w:w="780" w:type="dxa"/>
            <w:vAlign w:val="bottom"/>
          </w:tcPr>
          <w:p>
            <w:pPr>
              <w:ind w:left="620"/>
              <w:spacing w:after="0" w:line="171" w:lineRule="exact"/>
              <w:rPr>
                <w:sz w:val="20"/>
                <w:szCs w:val="20"/>
                <w:color w:val="auto"/>
              </w:rPr>
            </w:pPr>
            <w:r>
              <w:rPr>
                <w:rFonts w:ascii="MS PGothic" w:cs="MS PGothic" w:eastAsia="MS PGothic" w:hAnsi="MS PGothic"/>
                <w:sz w:val="17"/>
                <w:szCs w:val="17"/>
                <w:color w:val="auto"/>
                <w:w w:val="82"/>
              </w:rPr>
              <w:t>☐</w:t>
            </w:r>
          </w:p>
        </w:tc>
      </w:tr>
      <w:tr>
        <w:trPr>
          <w:trHeight w:val="234"/>
        </w:trPr>
        <w:tc>
          <w:tcPr>
            <w:tcW w:w="1740" w:type="dxa"/>
            <w:vAlign w:val="bottom"/>
          </w:tcPr>
          <w:p>
            <w:pPr>
              <w:spacing w:after="0"/>
              <w:rPr>
                <w:sz w:val="20"/>
                <w:szCs w:val="20"/>
                <w:color w:val="auto"/>
              </w:rPr>
            </w:pPr>
            <w:r>
              <w:rPr>
                <w:rFonts w:ascii="Arial" w:cs="Arial" w:eastAsia="Arial" w:hAnsi="Arial"/>
                <w:sz w:val="16"/>
                <w:szCs w:val="16"/>
                <w:color w:val="auto"/>
              </w:rPr>
              <w:t>Non-accelerated filer</w:t>
            </w:r>
          </w:p>
        </w:tc>
        <w:tc>
          <w:tcPr>
            <w:tcW w:w="940" w:type="dxa"/>
            <w:vAlign w:val="bottom"/>
          </w:tcPr>
          <w:p>
            <w:pPr>
              <w:ind w:left="340"/>
              <w:spacing w:after="0" w:line="171" w:lineRule="exact"/>
              <w:rPr>
                <w:sz w:val="20"/>
                <w:szCs w:val="20"/>
                <w:color w:val="auto"/>
              </w:rPr>
            </w:pPr>
            <w:r>
              <w:rPr>
                <w:rFonts w:ascii="MS PGothic" w:cs="MS PGothic" w:eastAsia="MS PGothic" w:hAnsi="MS PGothic"/>
                <w:sz w:val="17"/>
                <w:szCs w:val="17"/>
                <w:color w:val="auto"/>
              </w:rPr>
              <w:t>☐</w:t>
            </w:r>
          </w:p>
        </w:tc>
        <w:tc>
          <w:tcPr>
            <w:tcW w:w="2760" w:type="dxa"/>
            <w:vAlign w:val="bottom"/>
          </w:tcPr>
          <w:p>
            <w:pPr>
              <w:ind w:left="460"/>
              <w:spacing w:after="0"/>
              <w:rPr>
                <w:sz w:val="20"/>
                <w:szCs w:val="20"/>
                <w:color w:val="auto"/>
              </w:rPr>
            </w:pPr>
            <w:r>
              <w:rPr>
                <w:rFonts w:ascii="Arial" w:cs="Arial" w:eastAsia="Arial" w:hAnsi="Arial"/>
                <w:sz w:val="16"/>
                <w:szCs w:val="16"/>
                <w:color w:val="auto"/>
              </w:rPr>
              <w:t>Smaller reporting company</w:t>
            </w:r>
          </w:p>
        </w:tc>
        <w:tc>
          <w:tcPr>
            <w:tcW w:w="780" w:type="dxa"/>
            <w:vAlign w:val="bottom"/>
          </w:tcPr>
          <w:p>
            <w:pPr>
              <w:ind w:left="620"/>
              <w:spacing w:after="0" w:line="171" w:lineRule="exact"/>
              <w:rPr>
                <w:sz w:val="20"/>
                <w:szCs w:val="20"/>
                <w:color w:val="auto"/>
              </w:rPr>
            </w:pPr>
            <w:r>
              <w:rPr>
                <w:rFonts w:ascii="MS PGothic" w:cs="MS PGothic" w:eastAsia="MS PGothic" w:hAnsi="MS PGothic"/>
                <w:sz w:val="17"/>
                <w:szCs w:val="17"/>
                <w:color w:val="auto"/>
                <w:w w:val="82"/>
              </w:rPr>
              <w:t>☐</w:t>
            </w:r>
          </w:p>
        </w:tc>
      </w:tr>
      <w:tr>
        <w:trPr>
          <w:trHeight w:val="291"/>
        </w:trPr>
        <w:tc>
          <w:tcPr>
            <w:tcW w:w="17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760" w:type="dxa"/>
            <w:vAlign w:val="bottom"/>
          </w:tcPr>
          <w:p>
            <w:pPr>
              <w:ind w:left="460"/>
              <w:spacing w:after="0"/>
              <w:rPr>
                <w:sz w:val="20"/>
                <w:szCs w:val="20"/>
                <w:color w:val="auto"/>
              </w:rPr>
            </w:pPr>
            <w:r>
              <w:rPr>
                <w:rFonts w:ascii="Arial" w:cs="Arial" w:eastAsia="Arial" w:hAnsi="Arial"/>
                <w:sz w:val="16"/>
                <w:szCs w:val="16"/>
                <w:color w:val="auto"/>
              </w:rPr>
              <w:t>Emerging growth company</w:t>
            </w:r>
          </w:p>
        </w:tc>
        <w:tc>
          <w:tcPr>
            <w:tcW w:w="780" w:type="dxa"/>
            <w:vAlign w:val="bottom"/>
          </w:tcPr>
          <w:p>
            <w:pPr>
              <w:ind w:left="620"/>
              <w:spacing w:after="0" w:line="171" w:lineRule="exact"/>
              <w:rPr>
                <w:sz w:val="20"/>
                <w:szCs w:val="20"/>
                <w:color w:val="auto"/>
              </w:rPr>
            </w:pPr>
            <w:r>
              <w:rPr>
                <w:rFonts w:ascii="MS PGothic" w:cs="MS PGothic" w:eastAsia="MS PGothic" w:hAnsi="MS PGothic"/>
                <w:sz w:val="17"/>
                <w:szCs w:val="17"/>
                <w:color w:val="auto"/>
                <w:w w:val="82"/>
              </w:rPr>
              <w:t>☐</w:t>
            </w:r>
          </w:p>
        </w:tc>
      </w:tr>
    </w:tbl>
    <w:p>
      <w:pPr>
        <w:spacing w:after="0" w:line="52" w:lineRule="exact"/>
        <w:rPr>
          <w:sz w:val="24"/>
          <w:szCs w:val="24"/>
          <w:color w:val="auto"/>
        </w:rPr>
      </w:pPr>
    </w:p>
    <w:p>
      <w:pPr>
        <w:ind w:right="60" w:firstLine="545"/>
        <w:spacing w:after="0" w:line="211" w:lineRule="exact"/>
        <w:rPr>
          <w:sz w:val="20"/>
          <w:szCs w:val="20"/>
          <w:color w:val="auto"/>
        </w:rPr>
      </w:pPr>
      <w:r>
        <w:rPr>
          <w:rFonts w:ascii="Arial" w:cs="Arial" w:eastAsia="Arial" w:hAnsi="Arial"/>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1" w:lineRule="exact"/>
        <w:rPr>
          <w:sz w:val="24"/>
          <w:szCs w:val="24"/>
          <w:color w:val="auto"/>
        </w:rPr>
      </w:pPr>
    </w:p>
    <w:p>
      <w:pPr>
        <w:ind w:left="540" w:right="1820"/>
        <w:spacing w:after="0" w:line="210" w:lineRule="exact"/>
        <w:rPr>
          <w:sz w:val="20"/>
          <w:szCs w:val="20"/>
          <w:color w:val="auto"/>
        </w:rPr>
      </w:pPr>
      <w:r>
        <w:rPr>
          <w:rFonts w:ascii="Arial" w:cs="Arial" w:eastAsia="Arial" w:hAnsi="Arial"/>
          <w:sz w:val="17"/>
          <w:szCs w:val="17"/>
          <w:color w:val="auto"/>
        </w:rPr>
        <w:t xml:space="preserve">Indicate by check mark whether the registrant is a shell company (as defined in Rule 12b-2 of the Exchange Act).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r>
        <w:rPr>
          <w:rFonts w:ascii="Arial" w:cs="Arial" w:eastAsia="Arial" w:hAnsi="Arial"/>
          <w:sz w:val="17"/>
          <w:szCs w:val="17"/>
          <w:color w:val="auto"/>
        </w:rPr>
        <w:t xml:space="preserve"> The number of the registrant’s common shares outstanding as of August 3, 2023 was 106,988,429.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-9525</wp:posOffset>
            </wp:positionH>
            <wp:positionV relativeFrom="paragraph">
              <wp:posOffset>523875</wp:posOffset>
            </wp:positionV>
            <wp:extent cx="7162800" cy="419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231" w:right="3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95"/>
        </w:trPr>
        <w:tc>
          <w:tcPr>
            <w:tcW w:w="1240" w:type="dxa"/>
            <w:vAlign w:val="bottom"/>
            <w:tcBorders>
              <w:bottom w:val="single" w:sz="8" w:color="0000FF"/>
            </w:tcBorders>
            <w:gridSpan w:val="7"/>
          </w:tcPr>
          <w:p>
            <w:pPr>
              <w:spacing w:after="0"/>
              <w:rPr>
                <w:sz w:val="20"/>
                <w:szCs w:val="20"/>
                <w:color w:val="auto"/>
              </w:rPr>
            </w:pPr>
            <w:r>
              <w:rPr>
                <w:rFonts w:ascii="Arial" w:cs="Arial" w:eastAsia="Arial" w:hAnsi="Arial"/>
                <w:sz w:val="17"/>
                <w:szCs w:val="17"/>
                <w:color w:val="0000FF"/>
                <w:w w:val="90"/>
              </w:rPr>
              <w:t>Table of Contents</w:t>
            </w:r>
          </w:p>
        </w:tc>
        <w:tc>
          <w:tcPr>
            <w:tcW w:w="3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759"/>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520" w:type="dxa"/>
            <w:vAlign w:val="bottom"/>
            <w:gridSpan w:val="9"/>
          </w:tcPr>
          <w:p>
            <w:pPr>
              <w:jc w:val="center"/>
              <w:ind w:right="2400"/>
              <w:spacing w:after="0"/>
              <w:rPr>
                <w:sz w:val="20"/>
                <w:szCs w:val="20"/>
                <w:color w:val="auto"/>
              </w:rPr>
            </w:pPr>
            <w:r>
              <w:rPr>
                <w:rFonts w:ascii="Arial" w:cs="Arial" w:eastAsia="Arial" w:hAnsi="Arial"/>
                <w:sz w:val="17"/>
                <w:szCs w:val="17"/>
                <w:b w:val="1"/>
                <w:bCs w:val="1"/>
                <w:color w:val="auto"/>
                <w:w w:val="91"/>
              </w:rPr>
              <w:t>Essent Group Ltd. and Subsidiaries</w:t>
            </w:r>
          </w:p>
        </w:tc>
        <w:tc>
          <w:tcPr>
            <w:tcW w:w="1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5"/>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520" w:type="dxa"/>
            <w:vAlign w:val="bottom"/>
            <w:gridSpan w:val="9"/>
          </w:tcPr>
          <w:p>
            <w:pPr>
              <w:jc w:val="center"/>
              <w:ind w:right="2380"/>
              <w:spacing w:after="0"/>
              <w:rPr>
                <w:sz w:val="20"/>
                <w:szCs w:val="20"/>
                <w:color w:val="auto"/>
              </w:rPr>
            </w:pPr>
            <w:r>
              <w:rPr>
                <w:rFonts w:ascii="Arial" w:cs="Arial" w:eastAsia="Arial" w:hAnsi="Arial"/>
                <w:sz w:val="17"/>
                <w:szCs w:val="17"/>
                <w:b w:val="1"/>
                <w:bCs w:val="1"/>
                <w:color w:val="auto"/>
                <w:w w:val="96"/>
              </w:rPr>
              <w:t>Form 10-Q</w:t>
            </w:r>
          </w:p>
        </w:tc>
        <w:tc>
          <w:tcPr>
            <w:tcW w:w="1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5"/>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520" w:type="dxa"/>
            <w:vAlign w:val="bottom"/>
            <w:gridSpan w:val="9"/>
          </w:tcPr>
          <w:p>
            <w:pPr>
              <w:jc w:val="center"/>
              <w:ind w:right="2380"/>
              <w:spacing w:after="0"/>
              <w:rPr>
                <w:sz w:val="20"/>
                <w:szCs w:val="20"/>
                <w:color w:val="auto"/>
              </w:rPr>
            </w:pPr>
            <w:r>
              <w:rPr>
                <w:rFonts w:ascii="Arial" w:cs="Arial" w:eastAsia="Arial" w:hAnsi="Arial"/>
                <w:sz w:val="17"/>
                <w:szCs w:val="17"/>
                <w:b w:val="1"/>
                <w:bCs w:val="1"/>
                <w:color w:val="auto"/>
                <w:w w:val="94"/>
              </w:rPr>
              <w:t>Index</w:t>
            </w:r>
          </w:p>
        </w:tc>
        <w:tc>
          <w:tcPr>
            <w:tcW w:w="1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506"/>
        </w:trPr>
        <w:tc>
          <w:tcPr>
            <w:tcW w:w="20" w:type="dxa"/>
            <w:vAlign w:val="bottom"/>
          </w:tcPr>
          <w:p>
            <w:pPr>
              <w:spacing w:after="0"/>
              <w:rPr>
                <w:sz w:val="24"/>
                <w:szCs w:val="24"/>
                <w:color w:val="auto"/>
              </w:rPr>
            </w:pPr>
          </w:p>
        </w:tc>
        <w:tc>
          <w:tcPr>
            <w:tcW w:w="1220" w:type="dxa"/>
            <w:vAlign w:val="bottom"/>
            <w:gridSpan w:val="6"/>
          </w:tcPr>
          <w:p>
            <w:pPr>
              <w:spacing w:after="0"/>
              <w:rPr>
                <w:sz w:val="20"/>
                <w:szCs w:val="20"/>
                <w:color w:val="auto"/>
              </w:rPr>
            </w:pPr>
            <w:r>
              <w:rPr>
                <w:rFonts w:ascii="Arial" w:cs="Arial" w:eastAsia="Arial" w:hAnsi="Arial"/>
                <w:sz w:val="17"/>
                <w:szCs w:val="17"/>
                <w:b w:val="1"/>
                <w:bCs w:val="1"/>
                <w:color w:val="0000FF"/>
              </w:rPr>
              <w:t>PART I.</w:t>
            </w:r>
          </w:p>
        </w:tc>
        <w:tc>
          <w:tcPr>
            <w:tcW w:w="340" w:type="dxa"/>
            <w:vAlign w:val="bottom"/>
          </w:tcPr>
          <w:p>
            <w:pPr>
              <w:spacing w:after="0"/>
              <w:rPr>
                <w:sz w:val="24"/>
                <w:szCs w:val="24"/>
                <w:color w:val="auto"/>
              </w:rPr>
            </w:pPr>
          </w:p>
        </w:tc>
        <w:tc>
          <w:tcPr>
            <w:tcW w:w="8000" w:type="dxa"/>
            <w:vAlign w:val="bottom"/>
            <w:gridSpan w:val="16"/>
          </w:tcPr>
          <w:p>
            <w:pPr>
              <w:spacing w:after="0"/>
              <w:rPr>
                <w:sz w:val="20"/>
                <w:szCs w:val="20"/>
                <w:color w:val="auto"/>
              </w:rPr>
            </w:pPr>
            <w:r>
              <w:rPr>
                <w:rFonts w:ascii="Arial" w:cs="Arial" w:eastAsia="Arial" w:hAnsi="Arial"/>
                <w:sz w:val="17"/>
                <w:szCs w:val="17"/>
                <w:b w:val="1"/>
                <w:bCs w:val="1"/>
                <w:color w:val="0000FF"/>
              </w:rPr>
              <w:t>FINANCIAL INFORMATION</w:t>
            </w:r>
          </w:p>
        </w:tc>
        <w:tc>
          <w:tcPr>
            <w:tcW w:w="1620" w:type="dxa"/>
            <w:vAlign w:val="bottom"/>
            <w:gridSpan w:val="3"/>
          </w:tcPr>
          <w:p>
            <w:pPr>
              <w:jc w:val="right"/>
              <w:spacing w:after="0"/>
              <w:rPr>
                <w:sz w:val="20"/>
                <w:szCs w:val="20"/>
                <w:color w:val="auto"/>
              </w:rPr>
            </w:pPr>
            <w:r>
              <w:rPr>
                <w:rFonts w:ascii="Arial" w:cs="Arial" w:eastAsia="Arial" w:hAnsi="Arial"/>
                <w:sz w:val="17"/>
                <w:szCs w:val="17"/>
                <w:color w:val="0000FF"/>
              </w:rPr>
              <w:t>1</w:t>
            </w:r>
          </w:p>
        </w:tc>
      </w:tr>
      <w:tr>
        <w:trPr>
          <w:trHeight w:val="20"/>
        </w:trPr>
        <w:tc>
          <w:tcPr>
            <w:tcW w:w="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r>
      <w:tr>
        <w:trPr>
          <w:trHeight w:val="421"/>
        </w:trPr>
        <w:tc>
          <w:tcPr>
            <w:tcW w:w="20" w:type="dxa"/>
            <w:vAlign w:val="bottom"/>
          </w:tcPr>
          <w:p>
            <w:pPr>
              <w:spacing w:after="0"/>
              <w:rPr>
                <w:sz w:val="24"/>
                <w:szCs w:val="24"/>
                <w:color w:val="auto"/>
              </w:rPr>
            </w:pPr>
          </w:p>
        </w:tc>
        <w:tc>
          <w:tcPr>
            <w:tcW w:w="520" w:type="dxa"/>
            <w:vAlign w:val="bottom"/>
          </w:tcPr>
          <w:p>
            <w:pPr>
              <w:spacing w:after="0"/>
              <w:rPr>
                <w:sz w:val="20"/>
                <w:szCs w:val="20"/>
                <w:color w:val="auto"/>
              </w:rPr>
            </w:pPr>
            <w:r>
              <w:rPr>
                <w:rFonts w:ascii="Arial" w:cs="Arial" w:eastAsia="Arial" w:hAnsi="Arial"/>
                <w:sz w:val="17"/>
                <w:szCs w:val="17"/>
                <w:b w:val="1"/>
                <w:bCs w:val="1"/>
                <w:color w:val="0000FF"/>
                <w:w w:val="92"/>
              </w:rPr>
              <w:t>Item 1.</w:t>
            </w:r>
          </w:p>
        </w:tc>
        <w:tc>
          <w:tcPr>
            <w:tcW w:w="80" w:type="dxa"/>
            <w:vAlign w:val="bottom"/>
          </w:tcPr>
          <w:p>
            <w:pPr>
              <w:spacing w:after="0"/>
              <w:rPr>
                <w:sz w:val="24"/>
                <w:szCs w:val="24"/>
                <w:color w:val="auto"/>
              </w:rPr>
            </w:pPr>
          </w:p>
        </w:tc>
        <w:tc>
          <w:tcPr>
            <w:tcW w:w="620" w:type="dxa"/>
            <w:vAlign w:val="bottom"/>
            <w:gridSpan w:val="4"/>
          </w:tcPr>
          <w:p>
            <w:pPr>
              <w:spacing w:after="0"/>
              <w:rPr>
                <w:sz w:val="24"/>
                <w:szCs w:val="24"/>
                <w:color w:val="auto"/>
              </w:rPr>
            </w:pPr>
          </w:p>
        </w:tc>
        <w:tc>
          <w:tcPr>
            <w:tcW w:w="340" w:type="dxa"/>
            <w:vAlign w:val="bottom"/>
          </w:tcPr>
          <w:p>
            <w:pPr>
              <w:spacing w:after="0"/>
              <w:rPr>
                <w:sz w:val="24"/>
                <w:szCs w:val="24"/>
                <w:color w:val="auto"/>
              </w:rPr>
            </w:pPr>
          </w:p>
        </w:tc>
        <w:tc>
          <w:tcPr>
            <w:tcW w:w="8000" w:type="dxa"/>
            <w:vAlign w:val="bottom"/>
            <w:gridSpan w:val="16"/>
          </w:tcPr>
          <w:p>
            <w:pPr>
              <w:spacing w:after="0"/>
              <w:rPr>
                <w:sz w:val="20"/>
                <w:szCs w:val="20"/>
                <w:color w:val="auto"/>
              </w:rPr>
            </w:pPr>
            <w:r>
              <w:rPr>
                <w:rFonts w:ascii="Arial" w:cs="Arial" w:eastAsia="Arial" w:hAnsi="Arial"/>
                <w:sz w:val="17"/>
                <w:szCs w:val="17"/>
                <w:b w:val="1"/>
                <w:bCs w:val="1"/>
                <w:color w:val="0000FF"/>
              </w:rPr>
              <w:t>Financial Statements (Unaudited)</w:t>
            </w:r>
          </w:p>
        </w:tc>
        <w:tc>
          <w:tcPr>
            <w:tcW w:w="1620" w:type="dxa"/>
            <w:vAlign w:val="bottom"/>
            <w:gridSpan w:val="3"/>
          </w:tcPr>
          <w:p>
            <w:pPr>
              <w:jc w:val="right"/>
              <w:spacing w:after="0"/>
              <w:rPr>
                <w:sz w:val="20"/>
                <w:szCs w:val="20"/>
                <w:color w:val="auto"/>
              </w:rPr>
            </w:pPr>
            <w:r>
              <w:rPr>
                <w:rFonts w:ascii="Arial" w:cs="Arial" w:eastAsia="Arial" w:hAnsi="Arial"/>
                <w:sz w:val="17"/>
                <w:szCs w:val="17"/>
                <w:color w:val="0000FF"/>
              </w:rPr>
              <w:t>1</w:t>
            </w:r>
          </w:p>
        </w:tc>
      </w:tr>
      <w:tr>
        <w:trPr>
          <w:trHeight w:val="20"/>
        </w:trPr>
        <w:tc>
          <w:tcPr>
            <w:tcW w:w="20" w:type="dxa"/>
            <w:vAlign w:val="bottom"/>
          </w:tcPr>
          <w:p>
            <w:pPr>
              <w:spacing w:after="0" w:line="20" w:lineRule="exact"/>
              <w:rPr>
                <w:sz w:val="1"/>
                <w:szCs w:val="1"/>
                <w:color w:val="auto"/>
              </w:rPr>
            </w:pPr>
          </w:p>
        </w:tc>
        <w:tc>
          <w:tcPr>
            <w:tcW w:w="520" w:type="dxa"/>
            <w:vAlign w:val="bottom"/>
            <w:tcBorders>
              <w:bottom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0000FF"/>
            </w:tcBorders>
            <w:shd w:val="clear" w:color="auto" w:fill="0000FF"/>
          </w:tcPr>
          <w:p>
            <w:pPr>
              <w:spacing w:after="0" w:line="20" w:lineRule="exact"/>
              <w:rPr>
                <w:sz w:val="1"/>
                <w:szCs w:val="1"/>
                <w:color w:val="auto"/>
              </w:rPr>
            </w:pPr>
          </w:p>
        </w:tc>
      </w:tr>
      <w:tr>
        <w:trPr>
          <w:trHeight w:val="414"/>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920" w:type="dxa"/>
            <w:vAlign w:val="bottom"/>
            <w:tcBorders>
              <w:bottom w:val="single" w:sz="8" w:color="0000FF"/>
            </w:tcBorders>
            <w:gridSpan w:val="8"/>
          </w:tcPr>
          <w:p>
            <w:pPr>
              <w:spacing w:after="0"/>
              <w:rPr>
                <w:sz w:val="20"/>
                <w:szCs w:val="20"/>
                <w:color w:val="auto"/>
              </w:rPr>
            </w:pPr>
            <w:r>
              <w:rPr>
                <w:rFonts w:ascii="Arial" w:cs="Arial" w:eastAsia="Arial" w:hAnsi="Arial"/>
                <w:sz w:val="17"/>
                <w:szCs w:val="17"/>
                <w:b w:val="1"/>
                <w:bCs w:val="1"/>
                <w:color w:val="0000FF"/>
                <w:w w:val="89"/>
              </w:rPr>
              <w:t>Condensed Consolidated Balance Sheets (Unaudited)</w:t>
            </w:r>
          </w:p>
        </w:tc>
        <w:tc>
          <w:tcPr>
            <w:tcW w:w="4080" w:type="dxa"/>
            <w:vAlign w:val="bottom"/>
            <w:gridSpan w:val="8"/>
          </w:tcPr>
          <w:p>
            <w:pPr>
              <w:spacing w:after="0"/>
              <w:rPr>
                <w:sz w:val="24"/>
                <w:szCs w:val="24"/>
                <w:color w:val="auto"/>
              </w:rPr>
            </w:pPr>
          </w:p>
        </w:tc>
        <w:tc>
          <w:tcPr>
            <w:tcW w:w="1520" w:type="dxa"/>
            <w:vAlign w:val="bottom"/>
            <w:gridSpan w:val="2"/>
          </w:tcPr>
          <w:p>
            <w:pPr>
              <w:spacing w:after="0"/>
              <w:rPr>
                <w:sz w:val="24"/>
                <w:szCs w:val="24"/>
                <w:color w:val="auto"/>
              </w:rPr>
            </w:pPr>
          </w:p>
        </w:tc>
        <w:tc>
          <w:tcPr>
            <w:tcW w:w="100" w:type="dxa"/>
            <w:vAlign w:val="bottom"/>
            <w:tcBorders>
              <w:bottom w:val="single" w:sz="8" w:color="0000FF"/>
            </w:tcBorders>
          </w:tcPr>
          <w:p>
            <w:pPr>
              <w:jc w:val="right"/>
              <w:spacing w:after="0"/>
              <w:rPr>
                <w:sz w:val="20"/>
                <w:szCs w:val="20"/>
                <w:color w:val="auto"/>
              </w:rPr>
            </w:pPr>
            <w:r>
              <w:rPr>
                <w:rFonts w:ascii="Arial" w:cs="Arial" w:eastAsia="Arial" w:hAnsi="Arial"/>
                <w:sz w:val="17"/>
                <w:szCs w:val="17"/>
                <w:color w:val="0000FF"/>
                <w:w w:val="84"/>
              </w:rPr>
              <w:t>1</w:t>
            </w:r>
          </w:p>
        </w:tc>
      </w:tr>
      <w:tr>
        <w:trPr>
          <w:trHeight w:val="434"/>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600" w:type="dxa"/>
            <w:vAlign w:val="bottom"/>
            <w:tcBorders>
              <w:bottom w:val="single" w:sz="8" w:color="0000FF"/>
            </w:tcBorders>
            <w:gridSpan w:val="13"/>
          </w:tcPr>
          <w:p>
            <w:pPr>
              <w:spacing w:after="0"/>
              <w:rPr>
                <w:sz w:val="20"/>
                <w:szCs w:val="20"/>
                <w:color w:val="auto"/>
              </w:rPr>
            </w:pPr>
            <w:r>
              <w:rPr>
                <w:rFonts w:ascii="Arial" w:cs="Arial" w:eastAsia="Arial" w:hAnsi="Arial"/>
                <w:sz w:val="17"/>
                <w:szCs w:val="17"/>
                <w:b w:val="1"/>
                <w:bCs w:val="1"/>
                <w:color w:val="0000FF"/>
                <w:w w:val="90"/>
              </w:rPr>
              <w:t>Condensed Consolidated Statements of Comprehensive Income (Unaudited)</w:t>
            </w:r>
          </w:p>
        </w:tc>
        <w:tc>
          <w:tcPr>
            <w:tcW w:w="2400" w:type="dxa"/>
            <w:vAlign w:val="bottom"/>
            <w:gridSpan w:val="3"/>
          </w:tcPr>
          <w:p>
            <w:pPr>
              <w:spacing w:after="0"/>
              <w:rPr>
                <w:sz w:val="24"/>
                <w:szCs w:val="24"/>
                <w:color w:val="auto"/>
              </w:rPr>
            </w:pPr>
          </w:p>
        </w:tc>
        <w:tc>
          <w:tcPr>
            <w:tcW w:w="1520" w:type="dxa"/>
            <w:vAlign w:val="bottom"/>
            <w:gridSpan w:val="2"/>
          </w:tcPr>
          <w:p>
            <w:pPr>
              <w:spacing w:after="0"/>
              <w:rPr>
                <w:sz w:val="24"/>
                <w:szCs w:val="24"/>
                <w:color w:val="auto"/>
              </w:rPr>
            </w:pPr>
          </w:p>
        </w:tc>
        <w:tc>
          <w:tcPr>
            <w:tcW w:w="100" w:type="dxa"/>
            <w:vAlign w:val="bottom"/>
            <w:tcBorders>
              <w:bottom w:val="single" w:sz="8" w:color="0000FF"/>
            </w:tcBorders>
          </w:tcPr>
          <w:p>
            <w:pPr>
              <w:jc w:val="right"/>
              <w:spacing w:after="0"/>
              <w:rPr>
                <w:sz w:val="20"/>
                <w:szCs w:val="20"/>
                <w:color w:val="auto"/>
              </w:rPr>
            </w:pPr>
            <w:r>
              <w:rPr>
                <w:rFonts w:ascii="Arial" w:cs="Arial" w:eastAsia="Arial" w:hAnsi="Arial"/>
                <w:sz w:val="17"/>
                <w:szCs w:val="17"/>
                <w:color w:val="0000FF"/>
                <w:w w:val="84"/>
              </w:rPr>
              <w:t>2</w:t>
            </w:r>
          </w:p>
        </w:tc>
      </w:tr>
      <w:tr>
        <w:trPr>
          <w:trHeight w:val="421"/>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280" w:type="dxa"/>
            <w:vAlign w:val="bottom"/>
            <w:tcBorders>
              <w:bottom w:val="single" w:sz="8" w:color="0000FF"/>
            </w:tcBorders>
            <w:gridSpan w:val="14"/>
          </w:tcPr>
          <w:p>
            <w:pPr>
              <w:spacing w:after="0"/>
              <w:rPr>
                <w:sz w:val="20"/>
                <w:szCs w:val="20"/>
                <w:color w:val="auto"/>
              </w:rPr>
            </w:pPr>
            <w:r>
              <w:rPr>
                <w:rFonts w:ascii="Arial" w:cs="Arial" w:eastAsia="Arial" w:hAnsi="Arial"/>
                <w:sz w:val="17"/>
                <w:szCs w:val="17"/>
                <w:b w:val="1"/>
                <w:bCs w:val="1"/>
                <w:color w:val="0000FF"/>
                <w:w w:val="90"/>
              </w:rPr>
              <w:t>Condensed Consolidated Statements of Changes in Stockholders’ Equity (Unaudited)</w:t>
            </w:r>
          </w:p>
        </w:tc>
        <w:tc>
          <w:tcPr>
            <w:tcW w:w="1720" w:type="dxa"/>
            <w:vAlign w:val="bottom"/>
            <w:gridSpan w:val="2"/>
          </w:tcPr>
          <w:p>
            <w:pPr>
              <w:spacing w:after="0"/>
              <w:rPr>
                <w:sz w:val="24"/>
                <w:szCs w:val="24"/>
                <w:color w:val="auto"/>
              </w:rPr>
            </w:pPr>
          </w:p>
        </w:tc>
        <w:tc>
          <w:tcPr>
            <w:tcW w:w="1520" w:type="dxa"/>
            <w:vAlign w:val="bottom"/>
            <w:gridSpan w:val="2"/>
          </w:tcPr>
          <w:p>
            <w:pPr>
              <w:spacing w:after="0"/>
              <w:rPr>
                <w:sz w:val="24"/>
                <w:szCs w:val="24"/>
                <w:color w:val="auto"/>
              </w:rPr>
            </w:pPr>
          </w:p>
        </w:tc>
        <w:tc>
          <w:tcPr>
            <w:tcW w:w="100" w:type="dxa"/>
            <w:vAlign w:val="bottom"/>
            <w:tcBorders>
              <w:bottom w:val="single" w:sz="8" w:color="0000FF"/>
            </w:tcBorders>
          </w:tcPr>
          <w:p>
            <w:pPr>
              <w:jc w:val="right"/>
              <w:spacing w:after="0"/>
              <w:rPr>
                <w:sz w:val="20"/>
                <w:szCs w:val="20"/>
                <w:color w:val="auto"/>
              </w:rPr>
            </w:pPr>
            <w:r>
              <w:rPr>
                <w:rFonts w:ascii="Arial" w:cs="Arial" w:eastAsia="Arial" w:hAnsi="Arial"/>
                <w:sz w:val="17"/>
                <w:szCs w:val="17"/>
                <w:color w:val="0000FF"/>
                <w:w w:val="84"/>
              </w:rPr>
              <w:t>3</w:t>
            </w:r>
          </w:p>
        </w:tc>
      </w:tr>
      <w:tr>
        <w:trPr>
          <w:trHeight w:val="434"/>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0" w:type="dxa"/>
            <w:vAlign w:val="bottom"/>
            <w:gridSpan w:val="16"/>
          </w:tcPr>
          <w:p>
            <w:pPr>
              <w:spacing w:after="0"/>
              <w:rPr>
                <w:sz w:val="20"/>
                <w:szCs w:val="20"/>
                <w:color w:val="auto"/>
              </w:rPr>
            </w:pPr>
            <w:r>
              <w:rPr>
                <w:rFonts w:ascii="Arial" w:cs="Arial" w:eastAsia="Arial" w:hAnsi="Arial"/>
                <w:sz w:val="17"/>
                <w:szCs w:val="17"/>
                <w:b w:val="1"/>
                <w:bCs w:val="1"/>
                <w:color w:val="0000FF"/>
              </w:rPr>
              <w:t>Condensed Consolidated Statements of Cash Flows (Unaudited)</w:t>
            </w:r>
          </w:p>
        </w:tc>
        <w:tc>
          <w:tcPr>
            <w:tcW w:w="1620" w:type="dxa"/>
            <w:vAlign w:val="bottom"/>
            <w:gridSpan w:val="3"/>
          </w:tcPr>
          <w:p>
            <w:pPr>
              <w:jc w:val="right"/>
              <w:spacing w:after="0"/>
              <w:rPr>
                <w:sz w:val="20"/>
                <w:szCs w:val="20"/>
                <w:color w:val="auto"/>
              </w:rPr>
            </w:pPr>
            <w:r>
              <w:rPr>
                <w:rFonts w:ascii="Arial" w:cs="Arial" w:eastAsia="Arial" w:hAnsi="Arial"/>
                <w:sz w:val="17"/>
                <w:szCs w:val="17"/>
                <w:color w:val="0000FF"/>
              </w:rPr>
              <w:t>4</w:t>
            </w: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460" w:type="dxa"/>
            <w:vAlign w:val="bottom"/>
            <w:gridSpan w:val="4"/>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560" w:type="dxa"/>
            <w:vAlign w:val="bottom"/>
            <w:gridSpan w:val="3"/>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0000FF"/>
            </w:tcBorders>
            <w:shd w:val="clear" w:color="auto" w:fill="0000FF"/>
          </w:tcPr>
          <w:p>
            <w:pPr>
              <w:spacing w:after="0" w:line="20" w:lineRule="exact"/>
              <w:rPr>
                <w:sz w:val="1"/>
                <w:szCs w:val="1"/>
                <w:color w:val="auto"/>
              </w:rPr>
            </w:pPr>
          </w:p>
        </w:tc>
      </w:tr>
      <w:tr>
        <w:trPr>
          <w:trHeight w:val="414"/>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0" w:type="dxa"/>
            <w:vAlign w:val="bottom"/>
            <w:gridSpan w:val="16"/>
          </w:tcPr>
          <w:p>
            <w:pPr>
              <w:spacing w:after="0"/>
              <w:rPr>
                <w:sz w:val="20"/>
                <w:szCs w:val="20"/>
                <w:color w:val="auto"/>
              </w:rPr>
            </w:pPr>
            <w:r>
              <w:rPr>
                <w:rFonts w:ascii="Arial" w:cs="Arial" w:eastAsia="Arial" w:hAnsi="Arial"/>
                <w:sz w:val="17"/>
                <w:szCs w:val="17"/>
                <w:b w:val="1"/>
                <w:bCs w:val="1"/>
                <w:color w:val="0000FF"/>
              </w:rPr>
              <w:t>Notes to Condensed Consolidated Financial Statements (Unaudited)</w:t>
            </w:r>
          </w:p>
        </w:tc>
        <w:tc>
          <w:tcPr>
            <w:tcW w:w="1620" w:type="dxa"/>
            <w:vAlign w:val="bottom"/>
            <w:gridSpan w:val="3"/>
          </w:tcPr>
          <w:p>
            <w:pPr>
              <w:jc w:val="right"/>
              <w:spacing w:after="0"/>
              <w:rPr>
                <w:sz w:val="20"/>
                <w:szCs w:val="20"/>
                <w:color w:val="auto"/>
              </w:rPr>
            </w:pPr>
            <w:r>
              <w:rPr>
                <w:rFonts w:ascii="Arial" w:cs="Arial" w:eastAsia="Arial" w:hAnsi="Arial"/>
                <w:sz w:val="17"/>
                <w:szCs w:val="17"/>
                <w:color w:val="0000FF"/>
              </w:rPr>
              <w:t>5</w:t>
            </w:r>
          </w:p>
        </w:tc>
      </w:tr>
      <w:tr>
        <w:trPr>
          <w:trHeight w:val="20"/>
        </w:trPr>
        <w:tc>
          <w:tcPr>
            <w:tcW w:w="20" w:type="dxa"/>
            <w:vAlign w:val="bottom"/>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460" w:type="dxa"/>
            <w:vAlign w:val="bottom"/>
            <w:gridSpan w:val="4"/>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1560" w:type="dxa"/>
            <w:vAlign w:val="bottom"/>
            <w:gridSpan w:val="3"/>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r>
      <w:tr>
        <w:trPr>
          <w:trHeight w:val="421"/>
        </w:trPr>
        <w:tc>
          <w:tcPr>
            <w:tcW w:w="20" w:type="dxa"/>
            <w:vAlign w:val="bottom"/>
          </w:tcPr>
          <w:p>
            <w:pPr>
              <w:spacing w:after="0"/>
              <w:rPr>
                <w:sz w:val="24"/>
                <w:szCs w:val="24"/>
                <w:color w:val="auto"/>
              </w:rPr>
            </w:pPr>
          </w:p>
        </w:tc>
        <w:tc>
          <w:tcPr>
            <w:tcW w:w="520" w:type="dxa"/>
            <w:vAlign w:val="bottom"/>
            <w:tcBorders>
              <w:bottom w:val="single" w:sz="8" w:color="0000FF"/>
            </w:tcBorders>
          </w:tcPr>
          <w:p>
            <w:pPr>
              <w:spacing w:after="0"/>
              <w:rPr>
                <w:sz w:val="20"/>
                <w:szCs w:val="20"/>
                <w:color w:val="auto"/>
              </w:rPr>
            </w:pPr>
            <w:r>
              <w:rPr>
                <w:rFonts w:ascii="Arial" w:cs="Arial" w:eastAsia="Arial" w:hAnsi="Arial"/>
                <w:sz w:val="17"/>
                <w:szCs w:val="17"/>
                <w:b w:val="1"/>
                <w:bCs w:val="1"/>
                <w:color w:val="0000FF"/>
                <w:w w:val="92"/>
              </w:rPr>
              <w:t>Item 2.</w:t>
            </w:r>
          </w:p>
        </w:tc>
        <w:tc>
          <w:tcPr>
            <w:tcW w:w="700" w:type="dxa"/>
            <w:vAlign w:val="bottom"/>
            <w:gridSpan w:val="5"/>
          </w:tcPr>
          <w:p>
            <w:pPr>
              <w:spacing w:after="0"/>
              <w:rPr>
                <w:sz w:val="24"/>
                <w:szCs w:val="24"/>
                <w:color w:val="auto"/>
              </w:rPr>
            </w:pPr>
          </w:p>
        </w:tc>
        <w:tc>
          <w:tcPr>
            <w:tcW w:w="340" w:type="dxa"/>
            <w:vAlign w:val="bottom"/>
          </w:tcPr>
          <w:p>
            <w:pPr>
              <w:spacing w:after="0"/>
              <w:rPr>
                <w:sz w:val="24"/>
                <w:szCs w:val="24"/>
                <w:color w:val="auto"/>
              </w:rPr>
            </w:pPr>
          </w:p>
        </w:tc>
        <w:tc>
          <w:tcPr>
            <w:tcW w:w="6560" w:type="dxa"/>
            <w:vAlign w:val="bottom"/>
            <w:tcBorders>
              <w:bottom w:val="single" w:sz="8" w:color="0000FF"/>
            </w:tcBorders>
            <w:gridSpan w:val="15"/>
          </w:tcPr>
          <w:p>
            <w:pPr>
              <w:spacing w:after="0"/>
              <w:rPr>
                <w:sz w:val="20"/>
                <w:szCs w:val="20"/>
                <w:color w:val="auto"/>
              </w:rPr>
            </w:pPr>
            <w:r>
              <w:rPr>
                <w:rFonts w:ascii="Arial" w:cs="Arial" w:eastAsia="Arial" w:hAnsi="Arial"/>
                <w:sz w:val="17"/>
                <w:szCs w:val="17"/>
                <w:b w:val="1"/>
                <w:bCs w:val="1"/>
                <w:color w:val="0000FF"/>
                <w:w w:val="90"/>
              </w:rPr>
              <w:t>Management’s Discussion and Analysis of Financial Condition and Results of Operations</w:t>
            </w:r>
          </w:p>
        </w:tc>
        <w:tc>
          <w:tcPr>
            <w:tcW w:w="14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Arial" w:cs="Arial" w:eastAsia="Arial" w:hAnsi="Arial"/>
                <w:sz w:val="17"/>
                <w:szCs w:val="17"/>
                <w:color w:val="0000FF"/>
                <w:w w:val="84"/>
              </w:rPr>
              <w:t>25</w:t>
            </w:r>
          </w:p>
        </w:tc>
      </w:tr>
      <w:tr>
        <w:trPr>
          <w:trHeight w:val="434"/>
        </w:trPr>
        <w:tc>
          <w:tcPr>
            <w:tcW w:w="20" w:type="dxa"/>
            <w:vAlign w:val="bottom"/>
          </w:tcPr>
          <w:p>
            <w:pPr>
              <w:spacing w:after="0"/>
              <w:rPr>
                <w:sz w:val="24"/>
                <w:szCs w:val="24"/>
                <w:color w:val="auto"/>
              </w:rPr>
            </w:pPr>
          </w:p>
        </w:tc>
        <w:tc>
          <w:tcPr>
            <w:tcW w:w="520" w:type="dxa"/>
            <w:vAlign w:val="bottom"/>
            <w:tcBorders>
              <w:bottom w:val="single" w:sz="8" w:color="0000FF"/>
            </w:tcBorders>
          </w:tcPr>
          <w:p>
            <w:pPr>
              <w:spacing w:after="0"/>
              <w:rPr>
                <w:sz w:val="20"/>
                <w:szCs w:val="20"/>
                <w:color w:val="auto"/>
              </w:rPr>
            </w:pPr>
            <w:r>
              <w:rPr>
                <w:rFonts w:ascii="Arial" w:cs="Arial" w:eastAsia="Arial" w:hAnsi="Arial"/>
                <w:sz w:val="17"/>
                <w:szCs w:val="17"/>
                <w:b w:val="1"/>
                <w:bCs w:val="1"/>
                <w:color w:val="0000FF"/>
                <w:w w:val="92"/>
              </w:rPr>
              <w:t>Item 3.</w:t>
            </w:r>
          </w:p>
        </w:tc>
        <w:tc>
          <w:tcPr>
            <w:tcW w:w="700" w:type="dxa"/>
            <w:vAlign w:val="bottom"/>
            <w:gridSpan w:val="5"/>
          </w:tcPr>
          <w:p>
            <w:pPr>
              <w:spacing w:after="0"/>
              <w:rPr>
                <w:sz w:val="24"/>
                <w:szCs w:val="24"/>
                <w:color w:val="auto"/>
              </w:rPr>
            </w:pPr>
          </w:p>
        </w:tc>
        <w:tc>
          <w:tcPr>
            <w:tcW w:w="340" w:type="dxa"/>
            <w:vAlign w:val="bottom"/>
          </w:tcPr>
          <w:p>
            <w:pPr>
              <w:spacing w:after="0"/>
              <w:rPr>
                <w:sz w:val="24"/>
                <w:szCs w:val="24"/>
                <w:color w:val="auto"/>
              </w:rPr>
            </w:pPr>
          </w:p>
        </w:tc>
        <w:tc>
          <w:tcPr>
            <w:tcW w:w="4480" w:type="dxa"/>
            <w:vAlign w:val="bottom"/>
            <w:tcBorders>
              <w:bottom w:val="single" w:sz="8" w:color="0000FF"/>
            </w:tcBorders>
            <w:gridSpan w:val="10"/>
          </w:tcPr>
          <w:p>
            <w:pPr>
              <w:spacing w:after="0"/>
              <w:rPr>
                <w:sz w:val="20"/>
                <w:szCs w:val="20"/>
                <w:color w:val="auto"/>
              </w:rPr>
            </w:pPr>
            <w:r>
              <w:rPr>
                <w:rFonts w:ascii="Arial" w:cs="Arial" w:eastAsia="Arial" w:hAnsi="Arial"/>
                <w:sz w:val="17"/>
                <w:szCs w:val="17"/>
                <w:b w:val="1"/>
                <w:bCs w:val="1"/>
                <w:color w:val="0000FF"/>
                <w:w w:val="92"/>
              </w:rPr>
              <w:t>Quantitative and Qualitative Disclosures About Market Risk</w:t>
            </w:r>
          </w:p>
        </w:tc>
        <w:tc>
          <w:tcPr>
            <w:tcW w:w="3520" w:type="dxa"/>
            <w:vAlign w:val="bottom"/>
            <w:gridSpan w:val="6"/>
          </w:tcPr>
          <w:p>
            <w:pPr>
              <w:spacing w:after="0"/>
              <w:rPr>
                <w:sz w:val="24"/>
                <w:szCs w:val="24"/>
                <w:color w:val="auto"/>
              </w:rPr>
            </w:pPr>
          </w:p>
        </w:tc>
        <w:tc>
          <w:tcPr>
            <w:tcW w:w="1440" w:type="dxa"/>
            <w:vAlign w:val="bottom"/>
          </w:tcPr>
          <w:p>
            <w:pPr>
              <w:spacing w:after="0"/>
              <w:rPr>
                <w:sz w:val="24"/>
                <w:szCs w:val="24"/>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Arial" w:cs="Arial" w:eastAsia="Arial" w:hAnsi="Arial"/>
                <w:sz w:val="17"/>
                <w:szCs w:val="17"/>
                <w:color w:val="0000FF"/>
                <w:w w:val="84"/>
              </w:rPr>
              <w:t>47</w:t>
            </w:r>
          </w:p>
        </w:tc>
      </w:tr>
      <w:tr>
        <w:trPr>
          <w:trHeight w:val="434"/>
        </w:trPr>
        <w:tc>
          <w:tcPr>
            <w:tcW w:w="20" w:type="dxa"/>
            <w:vAlign w:val="bottom"/>
          </w:tcPr>
          <w:p>
            <w:pPr>
              <w:spacing w:after="0"/>
              <w:rPr>
                <w:sz w:val="24"/>
                <w:szCs w:val="24"/>
                <w:color w:val="auto"/>
              </w:rPr>
            </w:pPr>
          </w:p>
        </w:tc>
        <w:tc>
          <w:tcPr>
            <w:tcW w:w="520" w:type="dxa"/>
            <w:vAlign w:val="bottom"/>
            <w:tcBorders>
              <w:bottom w:val="single" w:sz="8" w:color="0000FF"/>
            </w:tcBorders>
          </w:tcPr>
          <w:p>
            <w:pPr>
              <w:spacing w:after="0"/>
              <w:rPr>
                <w:sz w:val="20"/>
                <w:szCs w:val="20"/>
                <w:color w:val="auto"/>
              </w:rPr>
            </w:pPr>
            <w:r>
              <w:rPr>
                <w:rFonts w:ascii="Arial" w:cs="Arial" w:eastAsia="Arial" w:hAnsi="Arial"/>
                <w:sz w:val="17"/>
                <w:szCs w:val="17"/>
                <w:b w:val="1"/>
                <w:bCs w:val="1"/>
                <w:color w:val="0000FF"/>
                <w:w w:val="92"/>
              </w:rPr>
              <w:t>Item 4.</w:t>
            </w:r>
          </w:p>
        </w:tc>
        <w:tc>
          <w:tcPr>
            <w:tcW w:w="700" w:type="dxa"/>
            <w:vAlign w:val="bottom"/>
            <w:gridSpan w:val="5"/>
          </w:tcPr>
          <w:p>
            <w:pPr>
              <w:spacing w:after="0"/>
              <w:rPr>
                <w:sz w:val="24"/>
                <w:szCs w:val="24"/>
                <w:color w:val="auto"/>
              </w:rPr>
            </w:pPr>
          </w:p>
        </w:tc>
        <w:tc>
          <w:tcPr>
            <w:tcW w:w="340" w:type="dxa"/>
            <w:vAlign w:val="bottom"/>
          </w:tcPr>
          <w:p>
            <w:pPr>
              <w:spacing w:after="0"/>
              <w:rPr>
                <w:sz w:val="24"/>
                <w:szCs w:val="24"/>
                <w:color w:val="auto"/>
              </w:rPr>
            </w:pPr>
          </w:p>
        </w:tc>
        <w:tc>
          <w:tcPr>
            <w:tcW w:w="1840" w:type="dxa"/>
            <w:vAlign w:val="bottom"/>
            <w:tcBorders>
              <w:bottom w:val="single" w:sz="8" w:color="0000FF"/>
            </w:tcBorders>
            <w:gridSpan w:val="4"/>
          </w:tcPr>
          <w:p>
            <w:pPr>
              <w:spacing w:after="0"/>
              <w:rPr>
                <w:sz w:val="20"/>
                <w:szCs w:val="20"/>
                <w:color w:val="auto"/>
              </w:rPr>
            </w:pPr>
            <w:r>
              <w:rPr>
                <w:rFonts w:ascii="Arial" w:cs="Arial" w:eastAsia="Arial" w:hAnsi="Arial"/>
                <w:sz w:val="17"/>
                <w:szCs w:val="17"/>
                <w:b w:val="1"/>
                <w:bCs w:val="1"/>
                <w:color w:val="0000FF"/>
                <w:w w:val="89"/>
              </w:rPr>
              <w:t>Controls and Procedures</w:t>
            </w:r>
          </w:p>
        </w:tc>
        <w:tc>
          <w:tcPr>
            <w:tcW w:w="6160" w:type="dxa"/>
            <w:vAlign w:val="bottom"/>
            <w:gridSpan w:val="12"/>
          </w:tcPr>
          <w:p>
            <w:pPr>
              <w:spacing w:after="0"/>
              <w:rPr>
                <w:sz w:val="24"/>
                <w:szCs w:val="24"/>
                <w:color w:val="auto"/>
              </w:rPr>
            </w:pPr>
          </w:p>
        </w:tc>
        <w:tc>
          <w:tcPr>
            <w:tcW w:w="1440" w:type="dxa"/>
            <w:vAlign w:val="bottom"/>
          </w:tcPr>
          <w:p>
            <w:pPr>
              <w:spacing w:after="0"/>
              <w:rPr>
                <w:sz w:val="24"/>
                <w:szCs w:val="24"/>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Arial" w:cs="Arial" w:eastAsia="Arial" w:hAnsi="Arial"/>
                <w:sz w:val="17"/>
                <w:szCs w:val="17"/>
                <w:color w:val="0000FF"/>
                <w:w w:val="84"/>
              </w:rPr>
              <w:t>47</w:t>
            </w:r>
          </w:p>
        </w:tc>
      </w:tr>
      <w:tr>
        <w:trPr>
          <w:trHeight w:val="421"/>
        </w:trPr>
        <w:tc>
          <w:tcPr>
            <w:tcW w:w="20" w:type="dxa"/>
            <w:vAlign w:val="bottom"/>
          </w:tcPr>
          <w:p>
            <w:pPr>
              <w:spacing w:after="0"/>
              <w:rPr>
                <w:sz w:val="24"/>
                <w:szCs w:val="24"/>
                <w:color w:val="auto"/>
              </w:rPr>
            </w:pPr>
          </w:p>
        </w:tc>
        <w:tc>
          <w:tcPr>
            <w:tcW w:w="680" w:type="dxa"/>
            <w:vAlign w:val="bottom"/>
            <w:gridSpan w:val="4"/>
          </w:tcPr>
          <w:p>
            <w:pPr>
              <w:spacing w:after="0"/>
              <w:rPr>
                <w:sz w:val="20"/>
                <w:szCs w:val="20"/>
                <w:color w:val="auto"/>
              </w:rPr>
            </w:pPr>
            <w:r>
              <w:rPr>
                <w:rFonts w:ascii="Arial" w:cs="Arial" w:eastAsia="Arial" w:hAnsi="Arial"/>
                <w:sz w:val="17"/>
                <w:szCs w:val="17"/>
                <w:b w:val="1"/>
                <w:bCs w:val="1"/>
                <w:color w:val="0000FF"/>
              </w:rPr>
              <w:t>PART II.</w:t>
            </w:r>
          </w:p>
        </w:tc>
        <w:tc>
          <w:tcPr>
            <w:tcW w:w="540" w:type="dxa"/>
            <w:vAlign w:val="bottom"/>
            <w:gridSpan w:val="2"/>
          </w:tcPr>
          <w:p>
            <w:pPr>
              <w:spacing w:after="0"/>
              <w:rPr>
                <w:sz w:val="24"/>
                <w:szCs w:val="24"/>
                <w:color w:val="auto"/>
              </w:rPr>
            </w:pPr>
          </w:p>
        </w:tc>
        <w:tc>
          <w:tcPr>
            <w:tcW w:w="340" w:type="dxa"/>
            <w:vAlign w:val="bottom"/>
          </w:tcPr>
          <w:p>
            <w:pPr>
              <w:spacing w:after="0"/>
              <w:rPr>
                <w:sz w:val="24"/>
                <w:szCs w:val="24"/>
                <w:color w:val="auto"/>
              </w:rPr>
            </w:pPr>
          </w:p>
        </w:tc>
        <w:tc>
          <w:tcPr>
            <w:tcW w:w="8000" w:type="dxa"/>
            <w:vAlign w:val="bottom"/>
            <w:gridSpan w:val="16"/>
          </w:tcPr>
          <w:p>
            <w:pPr>
              <w:spacing w:after="0"/>
              <w:rPr>
                <w:sz w:val="20"/>
                <w:szCs w:val="20"/>
                <w:color w:val="auto"/>
              </w:rPr>
            </w:pPr>
            <w:r>
              <w:rPr>
                <w:rFonts w:ascii="Arial" w:cs="Arial" w:eastAsia="Arial" w:hAnsi="Arial"/>
                <w:sz w:val="17"/>
                <w:szCs w:val="17"/>
                <w:b w:val="1"/>
                <w:bCs w:val="1"/>
                <w:color w:val="0000FF"/>
              </w:rPr>
              <w:t>OTHER INFORMATION</w:t>
            </w:r>
          </w:p>
        </w:tc>
        <w:tc>
          <w:tcPr>
            <w:tcW w:w="1620" w:type="dxa"/>
            <w:vAlign w:val="bottom"/>
            <w:gridSpan w:val="3"/>
          </w:tcPr>
          <w:p>
            <w:pPr>
              <w:jc w:val="right"/>
              <w:spacing w:after="0"/>
              <w:rPr>
                <w:sz w:val="20"/>
                <w:szCs w:val="20"/>
                <w:color w:val="auto"/>
              </w:rPr>
            </w:pPr>
            <w:r>
              <w:rPr>
                <w:rFonts w:ascii="Arial" w:cs="Arial" w:eastAsia="Arial" w:hAnsi="Arial"/>
                <w:sz w:val="17"/>
                <w:szCs w:val="17"/>
                <w:color w:val="0000FF"/>
              </w:rPr>
              <w:t>48</w:t>
            </w:r>
          </w:p>
        </w:tc>
      </w:tr>
      <w:tr>
        <w:trPr>
          <w:trHeight w:val="434"/>
        </w:trPr>
        <w:tc>
          <w:tcPr>
            <w:tcW w:w="20" w:type="dxa"/>
            <w:vAlign w:val="bottom"/>
          </w:tcPr>
          <w:p>
            <w:pPr>
              <w:spacing w:after="0"/>
              <w:rPr>
                <w:sz w:val="24"/>
                <w:szCs w:val="24"/>
                <w:color w:val="auto"/>
              </w:rPr>
            </w:pPr>
          </w:p>
        </w:tc>
        <w:tc>
          <w:tcPr>
            <w:tcW w:w="520" w:type="dxa"/>
            <w:vAlign w:val="bottom"/>
            <w:tcBorders>
              <w:top w:val="single" w:sz="8" w:color="0000FF"/>
            </w:tcBorders>
          </w:tcPr>
          <w:p>
            <w:pPr>
              <w:spacing w:after="0"/>
              <w:rPr>
                <w:sz w:val="20"/>
                <w:szCs w:val="20"/>
                <w:color w:val="auto"/>
              </w:rPr>
            </w:pPr>
            <w:r>
              <w:rPr>
                <w:rFonts w:ascii="Arial" w:cs="Arial" w:eastAsia="Arial" w:hAnsi="Arial"/>
                <w:sz w:val="17"/>
                <w:szCs w:val="17"/>
                <w:b w:val="1"/>
                <w:bCs w:val="1"/>
                <w:color w:val="0000FF"/>
                <w:w w:val="92"/>
              </w:rPr>
              <w:t>Item 1.</w:t>
            </w:r>
          </w:p>
        </w:tc>
        <w:tc>
          <w:tcPr>
            <w:tcW w:w="160" w:type="dxa"/>
            <w:vAlign w:val="bottom"/>
            <w:tcBorders>
              <w:top w:val="single" w:sz="8" w:color="0000FF"/>
            </w:tcBorders>
            <w:gridSpan w:val="3"/>
          </w:tcPr>
          <w:p>
            <w:pPr>
              <w:spacing w:after="0"/>
              <w:rPr>
                <w:sz w:val="24"/>
                <w:szCs w:val="24"/>
                <w:color w:val="auto"/>
              </w:rPr>
            </w:pPr>
          </w:p>
        </w:tc>
        <w:tc>
          <w:tcPr>
            <w:tcW w:w="540" w:type="dxa"/>
            <w:vAlign w:val="bottom"/>
            <w:gridSpan w:val="2"/>
          </w:tcPr>
          <w:p>
            <w:pPr>
              <w:spacing w:after="0"/>
              <w:rPr>
                <w:sz w:val="24"/>
                <w:szCs w:val="24"/>
                <w:color w:val="auto"/>
              </w:rPr>
            </w:pPr>
          </w:p>
        </w:tc>
        <w:tc>
          <w:tcPr>
            <w:tcW w:w="340" w:type="dxa"/>
            <w:vAlign w:val="bottom"/>
          </w:tcPr>
          <w:p>
            <w:pPr>
              <w:spacing w:after="0"/>
              <w:rPr>
                <w:sz w:val="24"/>
                <w:szCs w:val="24"/>
                <w:color w:val="auto"/>
              </w:rPr>
            </w:pPr>
          </w:p>
        </w:tc>
        <w:tc>
          <w:tcPr>
            <w:tcW w:w="1940" w:type="dxa"/>
            <w:vAlign w:val="bottom"/>
            <w:tcBorders>
              <w:top w:val="single" w:sz="8" w:color="0000FF"/>
            </w:tcBorders>
            <w:gridSpan w:val="5"/>
          </w:tcPr>
          <w:p>
            <w:pPr>
              <w:spacing w:after="0"/>
              <w:rPr>
                <w:sz w:val="20"/>
                <w:szCs w:val="20"/>
                <w:color w:val="auto"/>
              </w:rPr>
            </w:pPr>
            <w:r>
              <w:rPr>
                <w:rFonts w:ascii="Arial" w:cs="Arial" w:eastAsia="Arial" w:hAnsi="Arial"/>
                <w:sz w:val="17"/>
                <w:szCs w:val="17"/>
                <w:b w:val="1"/>
                <w:bCs w:val="1"/>
                <w:color w:val="0000FF"/>
              </w:rPr>
              <w:t>Legal Proceedings</w:t>
            </w:r>
          </w:p>
        </w:tc>
        <w:tc>
          <w:tcPr>
            <w:tcW w:w="6060" w:type="dxa"/>
            <w:vAlign w:val="bottom"/>
            <w:gridSpan w:val="11"/>
          </w:tcPr>
          <w:p>
            <w:pPr>
              <w:spacing w:after="0"/>
              <w:rPr>
                <w:sz w:val="24"/>
                <w:szCs w:val="24"/>
                <w:color w:val="auto"/>
              </w:rPr>
            </w:pPr>
          </w:p>
        </w:tc>
        <w:tc>
          <w:tcPr>
            <w:tcW w:w="1440" w:type="dxa"/>
            <w:vAlign w:val="bottom"/>
          </w:tcPr>
          <w:p>
            <w:pPr>
              <w:spacing w:after="0"/>
              <w:rPr>
                <w:sz w:val="24"/>
                <w:szCs w:val="24"/>
                <w:color w:val="auto"/>
              </w:rPr>
            </w:pPr>
          </w:p>
        </w:tc>
        <w:tc>
          <w:tcPr>
            <w:tcW w:w="180" w:type="dxa"/>
            <w:vAlign w:val="bottom"/>
            <w:tcBorders>
              <w:top w:val="single" w:sz="8" w:color="0000FF"/>
            </w:tcBorders>
            <w:gridSpan w:val="2"/>
          </w:tcPr>
          <w:p>
            <w:pPr>
              <w:jc w:val="right"/>
              <w:spacing w:after="0"/>
              <w:rPr>
                <w:sz w:val="20"/>
                <w:szCs w:val="20"/>
                <w:color w:val="auto"/>
              </w:rPr>
            </w:pPr>
            <w:r>
              <w:rPr>
                <w:rFonts w:ascii="Arial" w:cs="Arial" w:eastAsia="Arial" w:hAnsi="Arial"/>
                <w:sz w:val="17"/>
                <w:szCs w:val="17"/>
                <w:color w:val="0000FF"/>
                <w:w w:val="84"/>
              </w:rPr>
              <w:t>48</w:t>
            </w:r>
          </w:p>
        </w:tc>
      </w:tr>
      <w:tr>
        <w:trPr>
          <w:trHeight w:val="20"/>
        </w:trPr>
        <w:tc>
          <w:tcPr>
            <w:tcW w:w="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r>
      <w:tr>
        <w:trPr>
          <w:trHeight w:val="434"/>
        </w:trPr>
        <w:tc>
          <w:tcPr>
            <w:tcW w:w="20" w:type="dxa"/>
            <w:vAlign w:val="bottom"/>
          </w:tcPr>
          <w:p>
            <w:pPr>
              <w:spacing w:after="0"/>
              <w:rPr>
                <w:sz w:val="24"/>
                <w:szCs w:val="24"/>
                <w:color w:val="auto"/>
              </w:rPr>
            </w:pPr>
          </w:p>
        </w:tc>
        <w:tc>
          <w:tcPr>
            <w:tcW w:w="1220" w:type="dxa"/>
            <w:vAlign w:val="bottom"/>
            <w:gridSpan w:val="6"/>
          </w:tcPr>
          <w:p>
            <w:pPr>
              <w:spacing w:after="0"/>
              <w:rPr>
                <w:sz w:val="20"/>
                <w:szCs w:val="20"/>
                <w:color w:val="auto"/>
              </w:rPr>
            </w:pPr>
            <w:r>
              <w:rPr>
                <w:rFonts w:ascii="Arial" w:cs="Arial" w:eastAsia="Arial" w:hAnsi="Arial"/>
                <w:sz w:val="17"/>
                <w:szCs w:val="17"/>
                <w:b w:val="1"/>
                <w:bCs w:val="1"/>
                <w:color w:val="0000FF"/>
              </w:rPr>
              <w:t>Item 1A.</w:t>
            </w:r>
          </w:p>
        </w:tc>
        <w:tc>
          <w:tcPr>
            <w:tcW w:w="340" w:type="dxa"/>
            <w:vAlign w:val="bottom"/>
          </w:tcPr>
          <w:p>
            <w:pPr>
              <w:spacing w:after="0"/>
              <w:rPr>
                <w:sz w:val="24"/>
                <w:szCs w:val="24"/>
                <w:color w:val="auto"/>
              </w:rPr>
            </w:pPr>
          </w:p>
        </w:tc>
        <w:tc>
          <w:tcPr>
            <w:tcW w:w="8000" w:type="dxa"/>
            <w:vAlign w:val="bottom"/>
            <w:gridSpan w:val="16"/>
          </w:tcPr>
          <w:p>
            <w:pPr>
              <w:spacing w:after="0"/>
              <w:rPr>
                <w:sz w:val="20"/>
                <w:szCs w:val="20"/>
                <w:color w:val="auto"/>
              </w:rPr>
            </w:pPr>
            <w:r>
              <w:rPr>
                <w:rFonts w:ascii="Arial" w:cs="Arial" w:eastAsia="Arial" w:hAnsi="Arial"/>
                <w:sz w:val="17"/>
                <w:szCs w:val="17"/>
                <w:b w:val="1"/>
                <w:bCs w:val="1"/>
                <w:color w:val="0000FF"/>
              </w:rPr>
              <w:t>Risk Factors</w:t>
            </w:r>
          </w:p>
        </w:tc>
        <w:tc>
          <w:tcPr>
            <w:tcW w:w="1620" w:type="dxa"/>
            <w:vAlign w:val="bottom"/>
            <w:gridSpan w:val="3"/>
          </w:tcPr>
          <w:p>
            <w:pPr>
              <w:jc w:val="right"/>
              <w:spacing w:after="0"/>
              <w:rPr>
                <w:sz w:val="20"/>
                <w:szCs w:val="20"/>
                <w:color w:val="auto"/>
              </w:rPr>
            </w:pPr>
            <w:r>
              <w:rPr>
                <w:rFonts w:ascii="Arial" w:cs="Arial" w:eastAsia="Arial" w:hAnsi="Arial"/>
                <w:sz w:val="17"/>
                <w:szCs w:val="17"/>
                <w:color w:val="0000FF"/>
              </w:rPr>
              <w:t>48</w:t>
            </w:r>
          </w:p>
        </w:tc>
      </w:tr>
      <w:tr>
        <w:trPr>
          <w:trHeight w:val="20"/>
        </w:trPr>
        <w:tc>
          <w:tcPr>
            <w:tcW w:w="20" w:type="dxa"/>
            <w:vAlign w:val="bottom"/>
          </w:tcPr>
          <w:p>
            <w:pPr>
              <w:spacing w:after="0" w:line="20" w:lineRule="exact"/>
              <w:rPr>
                <w:sz w:val="1"/>
                <w:szCs w:val="1"/>
                <w:color w:val="auto"/>
              </w:rPr>
            </w:pPr>
          </w:p>
        </w:tc>
        <w:tc>
          <w:tcPr>
            <w:tcW w:w="640" w:type="dxa"/>
            <w:vAlign w:val="bottom"/>
            <w:gridSpan w:val="3"/>
            <w:shd w:val="clear" w:color="auto" w:fill="0000FF"/>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460" w:type="dxa"/>
            <w:vAlign w:val="bottom"/>
            <w:gridSpan w:val="7"/>
          </w:tcPr>
          <w:p>
            <w:pPr>
              <w:spacing w:after="0" w:line="20" w:lineRule="exact"/>
              <w:rPr>
                <w:sz w:val="1"/>
                <w:szCs w:val="1"/>
                <w:color w:val="auto"/>
              </w:rPr>
            </w:pPr>
          </w:p>
        </w:tc>
        <w:tc>
          <w:tcPr>
            <w:tcW w:w="3600" w:type="dxa"/>
            <w:vAlign w:val="bottom"/>
            <w:gridSpan w:val="7"/>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421"/>
        </w:trPr>
        <w:tc>
          <w:tcPr>
            <w:tcW w:w="20" w:type="dxa"/>
            <w:vAlign w:val="bottom"/>
          </w:tcPr>
          <w:p>
            <w:pPr>
              <w:spacing w:after="0"/>
              <w:rPr>
                <w:sz w:val="24"/>
                <w:szCs w:val="24"/>
                <w:color w:val="auto"/>
              </w:rPr>
            </w:pPr>
          </w:p>
        </w:tc>
        <w:tc>
          <w:tcPr>
            <w:tcW w:w="520" w:type="dxa"/>
            <w:vAlign w:val="bottom"/>
            <w:tcBorders>
              <w:bottom w:val="single" w:sz="8" w:color="0000FF"/>
            </w:tcBorders>
          </w:tcPr>
          <w:p>
            <w:pPr>
              <w:spacing w:after="0"/>
              <w:rPr>
                <w:sz w:val="20"/>
                <w:szCs w:val="20"/>
                <w:color w:val="auto"/>
              </w:rPr>
            </w:pPr>
            <w:r>
              <w:rPr>
                <w:rFonts w:ascii="Arial" w:cs="Arial" w:eastAsia="Arial" w:hAnsi="Arial"/>
                <w:sz w:val="17"/>
                <w:szCs w:val="17"/>
                <w:b w:val="1"/>
                <w:bCs w:val="1"/>
                <w:color w:val="0000FF"/>
                <w:w w:val="92"/>
              </w:rPr>
              <w:t>Item 2.</w:t>
            </w:r>
          </w:p>
        </w:tc>
        <w:tc>
          <w:tcPr>
            <w:tcW w:w="120" w:type="dxa"/>
            <w:vAlign w:val="bottom"/>
            <w:gridSpan w:val="2"/>
          </w:tcPr>
          <w:p>
            <w:pPr>
              <w:spacing w:after="0"/>
              <w:rPr>
                <w:sz w:val="24"/>
                <w:szCs w:val="24"/>
                <w:color w:val="auto"/>
              </w:rPr>
            </w:pPr>
          </w:p>
        </w:tc>
        <w:tc>
          <w:tcPr>
            <w:tcW w:w="580" w:type="dxa"/>
            <w:vAlign w:val="bottom"/>
            <w:gridSpan w:val="3"/>
          </w:tcPr>
          <w:p>
            <w:pPr>
              <w:spacing w:after="0"/>
              <w:rPr>
                <w:sz w:val="24"/>
                <w:szCs w:val="24"/>
                <w:color w:val="auto"/>
              </w:rPr>
            </w:pPr>
          </w:p>
        </w:tc>
        <w:tc>
          <w:tcPr>
            <w:tcW w:w="340" w:type="dxa"/>
            <w:vAlign w:val="bottom"/>
          </w:tcPr>
          <w:p>
            <w:pPr>
              <w:spacing w:after="0"/>
              <w:rPr>
                <w:sz w:val="24"/>
                <w:szCs w:val="24"/>
                <w:color w:val="auto"/>
              </w:rPr>
            </w:pPr>
          </w:p>
        </w:tc>
        <w:tc>
          <w:tcPr>
            <w:tcW w:w="4400" w:type="dxa"/>
            <w:vAlign w:val="bottom"/>
            <w:tcBorders>
              <w:bottom w:val="single" w:sz="8" w:color="0000FF"/>
            </w:tcBorders>
            <w:gridSpan w:val="9"/>
          </w:tcPr>
          <w:p>
            <w:pPr>
              <w:spacing w:after="0"/>
              <w:rPr>
                <w:sz w:val="20"/>
                <w:szCs w:val="20"/>
                <w:color w:val="auto"/>
              </w:rPr>
            </w:pPr>
            <w:r>
              <w:rPr>
                <w:rFonts w:ascii="Arial" w:cs="Arial" w:eastAsia="Arial" w:hAnsi="Arial"/>
                <w:sz w:val="17"/>
                <w:szCs w:val="17"/>
                <w:b w:val="1"/>
                <w:bCs w:val="1"/>
                <w:color w:val="0000FF"/>
                <w:w w:val="89"/>
              </w:rPr>
              <w:t>Unregistered Sales of Equity Securities and Use of Proceeds</w:t>
            </w:r>
          </w:p>
        </w:tc>
        <w:tc>
          <w:tcPr>
            <w:tcW w:w="3600" w:type="dxa"/>
            <w:vAlign w:val="bottom"/>
            <w:gridSpan w:val="7"/>
          </w:tcPr>
          <w:p>
            <w:pPr>
              <w:spacing w:after="0"/>
              <w:rPr>
                <w:sz w:val="24"/>
                <w:szCs w:val="24"/>
                <w:color w:val="auto"/>
              </w:rPr>
            </w:pPr>
          </w:p>
        </w:tc>
        <w:tc>
          <w:tcPr>
            <w:tcW w:w="1440" w:type="dxa"/>
            <w:vAlign w:val="bottom"/>
          </w:tcPr>
          <w:p>
            <w:pPr>
              <w:spacing w:after="0"/>
              <w:rPr>
                <w:sz w:val="24"/>
                <w:szCs w:val="24"/>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Arial" w:cs="Arial" w:eastAsia="Arial" w:hAnsi="Arial"/>
                <w:sz w:val="17"/>
                <w:szCs w:val="17"/>
                <w:color w:val="0000FF"/>
                <w:w w:val="84"/>
              </w:rPr>
              <w:t>48</w:t>
            </w:r>
          </w:p>
        </w:tc>
      </w:tr>
      <w:tr>
        <w:trPr>
          <w:trHeight w:val="434"/>
        </w:trPr>
        <w:tc>
          <w:tcPr>
            <w:tcW w:w="20" w:type="dxa"/>
            <w:vAlign w:val="bottom"/>
          </w:tcPr>
          <w:p>
            <w:pPr>
              <w:spacing w:after="0"/>
              <w:rPr>
                <w:sz w:val="24"/>
                <w:szCs w:val="24"/>
                <w:color w:val="auto"/>
              </w:rPr>
            </w:pPr>
          </w:p>
        </w:tc>
        <w:tc>
          <w:tcPr>
            <w:tcW w:w="520" w:type="dxa"/>
            <w:vAlign w:val="bottom"/>
            <w:tcBorders>
              <w:bottom w:val="single" w:sz="8" w:color="0000FF"/>
            </w:tcBorders>
          </w:tcPr>
          <w:p>
            <w:pPr>
              <w:spacing w:after="0"/>
              <w:rPr>
                <w:sz w:val="20"/>
                <w:szCs w:val="20"/>
                <w:color w:val="auto"/>
              </w:rPr>
            </w:pPr>
            <w:r>
              <w:rPr>
                <w:rFonts w:ascii="Arial" w:cs="Arial" w:eastAsia="Arial" w:hAnsi="Arial"/>
                <w:sz w:val="17"/>
                <w:szCs w:val="17"/>
                <w:b w:val="1"/>
                <w:bCs w:val="1"/>
                <w:color w:val="0000FF"/>
                <w:w w:val="92"/>
              </w:rPr>
              <w:t>Item 6.</w:t>
            </w:r>
          </w:p>
        </w:tc>
        <w:tc>
          <w:tcPr>
            <w:tcW w:w="700" w:type="dxa"/>
            <w:vAlign w:val="bottom"/>
            <w:gridSpan w:val="5"/>
          </w:tcPr>
          <w:p>
            <w:pPr>
              <w:spacing w:after="0"/>
              <w:rPr>
                <w:sz w:val="24"/>
                <w:szCs w:val="24"/>
                <w:color w:val="auto"/>
              </w:rPr>
            </w:pPr>
          </w:p>
        </w:tc>
        <w:tc>
          <w:tcPr>
            <w:tcW w:w="340" w:type="dxa"/>
            <w:vAlign w:val="bottom"/>
          </w:tcPr>
          <w:p>
            <w:pPr>
              <w:spacing w:after="0"/>
              <w:rPr>
                <w:sz w:val="24"/>
                <w:szCs w:val="24"/>
                <w:color w:val="auto"/>
              </w:rPr>
            </w:pPr>
          </w:p>
        </w:tc>
        <w:tc>
          <w:tcPr>
            <w:tcW w:w="620" w:type="dxa"/>
            <w:vAlign w:val="bottom"/>
            <w:tcBorders>
              <w:bottom w:val="single" w:sz="8" w:color="0000FF"/>
            </w:tcBorders>
          </w:tcPr>
          <w:p>
            <w:pPr>
              <w:spacing w:after="0"/>
              <w:rPr>
                <w:sz w:val="20"/>
                <w:szCs w:val="20"/>
                <w:color w:val="auto"/>
              </w:rPr>
            </w:pPr>
            <w:r>
              <w:rPr>
                <w:rFonts w:ascii="Arial" w:cs="Arial" w:eastAsia="Arial" w:hAnsi="Arial"/>
                <w:sz w:val="17"/>
                <w:szCs w:val="17"/>
                <w:b w:val="1"/>
                <w:bCs w:val="1"/>
                <w:color w:val="0000FF"/>
                <w:w w:val="90"/>
              </w:rPr>
              <w:t>Exhibits</w:t>
            </w:r>
          </w:p>
        </w:tc>
        <w:tc>
          <w:tcPr>
            <w:tcW w:w="7380" w:type="dxa"/>
            <w:vAlign w:val="bottom"/>
            <w:gridSpan w:val="15"/>
          </w:tcPr>
          <w:p>
            <w:pPr>
              <w:spacing w:after="0"/>
              <w:rPr>
                <w:sz w:val="24"/>
                <w:szCs w:val="24"/>
                <w:color w:val="auto"/>
              </w:rPr>
            </w:pPr>
          </w:p>
        </w:tc>
        <w:tc>
          <w:tcPr>
            <w:tcW w:w="1440" w:type="dxa"/>
            <w:vAlign w:val="bottom"/>
          </w:tcPr>
          <w:p>
            <w:pPr>
              <w:spacing w:after="0"/>
              <w:rPr>
                <w:sz w:val="24"/>
                <w:szCs w:val="24"/>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Arial" w:cs="Arial" w:eastAsia="Arial" w:hAnsi="Arial"/>
                <w:sz w:val="17"/>
                <w:szCs w:val="17"/>
                <w:color w:val="0000FF"/>
                <w:w w:val="84"/>
              </w:rPr>
              <w:t>49</w:t>
            </w:r>
          </w:p>
        </w:tc>
      </w:tr>
      <w:tr>
        <w:trPr>
          <w:trHeight w:val="434"/>
        </w:trPr>
        <w:tc>
          <w:tcPr>
            <w:tcW w:w="20" w:type="dxa"/>
            <w:vAlign w:val="bottom"/>
          </w:tcPr>
          <w:p>
            <w:pPr>
              <w:spacing w:after="0"/>
              <w:rPr>
                <w:sz w:val="24"/>
                <w:szCs w:val="24"/>
                <w:color w:val="auto"/>
              </w:rPr>
            </w:pPr>
          </w:p>
        </w:tc>
        <w:tc>
          <w:tcPr>
            <w:tcW w:w="1120" w:type="dxa"/>
            <w:vAlign w:val="bottom"/>
            <w:tcBorders>
              <w:bottom w:val="single" w:sz="8" w:color="0000FF"/>
            </w:tcBorders>
            <w:gridSpan w:val="5"/>
          </w:tcPr>
          <w:p>
            <w:pPr>
              <w:spacing w:after="0"/>
              <w:rPr>
                <w:sz w:val="20"/>
                <w:szCs w:val="20"/>
                <w:color w:val="auto"/>
              </w:rPr>
            </w:pPr>
            <w:r>
              <w:rPr>
                <w:rFonts w:ascii="Arial" w:cs="Arial" w:eastAsia="Arial" w:hAnsi="Arial"/>
                <w:sz w:val="17"/>
                <w:szCs w:val="17"/>
                <w:b w:val="1"/>
                <w:bCs w:val="1"/>
                <w:color w:val="0000FF"/>
                <w:w w:val="98"/>
              </w:rPr>
              <w:t>SIGNATURES</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Arial" w:cs="Arial" w:eastAsia="Arial" w:hAnsi="Arial"/>
                <w:sz w:val="17"/>
                <w:szCs w:val="17"/>
                <w:color w:val="0000FF"/>
                <w:w w:val="84"/>
              </w:rPr>
              <w:t>50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68580</wp:posOffset>
            </wp:positionV>
            <wp:extent cx="7162800" cy="419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00"/>
          </w:cols>
          <w:pgMar w:left="320" w:top="113" w:right="379" w:bottom="1440" w:gutter="0" w:footer="0" w:header="0"/>
        </w:sectPr>
      </w:pPr>
    </w:p>
    <w:bookmarkStart w:id="2" w:name="page3"/>
    <w:bookmarkEnd w:id="2"/>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344" w:lineRule="exact"/>
        <w:rPr>
          <w:sz w:val="20"/>
          <w:szCs w:val="20"/>
          <w:color w:val="auto"/>
        </w:rPr>
      </w:pPr>
    </w:p>
    <w:p>
      <w:pPr>
        <w:spacing w:after="0" w:line="322" w:lineRule="auto"/>
        <w:rPr>
          <w:sz w:val="20"/>
          <w:szCs w:val="20"/>
          <w:color w:val="auto"/>
        </w:rPr>
      </w:pPr>
      <w:r>
        <w:rPr>
          <w:rFonts w:ascii="Arial" w:cs="Arial" w:eastAsia="Arial" w:hAnsi="Arial"/>
          <w:sz w:val="15"/>
          <w:szCs w:val="15"/>
          <w:i w:val="1"/>
          <w:iCs w:val="1"/>
          <w:color w:val="auto"/>
        </w:rPr>
        <w:t>Unless the context otherwise indicates or requires, the terms “we,” “our,” “us,” “Essent,” and the “Company,” as used in this Quarterly Report on Form 10-Q, refer to Essent Group Ltd. and its directly and indirectly owned subsidiaries, including our primary operating subsidiaries, Essent Guaranty, Inc. and Essent Reinsurance Ltd., as a combined entity, except where otherwise stated or where it is clear that the terms mean only Essent Group Ltd. exclusive of its subsidiaries.</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SPECIAL NOTE REGARDING FORWARD-LOOKING STATEMENTS</w:t>
      </w:r>
    </w:p>
    <w:p>
      <w:pPr>
        <w:spacing w:after="0" w:line="226" w:lineRule="exact"/>
        <w:rPr>
          <w:sz w:val="20"/>
          <w:szCs w:val="20"/>
          <w:color w:val="auto"/>
        </w:rPr>
      </w:pPr>
    </w:p>
    <w:p>
      <w:pPr>
        <w:ind w:right="40" w:firstLine="623"/>
        <w:spacing w:after="0" w:line="280" w:lineRule="auto"/>
        <w:rPr>
          <w:sz w:val="20"/>
          <w:szCs w:val="20"/>
          <w:color w:val="auto"/>
        </w:rPr>
      </w:pPr>
      <w:r>
        <w:rPr>
          <w:rFonts w:ascii="Arial" w:cs="Arial" w:eastAsia="Arial" w:hAnsi="Arial"/>
          <w:sz w:val="16"/>
          <w:szCs w:val="16"/>
          <w:color w:val="auto"/>
        </w:rPr>
        <w:t>This Quarterly Report on Form 10-Q, or Quarterly Report, includes forward-looking statements pursuant to the “safe harbor” provisions of the Private Securities Litigation Reform Act of 1995. Forward-looking statements relate to expectations, beliefs, projections, future plans and strategies, anticipated events or trends and similar expressions concerning matters that are not historical facts or present facts or conditions, such as statements regarding our future financial condition or results of operations, our prospects and strategies for future growth, the introduction of new products and services, and the implementation of our marketing and branding strategies. In many cases, you can identify forward-looking statements by terms such as “may,” “will,” “should,” “expects,” “plans,” “anticipates,” “believes,” “estimates,” “predicts,” “potential” or the negative of these terms or other comparable terminology.</w:t>
      </w:r>
    </w:p>
    <w:p>
      <w:pPr>
        <w:spacing w:after="0" w:line="166" w:lineRule="exact"/>
        <w:rPr>
          <w:sz w:val="20"/>
          <w:szCs w:val="20"/>
          <w:color w:val="auto"/>
        </w:rPr>
      </w:pPr>
    </w:p>
    <w:p>
      <w:pPr>
        <w:ind w:right="60" w:firstLine="623"/>
        <w:spacing w:after="0" w:line="259" w:lineRule="auto"/>
        <w:rPr>
          <w:sz w:val="20"/>
          <w:szCs w:val="20"/>
          <w:color w:val="auto"/>
        </w:rPr>
      </w:pPr>
      <w:r>
        <w:rPr>
          <w:rFonts w:ascii="Arial" w:cs="Arial" w:eastAsia="Arial" w:hAnsi="Arial"/>
          <w:sz w:val="17"/>
          <w:szCs w:val="17"/>
          <w:color w:val="auto"/>
        </w:rPr>
        <w:t>The forward-looking statements contained in this Quarterly Report reflect our views as of the date of this Quarterly Report about future events and are subject to risks, uncertainties, assumptions and changes in circumstances that may cause events or our actual activities or results to differ significantly from those expressed in any forward-looking statement. Although we believe that the expectations reflected in the forward-looking statements are reasonable, we cannot guarantee future events, results, actions, levels of activity, performance or achievements. A number of important factors could cause actual results to differ materially from those indicated by the forward-looking statements, including, but not limited to, those factors described below, in Part I, Item 2 “Management’s Discussion and Analysis of Financial Condition and Results of Operations” of this Quarterly Report, and in Part I, Item 1A “Risk Factors” of our Annual Report on Form 10-K for the year ended December 31, 2022 filed with the Securities and Exchange Commission. These factors include, without limitation, the following:</w:t>
      </w:r>
    </w:p>
    <w:p>
      <w:pPr>
        <w:spacing w:after="0" w:line="181" w:lineRule="exact"/>
        <w:rPr>
          <w:sz w:val="20"/>
          <w:szCs w:val="20"/>
          <w:color w:val="auto"/>
        </w:rPr>
      </w:pPr>
    </w:p>
    <w:p>
      <w:pPr>
        <w:ind w:left="620" w:right="100" w:hanging="305"/>
        <w:spacing w:after="0" w:line="300" w:lineRule="auto"/>
        <w:tabs>
          <w:tab w:leader="none" w:pos="620" w:val="left"/>
        </w:tabs>
        <w:numPr>
          <w:ilvl w:val="0"/>
          <w:numId w:val="4"/>
        </w:numPr>
        <w:rPr>
          <w:rFonts w:ascii="Arial" w:cs="Arial" w:eastAsia="Arial" w:hAnsi="Arial"/>
          <w:sz w:val="15"/>
          <w:szCs w:val="15"/>
          <w:color w:val="auto"/>
        </w:rPr>
      </w:pPr>
      <w:r>
        <w:rPr>
          <w:rFonts w:ascii="Arial" w:cs="Arial" w:eastAsia="Arial" w:hAnsi="Arial"/>
          <w:sz w:val="15"/>
          <w:szCs w:val="15"/>
          <w:color w:val="auto"/>
        </w:rPr>
        <w:t>the duration, spread and severity of the outbreak of novel coronavirus disease 2019 ("COVID-19"), which is currently ongoing and still evolving; the actions taken to contain the virus or treat its impact, including government and GSE actions to mitigate the economic impact of the outbreak; the nature and extent of the forbearance and modification options available to borrowers affected by the outbreak on mortgages we insure; reserve and other accounting estimates relating to the impact of the COVID-19 outbreak; borrower behavior in response to the outbreak and its economic impact; how quickly and to what extent normal economic and operating conditions can resume, including whether any future outbreaks interrupt economic recovery; how quickly and to what extent affected borrowers can recover from the negative economic impact of the outbreak; and whether and to what extent the outbreak and related economic conditions will exacerbate other risks and uncertainties facing our business, financial condition and business strategy;</w:t>
      </w:r>
    </w:p>
    <w:p>
      <w:pPr>
        <w:spacing w:after="0" w:line="178" w:lineRule="exact"/>
        <w:rPr>
          <w:rFonts w:ascii="Arial" w:cs="Arial" w:eastAsia="Arial" w:hAnsi="Arial"/>
          <w:sz w:val="15"/>
          <w:szCs w:val="15"/>
          <w:color w:val="auto"/>
        </w:rPr>
      </w:pPr>
    </w:p>
    <w:p>
      <w:pPr>
        <w:ind w:left="620" w:right="160" w:hanging="305"/>
        <w:spacing w:after="0" w:line="285" w:lineRule="auto"/>
        <w:tabs>
          <w:tab w:leader="none" w:pos="620" w:val="left"/>
        </w:tabs>
        <w:numPr>
          <w:ilvl w:val="0"/>
          <w:numId w:val="4"/>
        </w:numPr>
        <w:rPr>
          <w:rFonts w:ascii="Arial" w:cs="Arial" w:eastAsia="Arial" w:hAnsi="Arial"/>
          <w:sz w:val="17"/>
          <w:szCs w:val="17"/>
          <w:color w:val="auto"/>
        </w:rPr>
      </w:pPr>
      <w:r>
        <w:rPr>
          <w:rFonts w:ascii="Arial" w:cs="Arial" w:eastAsia="Arial" w:hAnsi="Arial"/>
          <w:sz w:val="17"/>
          <w:szCs w:val="17"/>
          <w:color w:val="auto"/>
        </w:rPr>
        <w:t>changes in or to Fannie Mae and Freddie Mac, which we refer to collectively as the GSEs, whether through Federal legislation, restructurings or a shift in business practices;</w:t>
      </w:r>
    </w:p>
    <w:p>
      <w:pPr>
        <w:spacing w:after="0" w:line="184" w:lineRule="exact"/>
        <w:rPr>
          <w:rFonts w:ascii="Arial" w:cs="Arial" w:eastAsia="Arial" w:hAnsi="Arial"/>
          <w:sz w:val="17"/>
          <w:szCs w:val="17"/>
          <w:color w:val="auto"/>
        </w:rPr>
      </w:pPr>
    </w:p>
    <w:p>
      <w:pPr>
        <w:ind w:left="620" w:hanging="305"/>
        <w:spacing w:after="0"/>
        <w:tabs>
          <w:tab w:leader="none" w:pos="620" w:val="left"/>
        </w:tabs>
        <w:numPr>
          <w:ilvl w:val="0"/>
          <w:numId w:val="4"/>
        </w:numPr>
        <w:rPr>
          <w:rFonts w:ascii="Arial" w:cs="Arial" w:eastAsia="Arial" w:hAnsi="Arial"/>
          <w:sz w:val="17"/>
          <w:szCs w:val="17"/>
          <w:color w:val="auto"/>
        </w:rPr>
      </w:pPr>
      <w:r>
        <w:rPr>
          <w:rFonts w:ascii="Arial" w:cs="Arial" w:eastAsia="Arial" w:hAnsi="Arial"/>
          <w:sz w:val="17"/>
          <w:szCs w:val="17"/>
          <w:color w:val="auto"/>
        </w:rPr>
        <w:t>failure to continue to meet the mortgage insurer eligibility requirements of the GSEs;</w:t>
      </w:r>
    </w:p>
    <w:p>
      <w:pPr>
        <w:spacing w:after="0" w:line="245" w:lineRule="exact"/>
        <w:rPr>
          <w:rFonts w:ascii="Arial" w:cs="Arial" w:eastAsia="Arial" w:hAnsi="Arial"/>
          <w:sz w:val="17"/>
          <w:szCs w:val="17"/>
          <w:color w:val="auto"/>
        </w:rPr>
      </w:pPr>
    </w:p>
    <w:p>
      <w:pPr>
        <w:ind w:left="620" w:hanging="305"/>
        <w:spacing w:after="0"/>
        <w:tabs>
          <w:tab w:leader="none" w:pos="620" w:val="left"/>
        </w:tabs>
        <w:numPr>
          <w:ilvl w:val="0"/>
          <w:numId w:val="4"/>
        </w:numPr>
        <w:rPr>
          <w:rFonts w:ascii="Arial" w:cs="Arial" w:eastAsia="Arial" w:hAnsi="Arial"/>
          <w:sz w:val="17"/>
          <w:szCs w:val="17"/>
          <w:color w:val="auto"/>
        </w:rPr>
      </w:pPr>
      <w:r>
        <w:rPr>
          <w:rFonts w:ascii="Arial" w:cs="Arial" w:eastAsia="Arial" w:hAnsi="Arial"/>
          <w:sz w:val="17"/>
          <w:szCs w:val="17"/>
          <w:color w:val="auto"/>
        </w:rPr>
        <w:t>competition for our customers or the loss of a significant customer;</w:t>
      </w:r>
    </w:p>
    <w:p>
      <w:pPr>
        <w:spacing w:after="0" w:line="219" w:lineRule="exact"/>
        <w:rPr>
          <w:rFonts w:ascii="Arial" w:cs="Arial" w:eastAsia="Arial" w:hAnsi="Arial"/>
          <w:sz w:val="17"/>
          <w:szCs w:val="17"/>
          <w:color w:val="auto"/>
        </w:rPr>
      </w:pPr>
    </w:p>
    <w:p>
      <w:pPr>
        <w:ind w:left="620" w:hanging="305"/>
        <w:spacing w:after="0"/>
        <w:tabs>
          <w:tab w:leader="none" w:pos="620" w:val="left"/>
        </w:tabs>
        <w:numPr>
          <w:ilvl w:val="0"/>
          <w:numId w:val="4"/>
        </w:numPr>
        <w:rPr>
          <w:rFonts w:ascii="Arial" w:cs="Arial" w:eastAsia="Arial" w:hAnsi="Arial"/>
          <w:sz w:val="17"/>
          <w:szCs w:val="17"/>
          <w:color w:val="auto"/>
        </w:rPr>
      </w:pPr>
      <w:r>
        <w:rPr>
          <w:rFonts w:ascii="Arial" w:cs="Arial" w:eastAsia="Arial" w:hAnsi="Arial"/>
          <w:sz w:val="17"/>
          <w:szCs w:val="17"/>
          <w:color w:val="auto"/>
        </w:rPr>
        <w:t>lenders or investors seeking alternatives to private mortgage insurance;</w:t>
      </w:r>
    </w:p>
    <w:p>
      <w:pPr>
        <w:spacing w:after="0" w:line="245" w:lineRule="exact"/>
        <w:rPr>
          <w:rFonts w:ascii="Arial" w:cs="Arial" w:eastAsia="Arial" w:hAnsi="Arial"/>
          <w:sz w:val="17"/>
          <w:szCs w:val="17"/>
          <w:color w:val="auto"/>
        </w:rPr>
      </w:pPr>
    </w:p>
    <w:p>
      <w:pPr>
        <w:ind w:left="620" w:right="440" w:hanging="305"/>
        <w:spacing w:after="0" w:line="285" w:lineRule="auto"/>
        <w:tabs>
          <w:tab w:leader="none" w:pos="620" w:val="left"/>
        </w:tabs>
        <w:numPr>
          <w:ilvl w:val="0"/>
          <w:numId w:val="4"/>
        </w:numPr>
        <w:rPr>
          <w:rFonts w:ascii="Arial" w:cs="Arial" w:eastAsia="Arial" w:hAnsi="Arial"/>
          <w:sz w:val="17"/>
          <w:szCs w:val="17"/>
          <w:color w:val="auto"/>
        </w:rPr>
      </w:pPr>
      <w:r>
        <w:rPr>
          <w:rFonts w:ascii="Arial" w:cs="Arial" w:eastAsia="Arial" w:hAnsi="Arial"/>
          <w:sz w:val="17"/>
          <w:szCs w:val="17"/>
          <w:color w:val="auto"/>
        </w:rPr>
        <w:t>increase in the number of loans insured through Federal government mortgage insurance programs, including those offered by the Federal Housing Administration;</w:t>
      </w:r>
    </w:p>
    <w:p>
      <w:pPr>
        <w:spacing w:after="0" w:line="184" w:lineRule="exact"/>
        <w:rPr>
          <w:rFonts w:ascii="Arial" w:cs="Arial" w:eastAsia="Arial" w:hAnsi="Arial"/>
          <w:sz w:val="17"/>
          <w:szCs w:val="17"/>
          <w:color w:val="auto"/>
        </w:rPr>
      </w:pPr>
    </w:p>
    <w:p>
      <w:pPr>
        <w:ind w:left="620" w:hanging="305"/>
        <w:spacing w:after="0"/>
        <w:tabs>
          <w:tab w:leader="none" w:pos="620" w:val="left"/>
        </w:tabs>
        <w:numPr>
          <w:ilvl w:val="0"/>
          <w:numId w:val="4"/>
        </w:numPr>
        <w:rPr>
          <w:rFonts w:ascii="Arial" w:cs="Arial" w:eastAsia="Arial" w:hAnsi="Arial"/>
          <w:sz w:val="17"/>
          <w:szCs w:val="17"/>
          <w:color w:val="auto"/>
        </w:rPr>
      </w:pPr>
      <w:r>
        <w:rPr>
          <w:rFonts w:ascii="Arial" w:cs="Arial" w:eastAsia="Arial" w:hAnsi="Arial"/>
          <w:sz w:val="17"/>
          <w:szCs w:val="17"/>
          <w:color w:val="auto"/>
        </w:rPr>
        <w:t>decline in the volume of low down payment mortgage originations;</w:t>
      </w:r>
    </w:p>
    <w:p>
      <w:pPr>
        <w:spacing w:after="0" w:line="245" w:lineRule="exact"/>
        <w:rPr>
          <w:rFonts w:ascii="Arial" w:cs="Arial" w:eastAsia="Arial" w:hAnsi="Arial"/>
          <w:sz w:val="17"/>
          <w:szCs w:val="17"/>
          <w:color w:val="auto"/>
        </w:rPr>
      </w:pPr>
    </w:p>
    <w:p>
      <w:pPr>
        <w:ind w:left="620" w:hanging="305"/>
        <w:spacing w:after="0"/>
        <w:tabs>
          <w:tab w:leader="none" w:pos="620" w:val="left"/>
        </w:tabs>
        <w:numPr>
          <w:ilvl w:val="0"/>
          <w:numId w:val="4"/>
        </w:numPr>
        <w:rPr>
          <w:rFonts w:ascii="Arial" w:cs="Arial" w:eastAsia="Arial" w:hAnsi="Arial"/>
          <w:sz w:val="17"/>
          <w:szCs w:val="17"/>
          <w:color w:val="auto"/>
        </w:rPr>
      </w:pPr>
      <w:r>
        <w:rPr>
          <w:rFonts w:ascii="Arial" w:cs="Arial" w:eastAsia="Arial" w:hAnsi="Arial"/>
          <w:sz w:val="17"/>
          <w:szCs w:val="17"/>
          <w:color w:val="auto"/>
        </w:rPr>
        <w:t>uncertainty of loss reserve estimates;</w:t>
      </w:r>
    </w:p>
    <w:p>
      <w:pPr>
        <w:spacing w:after="0" w:line="245" w:lineRule="exact"/>
        <w:rPr>
          <w:rFonts w:ascii="Arial" w:cs="Arial" w:eastAsia="Arial" w:hAnsi="Arial"/>
          <w:sz w:val="17"/>
          <w:szCs w:val="17"/>
          <w:color w:val="auto"/>
        </w:rPr>
      </w:pPr>
    </w:p>
    <w:p>
      <w:pPr>
        <w:ind w:left="620" w:hanging="305"/>
        <w:spacing w:after="0"/>
        <w:tabs>
          <w:tab w:leader="none" w:pos="620" w:val="left"/>
        </w:tabs>
        <w:numPr>
          <w:ilvl w:val="0"/>
          <w:numId w:val="4"/>
        </w:numPr>
        <w:rPr>
          <w:rFonts w:ascii="Arial" w:cs="Arial" w:eastAsia="Arial" w:hAnsi="Arial"/>
          <w:sz w:val="17"/>
          <w:szCs w:val="17"/>
          <w:color w:val="auto"/>
        </w:rPr>
      </w:pPr>
      <w:r>
        <w:rPr>
          <w:rFonts w:ascii="Arial" w:cs="Arial" w:eastAsia="Arial" w:hAnsi="Arial"/>
          <w:sz w:val="17"/>
          <w:szCs w:val="17"/>
          <w:color w:val="auto"/>
        </w:rPr>
        <w:t>decrease in the length of time our insurance policies are in force;</w:t>
      </w:r>
    </w:p>
    <w:p>
      <w:pPr>
        <w:spacing w:after="0" w:line="245" w:lineRule="exact"/>
        <w:rPr>
          <w:rFonts w:ascii="Arial" w:cs="Arial" w:eastAsia="Arial" w:hAnsi="Arial"/>
          <w:sz w:val="17"/>
          <w:szCs w:val="17"/>
          <w:color w:val="auto"/>
        </w:rPr>
      </w:pPr>
    </w:p>
    <w:p>
      <w:pPr>
        <w:ind w:left="620" w:hanging="305"/>
        <w:spacing w:after="0"/>
        <w:tabs>
          <w:tab w:leader="none" w:pos="620" w:val="left"/>
        </w:tabs>
        <w:numPr>
          <w:ilvl w:val="0"/>
          <w:numId w:val="4"/>
        </w:numPr>
        <w:rPr>
          <w:rFonts w:ascii="Arial" w:cs="Arial" w:eastAsia="Arial" w:hAnsi="Arial"/>
          <w:sz w:val="17"/>
          <w:szCs w:val="17"/>
          <w:color w:val="auto"/>
        </w:rPr>
      </w:pPr>
      <w:r>
        <w:rPr>
          <w:rFonts w:ascii="Arial" w:cs="Arial" w:eastAsia="Arial" w:hAnsi="Arial"/>
          <w:sz w:val="17"/>
          <w:szCs w:val="17"/>
          <w:color w:val="auto"/>
        </w:rPr>
        <w:t>deteriorating economic conditions;</w:t>
      </w:r>
    </w:p>
    <w:p>
      <w:pPr>
        <w:spacing w:after="0" w:line="245" w:lineRule="exact"/>
        <w:rPr>
          <w:rFonts w:ascii="Arial" w:cs="Arial" w:eastAsia="Arial" w:hAnsi="Arial"/>
          <w:sz w:val="17"/>
          <w:szCs w:val="17"/>
          <w:color w:val="auto"/>
        </w:rPr>
      </w:pPr>
    </w:p>
    <w:p>
      <w:pPr>
        <w:ind w:left="620" w:hanging="305"/>
        <w:spacing w:after="0"/>
        <w:tabs>
          <w:tab w:leader="none" w:pos="620" w:val="left"/>
        </w:tabs>
        <w:numPr>
          <w:ilvl w:val="0"/>
          <w:numId w:val="4"/>
        </w:numPr>
        <w:rPr>
          <w:rFonts w:ascii="Arial" w:cs="Arial" w:eastAsia="Arial" w:hAnsi="Arial"/>
          <w:sz w:val="17"/>
          <w:szCs w:val="17"/>
          <w:color w:val="auto"/>
        </w:rPr>
      </w:pPr>
      <w:r>
        <w:rPr>
          <w:rFonts w:ascii="Arial" w:cs="Arial" w:eastAsia="Arial" w:hAnsi="Arial"/>
          <w:sz w:val="17"/>
          <w:szCs w:val="17"/>
          <w:color w:val="auto"/>
        </w:rPr>
        <w:t>recently enacted U.S. Federal tax reform and its impact on us, our shareholders and our operations;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68580</wp:posOffset>
            </wp:positionV>
            <wp:extent cx="7162800" cy="419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 w:name="page4"/>
    <w:bookmarkEnd w:id="3"/>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344" w:lineRule="exact"/>
        <w:rPr>
          <w:sz w:val="20"/>
          <w:szCs w:val="20"/>
          <w:color w:val="auto"/>
        </w:rPr>
      </w:pPr>
    </w:p>
    <w:p>
      <w:pPr>
        <w:ind w:left="620" w:hanging="305"/>
        <w:spacing w:after="0" w:line="285" w:lineRule="auto"/>
        <w:tabs>
          <w:tab w:leader="none" w:pos="620" w:val="left"/>
        </w:tabs>
        <w:numPr>
          <w:ilvl w:val="0"/>
          <w:numId w:val="5"/>
        </w:numPr>
        <w:rPr>
          <w:rFonts w:ascii="Arial" w:cs="Arial" w:eastAsia="Arial" w:hAnsi="Arial"/>
          <w:sz w:val="17"/>
          <w:szCs w:val="17"/>
          <w:color w:val="auto"/>
        </w:rPr>
      </w:pPr>
      <w:r>
        <w:rPr>
          <w:rFonts w:ascii="Arial" w:cs="Arial" w:eastAsia="Arial" w:hAnsi="Arial"/>
          <w:sz w:val="17"/>
          <w:szCs w:val="17"/>
          <w:color w:val="auto"/>
        </w:rPr>
        <w:t>the definition of “Qualified Mortgage” reducing the size of the mortgage origination market or creating incentives to use government mortgage insurance programs;</w:t>
      </w:r>
    </w:p>
    <w:p>
      <w:pPr>
        <w:spacing w:after="0" w:line="184" w:lineRule="exact"/>
        <w:rPr>
          <w:rFonts w:ascii="Arial" w:cs="Arial" w:eastAsia="Arial" w:hAnsi="Arial"/>
          <w:sz w:val="17"/>
          <w:szCs w:val="17"/>
          <w:color w:val="auto"/>
        </w:rPr>
      </w:pPr>
    </w:p>
    <w:p>
      <w:pPr>
        <w:ind w:left="620" w:right="400" w:hanging="305"/>
        <w:spacing w:after="0" w:line="285" w:lineRule="auto"/>
        <w:tabs>
          <w:tab w:leader="none" w:pos="620" w:val="left"/>
        </w:tabs>
        <w:numPr>
          <w:ilvl w:val="0"/>
          <w:numId w:val="5"/>
        </w:numPr>
        <w:rPr>
          <w:rFonts w:ascii="Arial" w:cs="Arial" w:eastAsia="Arial" w:hAnsi="Arial"/>
          <w:sz w:val="17"/>
          <w:szCs w:val="17"/>
          <w:color w:val="auto"/>
        </w:rPr>
      </w:pPr>
      <w:r>
        <w:rPr>
          <w:rFonts w:ascii="Arial" w:cs="Arial" w:eastAsia="Arial" w:hAnsi="Arial"/>
          <w:sz w:val="17"/>
          <w:szCs w:val="17"/>
          <w:color w:val="auto"/>
        </w:rPr>
        <w:t>the definition of “Qualified Residential Mortgage” reducing the number of low down payment loans or lenders and investors seeking alternatives to private mortgage insurance;</w:t>
      </w:r>
    </w:p>
    <w:p>
      <w:pPr>
        <w:spacing w:after="0" w:line="184" w:lineRule="exact"/>
        <w:rPr>
          <w:rFonts w:ascii="Arial" w:cs="Arial" w:eastAsia="Arial" w:hAnsi="Arial"/>
          <w:sz w:val="17"/>
          <w:szCs w:val="17"/>
          <w:color w:val="auto"/>
        </w:rPr>
      </w:pPr>
    </w:p>
    <w:p>
      <w:pPr>
        <w:ind w:left="620" w:hanging="305"/>
        <w:spacing w:after="0"/>
        <w:tabs>
          <w:tab w:leader="none" w:pos="620" w:val="left"/>
        </w:tabs>
        <w:numPr>
          <w:ilvl w:val="0"/>
          <w:numId w:val="5"/>
        </w:numPr>
        <w:rPr>
          <w:rFonts w:ascii="Arial" w:cs="Arial" w:eastAsia="Arial" w:hAnsi="Arial"/>
          <w:sz w:val="17"/>
          <w:szCs w:val="17"/>
          <w:color w:val="auto"/>
        </w:rPr>
      </w:pPr>
      <w:r>
        <w:rPr>
          <w:rFonts w:ascii="Arial" w:cs="Arial" w:eastAsia="Arial" w:hAnsi="Arial"/>
          <w:sz w:val="17"/>
          <w:szCs w:val="17"/>
          <w:color w:val="auto"/>
        </w:rPr>
        <w:t>the implementation of the Basel III Capital Accord, which may discourage the use of private mortgage insurance;</w:t>
      </w:r>
    </w:p>
    <w:p>
      <w:pPr>
        <w:spacing w:after="0" w:line="245" w:lineRule="exact"/>
        <w:rPr>
          <w:rFonts w:ascii="Arial" w:cs="Arial" w:eastAsia="Arial" w:hAnsi="Arial"/>
          <w:sz w:val="17"/>
          <w:szCs w:val="17"/>
          <w:color w:val="auto"/>
        </w:rPr>
      </w:pPr>
    </w:p>
    <w:p>
      <w:pPr>
        <w:ind w:left="620" w:hanging="305"/>
        <w:spacing w:after="0"/>
        <w:tabs>
          <w:tab w:leader="none" w:pos="620" w:val="left"/>
        </w:tabs>
        <w:numPr>
          <w:ilvl w:val="0"/>
          <w:numId w:val="5"/>
        </w:numPr>
        <w:rPr>
          <w:rFonts w:ascii="Arial" w:cs="Arial" w:eastAsia="Arial" w:hAnsi="Arial"/>
          <w:sz w:val="17"/>
          <w:szCs w:val="17"/>
          <w:color w:val="auto"/>
        </w:rPr>
      </w:pPr>
      <w:r>
        <w:rPr>
          <w:rFonts w:ascii="Arial" w:cs="Arial" w:eastAsia="Arial" w:hAnsi="Arial"/>
          <w:sz w:val="17"/>
          <w:szCs w:val="17"/>
          <w:color w:val="auto"/>
        </w:rPr>
        <w:t>management of risk in our investment portfolio;</w:t>
      </w:r>
    </w:p>
    <w:p>
      <w:pPr>
        <w:spacing w:after="0" w:line="245" w:lineRule="exact"/>
        <w:rPr>
          <w:rFonts w:ascii="Arial" w:cs="Arial" w:eastAsia="Arial" w:hAnsi="Arial"/>
          <w:sz w:val="17"/>
          <w:szCs w:val="17"/>
          <w:color w:val="auto"/>
        </w:rPr>
      </w:pPr>
    </w:p>
    <w:p>
      <w:pPr>
        <w:ind w:left="620" w:hanging="305"/>
        <w:spacing w:after="0"/>
        <w:tabs>
          <w:tab w:leader="none" w:pos="620" w:val="left"/>
        </w:tabs>
        <w:numPr>
          <w:ilvl w:val="0"/>
          <w:numId w:val="5"/>
        </w:numPr>
        <w:rPr>
          <w:rFonts w:ascii="Arial" w:cs="Arial" w:eastAsia="Arial" w:hAnsi="Arial"/>
          <w:sz w:val="17"/>
          <w:szCs w:val="17"/>
          <w:color w:val="auto"/>
        </w:rPr>
      </w:pPr>
      <w:r>
        <w:rPr>
          <w:rFonts w:ascii="Arial" w:cs="Arial" w:eastAsia="Arial" w:hAnsi="Arial"/>
          <w:sz w:val="17"/>
          <w:szCs w:val="17"/>
          <w:color w:val="auto"/>
        </w:rPr>
        <w:t>fluctuations in interest rates;</w:t>
      </w:r>
    </w:p>
    <w:p>
      <w:pPr>
        <w:spacing w:after="0" w:line="245" w:lineRule="exact"/>
        <w:rPr>
          <w:rFonts w:ascii="Arial" w:cs="Arial" w:eastAsia="Arial" w:hAnsi="Arial"/>
          <w:sz w:val="17"/>
          <w:szCs w:val="17"/>
          <w:color w:val="auto"/>
        </w:rPr>
      </w:pPr>
    </w:p>
    <w:p>
      <w:pPr>
        <w:ind w:left="620" w:hanging="305"/>
        <w:spacing w:after="0"/>
        <w:tabs>
          <w:tab w:leader="none" w:pos="620" w:val="left"/>
        </w:tabs>
        <w:numPr>
          <w:ilvl w:val="0"/>
          <w:numId w:val="5"/>
        </w:numPr>
        <w:rPr>
          <w:rFonts w:ascii="Arial" w:cs="Arial" w:eastAsia="Arial" w:hAnsi="Arial"/>
          <w:sz w:val="17"/>
          <w:szCs w:val="17"/>
          <w:color w:val="auto"/>
        </w:rPr>
      </w:pPr>
      <w:r>
        <w:rPr>
          <w:rFonts w:ascii="Arial" w:cs="Arial" w:eastAsia="Arial" w:hAnsi="Arial"/>
          <w:sz w:val="17"/>
          <w:szCs w:val="17"/>
          <w:color w:val="auto"/>
        </w:rPr>
        <w:t>inadequacy of the premiums we charge to compensate for our losses incurred;</w:t>
      </w:r>
    </w:p>
    <w:p>
      <w:pPr>
        <w:spacing w:after="0" w:line="245" w:lineRule="exact"/>
        <w:rPr>
          <w:rFonts w:ascii="Arial" w:cs="Arial" w:eastAsia="Arial" w:hAnsi="Arial"/>
          <w:sz w:val="17"/>
          <w:szCs w:val="17"/>
          <w:color w:val="auto"/>
        </w:rPr>
      </w:pPr>
    </w:p>
    <w:p>
      <w:pPr>
        <w:ind w:left="620" w:hanging="305"/>
        <w:spacing w:after="0"/>
        <w:tabs>
          <w:tab w:leader="none" w:pos="620" w:val="left"/>
        </w:tabs>
        <w:numPr>
          <w:ilvl w:val="0"/>
          <w:numId w:val="5"/>
        </w:numPr>
        <w:rPr>
          <w:rFonts w:ascii="Arial" w:cs="Arial" w:eastAsia="Arial" w:hAnsi="Arial"/>
          <w:sz w:val="17"/>
          <w:szCs w:val="17"/>
          <w:color w:val="auto"/>
        </w:rPr>
      </w:pPr>
      <w:r>
        <w:rPr>
          <w:rFonts w:ascii="Arial" w:cs="Arial" w:eastAsia="Arial" w:hAnsi="Arial"/>
          <w:sz w:val="17"/>
          <w:szCs w:val="17"/>
          <w:color w:val="auto"/>
        </w:rPr>
        <w:t>dependence on management team and qualified personnel;</w:t>
      </w:r>
    </w:p>
    <w:p>
      <w:pPr>
        <w:spacing w:after="0" w:line="245" w:lineRule="exact"/>
        <w:rPr>
          <w:rFonts w:ascii="Arial" w:cs="Arial" w:eastAsia="Arial" w:hAnsi="Arial"/>
          <w:sz w:val="17"/>
          <w:szCs w:val="17"/>
          <w:color w:val="auto"/>
        </w:rPr>
      </w:pPr>
    </w:p>
    <w:p>
      <w:pPr>
        <w:ind w:left="620" w:hanging="305"/>
        <w:spacing w:after="0"/>
        <w:tabs>
          <w:tab w:leader="none" w:pos="620" w:val="left"/>
        </w:tabs>
        <w:numPr>
          <w:ilvl w:val="0"/>
          <w:numId w:val="5"/>
        </w:numPr>
        <w:rPr>
          <w:rFonts w:ascii="Arial" w:cs="Arial" w:eastAsia="Arial" w:hAnsi="Arial"/>
          <w:sz w:val="17"/>
          <w:szCs w:val="17"/>
          <w:color w:val="auto"/>
        </w:rPr>
      </w:pPr>
      <w:r>
        <w:rPr>
          <w:rFonts w:ascii="Arial" w:cs="Arial" w:eastAsia="Arial" w:hAnsi="Arial"/>
          <w:sz w:val="17"/>
          <w:szCs w:val="17"/>
          <w:color w:val="auto"/>
        </w:rPr>
        <w:t>disturbance to our information technology systems;</w:t>
      </w:r>
    </w:p>
    <w:p>
      <w:pPr>
        <w:spacing w:after="0" w:line="245" w:lineRule="exact"/>
        <w:rPr>
          <w:rFonts w:ascii="Arial" w:cs="Arial" w:eastAsia="Arial" w:hAnsi="Arial"/>
          <w:sz w:val="17"/>
          <w:szCs w:val="17"/>
          <w:color w:val="auto"/>
        </w:rPr>
      </w:pPr>
    </w:p>
    <w:p>
      <w:pPr>
        <w:ind w:left="620" w:hanging="305"/>
        <w:spacing w:after="0"/>
        <w:tabs>
          <w:tab w:leader="none" w:pos="620" w:val="left"/>
        </w:tabs>
        <w:numPr>
          <w:ilvl w:val="0"/>
          <w:numId w:val="5"/>
        </w:numPr>
        <w:rPr>
          <w:rFonts w:ascii="Arial" w:cs="Arial" w:eastAsia="Arial" w:hAnsi="Arial"/>
          <w:sz w:val="17"/>
          <w:szCs w:val="17"/>
          <w:color w:val="auto"/>
        </w:rPr>
      </w:pPr>
      <w:r>
        <w:rPr>
          <w:rFonts w:ascii="Arial" w:cs="Arial" w:eastAsia="Arial" w:hAnsi="Arial"/>
          <w:sz w:val="17"/>
          <w:szCs w:val="17"/>
          <w:color w:val="auto"/>
        </w:rPr>
        <w:t>change in our customers’ capital requirements discouraging the use of mortgage insurance;</w:t>
      </w:r>
    </w:p>
    <w:p>
      <w:pPr>
        <w:spacing w:after="0" w:line="245" w:lineRule="exact"/>
        <w:rPr>
          <w:rFonts w:ascii="Arial" w:cs="Arial" w:eastAsia="Arial" w:hAnsi="Arial"/>
          <w:sz w:val="17"/>
          <w:szCs w:val="17"/>
          <w:color w:val="auto"/>
        </w:rPr>
      </w:pPr>
    </w:p>
    <w:p>
      <w:pPr>
        <w:ind w:left="620" w:hanging="305"/>
        <w:spacing w:after="0"/>
        <w:tabs>
          <w:tab w:leader="none" w:pos="620" w:val="left"/>
        </w:tabs>
        <w:numPr>
          <w:ilvl w:val="0"/>
          <w:numId w:val="5"/>
        </w:numPr>
        <w:rPr>
          <w:rFonts w:ascii="Arial" w:cs="Arial" w:eastAsia="Arial" w:hAnsi="Arial"/>
          <w:sz w:val="17"/>
          <w:szCs w:val="17"/>
          <w:color w:val="auto"/>
        </w:rPr>
      </w:pPr>
      <w:r>
        <w:rPr>
          <w:rFonts w:ascii="Arial" w:cs="Arial" w:eastAsia="Arial" w:hAnsi="Arial"/>
          <w:sz w:val="17"/>
          <w:szCs w:val="17"/>
          <w:color w:val="auto"/>
        </w:rPr>
        <w:t>declines in the value of borrowers’ homes;</w:t>
      </w:r>
    </w:p>
    <w:p>
      <w:pPr>
        <w:spacing w:after="0" w:line="245" w:lineRule="exact"/>
        <w:rPr>
          <w:rFonts w:ascii="Arial" w:cs="Arial" w:eastAsia="Arial" w:hAnsi="Arial"/>
          <w:sz w:val="17"/>
          <w:szCs w:val="17"/>
          <w:color w:val="auto"/>
        </w:rPr>
      </w:pPr>
    </w:p>
    <w:p>
      <w:pPr>
        <w:ind w:left="620" w:hanging="305"/>
        <w:spacing w:after="0"/>
        <w:tabs>
          <w:tab w:leader="none" w:pos="620" w:val="left"/>
        </w:tabs>
        <w:numPr>
          <w:ilvl w:val="0"/>
          <w:numId w:val="5"/>
        </w:numPr>
        <w:rPr>
          <w:rFonts w:ascii="Arial" w:cs="Arial" w:eastAsia="Arial" w:hAnsi="Arial"/>
          <w:sz w:val="17"/>
          <w:szCs w:val="17"/>
          <w:color w:val="auto"/>
        </w:rPr>
      </w:pPr>
      <w:r>
        <w:rPr>
          <w:rFonts w:ascii="Arial" w:cs="Arial" w:eastAsia="Arial" w:hAnsi="Arial"/>
          <w:sz w:val="17"/>
          <w:szCs w:val="17"/>
          <w:color w:val="auto"/>
        </w:rPr>
        <w:t>limited availability of capital or reinsurance;</w:t>
      </w:r>
    </w:p>
    <w:p>
      <w:pPr>
        <w:spacing w:after="0" w:line="245" w:lineRule="exact"/>
        <w:rPr>
          <w:rFonts w:ascii="Arial" w:cs="Arial" w:eastAsia="Arial" w:hAnsi="Arial"/>
          <w:sz w:val="17"/>
          <w:szCs w:val="17"/>
          <w:color w:val="auto"/>
        </w:rPr>
      </w:pPr>
    </w:p>
    <w:p>
      <w:pPr>
        <w:ind w:left="620" w:hanging="305"/>
        <w:spacing w:after="0"/>
        <w:tabs>
          <w:tab w:leader="none" w:pos="620" w:val="left"/>
        </w:tabs>
        <w:numPr>
          <w:ilvl w:val="0"/>
          <w:numId w:val="5"/>
        </w:numPr>
        <w:rPr>
          <w:rFonts w:ascii="Arial" w:cs="Arial" w:eastAsia="Arial" w:hAnsi="Arial"/>
          <w:sz w:val="17"/>
          <w:szCs w:val="17"/>
          <w:color w:val="auto"/>
        </w:rPr>
      </w:pPr>
      <w:r>
        <w:rPr>
          <w:rFonts w:ascii="Arial" w:cs="Arial" w:eastAsia="Arial" w:hAnsi="Arial"/>
          <w:sz w:val="17"/>
          <w:szCs w:val="17"/>
          <w:color w:val="auto"/>
        </w:rPr>
        <w:t>unanticipated claims arise under and risks associated with our contract underwriting program;</w:t>
      </w:r>
    </w:p>
    <w:p>
      <w:pPr>
        <w:spacing w:after="0" w:line="245" w:lineRule="exact"/>
        <w:rPr>
          <w:rFonts w:ascii="Arial" w:cs="Arial" w:eastAsia="Arial" w:hAnsi="Arial"/>
          <w:sz w:val="17"/>
          <w:szCs w:val="17"/>
          <w:color w:val="auto"/>
        </w:rPr>
      </w:pPr>
    </w:p>
    <w:p>
      <w:pPr>
        <w:ind w:left="620" w:hanging="305"/>
        <w:spacing w:after="0"/>
        <w:tabs>
          <w:tab w:leader="none" w:pos="620" w:val="left"/>
        </w:tabs>
        <w:numPr>
          <w:ilvl w:val="0"/>
          <w:numId w:val="5"/>
        </w:numPr>
        <w:rPr>
          <w:rFonts w:ascii="Arial" w:cs="Arial" w:eastAsia="Arial" w:hAnsi="Arial"/>
          <w:sz w:val="17"/>
          <w:szCs w:val="17"/>
          <w:color w:val="auto"/>
        </w:rPr>
      </w:pPr>
      <w:r>
        <w:rPr>
          <w:rFonts w:ascii="Arial" w:cs="Arial" w:eastAsia="Arial" w:hAnsi="Arial"/>
          <w:sz w:val="17"/>
          <w:szCs w:val="17"/>
          <w:color w:val="auto"/>
        </w:rPr>
        <w:t>industry practice that loss reserves are established only upon a loan default;</w:t>
      </w:r>
    </w:p>
    <w:p>
      <w:pPr>
        <w:spacing w:after="0" w:line="245" w:lineRule="exact"/>
        <w:rPr>
          <w:rFonts w:ascii="Arial" w:cs="Arial" w:eastAsia="Arial" w:hAnsi="Arial"/>
          <w:sz w:val="17"/>
          <w:szCs w:val="17"/>
          <w:color w:val="auto"/>
        </w:rPr>
      </w:pPr>
    </w:p>
    <w:p>
      <w:pPr>
        <w:ind w:left="620" w:hanging="305"/>
        <w:spacing w:after="0"/>
        <w:tabs>
          <w:tab w:leader="none" w:pos="620" w:val="left"/>
        </w:tabs>
        <w:numPr>
          <w:ilvl w:val="0"/>
          <w:numId w:val="5"/>
        </w:numPr>
        <w:rPr>
          <w:rFonts w:ascii="Arial" w:cs="Arial" w:eastAsia="Arial" w:hAnsi="Arial"/>
          <w:sz w:val="17"/>
          <w:szCs w:val="17"/>
          <w:color w:val="auto"/>
        </w:rPr>
      </w:pPr>
      <w:r>
        <w:rPr>
          <w:rFonts w:ascii="Arial" w:cs="Arial" w:eastAsia="Arial" w:hAnsi="Arial"/>
          <w:sz w:val="17"/>
          <w:szCs w:val="17"/>
          <w:color w:val="auto"/>
        </w:rPr>
        <w:t>disruption in mortgage loan servicing, as a result of COVID-19 or otherwise;</w:t>
      </w:r>
    </w:p>
    <w:p>
      <w:pPr>
        <w:spacing w:after="0" w:line="245" w:lineRule="exact"/>
        <w:rPr>
          <w:rFonts w:ascii="Arial" w:cs="Arial" w:eastAsia="Arial" w:hAnsi="Arial"/>
          <w:sz w:val="17"/>
          <w:szCs w:val="17"/>
          <w:color w:val="auto"/>
        </w:rPr>
      </w:pPr>
    </w:p>
    <w:p>
      <w:pPr>
        <w:ind w:left="620" w:hanging="305"/>
        <w:spacing w:after="0"/>
        <w:tabs>
          <w:tab w:leader="none" w:pos="620" w:val="left"/>
        </w:tabs>
        <w:numPr>
          <w:ilvl w:val="0"/>
          <w:numId w:val="5"/>
        </w:numPr>
        <w:rPr>
          <w:rFonts w:ascii="Arial" w:cs="Arial" w:eastAsia="Arial" w:hAnsi="Arial"/>
          <w:sz w:val="17"/>
          <w:szCs w:val="17"/>
          <w:color w:val="auto"/>
        </w:rPr>
      </w:pPr>
      <w:r>
        <w:rPr>
          <w:rFonts w:ascii="Arial" w:cs="Arial" w:eastAsia="Arial" w:hAnsi="Arial"/>
          <w:sz w:val="17"/>
          <w:szCs w:val="17"/>
          <w:color w:val="auto"/>
        </w:rPr>
        <w:t>risk of future legal proceedings;</w:t>
      </w:r>
    </w:p>
    <w:p>
      <w:pPr>
        <w:spacing w:after="0" w:line="245" w:lineRule="exact"/>
        <w:rPr>
          <w:rFonts w:ascii="Arial" w:cs="Arial" w:eastAsia="Arial" w:hAnsi="Arial"/>
          <w:sz w:val="17"/>
          <w:szCs w:val="17"/>
          <w:color w:val="auto"/>
        </w:rPr>
      </w:pPr>
    </w:p>
    <w:p>
      <w:pPr>
        <w:ind w:left="620" w:hanging="305"/>
        <w:spacing w:after="0"/>
        <w:tabs>
          <w:tab w:leader="none" w:pos="620" w:val="left"/>
        </w:tabs>
        <w:numPr>
          <w:ilvl w:val="0"/>
          <w:numId w:val="5"/>
        </w:numPr>
        <w:rPr>
          <w:rFonts w:ascii="Arial" w:cs="Arial" w:eastAsia="Arial" w:hAnsi="Arial"/>
          <w:sz w:val="17"/>
          <w:szCs w:val="17"/>
          <w:color w:val="auto"/>
        </w:rPr>
      </w:pPr>
      <w:r>
        <w:rPr>
          <w:rFonts w:ascii="Arial" w:cs="Arial" w:eastAsia="Arial" w:hAnsi="Arial"/>
          <w:sz w:val="17"/>
          <w:szCs w:val="17"/>
          <w:color w:val="auto"/>
        </w:rPr>
        <w:t>customers’ technological demands;</w:t>
      </w:r>
    </w:p>
    <w:p>
      <w:pPr>
        <w:spacing w:after="0" w:line="245" w:lineRule="exact"/>
        <w:rPr>
          <w:rFonts w:ascii="Arial" w:cs="Arial" w:eastAsia="Arial" w:hAnsi="Arial"/>
          <w:sz w:val="17"/>
          <w:szCs w:val="17"/>
          <w:color w:val="auto"/>
        </w:rPr>
      </w:pPr>
    </w:p>
    <w:p>
      <w:pPr>
        <w:ind w:left="620" w:hanging="305"/>
        <w:spacing w:after="0"/>
        <w:tabs>
          <w:tab w:leader="none" w:pos="620" w:val="left"/>
        </w:tabs>
        <w:numPr>
          <w:ilvl w:val="0"/>
          <w:numId w:val="5"/>
        </w:numPr>
        <w:rPr>
          <w:rFonts w:ascii="Arial" w:cs="Arial" w:eastAsia="Arial" w:hAnsi="Arial"/>
          <w:sz w:val="17"/>
          <w:szCs w:val="17"/>
          <w:color w:val="auto"/>
        </w:rPr>
      </w:pPr>
      <w:r>
        <w:rPr>
          <w:rFonts w:ascii="Arial" w:cs="Arial" w:eastAsia="Arial" w:hAnsi="Arial"/>
          <w:sz w:val="17"/>
          <w:szCs w:val="17"/>
          <w:color w:val="auto"/>
        </w:rPr>
        <w:t>our non-U.S. operations becoming subject to U.S. Federal income taxation;</w:t>
      </w:r>
    </w:p>
    <w:p>
      <w:pPr>
        <w:spacing w:after="0" w:line="245" w:lineRule="exact"/>
        <w:rPr>
          <w:rFonts w:ascii="Arial" w:cs="Arial" w:eastAsia="Arial" w:hAnsi="Arial"/>
          <w:sz w:val="17"/>
          <w:szCs w:val="17"/>
          <w:color w:val="auto"/>
        </w:rPr>
      </w:pPr>
    </w:p>
    <w:p>
      <w:pPr>
        <w:ind w:left="620" w:hanging="305"/>
        <w:spacing w:after="0"/>
        <w:tabs>
          <w:tab w:leader="none" w:pos="620" w:val="left"/>
        </w:tabs>
        <w:numPr>
          <w:ilvl w:val="0"/>
          <w:numId w:val="5"/>
        </w:numPr>
        <w:rPr>
          <w:rFonts w:ascii="Arial" w:cs="Arial" w:eastAsia="Arial" w:hAnsi="Arial"/>
          <w:sz w:val="17"/>
          <w:szCs w:val="17"/>
          <w:color w:val="auto"/>
        </w:rPr>
      </w:pPr>
      <w:r>
        <w:rPr>
          <w:rFonts w:ascii="Arial" w:cs="Arial" w:eastAsia="Arial" w:hAnsi="Arial"/>
          <w:sz w:val="17"/>
          <w:szCs w:val="17"/>
          <w:color w:val="auto"/>
        </w:rPr>
        <w:t>becoming considered a passive foreign investment company for U.S. Federal income tax purposes; and</w:t>
      </w:r>
    </w:p>
    <w:p>
      <w:pPr>
        <w:spacing w:after="0" w:line="245" w:lineRule="exact"/>
        <w:rPr>
          <w:rFonts w:ascii="Arial" w:cs="Arial" w:eastAsia="Arial" w:hAnsi="Arial"/>
          <w:sz w:val="17"/>
          <w:szCs w:val="17"/>
          <w:color w:val="auto"/>
        </w:rPr>
      </w:pPr>
    </w:p>
    <w:p>
      <w:pPr>
        <w:ind w:left="620" w:hanging="305"/>
        <w:spacing w:after="0"/>
        <w:tabs>
          <w:tab w:leader="none" w:pos="620" w:val="left"/>
        </w:tabs>
        <w:numPr>
          <w:ilvl w:val="0"/>
          <w:numId w:val="5"/>
        </w:numPr>
        <w:rPr>
          <w:rFonts w:ascii="Arial" w:cs="Arial" w:eastAsia="Arial" w:hAnsi="Arial"/>
          <w:sz w:val="17"/>
          <w:szCs w:val="17"/>
          <w:color w:val="auto"/>
        </w:rPr>
      </w:pPr>
      <w:r>
        <w:rPr>
          <w:rFonts w:ascii="Arial" w:cs="Arial" w:eastAsia="Arial" w:hAnsi="Arial"/>
          <w:sz w:val="17"/>
          <w:szCs w:val="17"/>
          <w:color w:val="auto"/>
        </w:rPr>
        <w:t>potential restrictions on the ability of our insurance subsidiaries to pay dividends.</w:t>
      </w:r>
    </w:p>
    <w:p>
      <w:pPr>
        <w:spacing w:after="0" w:line="220" w:lineRule="exact"/>
        <w:rPr>
          <w:sz w:val="20"/>
          <w:szCs w:val="20"/>
          <w:color w:val="auto"/>
        </w:rPr>
      </w:pPr>
    </w:p>
    <w:p>
      <w:pPr>
        <w:ind w:right="60" w:firstLine="623"/>
        <w:spacing w:after="0" w:line="265" w:lineRule="auto"/>
        <w:rPr>
          <w:sz w:val="20"/>
          <w:szCs w:val="20"/>
          <w:color w:val="auto"/>
        </w:rPr>
      </w:pPr>
      <w:r>
        <w:rPr>
          <w:rFonts w:ascii="Arial" w:cs="Arial" w:eastAsia="Arial" w:hAnsi="Arial"/>
          <w:sz w:val="17"/>
          <w:szCs w:val="17"/>
          <w:color w:val="auto"/>
        </w:rPr>
        <w:t>Readers are urged to consider these factors carefully in evaluating the forward-looking statements and are cautioned not to place undue reliance on these forward-looking statements. All of the forward-looking statements we have included in this Quarterly Report are based on information available to us on the date of this Quarterly Report. We undertake no obligation to publicly update or revise any forward-looking statement, whether as a result of new information, future events or otherwise, except as otherwise required by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68580</wp:posOffset>
            </wp:positionV>
            <wp:extent cx="7162800" cy="419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195"/>
        </w:trPr>
        <w:tc>
          <w:tcPr>
            <w:tcW w:w="7940" w:type="dxa"/>
            <w:vAlign w:val="bottom"/>
            <w:gridSpan w:val="3"/>
          </w:tcPr>
          <w:p>
            <w:pPr>
              <w:spacing w:after="0"/>
              <w:rPr>
                <w:sz w:val="20"/>
                <w:szCs w:val="20"/>
                <w:color w:val="auto"/>
              </w:rPr>
            </w:pPr>
            <w:r>
              <w:rPr>
                <w:rFonts w:ascii="Arial" w:cs="Arial" w:eastAsia="Arial" w:hAnsi="Arial"/>
                <w:sz w:val="17"/>
                <w:szCs w:val="17"/>
                <w:color w:val="0000FF"/>
              </w:rPr>
              <w:t>Table of Contents</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59"/>
        </w:trPr>
        <w:tc>
          <w:tcPr>
            <w:tcW w:w="20" w:type="dxa"/>
            <w:vAlign w:val="bottom"/>
            <w:tcBorders>
              <w:top w:val="single" w:sz="8" w:color="0000FF"/>
            </w:tcBorders>
          </w:tcPr>
          <w:p>
            <w:pPr>
              <w:spacing w:after="0"/>
              <w:rPr>
                <w:sz w:val="24"/>
                <w:szCs w:val="24"/>
                <w:color w:val="auto"/>
              </w:rPr>
            </w:pPr>
          </w:p>
        </w:tc>
        <w:tc>
          <w:tcPr>
            <w:tcW w:w="1220" w:type="dxa"/>
            <w:vAlign w:val="bottom"/>
            <w:tcBorders>
              <w:top w:val="single" w:sz="8" w:color="0000FF"/>
            </w:tcBorders>
          </w:tcPr>
          <w:p>
            <w:pPr>
              <w:spacing w:after="0"/>
              <w:rPr>
                <w:sz w:val="24"/>
                <w:szCs w:val="24"/>
                <w:color w:val="auto"/>
              </w:rPr>
            </w:pPr>
          </w:p>
        </w:tc>
        <w:tc>
          <w:tcPr>
            <w:tcW w:w="6700" w:type="dxa"/>
            <w:vAlign w:val="bottom"/>
          </w:tcPr>
          <w:p>
            <w:pPr>
              <w:jc w:val="center"/>
              <w:ind w:left="1973"/>
              <w:spacing w:after="0"/>
              <w:rPr>
                <w:sz w:val="20"/>
                <w:szCs w:val="20"/>
                <w:color w:val="auto"/>
              </w:rPr>
            </w:pPr>
            <w:r>
              <w:rPr>
                <w:rFonts w:ascii="Arial" w:cs="Arial" w:eastAsia="Arial" w:hAnsi="Arial"/>
                <w:sz w:val="17"/>
                <w:szCs w:val="17"/>
                <w:b w:val="1"/>
                <w:bCs w:val="1"/>
                <w:color w:val="auto"/>
              </w:rPr>
              <w:t>PART I — FINANCIAL INFORMATION</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5"/>
        </w:trPr>
        <w:tc>
          <w:tcPr>
            <w:tcW w:w="7940" w:type="dxa"/>
            <w:vAlign w:val="bottom"/>
            <w:gridSpan w:val="3"/>
          </w:tcPr>
          <w:p>
            <w:pPr>
              <w:spacing w:after="0"/>
              <w:rPr>
                <w:sz w:val="20"/>
                <w:szCs w:val="20"/>
                <w:color w:val="auto"/>
              </w:rPr>
            </w:pPr>
            <w:r>
              <w:rPr>
                <w:rFonts w:ascii="Arial" w:cs="Arial" w:eastAsia="Arial" w:hAnsi="Arial"/>
                <w:sz w:val="17"/>
                <w:szCs w:val="17"/>
                <w:b w:val="1"/>
                <w:bCs w:val="1"/>
                <w:color w:val="auto"/>
              </w:rPr>
              <w:t>Item 1.  Financial Statements (Unaudited)</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5"/>
        </w:trPr>
        <w:tc>
          <w:tcPr>
            <w:tcW w:w="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6700" w:type="dxa"/>
            <w:vAlign w:val="bottom"/>
          </w:tcPr>
          <w:p>
            <w:pPr>
              <w:jc w:val="center"/>
              <w:ind w:left="1973"/>
              <w:spacing w:after="0"/>
              <w:rPr>
                <w:sz w:val="20"/>
                <w:szCs w:val="20"/>
                <w:color w:val="auto"/>
              </w:rPr>
            </w:pPr>
            <w:r>
              <w:rPr>
                <w:rFonts w:ascii="Arial" w:cs="Arial" w:eastAsia="Arial" w:hAnsi="Arial"/>
                <w:sz w:val="17"/>
                <w:szCs w:val="17"/>
                <w:b w:val="1"/>
                <w:bCs w:val="1"/>
                <w:color w:val="auto"/>
                <w:w w:val="91"/>
              </w:rPr>
              <w:t>Essent Group Ltd. and Subsidiaries</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1"/>
        </w:trPr>
        <w:tc>
          <w:tcPr>
            <w:tcW w:w="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6700" w:type="dxa"/>
            <w:vAlign w:val="bottom"/>
          </w:tcPr>
          <w:p>
            <w:pPr>
              <w:jc w:val="center"/>
              <w:ind w:left="1973"/>
              <w:spacing w:after="0"/>
              <w:rPr>
                <w:sz w:val="20"/>
                <w:szCs w:val="20"/>
                <w:color w:val="auto"/>
              </w:rPr>
            </w:pPr>
            <w:r>
              <w:rPr>
                <w:rFonts w:ascii="Arial" w:cs="Arial" w:eastAsia="Arial" w:hAnsi="Arial"/>
                <w:sz w:val="17"/>
                <w:szCs w:val="17"/>
                <w:b w:val="1"/>
                <w:bCs w:val="1"/>
                <w:color w:val="auto"/>
                <w:w w:val="90"/>
              </w:rPr>
              <w:t>Condensed Consolidated Balance Sheets (Unaudited)</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6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40" w:type="dxa"/>
            <w:vAlign w:val="bottom"/>
          </w:tcPr>
          <w:p>
            <w:pPr>
              <w:jc w:val="right"/>
              <w:ind w:right="353"/>
              <w:spacing w:after="0"/>
              <w:rPr>
                <w:sz w:val="20"/>
                <w:szCs w:val="20"/>
                <w:color w:val="auto"/>
              </w:rPr>
            </w:pPr>
            <w:r>
              <w:rPr>
                <w:rFonts w:ascii="Arial" w:cs="Arial" w:eastAsia="Arial" w:hAnsi="Arial"/>
                <w:sz w:val="17"/>
                <w:szCs w:val="17"/>
                <w:b w:val="1"/>
                <w:bCs w:val="1"/>
                <w:color w:val="auto"/>
              </w:rPr>
              <w:t>June 30,</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40" w:type="dxa"/>
            <w:vAlign w:val="bottom"/>
          </w:tcPr>
          <w:p>
            <w:pPr>
              <w:jc w:val="right"/>
              <w:ind w:right="173"/>
              <w:spacing w:after="0"/>
              <w:rPr>
                <w:sz w:val="20"/>
                <w:szCs w:val="20"/>
                <w:color w:val="auto"/>
              </w:rPr>
            </w:pPr>
            <w:r>
              <w:rPr>
                <w:rFonts w:ascii="Arial" w:cs="Arial" w:eastAsia="Arial" w:hAnsi="Arial"/>
                <w:sz w:val="17"/>
                <w:szCs w:val="17"/>
                <w:b w:val="1"/>
                <w:bCs w:val="1"/>
                <w:color w:val="auto"/>
                <w:w w:val="95"/>
              </w:rPr>
              <w:t>December 31,</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7920" w:type="dxa"/>
            <w:vAlign w:val="bottom"/>
            <w:tcBorders>
              <w:bottom w:val="single" w:sz="8" w:color="auto"/>
            </w:tcBorders>
            <w:gridSpan w:val="2"/>
          </w:tcPr>
          <w:p>
            <w:pPr>
              <w:ind w:left="20"/>
              <w:spacing w:after="0"/>
              <w:rPr>
                <w:sz w:val="20"/>
                <w:szCs w:val="20"/>
                <w:color w:val="auto"/>
              </w:rPr>
            </w:pPr>
            <w:r>
              <w:rPr>
                <w:rFonts w:ascii="Arial" w:cs="Arial" w:eastAsia="Arial" w:hAnsi="Arial"/>
                <w:sz w:val="17"/>
                <w:szCs w:val="17"/>
                <w:b w:val="1"/>
                <w:bCs w:val="1"/>
                <w:color w:val="auto"/>
              </w:rPr>
              <w:t>(In thousands, except per share amounts)</w:t>
            </w:r>
          </w:p>
        </w:tc>
        <w:tc>
          <w:tcPr>
            <w:tcW w:w="1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493"/>
              <w:spacing w:after="0"/>
              <w:rPr>
                <w:sz w:val="20"/>
                <w:szCs w:val="20"/>
                <w:color w:val="auto"/>
              </w:rPr>
            </w:pPr>
            <w:r>
              <w:rPr>
                <w:rFonts w:ascii="Arial" w:cs="Arial" w:eastAsia="Arial" w:hAnsi="Arial"/>
                <w:sz w:val="17"/>
                <w:szCs w:val="17"/>
                <w:b w:val="1"/>
                <w:bCs w:val="1"/>
                <w:color w:val="auto"/>
              </w:rPr>
              <w:t>2023</w:t>
            </w:r>
          </w:p>
        </w:tc>
        <w:tc>
          <w:tcPr>
            <w:tcW w:w="1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513"/>
              <w:spacing w:after="0"/>
              <w:rPr>
                <w:sz w:val="20"/>
                <w:szCs w:val="20"/>
                <w:color w:val="auto"/>
              </w:rPr>
            </w:pPr>
            <w:r>
              <w:rPr>
                <w:rFonts w:ascii="Arial" w:cs="Arial" w:eastAsia="Arial" w:hAnsi="Arial"/>
                <w:sz w:val="17"/>
                <w:szCs w:val="17"/>
                <w:b w:val="1"/>
                <w:bCs w:val="1"/>
                <w:color w:val="auto"/>
              </w:rPr>
              <w:t>2022</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7920" w:type="dxa"/>
            <w:vAlign w:val="bottom"/>
            <w:gridSpan w:val="2"/>
            <w:shd w:val="clear" w:color="auto" w:fill="CCEEFF"/>
          </w:tcPr>
          <w:p>
            <w:pPr>
              <w:ind w:left="20"/>
              <w:spacing w:after="0"/>
              <w:rPr>
                <w:sz w:val="20"/>
                <w:szCs w:val="20"/>
                <w:color w:val="auto"/>
              </w:rPr>
            </w:pPr>
            <w:r>
              <w:rPr>
                <w:rFonts w:ascii="Arial" w:cs="Arial" w:eastAsia="Arial" w:hAnsi="Arial"/>
                <w:sz w:val="17"/>
                <w:szCs w:val="17"/>
                <w:b w:val="1"/>
                <w:bCs w:val="1"/>
                <w:i w:val="1"/>
                <w:iCs w:val="1"/>
                <w:color w:val="auto"/>
              </w:rPr>
              <w:t>Assets</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7920" w:type="dxa"/>
            <w:vAlign w:val="bottom"/>
            <w:gridSpan w:val="2"/>
          </w:tcPr>
          <w:p>
            <w:pPr>
              <w:ind w:left="20"/>
              <w:spacing w:after="0"/>
              <w:rPr>
                <w:sz w:val="20"/>
                <w:szCs w:val="20"/>
                <w:color w:val="auto"/>
              </w:rPr>
            </w:pPr>
            <w:r>
              <w:rPr>
                <w:rFonts w:ascii="Arial" w:cs="Arial" w:eastAsia="Arial" w:hAnsi="Arial"/>
                <w:sz w:val="17"/>
                <w:szCs w:val="17"/>
                <w:color w:val="auto"/>
              </w:rPr>
              <w:t>Investments</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920" w:type="dxa"/>
            <w:vAlign w:val="bottom"/>
            <w:gridSpan w:val="2"/>
            <w:shd w:val="clear" w:color="auto" w:fill="CCEEFF"/>
          </w:tcPr>
          <w:p>
            <w:pPr>
              <w:ind w:left="240"/>
              <w:spacing w:after="0" w:line="169" w:lineRule="exact"/>
              <w:rPr>
                <w:sz w:val="20"/>
                <w:szCs w:val="20"/>
                <w:color w:val="auto"/>
              </w:rPr>
            </w:pPr>
            <w:r>
              <w:rPr>
                <w:rFonts w:ascii="Arial" w:cs="Arial" w:eastAsia="Arial" w:hAnsi="Arial"/>
                <w:sz w:val="17"/>
                <w:szCs w:val="17"/>
                <w:color w:val="auto"/>
              </w:rPr>
              <w:t>Fixed maturities available for sale, at fair value (amortized cost: 2023 — $4,854,576;</w:t>
            </w:r>
          </w:p>
        </w:tc>
        <w:tc>
          <w:tcPr>
            <w:tcW w:w="3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24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4,438,554</w:t>
            </w:r>
          </w:p>
        </w:tc>
        <w:tc>
          <w:tcPr>
            <w:tcW w:w="32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134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4,489,598</w:t>
            </w: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920" w:type="dxa"/>
            <w:vAlign w:val="bottom"/>
            <w:gridSpan w:val="2"/>
            <w:shd w:val="clear" w:color="auto" w:fill="CCEEFF"/>
          </w:tcPr>
          <w:p>
            <w:pPr>
              <w:ind w:left="460"/>
              <w:spacing w:after="0"/>
              <w:rPr>
                <w:sz w:val="20"/>
                <w:szCs w:val="20"/>
                <w:color w:val="auto"/>
              </w:rPr>
            </w:pPr>
            <w:r>
              <w:rPr>
                <w:rFonts w:ascii="Arial" w:cs="Arial" w:eastAsia="Arial" w:hAnsi="Arial"/>
                <w:sz w:val="17"/>
                <w:szCs w:val="17"/>
                <w:color w:val="auto"/>
              </w:rPr>
              <w:t>2022 — $4,932,574)</w:t>
            </w:r>
          </w:p>
        </w:tc>
        <w:tc>
          <w:tcPr>
            <w:tcW w:w="380" w:type="dxa"/>
            <w:vAlign w:val="bottom"/>
            <w:gridSpan w:val="2"/>
            <w:vMerge w:val="continue"/>
            <w:shd w:val="clear" w:color="auto" w:fill="CCEEFF"/>
          </w:tcPr>
          <w:p>
            <w:pPr>
              <w:spacing w:after="0"/>
              <w:rPr>
                <w:sz w:val="20"/>
                <w:szCs w:val="20"/>
                <w:color w:val="auto"/>
              </w:rPr>
            </w:pPr>
          </w:p>
        </w:tc>
        <w:tc>
          <w:tcPr>
            <w:tcW w:w="1240" w:type="dxa"/>
            <w:vAlign w:val="bottom"/>
            <w:vMerge w:val="continue"/>
            <w:shd w:val="clear" w:color="auto" w:fill="CCEEFF"/>
          </w:tcPr>
          <w:p>
            <w:pPr>
              <w:spacing w:after="0"/>
              <w:rPr>
                <w:sz w:val="20"/>
                <w:szCs w:val="20"/>
                <w:color w:val="auto"/>
              </w:rPr>
            </w:pPr>
          </w:p>
        </w:tc>
        <w:tc>
          <w:tcPr>
            <w:tcW w:w="320" w:type="dxa"/>
            <w:vAlign w:val="bottom"/>
            <w:gridSpan w:val="2"/>
            <w:vMerge w:val="continue"/>
            <w:shd w:val="clear" w:color="auto" w:fill="CCEEFF"/>
          </w:tcPr>
          <w:p>
            <w:pPr>
              <w:spacing w:after="0"/>
              <w:rPr>
                <w:sz w:val="20"/>
                <w:szCs w:val="20"/>
                <w:color w:val="auto"/>
              </w:rPr>
            </w:pPr>
          </w:p>
        </w:tc>
        <w:tc>
          <w:tcPr>
            <w:tcW w:w="1340" w:type="dxa"/>
            <w:vAlign w:val="bottom"/>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920" w:type="dxa"/>
            <w:vAlign w:val="bottom"/>
            <w:gridSpan w:val="2"/>
          </w:tcPr>
          <w:p>
            <w:pPr>
              <w:ind w:left="240"/>
              <w:spacing w:after="0" w:line="169" w:lineRule="exact"/>
              <w:rPr>
                <w:sz w:val="20"/>
                <w:szCs w:val="20"/>
                <w:color w:val="auto"/>
              </w:rPr>
            </w:pPr>
            <w:r>
              <w:rPr>
                <w:rFonts w:ascii="Arial" w:cs="Arial" w:eastAsia="Arial" w:hAnsi="Arial"/>
                <w:sz w:val="17"/>
                <w:szCs w:val="17"/>
                <w:color w:val="auto"/>
              </w:rPr>
              <w:t>Short-term investments available for sale, at fair value (amortized cost: 2023 —</w:t>
            </w: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40" w:type="dxa"/>
            <w:vAlign w:val="bottom"/>
            <w:vMerge w:val="restart"/>
          </w:tcPr>
          <w:p>
            <w:pPr>
              <w:jc w:val="right"/>
              <w:spacing w:after="0"/>
              <w:rPr>
                <w:sz w:val="20"/>
                <w:szCs w:val="20"/>
                <w:color w:val="auto"/>
              </w:rPr>
            </w:pPr>
            <w:r>
              <w:rPr>
                <w:rFonts w:ascii="Arial" w:cs="Arial" w:eastAsia="Arial" w:hAnsi="Arial"/>
                <w:sz w:val="17"/>
                <w:szCs w:val="17"/>
                <w:color w:val="auto"/>
              </w:rPr>
              <w:t>583,540</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40" w:type="dxa"/>
            <w:vAlign w:val="bottom"/>
            <w:vMerge w:val="restart"/>
          </w:tcPr>
          <w:p>
            <w:pPr>
              <w:jc w:val="right"/>
              <w:spacing w:after="0"/>
              <w:rPr>
                <w:sz w:val="20"/>
                <w:szCs w:val="20"/>
                <w:color w:val="auto"/>
              </w:rPr>
            </w:pPr>
            <w:r>
              <w:rPr>
                <w:rFonts w:ascii="Arial" w:cs="Arial" w:eastAsia="Arial" w:hAnsi="Arial"/>
                <w:sz w:val="17"/>
                <w:szCs w:val="17"/>
                <w:color w:val="auto"/>
              </w:rPr>
              <w:t>252,027</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7920" w:type="dxa"/>
            <w:vAlign w:val="bottom"/>
            <w:tcBorders>
              <w:bottom w:val="single" w:sz="8" w:color="CCEEFF"/>
            </w:tcBorders>
            <w:gridSpan w:val="2"/>
          </w:tcPr>
          <w:p>
            <w:pPr>
              <w:ind w:left="460"/>
              <w:spacing w:after="0"/>
              <w:rPr>
                <w:sz w:val="20"/>
                <w:szCs w:val="20"/>
                <w:color w:val="auto"/>
              </w:rPr>
            </w:pPr>
            <w:r>
              <w:rPr>
                <w:rFonts w:ascii="Arial" w:cs="Arial" w:eastAsia="Arial" w:hAnsi="Arial"/>
                <w:sz w:val="17"/>
                <w:szCs w:val="17"/>
                <w:color w:val="auto"/>
              </w:rPr>
              <w:t>$583,712; 2022 — $252,282)</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vMerge w:val="continue"/>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920" w:type="dxa"/>
            <w:vAlign w:val="bottom"/>
            <w:gridSpan w:val="2"/>
            <w:shd w:val="clear" w:color="auto" w:fill="CCEEFF"/>
          </w:tcPr>
          <w:p>
            <w:pPr>
              <w:ind w:left="460"/>
              <w:spacing w:after="0"/>
              <w:rPr>
                <w:sz w:val="20"/>
                <w:szCs w:val="20"/>
                <w:color w:val="auto"/>
              </w:rPr>
            </w:pPr>
            <w:r>
              <w:rPr>
                <w:rFonts w:ascii="Arial" w:cs="Arial" w:eastAsia="Arial" w:hAnsi="Arial"/>
                <w:sz w:val="17"/>
                <w:szCs w:val="17"/>
                <w:color w:val="auto"/>
              </w:rPr>
              <w:t>Total investments available for sale</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5,022,094</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4,741,625</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7920" w:type="dxa"/>
            <w:vAlign w:val="bottom"/>
            <w:gridSpan w:val="2"/>
          </w:tcPr>
          <w:p>
            <w:pPr>
              <w:ind w:left="240"/>
              <w:spacing w:after="0"/>
              <w:rPr>
                <w:sz w:val="20"/>
                <w:szCs w:val="20"/>
                <w:color w:val="auto"/>
              </w:rPr>
            </w:pPr>
            <w:r>
              <w:rPr>
                <w:rFonts w:ascii="Arial" w:cs="Arial" w:eastAsia="Arial" w:hAnsi="Arial"/>
                <w:sz w:val="17"/>
                <w:szCs w:val="17"/>
                <w:color w:val="auto"/>
              </w:rPr>
              <w:t>Other invested assets</w:t>
            </w:r>
          </w:p>
        </w:tc>
        <w:tc>
          <w:tcPr>
            <w:tcW w:w="1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266,559</w:t>
            </w:r>
          </w:p>
        </w:tc>
        <w:tc>
          <w:tcPr>
            <w:tcW w:w="1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257,941</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792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Total investments</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5,288,653</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4,999,566</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7920" w:type="dxa"/>
            <w:vAlign w:val="bottom"/>
            <w:gridSpan w:val="2"/>
          </w:tcPr>
          <w:p>
            <w:pPr>
              <w:ind w:left="20"/>
              <w:spacing w:after="0"/>
              <w:rPr>
                <w:sz w:val="20"/>
                <w:szCs w:val="20"/>
                <w:color w:val="auto"/>
              </w:rPr>
            </w:pPr>
            <w:r>
              <w:rPr>
                <w:rFonts w:ascii="Arial" w:cs="Arial" w:eastAsia="Arial" w:hAnsi="Arial"/>
                <w:sz w:val="17"/>
                <w:szCs w:val="17"/>
                <w:color w:val="auto"/>
              </w:rPr>
              <w:t>Cash</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68,101</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81,240</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792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Accrued investment income</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36,099</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33,162</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7920" w:type="dxa"/>
            <w:vAlign w:val="bottom"/>
            <w:gridSpan w:val="2"/>
          </w:tcPr>
          <w:p>
            <w:pPr>
              <w:ind w:left="20"/>
              <w:spacing w:after="0"/>
              <w:rPr>
                <w:sz w:val="20"/>
                <w:szCs w:val="20"/>
                <w:color w:val="auto"/>
              </w:rPr>
            </w:pPr>
            <w:r>
              <w:rPr>
                <w:rFonts w:ascii="Arial" w:cs="Arial" w:eastAsia="Arial" w:hAnsi="Arial"/>
                <w:sz w:val="17"/>
                <w:szCs w:val="17"/>
                <w:color w:val="auto"/>
              </w:rPr>
              <w:t>Accounts receivable</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62,692</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57,399</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792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Deferred policy acquisition costs</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9,460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9,910</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920" w:type="dxa"/>
            <w:vAlign w:val="bottom"/>
            <w:gridSpan w:val="2"/>
          </w:tcPr>
          <w:p>
            <w:pPr>
              <w:ind w:left="20"/>
              <w:spacing w:after="0" w:line="169" w:lineRule="exact"/>
              <w:rPr>
                <w:sz w:val="20"/>
                <w:szCs w:val="20"/>
                <w:color w:val="auto"/>
              </w:rPr>
            </w:pPr>
            <w:r>
              <w:rPr>
                <w:rFonts w:ascii="Arial" w:cs="Arial" w:eastAsia="Arial" w:hAnsi="Arial"/>
                <w:sz w:val="17"/>
                <w:szCs w:val="17"/>
                <w:color w:val="auto"/>
              </w:rPr>
              <w:t>Property and equipment (at cost, less accumulated depreciation of $68,791 in 2023 and</w:t>
            </w: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40" w:type="dxa"/>
            <w:vAlign w:val="bottom"/>
            <w:vMerge w:val="restart"/>
          </w:tcPr>
          <w:p>
            <w:pPr>
              <w:jc w:val="right"/>
              <w:spacing w:after="0"/>
              <w:rPr>
                <w:sz w:val="20"/>
                <w:szCs w:val="20"/>
                <w:color w:val="auto"/>
              </w:rPr>
            </w:pPr>
            <w:r>
              <w:rPr>
                <w:rFonts w:ascii="Arial" w:cs="Arial" w:eastAsia="Arial" w:hAnsi="Arial"/>
                <w:sz w:val="17"/>
                <w:szCs w:val="17"/>
                <w:color w:val="auto"/>
              </w:rPr>
              <w:t>31,324</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40" w:type="dxa"/>
            <w:vAlign w:val="bottom"/>
            <w:vMerge w:val="restart"/>
          </w:tcPr>
          <w:p>
            <w:pPr>
              <w:jc w:val="right"/>
              <w:spacing w:after="0"/>
              <w:rPr>
                <w:sz w:val="20"/>
                <w:szCs w:val="20"/>
                <w:color w:val="auto"/>
              </w:rPr>
            </w:pPr>
            <w:r>
              <w:rPr>
                <w:rFonts w:ascii="Arial" w:cs="Arial" w:eastAsia="Arial" w:hAnsi="Arial"/>
                <w:sz w:val="17"/>
                <w:szCs w:val="17"/>
                <w:color w:val="auto"/>
              </w:rPr>
              <w:t>19,571</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7920" w:type="dxa"/>
            <w:vAlign w:val="bottom"/>
            <w:gridSpan w:val="2"/>
          </w:tcPr>
          <w:p>
            <w:pPr>
              <w:ind w:left="260"/>
              <w:spacing w:after="0"/>
              <w:rPr>
                <w:sz w:val="20"/>
                <w:szCs w:val="20"/>
                <w:color w:val="auto"/>
              </w:rPr>
            </w:pPr>
            <w:r>
              <w:rPr>
                <w:rFonts w:ascii="Arial" w:cs="Arial" w:eastAsia="Arial" w:hAnsi="Arial"/>
                <w:sz w:val="17"/>
                <w:szCs w:val="17"/>
                <w:color w:val="auto"/>
              </w:rPr>
              <w:t>$67,352 in 2022)</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792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Prepaid federal income tax</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446,460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418,460</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7920" w:type="dxa"/>
            <w:vAlign w:val="bottom"/>
            <w:gridSpan w:val="2"/>
          </w:tcPr>
          <w:p>
            <w:pPr>
              <w:ind w:left="20"/>
              <w:spacing w:after="0"/>
              <w:rPr>
                <w:sz w:val="20"/>
                <w:szCs w:val="20"/>
                <w:color w:val="auto"/>
              </w:rPr>
            </w:pPr>
            <w:r>
              <w:rPr>
                <w:rFonts w:ascii="Arial" w:cs="Arial" w:eastAsia="Arial" w:hAnsi="Arial"/>
                <w:sz w:val="17"/>
                <w:szCs w:val="17"/>
                <w:color w:val="auto"/>
              </w:rPr>
              <w:t>Other assets</w:t>
            </w:r>
          </w:p>
        </w:tc>
        <w:tc>
          <w:tcPr>
            <w:tcW w:w="1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40,526</w:t>
            </w:r>
          </w:p>
        </w:tc>
        <w:tc>
          <w:tcPr>
            <w:tcW w:w="1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104,489</w:t>
            </w: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7920" w:type="dxa"/>
            <w:vAlign w:val="bottom"/>
            <w:gridSpan w:val="2"/>
            <w:shd w:val="clear" w:color="auto" w:fill="CCEEFF"/>
          </w:tcPr>
          <w:p>
            <w:pPr>
              <w:ind w:left="20"/>
              <w:spacing w:after="0"/>
              <w:rPr>
                <w:sz w:val="20"/>
                <w:szCs w:val="20"/>
                <w:color w:val="auto"/>
              </w:rPr>
            </w:pPr>
            <w:r>
              <w:rPr>
                <w:rFonts w:ascii="Arial" w:cs="Arial" w:eastAsia="Arial" w:hAnsi="Arial"/>
                <w:sz w:val="17"/>
                <w:szCs w:val="17"/>
                <w:b w:val="1"/>
                <w:bCs w:val="1"/>
                <w:color w:val="auto"/>
              </w:rPr>
              <w:t>Total assets</w:t>
            </w:r>
          </w:p>
        </w:tc>
        <w:tc>
          <w:tcPr>
            <w:tcW w:w="3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5,983,315</w:t>
            </w:r>
          </w:p>
        </w:tc>
        <w:tc>
          <w:tcPr>
            <w:tcW w:w="3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5,723,797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20" w:type="dxa"/>
            <w:vAlign w:val="bottom"/>
            <w:tcBorders>
              <w:top w:val="single" w:sz="8" w:color="CCEEFF"/>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4"/>
        </w:trPr>
        <w:tc>
          <w:tcPr>
            <w:tcW w:w="2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6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7920" w:type="dxa"/>
            <w:vAlign w:val="bottom"/>
            <w:gridSpan w:val="2"/>
            <w:shd w:val="clear" w:color="auto" w:fill="CCEEFF"/>
          </w:tcPr>
          <w:p>
            <w:pPr>
              <w:ind w:left="20"/>
              <w:spacing w:after="0"/>
              <w:rPr>
                <w:sz w:val="20"/>
                <w:szCs w:val="20"/>
                <w:color w:val="auto"/>
              </w:rPr>
            </w:pPr>
            <w:r>
              <w:rPr>
                <w:rFonts w:ascii="Arial" w:cs="Arial" w:eastAsia="Arial" w:hAnsi="Arial"/>
                <w:sz w:val="17"/>
                <w:szCs w:val="17"/>
                <w:b w:val="1"/>
                <w:bCs w:val="1"/>
                <w:i w:val="1"/>
                <w:iCs w:val="1"/>
                <w:color w:val="auto"/>
              </w:rPr>
              <w:t>Liabilities and Stockholders’ Equity</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7920" w:type="dxa"/>
            <w:vAlign w:val="bottom"/>
            <w:gridSpan w:val="2"/>
          </w:tcPr>
          <w:p>
            <w:pPr>
              <w:ind w:left="20"/>
              <w:spacing w:after="0"/>
              <w:rPr>
                <w:sz w:val="20"/>
                <w:szCs w:val="20"/>
                <w:color w:val="auto"/>
              </w:rPr>
            </w:pPr>
            <w:r>
              <w:rPr>
                <w:rFonts w:ascii="Arial" w:cs="Arial" w:eastAsia="Arial" w:hAnsi="Arial"/>
                <w:sz w:val="17"/>
                <w:szCs w:val="17"/>
                <w:color w:val="auto"/>
              </w:rPr>
              <w:t>Liabilities</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920" w:type="dxa"/>
            <w:vAlign w:val="bottom"/>
            <w:gridSpan w:val="2"/>
            <w:shd w:val="clear" w:color="auto" w:fill="CCEEFF"/>
          </w:tcPr>
          <w:p>
            <w:pPr>
              <w:ind w:left="220"/>
              <w:spacing w:after="0"/>
              <w:rPr>
                <w:sz w:val="20"/>
                <w:szCs w:val="20"/>
                <w:color w:val="auto"/>
              </w:rPr>
            </w:pPr>
            <w:r>
              <w:rPr>
                <w:rFonts w:ascii="Arial" w:cs="Arial" w:eastAsia="Arial" w:hAnsi="Arial"/>
                <w:sz w:val="17"/>
                <w:szCs w:val="17"/>
                <w:color w:val="auto"/>
              </w:rPr>
              <w:t>Reserve for losses and LAE</w:t>
            </w:r>
          </w:p>
        </w:tc>
        <w:tc>
          <w:tcPr>
            <w:tcW w:w="3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216,943</w:t>
            </w:r>
          </w:p>
        </w:tc>
        <w:tc>
          <w:tcPr>
            <w:tcW w:w="3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216,464</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7920" w:type="dxa"/>
            <w:vAlign w:val="bottom"/>
            <w:gridSpan w:val="2"/>
          </w:tcPr>
          <w:p>
            <w:pPr>
              <w:ind w:left="220"/>
              <w:spacing w:after="0"/>
              <w:rPr>
                <w:sz w:val="20"/>
                <w:szCs w:val="20"/>
                <w:color w:val="auto"/>
              </w:rPr>
            </w:pPr>
            <w:r>
              <w:rPr>
                <w:rFonts w:ascii="Arial" w:cs="Arial" w:eastAsia="Arial" w:hAnsi="Arial"/>
                <w:sz w:val="17"/>
                <w:szCs w:val="17"/>
                <w:color w:val="auto"/>
              </w:rPr>
              <w:t>Unearned premium reserve</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153,921</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162,887</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7920" w:type="dxa"/>
            <w:vAlign w:val="bottom"/>
            <w:gridSpan w:val="2"/>
            <w:shd w:val="clear" w:color="auto" w:fill="CCEEFF"/>
          </w:tcPr>
          <w:p>
            <w:pPr>
              <w:ind w:left="220"/>
              <w:spacing w:after="0"/>
              <w:rPr>
                <w:sz w:val="20"/>
                <w:szCs w:val="20"/>
                <w:color w:val="auto"/>
              </w:rPr>
            </w:pPr>
            <w:r>
              <w:rPr>
                <w:rFonts w:ascii="Arial" w:cs="Arial" w:eastAsia="Arial" w:hAnsi="Arial"/>
                <w:sz w:val="17"/>
                <w:szCs w:val="17"/>
                <w:color w:val="auto"/>
              </w:rPr>
              <w:t>Net deferred tax liability</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328,340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356,810</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920" w:type="dxa"/>
            <w:vAlign w:val="bottom"/>
            <w:gridSpan w:val="2"/>
          </w:tcPr>
          <w:p>
            <w:pPr>
              <w:ind w:left="220"/>
              <w:spacing w:after="0" w:line="182" w:lineRule="exact"/>
              <w:rPr>
                <w:sz w:val="20"/>
                <w:szCs w:val="20"/>
                <w:color w:val="auto"/>
              </w:rPr>
            </w:pPr>
            <w:r>
              <w:rPr>
                <w:rFonts w:ascii="Arial" w:cs="Arial" w:eastAsia="Arial" w:hAnsi="Arial"/>
                <w:sz w:val="17"/>
                <w:szCs w:val="17"/>
                <w:color w:val="auto"/>
                <w:w w:val="94"/>
              </w:rPr>
              <w:t>Credit facility borrowings (at carrying value, less unamortized deferred costs of $3,608 in 2023 and $4,136 in</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0"/>
        </w:trPr>
        <w:tc>
          <w:tcPr>
            <w:tcW w:w="1240" w:type="dxa"/>
            <w:vAlign w:val="bottom"/>
            <w:gridSpan w:val="2"/>
          </w:tcPr>
          <w:p>
            <w:pPr>
              <w:ind w:left="480"/>
              <w:spacing w:after="0"/>
              <w:rPr>
                <w:sz w:val="20"/>
                <w:szCs w:val="20"/>
                <w:color w:val="auto"/>
              </w:rPr>
            </w:pPr>
            <w:r>
              <w:rPr>
                <w:rFonts w:ascii="Arial" w:cs="Arial" w:eastAsia="Arial" w:hAnsi="Arial"/>
                <w:sz w:val="17"/>
                <w:szCs w:val="17"/>
                <w:color w:val="auto"/>
              </w:rPr>
              <w:t>2022)</w:t>
            </w:r>
          </w:p>
        </w:tc>
        <w:tc>
          <w:tcPr>
            <w:tcW w:w="6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421,392</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420,864</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792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7"/>
                <w:szCs w:val="17"/>
                <w:color w:val="auto"/>
              </w:rPr>
              <w:t>Other accrued liabilities</w:t>
            </w:r>
          </w:p>
        </w:tc>
        <w:tc>
          <w:tcPr>
            <w:tcW w:w="1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129,367</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104,463</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7920" w:type="dxa"/>
            <w:vAlign w:val="bottom"/>
            <w:tcBorders>
              <w:bottom w:val="single" w:sz="8" w:color="CCEEFF"/>
            </w:tcBorders>
            <w:gridSpan w:val="2"/>
          </w:tcPr>
          <w:p>
            <w:pPr>
              <w:ind w:left="220"/>
              <w:spacing w:after="0"/>
              <w:rPr>
                <w:sz w:val="20"/>
                <w:szCs w:val="20"/>
                <w:color w:val="auto"/>
              </w:rPr>
            </w:pPr>
            <w:r>
              <w:rPr>
                <w:rFonts w:ascii="Arial" w:cs="Arial" w:eastAsia="Arial" w:hAnsi="Arial"/>
                <w:sz w:val="17"/>
                <w:szCs w:val="17"/>
                <w:color w:val="auto"/>
              </w:rPr>
              <w:t>Total liabilities</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1,249,963</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1,261,488</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92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Commitments and contingencies (see Note 7)</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7920" w:type="dxa"/>
            <w:vAlign w:val="bottom"/>
            <w:gridSpan w:val="2"/>
          </w:tcPr>
          <w:p>
            <w:pPr>
              <w:ind w:left="20"/>
              <w:spacing w:after="0"/>
              <w:rPr>
                <w:sz w:val="20"/>
                <w:szCs w:val="20"/>
                <w:color w:val="auto"/>
              </w:rPr>
            </w:pPr>
            <w:r>
              <w:rPr>
                <w:rFonts w:ascii="Arial" w:cs="Arial" w:eastAsia="Arial" w:hAnsi="Arial"/>
                <w:sz w:val="17"/>
                <w:szCs w:val="17"/>
                <w:color w:val="auto"/>
              </w:rPr>
              <w:t>Stockholders’ Equity</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7920" w:type="dxa"/>
            <w:vAlign w:val="bottom"/>
            <w:gridSpan w:val="2"/>
            <w:shd w:val="clear" w:color="auto" w:fill="CCEEFF"/>
          </w:tcPr>
          <w:p>
            <w:pPr>
              <w:ind w:left="220"/>
              <w:spacing w:after="0"/>
              <w:rPr>
                <w:sz w:val="20"/>
                <w:szCs w:val="20"/>
                <w:color w:val="auto"/>
              </w:rPr>
            </w:pPr>
            <w:r>
              <w:rPr>
                <w:rFonts w:ascii="Arial" w:cs="Arial" w:eastAsia="Arial" w:hAnsi="Arial"/>
                <w:sz w:val="17"/>
                <w:szCs w:val="17"/>
                <w:color w:val="auto"/>
              </w:rPr>
              <w:t>Common shares, $0.015 par value:</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920" w:type="dxa"/>
            <w:vAlign w:val="bottom"/>
            <w:gridSpan w:val="2"/>
          </w:tcPr>
          <w:p>
            <w:pPr>
              <w:ind w:left="420"/>
              <w:spacing w:after="0" w:line="169" w:lineRule="exact"/>
              <w:rPr>
                <w:sz w:val="20"/>
                <w:szCs w:val="20"/>
                <w:color w:val="auto"/>
              </w:rPr>
            </w:pPr>
            <w:r>
              <w:rPr>
                <w:rFonts w:ascii="Arial" w:cs="Arial" w:eastAsia="Arial" w:hAnsi="Arial"/>
                <w:sz w:val="17"/>
                <w:szCs w:val="17"/>
                <w:color w:val="auto"/>
              </w:rPr>
              <w:t>Authorized - 233,333; issued and outstanding - 106,988 shares in 2023 and 107,683</w:t>
            </w: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40" w:type="dxa"/>
            <w:vAlign w:val="bottom"/>
            <w:vMerge w:val="restart"/>
          </w:tcPr>
          <w:p>
            <w:pPr>
              <w:jc w:val="right"/>
              <w:spacing w:after="0"/>
              <w:rPr>
                <w:sz w:val="20"/>
                <w:szCs w:val="20"/>
                <w:color w:val="auto"/>
              </w:rPr>
            </w:pPr>
            <w:r>
              <w:rPr>
                <w:rFonts w:ascii="Arial" w:cs="Arial" w:eastAsia="Arial" w:hAnsi="Arial"/>
                <w:sz w:val="17"/>
                <w:szCs w:val="17"/>
                <w:color w:val="auto"/>
              </w:rPr>
              <w:t>1,605</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40" w:type="dxa"/>
            <w:vAlign w:val="bottom"/>
            <w:vMerge w:val="restart"/>
          </w:tcPr>
          <w:p>
            <w:pPr>
              <w:jc w:val="right"/>
              <w:spacing w:after="0"/>
              <w:rPr>
                <w:sz w:val="20"/>
                <w:szCs w:val="20"/>
                <w:color w:val="auto"/>
              </w:rPr>
            </w:pPr>
            <w:r>
              <w:rPr>
                <w:rFonts w:ascii="Arial" w:cs="Arial" w:eastAsia="Arial" w:hAnsi="Arial"/>
                <w:sz w:val="17"/>
                <w:szCs w:val="17"/>
                <w:color w:val="auto"/>
              </w:rPr>
              <w:t>1,615</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7920" w:type="dxa"/>
            <w:vAlign w:val="bottom"/>
            <w:gridSpan w:val="2"/>
          </w:tcPr>
          <w:p>
            <w:pPr>
              <w:ind w:left="640"/>
              <w:spacing w:after="0"/>
              <w:rPr>
                <w:sz w:val="20"/>
                <w:szCs w:val="20"/>
                <w:color w:val="auto"/>
              </w:rPr>
            </w:pPr>
            <w:r>
              <w:rPr>
                <w:rFonts w:ascii="Arial" w:cs="Arial" w:eastAsia="Arial" w:hAnsi="Arial"/>
                <w:sz w:val="17"/>
                <w:szCs w:val="17"/>
                <w:color w:val="auto"/>
              </w:rPr>
              <w:t>shares in 2022</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7920" w:type="dxa"/>
            <w:vAlign w:val="bottom"/>
            <w:gridSpan w:val="2"/>
            <w:shd w:val="clear" w:color="auto" w:fill="CCEEFF"/>
          </w:tcPr>
          <w:p>
            <w:pPr>
              <w:ind w:left="220"/>
              <w:spacing w:after="0"/>
              <w:rPr>
                <w:sz w:val="20"/>
                <w:szCs w:val="20"/>
                <w:color w:val="auto"/>
              </w:rPr>
            </w:pPr>
            <w:r>
              <w:rPr>
                <w:rFonts w:ascii="Arial" w:cs="Arial" w:eastAsia="Arial" w:hAnsi="Arial"/>
                <w:sz w:val="17"/>
                <w:szCs w:val="17"/>
                <w:color w:val="auto"/>
              </w:rPr>
              <w:t>Additional paid-in capital</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1,309,834</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1,350,377</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7920" w:type="dxa"/>
            <w:vAlign w:val="bottom"/>
            <w:gridSpan w:val="2"/>
          </w:tcPr>
          <w:p>
            <w:pPr>
              <w:ind w:left="220"/>
              <w:spacing w:after="0"/>
              <w:rPr>
                <w:sz w:val="20"/>
                <w:szCs w:val="20"/>
                <w:color w:val="auto"/>
              </w:rPr>
            </w:pPr>
            <w:r>
              <w:rPr>
                <w:rFonts w:ascii="Arial" w:cs="Arial" w:eastAsia="Arial" w:hAnsi="Arial"/>
                <w:sz w:val="17"/>
                <w:szCs w:val="17"/>
                <w:color w:val="auto"/>
              </w:rPr>
              <w:t>Accumulated other comprehensive loss</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(360,135)</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(382,790)</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920" w:type="dxa"/>
            <w:vAlign w:val="bottom"/>
            <w:gridSpan w:val="2"/>
            <w:shd w:val="clear" w:color="auto" w:fill="CCEEFF"/>
          </w:tcPr>
          <w:p>
            <w:pPr>
              <w:ind w:left="220"/>
              <w:spacing w:after="0"/>
              <w:rPr>
                <w:sz w:val="20"/>
                <w:szCs w:val="20"/>
                <w:color w:val="auto"/>
              </w:rPr>
            </w:pPr>
            <w:r>
              <w:rPr>
                <w:rFonts w:ascii="Arial" w:cs="Arial" w:eastAsia="Arial" w:hAnsi="Arial"/>
                <w:sz w:val="17"/>
                <w:szCs w:val="17"/>
                <w:color w:val="auto"/>
              </w:rPr>
              <w:t>Retained earnings</w:t>
            </w:r>
          </w:p>
        </w:tc>
        <w:tc>
          <w:tcPr>
            <w:tcW w:w="120" w:type="dxa"/>
            <w:vAlign w:val="bottom"/>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3,782,048</w:t>
            </w:r>
          </w:p>
        </w:tc>
        <w:tc>
          <w:tcPr>
            <w:tcW w:w="120" w:type="dxa"/>
            <w:vAlign w:val="bottom"/>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3,493,107</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920" w:type="dxa"/>
            <w:vAlign w:val="bottom"/>
            <w:gridSpan w:val="2"/>
          </w:tcPr>
          <w:p>
            <w:pPr>
              <w:ind w:left="220"/>
              <w:spacing w:after="0"/>
              <w:rPr>
                <w:sz w:val="20"/>
                <w:szCs w:val="20"/>
                <w:color w:val="auto"/>
              </w:rPr>
            </w:pPr>
            <w:r>
              <w:rPr>
                <w:rFonts w:ascii="Arial" w:cs="Arial" w:eastAsia="Arial" w:hAnsi="Arial"/>
                <w:sz w:val="17"/>
                <w:szCs w:val="17"/>
                <w:color w:val="auto"/>
              </w:rPr>
              <w:t>Total stockholders’ equity</w:t>
            </w:r>
          </w:p>
        </w:tc>
        <w:tc>
          <w:tcPr>
            <w:tcW w:w="1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4,733,352</w:t>
            </w:r>
          </w:p>
        </w:tc>
        <w:tc>
          <w:tcPr>
            <w:tcW w:w="1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4,462,309</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920" w:type="dxa"/>
            <w:vAlign w:val="bottom"/>
            <w:gridSpan w:val="2"/>
            <w:shd w:val="clear" w:color="auto" w:fill="CCEEFF"/>
          </w:tcPr>
          <w:p>
            <w:pPr>
              <w:ind w:left="20"/>
              <w:spacing w:after="0"/>
              <w:rPr>
                <w:sz w:val="20"/>
                <w:szCs w:val="20"/>
                <w:color w:val="auto"/>
              </w:rPr>
            </w:pPr>
            <w:r>
              <w:rPr>
                <w:rFonts w:ascii="Arial" w:cs="Arial" w:eastAsia="Arial" w:hAnsi="Arial"/>
                <w:sz w:val="17"/>
                <w:szCs w:val="17"/>
                <w:b w:val="1"/>
                <w:bCs w:val="1"/>
                <w:color w:val="auto"/>
              </w:rPr>
              <w:t>Total liabilities and stockholders’ equity</w:t>
            </w:r>
          </w:p>
        </w:tc>
        <w:tc>
          <w:tcPr>
            <w:tcW w:w="3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5,983,315</w:t>
            </w:r>
          </w:p>
        </w:tc>
        <w:tc>
          <w:tcPr>
            <w:tcW w:w="3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5,723,797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67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68580</wp:posOffset>
            </wp:positionV>
            <wp:extent cx="7162800" cy="419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20"/>
          </w:cols>
          <w:pgMar w:left="320" w:top="113" w:right="359" w:bottom="1440" w:gutter="0" w:footer="0" w:header="0"/>
        </w:sectPr>
      </w:pPr>
    </w:p>
    <w:bookmarkStart w:id="5" w:name="page6"/>
    <w:bookmarkEnd w:id="5"/>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Essent Group Ltd. and Subsidiaries</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Condensed Consolidated Statements of Comprehensive Income (Unaudited)</w:t>
      </w:r>
    </w:p>
    <w:p>
      <w:pPr>
        <w:spacing w:after="0" w:line="34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620" w:type="dxa"/>
            <w:vAlign w:val="bottom"/>
            <w:tcBorders>
              <w:bottom w:val="single" w:sz="8" w:color="auto"/>
            </w:tcBorders>
            <w:gridSpan w:val="4"/>
          </w:tcPr>
          <w:p>
            <w:pPr>
              <w:jc w:val="right"/>
              <w:ind w:right="494"/>
              <w:spacing w:after="0"/>
              <w:rPr>
                <w:sz w:val="20"/>
                <w:szCs w:val="20"/>
                <w:color w:val="auto"/>
              </w:rPr>
            </w:pPr>
            <w:r>
              <w:rPr>
                <w:rFonts w:ascii="Arial" w:cs="Arial" w:eastAsia="Arial" w:hAnsi="Arial"/>
                <w:sz w:val="14"/>
                <w:szCs w:val="14"/>
                <w:b w:val="1"/>
                <w:bCs w:val="1"/>
                <w:color w:val="auto"/>
              </w:rPr>
              <w:t>Three Months Ended June 30,</w:t>
            </w:r>
          </w:p>
        </w:tc>
        <w:tc>
          <w:tcPr>
            <w:tcW w:w="1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620" w:type="dxa"/>
            <w:vAlign w:val="bottom"/>
            <w:tcBorders>
              <w:bottom w:val="single" w:sz="8" w:color="auto"/>
            </w:tcBorders>
            <w:gridSpan w:val="4"/>
          </w:tcPr>
          <w:p>
            <w:pPr>
              <w:jc w:val="right"/>
              <w:ind w:right="574"/>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88"/>
        </w:trPr>
        <w:tc>
          <w:tcPr>
            <w:tcW w:w="5240" w:type="dxa"/>
            <w:vAlign w:val="bottom"/>
            <w:gridSpan w:val="2"/>
          </w:tcPr>
          <w:p>
            <w:pPr>
              <w:ind w:left="20"/>
              <w:spacing w:after="0"/>
              <w:rPr>
                <w:sz w:val="20"/>
                <w:szCs w:val="20"/>
                <w:color w:val="auto"/>
              </w:rPr>
            </w:pPr>
            <w:r>
              <w:rPr>
                <w:rFonts w:ascii="Arial" w:cs="Arial" w:eastAsia="Arial" w:hAnsi="Arial"/>
                <w:sz w:val="14"/>
                <w:szCs w:val="14"/>
                <w:b w:val="1"/>
                <w:bCs w:val="1"/>
                <w:color w:val="auto"/>
              </w:rPr>
              <w:t>(In thousands, except per share amounts)</w:t>
            </w:r>
          </w:p>
        </w:tc>
        <w:tc>
          <w:tcPr>
            <w:tcW w:w="320" w:type="dxa"/>
            <w:vAlign w:val="bottom"/>
          </w:tcPr>
          <w:p>
            <w:pPr>
              <w:spacing w:after="0"/>
              <w:rPr>
                <w:sz w:val="16"/>
                <w:szCs w:val="16"/>
                <w:color w:val="auto"/>
              </w:rPr>
            </w:pPr>
          </w:p>
        </w:tc>
        <w:tc>
          <w:tcPr>
            <w:tcW w:w="1080" w:type="dxa"/>
            <w:vAlign w:val="bottom"/>
          </w:tcPr>
          <w:p>
            <w:pPr>
              <w:jc w:val="right"/>
              <w:ind w:right="475"/>
              <w:spacing w:after="0"/>
              <w:rPr>
                <w:sz w:val="20"/>
                <w:szCs w:val="20"/>
                <w:color w:val="auto"/>
              </w:rPr>
            </w:pPr>
            <w:r>
              <w:rPr>
                <w:rFonts w:ascii="Arial" w:cs="Arial" w:eastAsia="Arial" w:hAnsi="Arial"/>
                <w:sz w:val="14"/>
                <w:szCs w:val="14"/>
                <w:b w:val="1"/>
                <w:bCs w:val="1"/>
                <w:color w:val="auto"/>
              </w:rPr>
              <w:t>2023</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jc w:val="right"/>
              <w:ind w:right="474"/>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jc w:val="right"/>
              <w:ind w:right="495"/>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jc w:val="right"/>
              <w:ind w:right="474"/>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221"/>
        </w:trPr>
        <w:tc>
          <w:tcPr>
            <w:tcW w:w="51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Revenues:</w:t>
            </w:r>
          </w:p>
        </w:tc>
        <w:tc>
          <w:tcPr>
            <w:tcW w:w="12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5240" w:type="dxa"/>
            <w:vAlign w:val="bottom"/>
            <w:gridSpan w:val="2"/>
          </w:tcPr>
          <w:p>
            <w:pPr>
              <w:ind w:left="20"/>
              <w:spacing w:after="0"/>
              <w:rPr>
                <w:sz w:val="20"/>
                <w:szCs w:val="20"/>
                <w:color w:val="auto"/>
              </w:rPr>
            </w:pPr>
            <w:r>
              <w:rPr>
                <w:rFonts w:ascii="Arial" w:cs="Arial" w:eastAsia="Arial" w:hAnsi="Arial"/>
                <w:sz w:val="17"/>
                <w:szCs w:val="17"/>
                <w:color w:val="auto"/>
              </w:rPr>
              <w:t>Net premiums written</w:t>
            </w:r>
          </w:p>
        </w:tc>
        <w:tc>
          <w:tcPr>
            <w:tcW w:w="320" w:type="dxa"/>
            <w:vAlign w:val="bottom"/>
          </w:tcPr>
          <w:p>
            <w:pPr>
              <w:jc w:val="right"/>
              <w:ind w:right="133"/>
              <w:spacing w:after="0"/>
              <w:rPr>
                <w:sz w:val="20"/>
                <w:szCs w:val="20"/>
                <w:color w:val="auto"/>
              </w:rPr>
            </w:pPr>
            <w:r>
              <w:rPr>
                <w:rFonts w:ascii="Arial" w:cs="Arial" w:eastAsia="Arial" w:hAnsi="Arial"/>
                <w:sz w:val="17"/>
                <w:szCs w:val="17"/>
                <w:color w:val="auto"/>
                <w:w w:val="84"/>
              </w:rPr>
              <w:t>$</w:t>
            </w:r>
          </w:p>
        </w:tc>
        <w:tc>
          <w:tcPr>
            <w:tcW w:w="1080" w:type="dxa"/>
            <w:vAlign w:val="bottom"/>
          </w:tcPr>
          <w:p>
            <w:pPr>
              <w:jc w:val="right"/>
              <w:spacing w:after="0"/>
              <w:rPr>
                <w:sz w:val="20"/>
                <w:szCs w:val="20"/>
                <w:color w:val="auto"/>
              </w:rPr>
            </w:pPr>
            <w:r>
              <w:rPr>
                <w:rFonts w:ascii="Arial" w:cs="Arial" w:eastAsia="Arial" w:hAnsi="Arial"/>
                <w:sz w:val="17"/>
                <w:szCs w:val="17"/>
                <w:color w:val="auto"/>
              </w:rPr>
              <w:t>209,621</w:t>
            </w:r>
          </w:p>
        </w:tc>
        <w:tc>
          <w:tcPr>
            <w:tcW w:w="46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1080" w:type="dxa"/>
            <w:vAlign w:val="bottom"/>
          </w:tcPr>
          <w:p>
            <w:pPr>
              <w:jc w:val="right"/>
              <w:spacing w:after="0"/>
              <w:rPr>
                <w:sz w:val="20"/>
                <w:szCs w:val="20"/>
                <w:color w:val="auto"/>
              </w:rPr>
            </w:pPr>
            <w:r>
              <w:rPr>
                <w:rFonts w:ascii="Arial" w:cs="Arial" w:eastAsia="Arial" w:hAnsi="Arial"/>
                <w:sz w:val="17"/>
                <w:szCs w:val="17"/>
                <w:color w:val="auto"/>
              </w:rPr>
              <w:t>210,342</w:t>
            </w:r>
          </w:p>
        </w:tc>
        <w:tc>
          <w:tcPr>
            <w:tcW w:w="44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100" w:type="dxa"/>
            <w:vAlign w:val="bottom"/>
          </w:tcPr>
          <w:p>
            <w:pPr>
              <w:jc w:val="right"/>
              <w:spacing w:after="0"/>
              <w:rPr>
                <w:sz w:val="20"/>
                <w:szCs w:val="20"/>
                <w:color w:val="auto"/>
              </w:rPr>
            </w:pPr>
            <w:r>
              <w:rPr>
                <w:rFonts w:ascii="Arial" w:cs="Arial" w:eastAsia="Arial" w:hAnsi="Arial"/>
                <w:sz w:val="17"/>
                <w:szCs w:val="17"/>
                <w:color w:val="auto"/>
              </w:rPr>
              <w:t>415,521</w:t>
            </w:r>
          </w:p>
        </w:tc>
        <w:tc>
          <w:tcPr>
            <w:tcW w:w="44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1080" w:type="dxa"/>
            <w:vAlign w:val="bottom"/>
          </w:tcPr>
          <w:p>
            <w:pPr>
              <w:jc w:val="right"/>
              <w:spacing w:after="0"/>
              <w:rPr>
                <w:sz w:val="20"/>
                <w:szCs w:val="20"/>
                <w:color w:val="auto"/>
              </w:rPr>
            </w:pPr>
            <w:r>
              <w:rPr>
                <w:rFonts w:ascii="Arial" w:cs="Arial" w:eastAsia="Arial" w:hAnsi="Arial"/>
                <w:sz w:val="17"/>
                <w:szCs w:val="17"/>
                <w:color w:val="auto"/>
              </w:rPr>
              <w:t>410,073</w:t>
            </w:r>
          </w:p>
        </w:tc>
        <w:tc>
          <w:tcPr>
            <w:tcW w:w="0" w:type="dxa"/>
            <w:vAlign w:val="bottom"/>
          </w:tcPr>
          <w:p>
            <w:pPr>
              <w:spacing w:after="0"/>
              <w:rPr>
                <w:sz w:val="1"/>
                <w:szCs w:val="1"/>
                <w:color w:val="auto"/>
              </w:rPr>
            </w:pPr>
          </w:p>
        </w:tc>
      </w:tr>
      <w:tr>
        <w:trPr>
          <w:trHeight w:val="227"/>
        </w:trPr>
        <w:tc>
          <w:tcPr>
            <w:tcW w:w="5240" w:type="dxa"/>
            <w:vAlign w:val="bottom"/>
            <w:gridSpan w:val="2"/>
            <w:shd w:val="clear" w:color="auto" w:fill="CCEEFF"/>
          </w:tcPr>
          <w:p>
            <w:pPr>
              <w:ind w:left="220"/>
              <w:spacing w:after="0"/>
              <w:rPr>
                <w:sz w:val="20"/>
                <w:szCs w:val="20"/>
                <w:color w:val="auto"/>
              </w:rPr>
            </w:pPr>
            <w:r>
              <w:rPr>
                <w:rFonts w:ascii="Arial" w:cs="Arial" w:eastAsia="Arial" w:hAnsi="Arial"/>
                <w:sz w:val="17"/>
                <w:szCs w:val="17"/>
                <w:color w:val="auto"/>
              </w:rPr>
              <w:t>Decrease in unearned premiums</w:t>
            </w: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3,608</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1,669</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8,966</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17,268</w:t>
            </w:r>
          </w:p>
        </w:tc>
        <w:tc>
          <w:tcPr>
            <w:tcW w:w="0" w:type="dxa"/>
            <w:vAlign w:val="bottom"/>
          </w:tcPr>
          <w:p>
            <w:pPr>
              <w:spacing w:after="0"/>
              <w:rPr>
                <w:sz w:val="1"/>
                <w:szCs w:val="1"/>
                <w:color w:val="auto"/>
              </w:rPr>
            </w:pPr>
          </w:p>
        </w:tc>
      </w:tr>
      <w:tr>
        <w:trPr>
          <w:trHeight w:val="214"/>
        </w:trPr>
        <w:tc>
          <w:tcPr>
            <w:tcW w:w="5240" w:type="dxa"/>
            <w:vAlign w:val="bottom"/>
            <w:gridSpan w:val="2"/>
          </w:tcPr>
          <w:p>
            <w:pPr>
              <w:ind w:left="20"/>
              <w:spacing w:after="0"/>
              <w:rPr>
                <w:sz w:val="20"/>
                <w:szCs w:val="20"/>
                <w:color w:val="auto"/>
              </w:rPr>
            </w:pPr>
            <w:r>
              <w:rPr>
                <w:rFonts w:ascii="Arial" w:cs="Arial" w:eastAsia="Arial" w:hAnsi="Arial"/>
                <w:sz w:val="17"/>
                <w:szCs w:val="17"/>
                <w:color w:val="auto"/>
              </w:rPr>
              <w:t>Net premiums earned</w:t>
            </w: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213,229</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212,011</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424,487</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427,341</w:t>
            </w:r>
          </w:p>
        </w:tc>
        <w:tc>
          <w:tcPr>
            <w:tcW w:w="0" w:type="dxa"/>
            <w:vAlign w:val="bottom"/>
          </w:tcPr>
          <w:p>
            <w:pPr>
              <w:spacing w:after="0"/>
              <w:rPr>
                <w:sz w:val="1"/>
                <w:szCs w:val="1"/>
                <w:color w:val="auto"/>
              </w:rPr>
            </w:pPr>
          </w:p>
        </w:tc>
      </w:tr>
      <w:tr>
        <w:trPr>
          <w:trHeight w:val="234"/>
        </w:trPr>
        <w:tc>
          <w:tcPr>
            <w:tcW w:w="524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Net investment income</w:t>
            </w:r>
          </w:p>
        </w:tc>
        <w:tc>
          <w:tcPr>
            <w:tcW w:w="32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45,250</w:t>
            </w:r>
          </w:p>
        </w:tc>
        <w:tc>
          <w:tcPr>
            <w:tcW w:w="1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29,339</w:t>
            </w: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88,486</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54,019</w:t>
            </w:r>
          </w:p>
        </w:tc>
        <w:tc>
          <w:tcPr>
            <w:tcW w:w="0" w:type="dxa"/>
            <w:vAlign w:val="bottom"/>
          </w:tcPr>
          <w:p>
            <w:pPr>
              <w:spacing w:after="0"/>
              <w:rPr>
                <w:sz w:val="1"/>
                <w:szCs w:val="1"/>
                <w:color w:val="auto"/>
              </w:rPr>
            </w:pPr>
          </w:p>
        </w:tc>
      </w:tr>
      <w:tr>
        <w:trPr>
          <w:trHeight w:val="221"/>
        </w:trPr>
        <w:tc>
          <w:tcPr>
            <w:tcW w:w="5240" w:type="dxa"/>
            <w:vAlign w:val="bottom"/>
            <w:gridSpan w:val="2"/>
          </w:tcPr>
          <w:p>
            <w:pPr>
              <w:ind w:left="20"/>
              <w:spacing w:after="0"/>
              <w:rPr>
                <w:sz w:val="20"/>
                <w:szCs w:val="20"/>
                <w:color w:val="auto"/>
              </w:rPr>
            </w:pPr>
            <w:r>
              <w:rPr>
                <w:rFonts w:ascii="Arial" w:cs="Arial" w:eastAsia="Arial" w:hAnsi="Arial"/>
                <w:sz w:val="17"/>
                <w:szCs w:val="17"/>
                <w:color w:val="auto"/>
              </w:rPr>
              <w:t>Realized investment losses, net</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(1,589)</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(471)</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(2,077)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(7,823)</w:t>
            </w:r>
          </w:p>
        </w:tc>
        <w:tc>
          <w:tcPr>
            <w:tcW w:w="0" w:type="dxa"/>
            <w:vAlign w:val="bottom"/>
          </w:tcPr>
          <w:p>
            <w:pPr>
              <w:spacing w:after="0"/>
              <w:rPr>
                <w:sz w:val="1"/>
                <w:szCs w:val="1"/>
                <w:color w:val="auto"/>
              </w:rPr>
            </w:pPr>
          </w:p>
        </w:tc>
      </w:tr>
      <w:tr>
        <w:trPr>
          <w:trHeight w:val="221"/>
        </w:trPr>
        <w:tc>
          <w:tcPr>
            <w:tcW w:w="524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(Loss) income from other invested assets</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(4,852)</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1,953</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(7,554)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26,658</w:t>
            </w:r>
          </w:p>
        </w:tc>
        <w:tc>
          <w:tcPr>
            <w:tcW w:w="0" w:type="dxa"/>
            <w:vAlign w:val="bottom"/>
          </w:tcPr>
          <w:p>
            <w:pPr>
              <w:spacing w:after="0"/>
              <w:rPr>
                <w:sz w:val="1"/>
                <w:szCs w:val="1"/>
                <w:color w:val="auto"/>
              </w:rPr>
            </w:pPr>
          </w:p>
        </w:tc>
      </w:tr>
      <w:tr>
        <w:trPr>
          <w:trHeight w:val="234"/>
        </w:trPr>
        <w:tc>
          <w:tcPr>
            <w:tcW w:w="5240" w:type="dxa"/>
            <w:vAlign w:val="bottom"/>
            <w:tcBorders>
              <w:bottom w:val="single" w:sz="8" w:color="CCEEFF"/>
            </w:tcBorders>
            <w:gridSpan w:val="2"/>
          </w:tcPr>
          <w:p>
            <w:pPr>
              <w:ind w:left="20"/>
              <w:spacing w:after="0"/>
              <w:rPr>
                <w:sz w:val="20"/>
                <w:szCs w:val="20"/>
                <w:color w:val="auto"/>
              </w:rPr>
            </w:pPr>
            <w:r>
              <w:rPr>
                <w:rFonts w:ascii="Arial" w:cs="Arial" w:eastAsia="Arial" w:hAnsi="Arial"/>
                <w:sz w:val="17"/>
                <w:szCs w:val="17"/>
                <w:color w:val="auto"/>
              </w:rPr>
              <w:t>Other income</w:t>
            </w:r>
          </w:p>
        </w:tc>
        <w:tc>
          <w:tcPr>
            <w:tcW w:w="3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8,090</w:t>
            </w:r>
          </w:p>
        </w:tc>
        <w:tc>
          <w:tcPr>
            <w:tcW w:w="12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1,577</w:t>
            </w:r>
          </w:p>
        </w:tc>
        <w:tc>
          <w:tcPr>
            <w:tcW w:w="12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13,032</w:t>
            </w:r>
          </w:p>
        </w:tc>
        <w:tc>
          <w:tcPr>
            <w:tcW w:w="10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8,825</w:t>
            </w:r>
          </w:p>
        </w:tc>
        <w:tc>
          <w:tcPr>
            <w:tcW w:w="0" w:type="dxa"/>
            <w:vAlign w:val="bottom"/>
          </w:tcPr>
          <w:p>
            <w:pPr>
              <w:spacing w:after="0"/>
              <w:rPr>
                <w:sz w:val="1"/>
                <w:szCs w:val="1"/>
                <w:color w:val="auto"/>
              </w:rPr>
            </w:pPr>
          </w:p>
        </w:tc>
      </w:tr>
      <w:tr>
        <w:trPr>
          <w:trHeight w:val="214"/>
        </w:trPr>
        <w:tc>
          <w:tcPr>
            <w:tcW w:w="5240" w:type="dxa"/>
            <w:vAlign w:val="bottom"/>
            <w:gridSpan w:val="2"/>
            <w:shd w:val="clear" w:color="auto" w:fill="CCEEFF"/>
          </w:tcPr>
          <w:p>
            <w:pPr>
              <w:ind w:left="220"/>
              <w:spacing w:after="0"/>
              <w:rPr>
                <w:sz w:val="20"/>
                <w:szCs w:val="20"/>
                <w:color w:val="auto"/>
              </w:rPr>
            </w:pPr>
            <w:r>
              <w:rPr>
                <w:rFonts w:ascii="Arial" w:cs="Arial" w:eastAsia="Arial" w:hAnsi="Arial"/>
                <w:sz w:val="17"/>
                <w:szCs w:val="17"/>
                <w:b w:val="1"/>
                <w:bCs w:val="1"/>
                <w:color w:val="auto"/>
              </w:rPr>
              <w:t>Total revenues</w:t>
            </w:r>
          </w:p>
        </w:tc>
        <w:tc>
          <w:tcPr>
            <w:tcW w:w="3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260,128</w:t>
            </w:r>
          </w:p>
        </w:tc>
        <w:tc>
          <w:tcPr>
            <w:tcW w:w="12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244,409</w:t>
            </w:r>
          </w:p>
        </w:tc>
        <w:tc>
          <w:tcPr>
            <w:tcW w:w="1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516,374</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509,020</w:t>
            </w:r>
          </w:p>
        </w:tc>
        <w:tc>
          <w:tcPr>
            <w:tcW w:w="0" w:type="dxa"/>
            <w:vAlign w:val="bottom"/>
          </w:tcPr>
          <w:p>
            <w:pPr>
              <w:spacing w:after="0"/>
              <w:rPr>
                <w:sz w:val="1"/>
                <w:szCs w:val="1"/>
                <w:color w:val="auto"/>
              </w:rPr>
            </w:pPr>
          </w:p>
        </w:tc>
      </w:tr>
      <w:tr>
        <w:trPr>
          <w:trHeight w:val="227"/>
        </w:trPr>
        <w:tc>
          <w:tcPr>
            <w:tcW w:w="5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5240" w:type="dxa"/>
            <w:vAlign w:val="bottom"/>
            <w:gridSpan w:val="2"/>
            <w:shd w:val="clear" w:color="auto" w:fill="CCEEFF"/>
          </w:tcPr>
          <w:p>
            <w:pPr>
              <w:ind w:left="20"/>
              <w:spacing w:after="0"/>
              <w:rPr>
                <w:sz w:val="20"/>
                <w:szCs w:val="20"/>
                <w:color w:val="auto"/>
              </w:rPr>
            </w:pPr>
            <w:r>
              <w:rPr>
                <w:rFonts w:ascii="Arial" w:cs="Arial" w:eastAsia="Arial" w:hAnsi="Arial"/>
                <w:sz w:val="17"/>
                <w:szCs w:val="17"/>
                <w:b w:val="1"/>
                <w:bCs w:val="1"/>
                <w:color w:val="auto"/>
              </w:rPr>
              <w:t>Losses and expenses:</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5240" w:type="dxa"/>
            <w:vAlign w:val="bottom"/>
            <w:gridSpan w:val="2"/>
          </w:tcPr>
          <w:p>
            <w:pPr>
              <w:ind w:left="20"/>
              <w:spacing w:after="0"/>
              <w:rPr>
                <w:sz w:val="20"/>
                <w:szCs w:val="20"/>
                <w:color w:val="auto"/>
              </w:rPr>
            </w:pPr>
            <w:r>
              <w:rPr>
                <w:rFonts w:ascii="Arial" w:cs="Arial" w:eastAsia="Arial" w:hAnsi="Arial"/>
                <w:sz w:val="17"/>
                <w:szCs w:val="17"/>
                <w:color w:val="auto"/>
              </w:rPr>
              <w:t>Provision (benefit) for losses and LAE</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1,260</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(76,199)</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1,080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(183,057)</w:t>
            </w:r>
          </w:p>
        </w:tc>
        <w:tc>
          <w:tcPr>
            <w:tcW w:w="0" w:type="dxa"/>
            <w:vAlign w:val="bottom"/>
          </w:tcPr>
          <w:p>
            <w:pPr>
              <w:spacing w:after="0"/>
              <w:rPr>
                <w:sz w:val="1"/>
                <w:szCs w:val="1"/>
                <w:color w:val="auto"/>
              </w:rPr>
            </w:pPr>
          </w:p>
        </w:tc>
      </w:tr>
      <w:tr>
        <w:trPr>
          <w:trHeight w:val="227"/>
        </w:trPr>
        <w:tc>
          <w:tcPr>
            <w:tcW w:w="524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Other underwriting and operating expenses</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42,174</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41,898</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90,369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82,694</w:t>
            </w:r>
          </w:p>
        </w:tc>
        <w:tc>
          <w:tcPr>
            <w:tcW w:w="0" w:type="dxa"/>
            <w:vAlign w:val="bottom"/>
          </w:tcPr>
          <w:p>
            <w:pPr>
              <w:spacing w:after="0"/>
              <w:rPr>
                <w:sz w:val="1"/>
                <w:szCs w:val="1"/>
                <w:color w:val="auto"/>
              </w:rPr>
            </w:pPr>
          </w:p>
        </w:tc>
      </w:tr>
      <w:tr>
        <w:trPr>
          <w:trHeight w:val="221"/>
        </w:trPr>
        <w:tc>
          <w:tcPr>
            <w:tcW w:w="5240" w:type="dxa"/>
            <w:vAlign w:val="bottom"/>
            <w:gridSpan w:val="2"/>
          </w:tcPr>
          <w:p>
            <w:pPr>
              <w:ind w:left="20"/>
              <w:spacing w:after="0"/>
              <w:rPr>
                <w:sz w:val="20"/>
                <w:szCs w:val="20"/>
                <w:color w:val="auto"/>
              </w:rPr>
            </w:pPr>
            <w:r>
              <w:rPr>
                <w:rFonts w:ascii="Arial" w:cs="Arial" w:eastAsia="Arial" w:hAnsi="Arial"/>
                <w:sz w:val="17"/>
                <w:szCs w:val="17"/>
                <w:color w:val="auto"/>
              </w:rPr>
              <w:t>Interest expense</w:t>
            </w: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7,394</w:t>
            </w:r>
          </w:p>
        </w:tc>
        <w:tc>
          <w:tcPr>
            <w:tcW w:w="12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2,887</w:t>
            </w:r>
          </w:p>
        </w:tc>
        <w:tc>
          <w:tcPr>
            <w:tcW w:w="1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14,330</w:t>
            </w:r>
          </w:p>
        </w:tc>
        <w:tc>
          <w:tcPr>
            <w:tcW w:w="1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5,113</w:t>
            </w:r>
          </w:p>
        </w:tc>
        <w:tc>
          <w:tcPr>
            <w:tcW w:w="0" w:type="dxa"/>
            <w:vAlign w:val="bottom"/>
          </w:tcPr>
          <w:p>
            <w:pPr>
              <w:spacing w:after="0"/>
              <w:rPr>
                <w:sz w:val="1"/>
                <w:szCs w:val="1"/>
                <w:color w:val="auto"/>
              </w:rPr>
            </w:pPr>
          </w:p>
        </w:tc>
      </w:tr>
      <w:tr>
        <w:trPr>
          <w:trHeight w:val="227"/>
        </w:trPr>
        <w:tc>
          <w:tcPr>
            <w:tcW w:w="5240" w:type="dxa"/>
            <w:vAlign w:val="bottom"/>
            <w:gridSpan w:val="2"/>
            <w:shd w:val="clear" w:color="auto" w:fill="CCEEFF"/>
          </w:tcPr>
          <w:p>
            <w:pPr>
              <w:ind w:left="220"/>
              <w:spacing w:after="0"/>
              <w:rPr>
                <w:sz w:val="20"/>
                <w:szCs w:val="20"/>
                <w:color w:val="auto"/>
              </w:rPr>
            </w:pPr>
            <w:r>
              <w:rPr>
                <w:rFonts w:ascii="Arial" w:cs="Arial" w:eastAsia="Arial" w:hAnsi="Arial"/>
                <w:sz w:val="17"/>
                <w:szCs w:val="17"/>
                <w:b w:val="1"/>
                <w:bCs w:val="1"/>
                <w:color w:val="auto"/>
              </w:rPr>
              <w:t>Total losses and expenses</w:t>
            </w: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50,828</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(31,414)</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105,779</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(95,250)</w:t>
            </w:r>
          </w:p>
        </w:tc>
        <w:tc>
          <w:tcPr>
            <w:tcW w:w="0" w:type="dxa"/>
            <w:vAlign w:val="bottom"/>
          </w:tcPr>
          <w:p>
            <w:pPr>
              <w:spacing w:after="0"/>
              <w:rPr>
                <w:sz w:val="1"/>
                <w:szCs w:val="1"/>
                <w:color w:val="auto"/>
              </w:rPr>
            </w:pPr>
          </w:p>
        </w:tc>
      </w:tr>
      <w:tr>
        <w:trPr>
          <w:trHeight w:val="227"/>
        </w:trPr>
        <w:tc>
          <w:tcPr>
            <w:tcW w:w="5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524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Income before income taxes</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209,300</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275,823</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410,595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604,270</w:t>
            </w:r>
          </w:p>
        </w:tc>
        <w:tc>
          <w:tcPr>
            <w:tcW w:w="0" w:type="dxa"/>
            <w:vAlign w:val="bottom"/>
          </w:tcPr>
          <w:p>
            <w:pPr>
              <w:spacing w:after="0"/>
              <w:rPr>
                <w:sz w:val="1"/>
                <w:szCs w:val="1"/>
                <w:color w:val="auto"/>
              </w:rPr>
            </w:pPr>
          </w:p>
        </w:tc>
      </w:tr>
      <w:tr>
        <w:trPr>
          <w:trHeight w:val="234"/>
        </w:trPr>
        <w:tc>
          <w:tcPr>
            <w:tcW w:w="5240" w:type="dxa"/>
            <w:vAlign w:val="bottom"/>
            <w:tcBorders>
              <w:bottom w:val="single" w:sz="8" w:color="CCEEFF"/>
            </w:tcBorders>
            <w:gridSpan w:val="2"/>
          </w:tcPr>
          <w:p>
            <w:pPr>
              <w:ind w:left="20"/>
              <w:spacing w:after="0"/>
              <w:rPr>
                <w:sz w:val="20"/>
                <w:szCs w:val="20"/>
                <w:color w:val="auto"/>
              </w:rPr>
            </w:pPr>
            <w:r>
              <w:rPr>
                <w:rFonts w:ascii="Arial" w:cs="Arial" w:eastAsia="Arial" w:hAnsi="Arial"/>
                <w:sz w:val="17"/>
                <w:szCs w:val="17"/>
                <w:color w:val="auto"/>
              </w:rPr>
              <w:t>Income tax expense</w:t>
            </w:r>
          </w:p>
        </w:tc>
        <w:tc>
          <w:tcPr>
            <w:tcW w:w="3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37,067</w:t>
            </w:r>
          </w:p>
        </w:tc>
        <w:tc>
          <w:tcPr>
            <w:tcW w:w="12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44,054</w:t>
            </w:r>
          </w:p>
        </w:tc>
        <w:tc>
          <w:tcPr>
            <w:tcW w:w="12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67,535</w:t>
            </w:r>
          </w:p>
        </w:tc>
        <w:tc>
          <w:tcPr>
            <w:tcW w:w="10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98,334</w:t>
            </w:r>
          </w:p>
        </w:tc>
        <w:tc>
          <w:tcPr>
            <w:tcW w:w="0" w:type="dxa"/>
            <w:vAlign w:val="bottom"/>
          </w:tcPr>
          <w:p>
            <w:pPr>
              <w:spacing w:after="0"/>
              <w:rPr>
                <w:sz w:val="1"/>
                <w:szCs w:val="1"/>
                <w:color w:val="auto"/>
              </w:rPr>
            </w:pPr>
          </w:p>
        </w:tc>
      </w:tr>
      <w:tr>
        <w:trPr>
          <w:trHeight w:val="234"/>
        </w:trPr>
        <w:tc>
          <w:tcPr>
            <w:tcW w:w="5240" w:type="dxa"/>
            <w:vAlign w:val="bottom"/>
            <w:gridSpan w:val="2"/>
            <w:shd w:val="clear" w:color="auto" w:fill="CCEEFF"/>
          </w:tcPr>
          <w:p>
            <w:pPr>
              <w:ind w:left="220"/>
              <w:spacing w:after="0"/>
              <w:rPr>
                <w:sz w:val="20"/>
                <w:szCs w:val="20"/>
                <w:color w:val="auto"/>
              </w:rPr>
            </w:pPr>
            <w:r>
              <w:rPr>
                <w:rFonts w:ascii="Arial" w:cs="Arial" w:eastAsia="Arial" w:hAnsi="Arial"/>
                <w:sz w:val="17"/>
                <w:szCs w:val="17"/>
                <w:b w:val="1"/>
                <w:bCs w:val="1"/>
                <w:color w:val="auto"/>
              </w:rPr>
              <w:t>Net income</w:t>
            </w:r>
          </w:p>
        </w:tc>
        <w:tc>
          <w:tcPr>
            <w:tcW w:w="320" w:type="dxa"/>
            <w:vAlign w:val="bottom"/>
            <w:shd w:val="clear" w:color="auto" w:fill="CCEEFF"/>
          </w:tcPr>
          <w:p>
            <w:pPr>
              <w:jc w:val="right"/>
              <w:ind w:right="133"/>
              <w:spacing w:after="0"/>
              <w:rPr>
                <w:sz w:val="20"/>
                <w:szCs w:val="20"/>
                <w:color w:val="auto"/>
              </w:rPr>
            </w:pPr>
            <w:r>
              <w:rPr>
                <w:rFonts w:ascii="Arial" w:cs="Arial" w:eastAsia="Arial" w:hAnsi="Arial"/>
                <w:sz w:val="17"/>
                <w:szCs w:val="17"/>
                <w:color w:val="auto"/>
                <w:w w:val="84"/>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172,233</w:t>
            </w:r>
          </w:p>
        </w:tc>
        <w:tc>
          <w:tcPr>
            <w:tcW w:w="46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231,769</w:t>
            </w:r>
          </w:p>
        </w:tc>
        <w:tc>
          <w:tcPr>
            <w:tcW w:w="4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343,060</w:t>
            </w:r>
          </w:p>
        </w:tc>
        <w:tc>
          <w:tcPr>
            <w:tcW w:w="44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505,936</w:t>
            </w:r>
          </w:p>
        </w:tc>
        <w:tc>
          <w:tcPr>
            <w:tcW w:w="0" w:type="dxa"/>
            <w:vAlign w:val="bottom"/>
          </w:tcPr>
          <w:p>
            <w:pPr>
              <w:spacing w:after="0"/>
              <w:rPr>
                <w:sz w:val="1"/>
                <w:szCs w:val="1"/>
                <w:color w:val="auto"/>
              </w:rPr>
            </w:pPr>
          </w:p>
        </w:tc>
      </w:tr>
      <w:tr>
        <w:trPr>
          <w:trHeight w:val="20"/>
        </w:trPr>
        <w:tc>
          <w:tcPr>
            <w:tcW w:w="5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4"/>
        </w:trPr>
        <w:tc>
          <w:tcPr>
            <w:tcW w:w="5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1"/>
        </w:trPr>
        <w:tc>
          <w:tcPr>
            <w:tcW w:w="5240" w:type="dxa"/>
            <w:vAlign w:val="bottom"/>
            <w:gridSpan w:val="2"/>
            <w:shd w:val="clear" w:color="auto" w:fill="CCEEFF"/>
          </w:tcPr>
          <w:p>
            <w:pPr>
              <w:ind w:left="20"/>
              <w:spacing w:after="0"/>
              <w:rPr>
                <w:sz w:val="20"/>
                <w:szCs w:val="20"/>
                <w:color w:val="auto"/>
              </w:rPr>
            </w:pPr>
            <w:r>
              <w:rPr>
                <w:rFonts w:ascii="Arial" w:cs="Arial" w:eastAsia="Arial" w:hAnsi="Arial"/>
                <w:sz w:val="17"/>
                <w:szCs w:val="17"/>
                <w:b w:val="1"/>
                <w:bCs w:val="1"/>
                <w:color w:val="auto"/>
              </w:rPr>
              <w:t>Earnings per share:</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5240" w:type="dxa"/>
            <w:vAlign w:val="bottom"/>
            <w:gridSpan w:val="2"/>
          </w:tcPr>
          <w:p>
            <w:pPr>
              <w:ind w:left="340"/>
              <w:spacing w:after="0"/>
              <w:rPr>
                <w:sz w:val="20"/>
                <w:szCs w:val="20"/>
                <w:color w:val="auto"/>
              </w:rPr>
            </w:pPr>
            <w:r>
              <w:rPr>
                <w:rFonts w:ascii="Arial" w:cs="Arial" w:eastAsia="Arial" w:hAnsi="Arial"/>
                <w:sz w:val="17"/>
                <w:szCs w:val="17"/>
                <w:color w:val="auto"/>
              </w:rPr>
              <w:t>Basic</w:t>
            </w:r>
          </w:p>
        </w:tc>
        <w:tc>
          <w:tcPr>
            <w:tcW w:w="320" w:type="dxa"/>
            <w:vAlign w:val="bottom"/>
          </w:tcPr>
          <w:p>
            <w:pPr>
              <w:jc w:val="right"/>
              <w:ind w:right="133"/>
              <w:spacing w:after="0"/>
              <w:rPr>
                <w:sz w:val="20"/>
                <w:szCs w:val="20"/>
                <w:color w:val="auto"/>
              </w:rPr>
            </w:pPr>
            <w:r>
              <w:rPr>
                <w:rFonts w:ascii="Arial" w:cs="Arial" w:eastAsia="Arial" w:hAnsi="Arial"/>
                <w:sz w:val="17"/>
                <w:szCs w:val="17"/>
                <w:color w:val="auto"/>
                <w:w w:val="84"/>
              </w:rPr>
              <w:t>$</w:t>
            </w:r>
          </w:p>
        </w:tc>
        <w:tc>
          <w:tcPr>
            <w:tcW w:w="1080" w:type="dxa"/>
            <w:vAlign w:val="bottom"/>
          </w:tcPr>
          <w:p>
            <w:pPr>
              <w:jc w:val="right"/>
              <w:spacing w:after="0"/>
              <w:rPr>
                <w:sz w:val="20"/>
                <w:szCs w:val="20"/>
                <w:color w:val="auto"/>
              </w:rPr>
            </w:pPr>
            <w:r>
              <w:rPr>
                <w:rFonts w:ascii="Arial" w:cs="Arial" w:eastAsia="Arial" w:hAnsi="Arial"/>
                <w:sz w:val="17"/>
                <w:szCs w:val="17"/>
                <w:color w:val="auto"/>
              </w:rPr>
              <w:t>1.62</w:t>
            </w:r>
          </w:p>
        </w:tc>
        <w:tc>
          <w:tcPr>
            <w:tcW w:w="46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1080" w:type="dxa"/>
            <w:vAlign w:val="bottom"/>
          </w:tcPr>
          <w:p>
            <w:pPr>
              <w:jc w:val="right"/>
              <w:spacing w:after="0"/>
              <w:rPr>
                <w:sz w:val="20"/>
                <w:szCs w:val="20"/>
                <w:color w:val="auto"/>
              </w:rPr>
            </w:pPr>
            <w:r>
              <w:rPr>
                <w:rFonts w:ascii="Arial" w:cs="Arial" w:eastAsia="Arial" w:hAnsi="Arial"/>
                <w:sz w:val="17"/>
                <w:szCs w:val="17"/>
                <w:color w:val="auto"/>
              </w:rPr>
              <w:t>2.17</w:t>
            </w:r>
          </w:p>
        </w:tc>
        <w:tc>
          <w:tcPr>
            <w:tcW w:w="44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100" w:type="dxa"/>
            <w:vAlign w:val="bottom"/>
          </w:tcPr>
          <w:p>
            <w:pPr>
              <w:jc w:val="right"/>
              <w:spacing w:after="0"/>
              <w:rPr>
                <w:sz w:val="20"/>
                <w:szCs w:val="20"/>
                <w:color w:val="auto"/>
              </w:rPr>
            </w:pPr>
            <w:r>
              <w:rPr>
                <w:rFonts w:ascii="Arial" w:cs="Arial" w:eastAsia="Arial" w:hAnsi="Arial"/>
                <w:sz w:val="17"/>
                <w:szCs w:val="17"/>
                <w:color w:val="auto"/>
              </w:rPr>
              <w:t>3.22</w:t>
            </w:r>
          </w:p>
        </w:tc>
        <w:tc>
          <w:tcPr>
            <w:tcW w:w="44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1080" w:type="dxa"/>
            <w:vAlign w:val="bottom"/>
          </w:tcPr>
          <w:p>
            <w:pPr>
              <w:jc w:val="right"/>
              <w:spacing w:after="0"/>
              <w:rPr>
                <w:sz w:val="20"/>
                <w:szCs w:val="20"/>
                <w:color w:val="auto"/>
              </w:rPr>
            </w:pPr>
            <w:r>
              <w:rPr>
                <w:rFonts w:ascii="Arial" w:cs="Arial" w:eastAsia="Arial" w:hAnsi="Arial"/>
                <w:sz w:val="17"/>
                <w:szCs w:val="17"/>
                <w:color w:val="auto"/>
              </w:rPr>
              <w:t>4.70</w:t>
            </w:r>
          </w:p>
        </w:tc>
        <w:tc>
          <w:tcPr>
            <w:tcW w:w="0" w:type="dxa"/>
            <w:vAlign w:val="bottom"/>
          </w:tcPr>
          <w:p>
            <w:pPr>
              <w:spacing w:after="0"/>
              <w:rPr>
                <w:sz w:val="1"/>
                <w:szCs w:val="1"/>
                <w:color w:val="auto"/>
              </w:rPr>
            </w:pPr>
          </w:p>
        </w:tc>
      </w:tr>
      <w:tr>
        <w:trPr>
          <w:trHeight w:val="227"/>
        </w:trPr>
        <w:tc>
          <w:tcPr>
            <w:tcW w:w="5240" w:type="dxa"/>
            <w:vAlign w:val="bottom"/>
            <w:gridSpan w:val="2"/>
            <w:shd w:val="clear" w:color="auto" w:fill="CCEEFF"/>
          </w:tcPr>
          <w:p>
            <w:pPr>
              <w:ind w:left="340"/>
              <w:spacing w:after="0"/>
              <w:rPr>
                <w:sz w:val="20"/>
                <w:szCs w:val="20"/>
                <w:color w:val="auto"/>
              </w:rPr>
            </w:pPr>
            <w:r>
              <w:rPr>
                <w:rFonts w:ascii="Arial" w:cs="Arial" w:eastAsia="Arial" w:hAnsi="Arial"/>
                <w:sz w:val="17"/>
                <w:szCs w:val="17"/>
                <w:color w:val="auto"/>
              </w:rPr>
              <w:t>Diluted</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1.61</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2.16</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4.69</w:t>
            </w:r>
          </w:p>
        </w:tc>
        <w:tc>
          <w:tcPr>
            <w:tcW w:w="0" w:type="dxa"/>
            <w:vAlign w:val="bottom"/>
          </w:tcPr>
          <w:p>
            <w:pPr>
              <w:spacing w:after="0"/>
              <w:rPr>
                <w:sz w:val="1"/>
                <w:szCs w:val="1"/>
                <w:color w:val="auto"/>
              </w:rPr>
            </w:pPr>
          </w:p>
        </w:tc>
      </w:tr>
      <w:tr>
        <w:trPr>
          <w:trHeight w:val="208"/>
        </w:trPr>
        <w:tc>
          <w:tcPr>
            <w:tcW w:w="5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5240" w:type="dxa"/>
            <w:vAlign w:val="bottom"/>
            <w:gridSpan w:val="2"/>
            <w:shd w:val="clear" w:color="auto" w:fill="CCEEFF"/>
          </w:tcPr>
          <w:p>
            <w:pPr>
              <w:ind w:left="20"/>
              <w:spacing w:after="0"/>
              <w:rPr>
                <w:sz w:val="20"/>
                <w:szCs w:val="20"/>
                <w:color w:val="auto"/>
              </w:rPr>
            </w:pPr>
            <w:r>
              <w:rPr>
                <w:rFonts w:ascii="Arial" w:cs="Arial" w:eastAsia="Arial" w:hAnsi="Arial"/>
                <w:sz w:val="17"/>
                <w:szCs w:val="17"/>
                <w:b w:val="1"/>
                <w:bCs w:val="1"/>
                <w:color w:val="auto"/>
              </w:rPr>
              <w:t>Weighted average shares outstanding:</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5240" w:type="dxa"/>
            <w:vAlign w:val="bottom"/>
            <w:gridSpan w:val="2"/>
          </w:tcPr>
          <w:p>
            <w:pPr>
              <w:ind w:left="340"/>
              <w:spacing w:after="0"/>
              <w:rPr>
                <w:sz w:val="20"/>
                <w:szCs w:val="20"/>
                <w:color w:val="auto"/>
              </w:rPr>
            </w:pPr>
            <w:r>
              <w:rPr>
                <w:rFonts w:ascii="Arial" w:cs="Arial" w:eastAsia="Arial" w:hAnsi="Arial"/>
                <w:sz w:val="17"/>
                <w:szCs w:val="17"/>
                <w:color w:val="auto"/>
              </w:rPr>
              <w:t>Basic</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106,249</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106,921</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106,594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107,540</w:t>
            </w:r>
          </w:p>
        </w:tc>
        <w:tc>
          <w:tcPr>
            <w:tcW w:w="0" w:type="dxa"/>
            <w:vAlign w:val="bottom"/>
          </w:tcPr>
          <w:p>
            <w:pPr>
              <w:spacing w:after="0"/>
              <w:rPr>
                <w:sz w:val="1"/>
                <w:szCs w:val="1"/>
                <w:color w:val="auto"/>
              </w:rPr>
            </w:pPr>
          </w:p>
        </w:tc>
      </w:tr>
      <w:tr>
        <w:trPr>
          <w:trHeight w:val="227"/>
        </w:trPr>
        <w:tc>
          <w:tcPr>
            <w:tcW w:w="5240" w:type="dxa"/>
            <w:vAlign w:val="bottom"/>
            <w:gridSpan w:val="2"/>
            <w:shd w:val="clear" w:color="auto" w:fill="CCEEFF"/>
          </w:tcPr>
          <w:p>
            <w:pPr>
              <w:ind w:left="340"/>
              <w:spacing w:after="0"/>
              <w:rPr>
                <w:sz w:val="20"/>
                <w:szCs w:val="20"/>
                <w:color w:val="auto"/>
              </w:rPr>
            </w:pPr>
            <w:r>
              <w:rPr>
                <w:rFonts w:ascii="Arial" w:cs="Arial" w:eastAsia="Arial" w:hAnsi="Arial"/>
                <w:sz w:val="17"/>
                <w:szCs w:val="17"/>
                <w:color w:val="auto"/>
              </w:rPr>
              <w:t>Diluted</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107,093</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107,283</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107,338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107,933</w:t>
            </w:r>
          </w:p>
        </w:tc>
        <w:tc>
          <w:tcPr>
            <w:tcW w:w="0" w:type="dxa"/>
            <w:vAlign w:val="bottom"/>
          </w:tcPr>
          <w:p>
            <w:pPr>
              <w:spacing w:after="0"/>
              <w:rPr>
                <w:sz w:val="1"/>
                <w:szCs w:val="1"/>
                <w:color w:val="auto"/>
              </w:rPr>
            </w:pPr>
          </w:p>
        </w:tc>
      </w:tr>
      <w:tr>
        <w:trPr>
          <w:trHeight w:val="234"/>
        </w:trPr>
        <w:tc>
          <w:tcPr>
            <w:tcW w:w="5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5240" w:type="dxa"/>
            <w:vAlign w:val="bottom"/>
            <w:gridSpan w:val="2"/>
            <w:shd w:val="clear" w:color="auto" w:fill="CCEEFF"/>
          </w:tcPr>
          <w:p>
            <w:pPr>
              <w:ind w:left="20"/>
              <w:spacing w:after="0"/>
              <w:rPr>
                <w:sz w:val="20"/>
                <w:szCs w:val="20"/>
                <w:color w:val="auto"/>
              </w:rPr>
            </w:pPr>
            <w:r>
              <w:rPr>
                <w:rFonts w:ascii="Arial" w:cs="Arial" w:eastAsia="Arial" w:hAnsi="Arial"/>
                <w:sz w:val="17"/>
                <w:szCs w:val="17"/>
                <w:b w:val="1"/>
                <w:bCs w:val="1"/>
                <w:color w:val="auto"/>
              </w:rPr>
              <w:t>Net income</w:t>
            </w:r>
          </w:p>
        </w:tc>
        <w:tc>
          <w:tcPr>
            <w:tcW w:w="320" w:type="dxa"/>
            <w:vAlign w:val="bottom"/>
            <w:shd w:val="clear" w:color="auto" w:fill="CCEEFF"/>
          </w:tcPr>
          <w:p>
            <w:pPr>
              <w:jc w:val="right"/>
              <w:ind w:right="133"/>
              <w:spacing w:after="0"/>
              <w:rPr>
                <w:sz w:val="20"/>
                <w:szCs w:val="20"/>
                <w:color w:val="auto"/>
              </w:rPr>
            </w:pPr>
            <w:r>
              <w:rPr>
                <w:rFonts w:ascii="Arial" w:cs="Arial" w:eastAsia="Arial" w:hAnsi="Arial"/>
                <w:sz w:val="17"/>
                <w:szCs w:val="17"/>
                <w:color w:val="auto"/>
                <w:w w:val="84"/>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172,233</w:t>
            </w:r>
          </w:p>
        </w:tc>
        <w:tc>
          <w:tcPr>
            <w:tcW w:w="46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231,769</w:t>
            </w:r>
          </w:p>
        </w:tc>
        <w:tc>
          <w:tcPr>
            <w:tcW w:w="4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343,060</w:t>
            </w:r>
          </w:p>
        </w:tc>
        <w:tc>
          <w:tcPr>
            <w:tcW w:w="44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505,936</w:t>
            </w:r>
          </w:p>
        </w:tc>
        <w:tc>
          <w:tcPr>
            <w:tcW w:w="0" w:type="dxa"/>
            <w:vAlign w:val="bottom"/>
          </w:tcPr>
          <w:p>
            <w:pPr>
              <w:spacing w:after="0"/>
              <w:rPr>
                <w:sz w:val="1"/>
                <w:szCs w:val="1"/>
                <w:color w:val="auto"/>
              </w:rPr>
            </w:pPr>
          </w:p>
        </w:tc>
      </w:tr>
      <w:tr>
        <w:trPr>
          <w:trHeight w:val="208"/>
        </w:trPr>
        <w:tc>
          <w:tcPr>
            <w:tcW w:w="5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5240" w:type="dxa"/>
            <w:vAlign w:val="bottom"/>
            <w:gridSpan w:val="2"/>
            <w:shd w:val="clear" w:color="auto" w:fill="CCEEFF"/>
          </w:tcPr>
          <w:p>
            <w:pPr>
              <w:ind w:left="20"/>
              <w:spacing w:after="0"/>
              <w:rPr>
                <w:sz w:val="20"/>
                <w:szCs w:val="20"/>
                <w:color w:val="auto"/>
              </w:rPr>
            </w:pPr>
            <w:r>
              <w:rPr>
                <w:rFonts w:ascii="Arial" w:cs="Arial" w:eastAsia="Arial" w:hAnsi="Arial"/>
                <w:sz w:val="17"/>
                <w:szCs w:val="17"/>
                <w:b w:val="1"/>
                <w:bCs w:val="1"/>
                <w:color w:val="auto"/>
              </w:rPr>
              <w:t>Other comprehensive income (loss):</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5240" w:type="dxa"/>
            <w:vAlign w:val="bottom"/>
            <w:gridSpan w:val="2"/>
          </w:tcPr>
          <w:p>
            <w:pPr>
              <w:ind w:left="160"/>
              <w:spacing w:after="0" w:line="169" w:lineRule="exact"/>
              <w:rPr>
                <w:sz w:val="20"/>
                <w:szCs w:val="20"/>
                <w:color w:val="auto"/>
              </w:rPr>
            </w:pPr>
            <w:r>
              <w:rPr>
                <w:rFonts w:ascii="Arial" w:cs="Arial" w:eastAsia="Arial" w:hAnsi="Arial"/>
                <w:sz w:val="17"/>
                <w:szCs w:val="17"/>
                <w:color w:val="auto"/>
                <w:w w:val="94"/>
              </w:rPr>
              <w:t>Change in unrealized appreciation (depreciation) of investments, net of</w:t>
            </w:r>
          </w:p>
        </w:tc>
        <w:tc>
          <w:tcPr>
            <w:tcW w:w="3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5240" w:type="dxa"/>
            <w:vAlign w:val="bottom"/>
            <w:gridSpan w:val="2"/>
          </w:tcPr>
          <w:p>
            <w:pPr>
              <w:ind w:left="400"/>
              <w:spacing w:after="0" w:line="182" w:lineRule="exact"/>
              <w:rPr>
                <w:sz w:val="20"/>
                <w:szCs w:val="20"/>
                <w:color w:val="auto"/>
              </w:rPr>
            </w:pPr>
            <w:r>
              <w:rPr>
                <w:rFonts w:ascii="Arial" w:cs="Arial" w:eastAsia="Arial" w:hAnsi="Arial"/>
                <w:sz w:val="17"/>
                <w:szCs w:val="17"/>
                <w:color w:val="auto"/>
                <w:w w:val="95"/>
              </w:rPr>
              <w:t>tax expense (benefit) of ($5,046) and ($24,235) in the three months</w:t>
            </w:r>
          </w:p>
        </w:tc>
        <w:tc>
          <w:tcPr>
            <w:tcW w:w="3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5240" w:type="dxa"/>
            <w:vAlign w:val="bottom"/>
            <w:gridSpan w:val="2"/>
          </w:tcPr>
          <w:p>
            <w:pPr>
              <w:ind w:left="400"/>
              <w:spacing w:after="0" w:line="169" w:lineRule="exact"/>
              <w:rPr>
                <w:sz w:val="20"/>
                <w:szCs w:val="20"/>
                <w:color w:val="auto"/>
              </w:rPr>
            </w:pPr>
            <w:r>
              <w:rPr>
                <w:rFonts w:ascii="Arial" w:cs="Arial" w:eastAsia="Arial" w:hAnsi="Arial"/>
                <w:sz w:val="17"/>
                <w:szCs w:val="17"/>
                <w:color w:val="auto"/>
                <w:w w:val="94"/>
              </w:rPr>
              <w:t>ended June 30, 2023 and 2022 and $4,382 and ($60,132) in the six</w:t>
            </w:r>
          </w:p>
        </w:tc>
        <w:tc>
          <w:tcPr>
            <w:tcW w:w="320" w:type="dxa"/>
            <w:vAlign w:val="bottom"/>
          </w:tcPr>
          <w:p>
            <w:pPr>
              <w:spacing w:after="0"/>
              <w:rPr>
                <w:sz w:val="14"/>
                <w:szCs w:val="14"/>
                <w:color w:val="auto"/>
              </w:rPr>
            </w:pPr>
          </w:p>
        </w:tc>
        <w:tc>
          <w:tcPr>
            <w:tcW w:w="1080" w:type="dxa"/>
            <w:vAlign w:val="bottom"/>
            <w:vMerge w:val="restart"/>
          </w:tcPr>
          <w:p>
            <w:pPr>
              <w:jc w:val="right"/>
              <w:spacing w:after="0"/>
              <w:rPr>
                <w:sz w:val="20"/>
                <w:szCs w:val="20"/>
                <w:color w:val="auto"/>
              </w:rPr>
            </w:pPr>
            <w:r>
              <w:rPr>
                <w:rFonts w:ascii="Arial" w:cs="Arial" w:eastAsia="Arial" w:hAnsi="Arial"/>
                <w:sz w:val="17"/>
                <w:szCs w:val="17"/>
                <w:color w:val="auto"/>
              </w:rPr>
              <w:t>(36,098)</w:t>
            </w: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80" w:type="dxa"/>
            <w:vAlign w:val="bottom"/>
            <w:vMerge w:val="restart"/>
          </w:tcPr>
          <w:p>
            <w:pPr>
              <w:jc w:val="right"/>
              <w:spacing w:after="0"/>
              <w:rPr>
                <w:sz w:val="20"/>
                <w:szCs w:val="20"/>
                <w:color w:val="auto"/>
              </w:rPr>
            </w:pPr>
            <w:r>
              <w:rPr>
                <w:rFonts w:ascii="Arial" w:cs="Arial" w:eastAsia="Arial" w:hAnsi="Arial"/>
                <w:sz w:val="17"/>
                <w:szCs w:val="17"/>
                <w:color w:val="auto"/>
              </w:rPr>
              <w:t>(134,268)</w:t>
            </w: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vMerge w:val="restart"/>
          </w:tcPr>
          <w:p>
            <w:pPr>
              <w:jc w:val="right"/>
              <w:spacing w:after="0"/>
              <w:rPr>
                <w:sz w:val="20"/>
                <w:szCs w:val="20"/>
                <w:color w:val="auto"/>
              </w:rPr>
            </w:pPr>
            <w:r>
              <w:rPr>
                <w:rFonts w:ascii="Arial" w:cs="Arial" w:eastAsia="Arial" w:hAnsi="Arial"/>
                <w:sz w:val="17"/>
                <w:szCs w:val="17"/>
                <w:color w:val="auto"/>
              </w:rPr>
              <w:t>22,655</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80" w:type="dxa"/>
            <w:vAlign w:val="bottom"/>
            <w:vMerge w:val="restart"/>
          </w:tcPr>
          <w:p>
            <w:pPr>
              <w:jc w:val="right"/>
              <w:spacing w:after="0"/>
              <w:rPr>
                <w:sz w:val="20"/>
                <w:szCs w:val="20"/>
                <w:color w:val="auto"/>
              </w:rPr>
            </w:pPr>
            <w:r>
              <w:rPr>
                <w:rFonts w:ascii="Arial" w:cs="Arial" w:eastAsia="Arial" w:hAnsi="Arial"/>
                <w:sz w:val="17"/>
                <w:szCs w:val="17"/>
                <w:color w:val="auto"/>
              </w:rPr>
              <w:t>(337,274)</w:t>
            </w:r>
          </w:p>
        </w:tc>
        <w:tc>
          <w:tcPr>
            <w:tcW w:w="0" w:type="dxa"/>
            <w:vAlign w:val="bottom"/>
          </w:tcPr>
          <w:p>
            <w:pPr>
              <w:spacing w:after="0"/>
              <w:rPr>
                <w:sz w:val="1"/>
                <w:szCs w:val="1"/>
                <w:color w:val="auto"/>
              </w:rPr>
            </w:pPr>
          </w:p>
        </w:tc>
      </w:tr>
      <w:tr>
        <w:trPr>
          <w:trHeight w:val="220"/>
        </w:trPr>
        <w:tc>
          <w:tcPr>
            <w:tcW w:w="5240" w:type="dxa"/>
            <w:vAlign w:val="bottom"/>
            <w:tcBorders>
              <w:bottom w:val="single" w:sz="8" w:color="CCEEFF"/>
            </w:tcBorders>
            <w:gridSpan w:val="2"/>
          </w:tcPr>
          <w:p>
            <w:pPr>
              <w:ind w:left="400"/>
              <w:spacing w:after="0"/>
              <w:rPr>
                <w:sz w:val="20"/>
                <w:szCs w:val="20"/>
                <w:color w:val="auto"/>
              </w:rPr>
            </w:pPr>
            <w:r>
              <w:rPr>
                <w:rFonts w:ascii="Arial" w:cs="Arial" w:eastAsia="Arial" w:hAnsi="Arial"/>
                <w:sz w:val="17"/>
                <w:szCs w:val="17"/>
                <w:color w:val="auto"/>
              </w:rPr>
              <w:t>months ended June 30, 2023 and 2022.</w:t>
            </w: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vMerge w:val="continue"/>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vMerge w:val="continue"/>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524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7"/>
                <w:szCs w:val="17"/>
                <w:color w:val="auto"/>
              </w:rPr>
              <w:t>Total other comprehensive income (loss)</w:t>
            </w:r>
          </w:p>
        </w:tc>
        <w:tc>
          <w:tcPr>
            <w:tcW w:w="3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(36,098)</w:t>
            </w:r>
          </w:p>
        </w:tc>
        <w:tc>
          <w:tcPr>
            <w:tcW w:w="12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(134,268)</w:t>
            </w:r>
          </w:p>
        </w:tc>
        <w:tc>
          <w:tcPr>
            <w:tcW w:w="1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22,655</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(337,274)</w:t>
            </w:r>
          </w:p>
        </w:tc>
        <w:tc>
          <w:tcPr>
            <w:tcW w:w="0" w:type="dxa"/>
            <w:vAlign w:val="bottom"/>
          </w:tcPr>
          <w:p>
            <w:pPr>
              <w:spacing w:after="0"/>
              <w:rPr>
                <w:sz w:val="1"/>
                <w:szCs w:val="1"/>
                <w:color w:val="auto"/>
              </w:rPr>
            </w:pPr>
          </w:p>
        </w:tc>
      </w:tr>
      <w:tr>
        <w:trPr>
          <w:trHeight w:val="227"/>
        </w:trPr>
        <w:tc>
          <w:tcPr>
            <w:tcW w:w="5240" w:type="dxa"/>
            <w:vAlign w:val="bottom"/>
            <w:gridSpan w:val="2"/>
          </w:tcPr>
          <w:p>
            <w:pPr>
              <w:ind w:left="140"/>
              <w:spacing w:after="0"/>
              <w:rPr>
                <w:sz w:val="20"/>
                <w:szCs w:val="20"/>
                <w:color w:val="auto"/>
              </w:rPr>
            </w:pPr>
            <w:r>
              <w:rPr>
                <w:rFonts w:ascii="Arial" w:cs="Arial" w:eastAsia="Arial" w:hAnsi="Arial"/>
                <w:sz w:val="17"/>
                <w:szCs w:val="17"/>
                <w:b w:val="1"/>
                <w:bCs w:val="1"/>
                <w:color w:val="auto"/>
              </w:rPr>
              <w:t>Comprehensive income</w:t>
            </w:r>
          </w:p>
        </w:tc>
        <w:tc>
          <w:tcPr>
            <w:tcW w:w="320" w:type="dxa"/>
            <w:vAlign w:val="bottom"/>
          </w:tcPr>
          <w:p>
            <w:pPr>
              <w:jc w:val="right"/>
              <w:ind w:right="133"/>
              <w:spacing w:after="0"/>
              <w:rPr>
                <w:sz w:val="20"/>
                <w:szCs w:val="20"/>
                <w:color w:val="auto"/>
              </w:rPr>
            </w:pPr>
            <w:r>
              <w:rPr>
                <w:rFonts w:ascii="Arial" w:cs="Arial" w:eastAsia="Arial" w:hAnsi="Arial"/>
                <w:sz w:val="17"/>
                <w:szCs w:val="17"/>
                <w:color w:val="auto"/>
                <w:w w:val="84"/>
              </w:rPr>
              <w:t>$</w:t>
            </w:r>
          </w:p>
        </w:tc>
        <w:tc>
          <w:tcPr>
            <w:tcW w:w="1080" w:type="dxa"/>
            <w:vAlign w:val="bottom"/>
          </w:tcPr>
          <w:p>
            <w:pPr>
              <w:jc w:val="right"/>
              <w:spacing w:after="0"/>
              <w:rPr>
                <w:sz w:val="20"/>
                <w:szCs w:val="20"/>
                <w:color w:val="auto"/>
              </w:rPr>
            </w:pPr>
            <w:r>
              <w:rPr>
                <w:rFonts w:ascii="Arial" w:cs="Arial" w:eastAsia="Arial" w:hAnsi="Arial"/>
                <w:sz w:val="17"/>
                <w:szCs w:val="17"/>
                <w:color w:val="auto"/>
              </w:rPr>
              <w:t>136,135</w:t>
            </w:r>
          </w:p>
        </w:tc>
        <w:tc>
          <w:tcPr>
            <w:tcW w:w="46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1080" w:type="dxa"/>
            <w:vAlign w:val="bottom"/>
          </w:tcPr>
          <w:p>
            <w:pPr>
              <w:jc w:val="right"/>
              <w:spacing w:after="0"/>
              <w:rPr>
                <w:sz w:val="20"/>
                <w:szCs w:val="20"/>
                <w:color w:val="auto"/>
              </w:rPr>
            </w:pPr>
            <w:r>
              <w:rPr>
                <w:rFonts w:ascii="Arial" w:cs="Arial" w:eastAsia="Arial" w:hAnsi="Arial"/>
                <w:sz w:val="17"/>
                <w:szCs w:val="17"/>
                <w:color w:val="auto"/>
              </w:rPr>
              <w:t>97,501</w:t>
            </w:r>
          </w:p>
        </w:tc>
        <w:tc>
          <w:tcPr>
            <w:tcW w:w="44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100" w:type="dxa"/>
            <w:vAlign w:val="bottom"/>
          </w:tcPr>
          <w:p>
            <w:pPr>
              <w:jc w:val="right"/>
              <w:spacing w:after="0"/>
              <w:rPr>
                <w:sz w:val="20"/>
                <w:szCs w:val="20"/>
                <w:color w:val="auto"/>
              </w:rPr>
            </w:pPr>
            <w:r>
              <w:rPr>
                <w:rFonts w:ascii="Arial" w:cs="Arial" w:eastAsia="Arial" w:hAnsi="Arial"/>
                <w:sz w:val="17"/>
                <w:szCs w:val="17"/>
                <w:color w:val="auto"/>
              </w:rPr>
              <w:t>365,715</w:t>
            </w:r>
          </w:p>
        </w:tc>
        <w:tc>
          <w:tcPr>
            <w:tcW w:w="44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1080" w:type="dxa"/>
            <w:vAlign w:val="bottom"/>
          </w:tcPr>
          <w:p>
            <w:pPr>
              <w:jc w:val="right"/>
              <w:spacing w:after="0"/>
              <w:rPr>
                <w:sz w:val="20"/>
                <w:szCs w:val="20"/>
                <w:color w:val="auto"/>
              </w:rPr>
            </w:pPr>
            <w:r>
              <w:rPr>
                <w:rFonts w:ascii="Arial" w:cs="Arial" w:eastAsia="Arial" w:hAnsi="Arial"/>
                <w:sz w:val="17"/>
                <w:szCs w:val="17"/>
                <w:color w:val="auto"/>
              </w:rPr>
              <w:t>168,662</w:t>
            </w:r>
          </w:p>
        </w:tc>
        <w:tc>
          <w:tcPr>
            <w:tcW w:w="0" w:type="dxa"/>
            <w:vAlign w:val="bottom"/>
          </w:tcPr>
          <w:p>
            <w:pPr>
              <w:spacing w:after="0"/>
              <w:rPr>
                <w:sz w:val="1"/>
                <w:szCs w:val="1"/>
                <w:color w:val="auto"/>
              </w:rPr>
            </w:pPr>
          </w:p>
        </w:tc>
      </w:tr>
      <w:tr>
        <w:trPr>
          <w:trHeight w:val="20"/>
        </w:trPr>
        <w:tc>
          <w:tcPr>
            <w:tcW w:w="5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68580</wp:posOffset>
            </wp:positionV>
            <wp:extent cx="7162800" cy="419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6" w:name="page7"/>
    <w:bookmarkEnd w:id="6"/>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Essent Group Ltd. and Subsidiaries</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Condensed Consolidated Statements of Changes in Stockholders’ Equity (Unaudited)</w:t>
      </w:r>
    </w:p>
    <w:p>
      <w:pPr>
        <w:spacing w:after="0" w:line="37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460" w:type="dxa"/>
            <w:vAlign w:val="bottom"/>
            <w:tcBorders>
              <w:bottom w:val="single" w:sz="8" w:color="auto"/>
            </w:tcBorders>
            <w:gridSpan w:val="4"/>
          </w:tcPr>
          <w:p>
            <w:pPr>
              <w:jc w:val="right"/>
              <w:ind w:right="394"/>
              <w:spacing w:after="0"/>
              <w:rPr>
                <w:sz w:val="20"/>
                <w:szCs w:val="20"/>
                <w:color w:val="auto"/>
              </w:rPr>
            </w:pPr>
            <w:r>
              <w:rPr>
                <w:rFonts w:ascii="Arial" w:cs="Arial" w:eastAsia="Arial" w:hAnsi="Arial"/>
                <w:sz w:val="14"/>
                <w:szCs w:val="14"/>
                <w:b w:val="1"/>
                <w:bCs w:val="1"/>
                <w:color w:val="auto"/>
                <w:w w:val="98"/>
              </w:rPr>
              <w:t>Three Months Ended June 30,</w:t>
            </w:r>
          </w:p>
        </w:tc>
        <w:tc>
          <w:tcPr>
            <w:tcW w:w="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420" w:type="dxa"/>
            <w:vAlign w:val="bottom"/>
            <w:tcBorders>
              <w:bottom w:val="single" w:sz="8" w:color="auto"/>
            </w:tcBorders>
            <w:gridSpan w:val="4"/>
          </w:tcPr>
          <w:p>
            <w:pPr>
              <w:jc w:val="right"/>
              <w:ind w:right="474"/>
              <w:spacing w:after="0"/>
              <w:rPr>
                <w:sz w:val="20"/>
                <w:szCs w:val="20"/>
                <w:color w:val="auto"/>
              </w:rPr>
            </w:pPr>
            <w:r>
              <w:rPr>
                <w:rFonts w:ascii="Arial" w:cs="Arial" w:eastAsia="Arial" w:hAnsi="Arial"/>
                <w:sz w:val="14"/>
                <w:szCs w:val="14"/>
                <w:b w:val="1"/>
                <w:bCs w:val="1"/>
                <w:color w:val="auto"/>
              </w:rPr>
              <w:t>Six Months Ended June 30,</w:t>
            </w:r>
          </w:p>
        </w:tc>
      </w:tr>
      <w:tr>
        <w:trPr>
          <w:trHeight w:val="188"/>
        </w:trPr>
        <w:tc>
          <w:tcPr>
            <w:tcW w:w="55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2022</w:t>
            </w:r>
          </w:p>
        </w:tc>
      </w:tr>
      <w:tr>
        <w:trPr>
          <w:trHeight w:val="221"/>
        </w:trPr>
        <w:tc>
          <w:tcPr>
            <w:tcW w:w="5660" w:type="dxa"/>
            <w:vAlign w:val="bottom"/>
            <w:gridSpan w:val="2"/>
            <w:shd w:val="clear" w:color="auto" w:fill="CCEEFF"/>
          </w:tcPr>
          <w:p>
            <w:pPr>
              <w:ind w:left="20"/>
              <w:spacing w:after="0"/>
              <w:rPr>
                <w:sz w:val="20"/>
                <w:szCs w:val="20"/>
                <w:color w:val="auto"/>
              </w:rPr>
            </w:pPr>
            <w:r>
              <w:rPr>
                <w:rFonts w:ascii="Arial" w:cs="Arial" w:eastAsia="Arial" w:hAnsi="Arial"/>
                <w:sz w:val="17"/>
                <w:szCs w:val="17"/>
                <w:b w:val="1"/>
                <w:bCs w:val="1"/>
                <w:color w:val="auto"/>
              </w:rPr>
              <w:t>Common Shares</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r>
      <w:tr>
        <w:trPr>
          <w:trHeight w:val="227"/>
        </w:trPr>
        <w:tc>
          <w:tcPr>
            <w:tcW w:w="5660" w:type="dxa"/>
            <w:vAlign w:val="bottom"/>
            <w:gridSpan w:val="2"/>
          </w:tcPr>
          <w:p>
            <w:pPr>
              <w:ind w:left="20"/>
              <w:spacing w:after="0"/>
              <w:rPr>
                <w:sz w:val="20"/>
                <w:szCs w:val="20"/>
                <w:color w:val="auto"/>
              </w:rPr>
            </w:pPr>
            <w:r>
              <w:rPr>
                <w:rFonts w:ascii="Arial" w:cs="Arial" w:eastAsia="Arial" w:hAnsi="Arial"/>
                <w:sz w:val="17"/>
                <w:szCs w:val="17"/>
                <w:color w:val="auto"/>
              </w:rPr>
              <w:t>Balance, beginning of period</w:t>
            </w:r>
          </w:p>
        </w:tc>
        <w:tc>
          <w:tcPr>
            <w:tcW w:w="280" w:type="dxa"/>
            <w:vAlign w:val="bottom"/>
          </w:tcPr>
          <w:p>
            <w:pPr>
              <w:jc w:val="right"/>
              <w:ind w:right="93"/>
              <w:spacing w:after="0"/>
              <w:rPr>
                <w:sz w:val="20"/>
                <w:szCs w:val="20"/>
                <w:color w:val="auto"/>
              </w:rPr>
            </w:pPr>
            <w:r>
              <w:rPr>
                <w:rFonts w:ascii="Arial" w:cs="Arial" w:eastAsia="Arial" w:hAnsi="Arial"/>
                <w:sz w:val="17"/>
                <w:szCs w:val="17"/>
                <w:color w:val="auto"/>
                <w:w w:val="84"/>
              </w:rPr>
              <w:t>$</w:t>
            </w:r>
          </w:p>
        </w:tc>
        <w:tc>
          <w:tcPr>
            <w:tcW w:w="1040" w:type="dxa"/>
            <w:vAlign w:val="bottom"/>
          </w:tcPr>
          <w:p>
            <w:pPr>
              <w:jc w:val="right"/>
              <w:spacing w:after="0"/>
              <w:rPr>
                <w:sz w:val="20"/>
                <w:szCs w:val="20"/>
                <w:color w:val="auto"/>
              </w:rPr>
            </w:pPr>
            <w:r>
              <w:rPr>
                <w:rFonts w:ascii="Arial" w:cs="Arial" w:eastAsia="Arial" w:hAnsi="Arial"/>
                <w:sz w:val="17"/>
                <w:szCs w:val="17"/>
                <w:color w:val="auto"/>
              </w:rPr>
              <w:t>1,615</w:t>
            </w:r>
          </w:p>
        </w:tc>
        <w:tc>
          <w:tcPr>
            <w:tcW w:w="42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000" w:type="dxa"/>
            <w:vAlign w:val="bottom"/>
          </w:tcPr>
          <w:p>
            <w:pPr>
              <w:jc w:val="right"/>
              <w:spacing w:after="0"/>
              <w:rPr>
                <w:sz w:val="20"/>
                <w:szCs w:val="20"/>
                <w:color w:val="auto"/>
              </w:rPr>
            </w:pPr>
            <w:r>
              <w:rPr>
                <w:rFonts w:ascii="Arial" w:cs="Arial" w:eastAsia="Arial" w:hAnsi="Arial"/>
                <w:sz w:val="17"/>
                <w:szCs w:val="17"/>
                <w:color w:val="auto"/>
              </w:rPr>
              <w:t>1,622</w:t>
            </w:r>
          </w:p>
        </w:tc>
        <w:tc>
          <w:tcPr>
            <w:tcW w:w="42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000" w:type="dxa"/>
            <w:vAlign w:val="bottom"/>
          </w:tcPr>
          <w:p>
            <w:pPr>
              <w:jc w:val="right"/>
              <w:spacing w:after="0"/>
              <w:rPr>
                <w:sz w:val="20"/>
                <w:szCs w:val="20"/>
                <w:color w:val="auto"/>
              </w:rPr>
            </w:pPr>
            <w:r>
              <w:rPr>
                <w:rFonts w:ascii="Arial" w:cs="Arial" w:eastAsia="Arial" w:hAnsi="Arial"/>
                <w:sz w:val="17"/>
                <w:szCs w:val="17"/>
                <w:color w:val="auto"/>
              </w:rPr>
              <w:t>1,615</w:t>
            </w:r>
          </w:p>
        </w:tc>
        <w:tc>
          <w:tcPr>
            <w:tcW w:w="42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000" w:type="dxa"/>
            <w:vAlign w:val="bottom"/>
          </w:tcPr>
          <w:p>
            <w:pPr>
              <w:jc w:val="right"/>
              <w:spacing w:after="0"/>
              <w:rPr>
                <w:sz w:val="20"/>
                <w:szCs w:val="20"/>
                <w:color w:val="auto"/>
              </w:rPr>
            </w:pPr>
            <w:r>
              <w:rPr>
                <w:rFonts w:ascii="Arial" w:cs="Arial" w:eastAsia="Arial" w:hAnsi="Arial"/>
                <w:sz w:val="17"/>
                <w:szCs w:val="17"/>
                <w:color w:val="auto"/>
              </w:rPr>
              <w:t>1,641</w:t>
            </w:r>
          </w:p>
        </w:tc>
      </w:tr>
      <w:tr>
        <w:trPr>
          <w:trHeight w:val="227"/>
        </w:trPr>
        <w:tc>
          <w:tcPr>
            <w:tcW w:w="5660" w:type="dxa"/>
            <w:vAlign w:val="bottom"/>
            <w:gridSpan w:val="2"/>
            <w:shd w:val="clear" w:color="auto" w:fill="CCEEFF"/>
          </w:tcPr>
          <w:p>
            <w:pPr>
              <w:ind w:left="220"/>
              <w:spacing w:after="0"/>
              <w:rPr>
                <w:sz w:val="20"/>
                <w:szCs w:val="20"/>
                <w:color w:val="auto"/>
              </w:rPr>
            </w:pPr>
            <w:r>
              <w:rPr>
                <w:rFonts w:ascii="Arial" w:cs="Arial" w:eastAsia="Arial" w:hAnsi="Arial"/>
                <w:sz w:val="17"/>
                <w:szCs w:val="17"/>
                <w:color w:val="auto"/>
              </w:rPr>
              <w:t>Issuance of management incentive shares</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w:t>
            </w:r>
          </w:p>
        </w:tc>
      </w:tr>
      <w:tr>
        <w:trPr>
          <w:trHeight w:val="221"/>
        </w:trPr>
        <w:tc>
          <w:tcPr>
            <w:tcW w:w="5660" w:type="dxa"/>
            <w:vAlign w:val="bottom"/>
            <w:gridSpan w:val="2"/>
          </w:tcPr>
          <w:p>
            <w:pPr>
              <w:ind w:left="220"/>
              <w:spacing w:after="0"/>
              <w:rPr>
                <w:sz w:val="20"/>
                <w:szCs w:val="20"/>
                <w:color w:val="auto"/>
              </w:rPr>
            </w:pPr>
            <w:r>
              <w:rPr>
                <w:rFonts w:ascii="Arial" w:cs="Arial" w:eastAsia="Arial" w:hAnsi="Arial"/>
                <w:sz w:val="17"/>
                <w:szCs w:val="17"/>
                <w:color w:val="auto"/>
              </w:rPr>
              <w:t>Cancellation of treasury stock</w:t>
            </w: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w:t>
            </w: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w:t>
            </w: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(18)</w:t>
            </w: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(35)</w:t>
            </w:r>
          </w:p>
        </w:tc>
      </w:tr>
      <w:tr>
        <w:trPr>
          <w:trHeight w:val="227"/>
        </w:trPr>
        <w:tc>
          <w:tcPr>
            <w:tcW w:w="566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Balance, end of period</w:t>
            </w: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1,605</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1,615</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1,605</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1,615</w:t>
            </w:r>
          </w:p>
        </w:tc>
      </w:tr>
      <w:tr>
        <w:trPr>
          <w:trHeight w:val="32"/>
        </w:trPr>
        <w:tc>
          <w:tcPr>
            <w:tcW w:w="5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34"/>
        </w:trPr>
        <w:tc>
          <w:tcPr>
            <w:tcW w:w="5660" w:type="dxa"/>
            <w:vAlign w:val="bottom"/>
            <w:gridSpan w:val="2"/>
            <w:shd w:val="clear" w:color="auto" w:fill="CCEEFF"/>
          </w:tcPr>
          <w:p>
            <w:pPr>
              <w:ind w:left="20"/>
              <w:spacing w:after="0"/>
              <w:rPr>
                <w:sz w:val="20"/>
                <w:szCs w:val="20"/>
                <w:color w:val="auto"/>
              </w:rPr>
            </w:pPr>
            <w:r>
              <w:rPr>
                <w:rFonts w:ascii="Arial" w:cs="Arial" w:eastAsia="Arial" w:hAnsi="Arial"/>
                <w:sz w:val="17"/>
                <w:szCs w:val="17"/>
                <w:b w:val="1"/>
                <w:bCs w:val="1"/>
                <w:color w:val="auto"/>
              </w:rPr>
              <w:t>Additional Paid-In Capital</w:t>
            </w:r>
          </w:p>
        </w:tc>
        <w:tc>
          <w:tcPr>
            <w:tcW w:w="28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r>
      <w:tr>
        <w:trPr>
          <w:trHeight w:val="221"/>
        </w:trPr>
        <w:tc>
          <w:tcPr>
            <w:tcW w:w="5660" w:type="dxa"/>
            <w:vAlign w:val="bottom"/>
            <w:gridSpan w:val="2"/>
          </w:tcPr>
          <w:p>
            <w:pPr>
              <w:ind w:left="20"/>
              <w:spacing w:after="0"/>
              <w:rPr>
                <w:sz w:val="20"/>
                <w:szCs w:val="20"/>
                <w:color w:val="auto"/>
              </w:rPr>
            </w:pPr>
            <w:r>
              <w:rPr>
                <w:rFonts w:ascii="Arial" w:cs="Arial" w:eastAsia="Arial" w:hAnsi="Arial"/>
                <w:sz w:val="17"/>
                <w:szCs w:val="17"/>
                <w:color w:val="auto"/>
              </w:rPr>
              <w:t>Balance, beginning of period</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1,334,607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1,358,583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1,350,377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1,428,952</w:t>
            </w:r>
          </w:p>
        </w:tc>
      </w:tr>
      <w:tr>
        <w:trPr>
          <w:trHeight w:val="221"/>
        </w:trPr>
        <w:tc>
          <w:tcPr>
            <w:tcW w:w="5660" w:type="dxa"/>
            <w:vAlign w:val="bottom"/>
            <w:gridSpan w:val="2"/>
            <w:shd w:val="clear" w:color="auto" w:fill="CCEEFF"/>
          </w:tcPr>
          <w:p>
            <w:pPr>
              <w:ind w:left="220"/>
              <w:spacing w:after="0"/>
              <w:rPr>
                <w:sz w:val="20"/>
                <w:szCs w:val="20"/>
                <w:color w:val="auto"/>
              </w:rPr>
            </w:pPr>
            <w:r>
              <w:rPr>
                <w:rFonts w:ascii="Arial" w:cs="Arial" w:eastAsia="Arial" w:hAnsi="Arial"/>
                <w:sz w:val="17"/>
                <w:szCs w:val="17"/>
                <w:color w:val="auto"/>
              </w:rPr>
              <w:t>Dividends and dividend equivalents declared</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415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818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419</w:t>
            </w:r>
          </w:p>
        </w:tc>
      </w:tr>
      <w:tr>
        <w:trPr>
          <w:trHeight w:val="227"/>
        </w:trPr>
        <w:tc>
          <w:tcPr>
            <w:tcW w:w="5660" w:type="dxa"/>
            <w:vAlign w:val="bottom"/>
            <w:gridSpan w:val="2"/>
          </w:tcPr>
          <w:p>
            <w:pPr>
              <w:ind w:left="220"/>
              <w:spacing w:after="0"/>
              <w:rPr>
                <w:sz w:val="20"/>
                <w:szCs w:val="20"/>
                <w:color w:val="auto"/>
              </w:rPr>
            </w:pPr>
            <w:r>
              <w:rPr>
                <w:rFonts w:ascii="Arial" w:cs="Arial" w:eastAsia="Arial" w:hAnsi="Arial"/>
                <w:sz w:val="17"/>
                <w:szCs w:val="17"/>
                <w:color w:val="auto"/>
              </w:rPr>
              <w:t>Issuance of management incentive shares</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(9)</w:t>
            </w:r>
          </w:p>
        </w:tc>
      </w:tr>
      <w:tr>
        <w:trPr>
          <w:trHeight w:val="227"/>
        </w:trPr>
        <w:tc>
          <w:tcPr>
            <w:tcW w:w="5660" w:type="dxa"/>
            <w:vAlign w:val="bottom"/>
            <w:gridSpan w:val="2"/>
            <w:shd w:val="clear" w:color="auto" w:fill="CCEEFF"/>
          </w:tcPr>
          <w:p>
            <w:pPr>
              <w:ind w:left="220"/>
              <w:spacing w:after="0"/>
              <w:rPr>
                <w:sz w:val="20"/>
                <w:szCs w:val="20"/>
                <w:color w:val="auto"/>
              </w:rPr>
            </w:pPr>
            <w:r>
              <w:rPr>
                <w:rFonts w:ascii="Arial" w:cs="Arial" w:eastAsia="Arial" w:hAnsi="Arial"/>
                <w:sz w:val="17"/>
                <w:szCs w:val="17"/>
                <w:color w:val="auto"/>
              </w:rPr>
              <w:t>Stock-based compensation expense</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4,354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4,198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9,460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9,005</w:t>
            </w:r>
          </w:p>
        </w:tc>
      </w:tr>
      <w:tr>
        <w:trPr>
          <w:trHeight w:val="221"/>
        </w:trPr>
        <w:tc>
          <w:tcPr>
            <w:tcW w:w="5660" w:type="dxa"/>
            <w:vAlign w:val="bottom"/>
            <w:gridSpan w:val="2"/>
          </w:tcPr>
          <w:p>
            <w:pPr>
              <w:ind w:left="220"/>
              <w:spacing w:after="0"/>
              <w:rPr>
                <w:sz w:val="20"/>
                <w:szCs w:val="20"/>
                <w:color w:val="auto"/>
              </w:rPr>
            </w:pPr>
            <w:r>
              <w:rPr>
                <w:rFonts w:ascii="Arial" w:cs="Arial" w:eastAsia="Arial" w:hAnsi="Arial"/>
                <w:sz w:val="17"/>
                <w:szCs w:val="17"/>
                <w:color w:val="auto"/>
              </w:rPr>
              <w:t>Cancellation of treasury stock</w:t>
            </w: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(29,542)</w:t>
            </w: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(22,321)</w:t>
            </w: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(50,813)</w:t>
            </w: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(97,717)</w:t>
            </w:r>
          </w:p>
        </w:tc>
      </w:tr>
      <w:tr>
        <w:trPr>
          <w:trHeight w:val="227"/>
        </w:trPr>
        <w:tc>
          <w:tcPr>
            <w:tcW w:w="566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Balance, end of period</w:t>
            </w: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1,309,834</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1,340,650</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1,309,834</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1,340,650</w:t>
            </w:r>
          </w:p>
        </w:tc>
      </w:tr>
      <w:tr>
        <w:trPr>
          <w:trHeight w:val="32"/>
        </w:trPr>
        <w:tc>
          <w:tcPr>
            <w:tcW w:w="5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21"/>
        </w:trPr>
        <w:tc>
          <w:tcPr>
            <w:tcW w:w="5660" w:type="dxa"/>
            <w:vAlign w:val="bottom"/>
            <w:gridSpan w:val="2"/>
            <w:shd w:val="clear" w:color="auto" w:fill="CCEEFF"/>
          </w:tcPr>
          <w:p>
            <w:pPr>
              <w:ind w:left="20"/>
              <w:spacing w:after="0"/>
              <w:rPr>
                <w:sz w:val="20"/>
                <w:szCs w:val="20"/>
                <w:color w:val="auto"/>
              </w:rPr>
            </w:pPr>
            <w:r>
              <w:rPr>
                <w:rFonts w:ascii="Arial" w:cs="Arial" w:eastAsia="Arial" w:hAnsi="Arial"/>
                <w:sz w:val="17"/>
                <w:szCs w:val="17"/>
                <w:b w:val="1"/>
                <w:bCs w:val="1"/>
                <w:color w:val="auto"/>
              </w:rPr>
              <w:t>Accumulated Other Comprehensive (Loss) Income</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r>
      <w:tr>
        <w:trPr>
          <w:trHeight w:val="227"/>
        </w:trPr>
        <w:tc>
          <w:tcPr>
            <w:tcW w:w="5660" w:type="dxa"/>
            <w:vAlign w:val="bottom"/>
            <w:gridSpan w:val="2"/>
          </w:tcPr>
          <w:p>
            <w:pPr>
              <w:ind w:left="20"/>
              <w:spacing w:after="0"/>
              <w:rPr>
                <w:sz w:val="20"/>
                <w:szCs w:val="20"/>
                <w:color w:val="auto"/>
              </w:rPr>
            </w:pPr>
            <w:r>
              <w:rPr>
                <w:rFonts w:ascii="Arial" w:cs="Arial" w:eastAsia="Arial" w:hAnsi="Arial"/>
                <w:sz w:val="17"/>
                <w:szCs w:val="17"/>
                <w:color w:val="auto"/>
              </w:rPr>
              <w:t>Balance, beginning of period</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(324,037)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(152,299)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(382,790)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50,707</w:t>
            </w:r>
          </w:p>
        </w:tc>
      </w:tr>
      <w:tr>
        <w:trPr>
          <w:trHeight w:val="227"/>
        </w:trPr>
        <w:tc>
          <w:tcPr>
            <w:tcW w:w="566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7"/>
                <w:szCs w:val="17"/>
                <w:color w:val="auto"/>
              </w:rPr>
              <w:t>Other comprehensive income (loss)</w:t>
            </w: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(36,098)</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(134,268)</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22,655</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(337,274)</w:t>
            </w:r>
          </w:p>
        </w:tc>
      </w:tr>
      <w:tr>
        <w:trPr>
          <w:trHeight w:val="259"/>
        </w:trPr>
        <w:tc>
          <w:tcPr>
            <w:tcW w:w="5660" w:type="dxa"/>
            <w:vAlign w:val="bottom"/>
            <w:gridSpan w:val="2"/>
          </w:tcPr>
          <w:p>
            <w:pPr>
              <w:ind w:left="20"/>
              <w:spacing w:after="0"/>
              <w:rPr>
                <w:sz w:val="20"/>
                <w:szCs w:val="20"/>
                <w:color w:val="auto"/>
              </w:rPr>
            </w:pPr>
            <w:r>
              <w:rPr>
                <w:rFonts w:ascii="Arial" w:cs="Arial" w:eastAsia="Arial" w:hAnsi="Arial"/>
                <w:sz w:val="17"/>
                <w:szCs w:val="17"/>
                <w:color w:val="auto"/>
              </w:rPr>
              <w:t>Balance, end of period</w:t>
            </w:r>
          </w:p>
        </w:tc>
        <w:tc>
          <w:tcPr>
            <w:tcW w:w="28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(360,135)</w:t>
            </w:r>
          </w:p>
        </w:tc>
        <w:tc>
          <w:tcPr>
            <w:tcW w:w="10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(286,567)</w:t>
            </w:r>
          </w:p>
        </w:tc>
        <w:tc>
          <w:tcPr>
            <w:tcW w:w="10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(360,135)</w:t>
            </w:r>
          </w:p>
        </w:tc>
        <w:tc>
          <w:tcPr>
            <w:tcW w:w="10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(286,567)</w:t>
            </w:r>
          </w:p>
        </w:tc>
      </w:tr>
      <w:tr>
        <w:trPr>
          <w:trHeight w:val="221"/>
        </w:trPr>
        <w:tc>
          <w:tcPr>
            <w:tcW w:w="5660" w:type="dxa"/>
            <w:vAlign w:val="bottom"/>
            <w:tcBorders>
              <w:top w:val="single" w:sz="8" w:color="CCEEFF"/>
            </w:tcBorders>
            <w:gridSpan w:val="2"/>
          </w:tcPr>
          <w:p>
            <w:pPr>
              <w:ind w:left="20"/>
              <w:spacing w:after="0"/>
              <w:rPr>
                <w:sz w:val="20"/>
                <w:szCs w:val="20"/>
                <w:color w:val="auto"/>
              </w:rPr>
            </w:pPr>
            <w:r>
              <w:rPr>
                <w:rFonts w:ascii="Arial" w:cs="Arial" w:eastAsia="Arial" w:hAnsi="Arial"/>
                <w:sz w:val="17"/>
                <w:szCs w:val="17"/>
                <w:b w:val="1"/>
                <w:bCs w:val="1"/>
                <w:color w:val="auto"/>
              </w:rPr>
              <w:t>Retained Earnings</w:t>
            </w:r>
          </w:p>
        </w:tc>
        <w:tc>
          <w:tcPr>
            <w:tcW w:w="280" w:type="dxa"/>
            <w:vAlign w:val="bottom"/>
            <w:tcBorders>
              <w:top w:val="single" w:sz="8" w:color="CCEEFF"/>
            </w:tcBorders>
          </w:tcPr>
          <w:p>
            <w:pPr>
              <w:spacing w:after="0"/>
              <w:rPr>
                <w:sz w:val="19"/>
                <w:szCs w:val="19"/>
                <w:color w:val="auto"/>
              </w:rPr>
            </w:pPr>
          </w:p>
        </w:tc>
        <w:tc>
          <w:tcPr>
            <w:tcW w:w="104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320" w:type="dxa"/>
            <w:vAlign w:val="bottom"/>
            <w:tcBorders>
              <w:top w:val="single" w:sz="8" w:color="CCEEFF"/>
            </w:tcBorders>
          </w:tcPr>
          <w:p>
            <w:pPr>
              <w:spacing w:after="0"/>
              <w:rPr>
                <w:sz w:val="19"/>
                <w:szCs w:val="19"/>
                <w:color w:val="auto"/>
              </w:rPr>
            </w:pPr>
          </w:p>
        </w:tc>
        <w:tc>
          <w:tcPr>
            <w:tcW w:w="100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320" w:type="dxa"/>
            <w:vAlign w:val="bottom"/>
            <w:tcBorders>
              <w:top w:val="single" w:sz="8" w:color="CCEEFF"/>
            </w:tcBorders>
          </w:tcPr>
          <w:p>
            <w:pPr>
              <w:spacing w:after="0"/>
              <w:rPr>
                <w:sz w:val="19"/>
                <w:szCs w:val="19"/>
                <w:color w:val="auto"/>
              </w:rPr>
            </w:pPr>
          </w:p>
        </w:tc>
        <w:tc>
          <w:tcPr>
            <w:tcW w:w="100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320" w:type="dxa"/>
            <w:vAlign w:val="bottom"/>
            <w:tcBorders>
              <w:top w:val="single" w:sz="8" w:color="CCEEFF"/>
            </w:tcBorders>
          </w:tcPr>
          <w:p>
            <w:pPr>
              <w:spacing w:after="0"/>
              <w:rPr>
                <w:sz w:val="19"/>
                <w:szCs w:val="19"/>
                <w:color w:val="auto"/>
              </w:rPr>
            </w:pPr>
          </w:p>
        </w:tc>
        <w:tc>
          <w:tcPr>
            <w:tcW w:w="1000" w:type="dxa"/>
            <w:vAlign w:val="bottom"/>
            <w:tcBorders>
              <w:top w:val="single" w:sz="8" w:color="CCEEFF"/>
            </w:tcBorders>
          </w:tcPr>
          <w:p>
            <w:pPr>
              <w:spacing w:after="0"/>
              <w:rPr>
                <w:sz w:val="19"/>
                <w:szCs w:val="19"/>
                <w:color w:val="auto"/>
              </w:rPr>
            </w:pPr>
          </w:p>
        </w:tc>
      </w:tr>
      <w:tr>
        <w:trPr>
          <w:trHeight w:val="234"/>
        </w:trPr>
        <w:tc>
          <w:tcPr>
            <w:tcW w:w="566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Balance, beginning of period</w:t>
            </w:r>
          </w:p>
        </w:tc>
        <w:tc>
          <w:tcPr>
            <w:tcW w:w="28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3,636,756</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3,007,162</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3,493,107</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2,754,814</w:t>
            </w:r>
          </w:p>
        </w:tc>
      </w:tr>
      <w:tr>
        <w:trPr>
          <w:trHeight w:val="221"/>
        </w:trPr>
        <w:tc>
          <w:tcPr>
            <w:tcW w:w="5660" w:type="dxa"/>
            <w:vAlign w:val="bottom"/>
            <w:gridSpan w:val="2"/>
          </w:tcPr>
          <w:p>
            <w:pPr>
              <w:ind w:left="220"/>
              <w:spacing w:after="0"/>
              <w:rPr>
                <w:sz w:val="20"/>
                <w:szCs w:val="20"/>
                <w:color w:val="auto"/>
              </w:rPr>
            </w:pPr>
            <w:r>
              <w:rPr>
                <w:rFonts w:ascii="Arial" w:cs="Arial" w:eastAsia="Arial" w:hAnsi="Arial"/>
                <w:sz w:val="17"/>
                <w:szCs w:val="17"/>
                <w:color w:val="auto"/>
              </w:rPr>
              <w:t>Net income</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172,233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231,769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343,060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505,936</w:t>
            </w:r>
          </w:p>
        </w:tc>
      </w:tr>
      <w:tr>
        <w:trPr>
          <w:trHeight w:val="221"/>
        </w:trPr>
        <w:tc>
          <w:tcPr>
            <w:tcW w:w="566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7"/>
                <w:szCs w:val="17"/>
                <w:color w:val="auto"/>
              </w:rPr>
              <w:t>Dividends and dividend equivalents declared</w:t>
            </w: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(26,941)</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(22,634)</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(54,119)</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(44,453)</w:t>
            </w:r>
          </w:p>
        </w:tc>
      </w:tr>
      <w:tr>
        <w:trPr>
          <w:trHeight w:val="264"/>
        </w:trPr>
        <w:tc>
          <w:tcPr>
            <w:tcW w:w="5660" w:type="dxa"/>
            <w:vAlign w:val="bottom"/>
            <w:tcBorders>
              <w:bottom w:val="single" w:sz="8" w:color="CCEEFF"/>
            </w:tcBorders>
            <w:gridSpan w:val="2"/>
          </w:tcPr>
          <w:p>
            <w:pPr>
              <w:ind w:left="20"/>
              <w:spacing w:after="0"/>
              <w:rPr>
                <w:sz w:val="20"/>
                <w:szCs w:val="20"/>
                <w:color w:val="auto"/>
              </w:rPr>
            </w:pPr>
            <w:r>
              <w:rPr>
                <w:rFonts w:ascii="Arial" w:cs="Arial" w:eastAsia="Arial" w:hAnsi="Arial"/>
                <w:sz w:val="17"/>
                <w:szCs w:val="17"/>
                <w:color w:val="auto"/>
              </w:rPr>
              <w:t>Balance, end of period</w:t>
            </w:r>
          </w:p>
        </w:tc>
        <w:tc>
          <w:tcPr>
            <w:tcW w:w="28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3,782,048</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3,216,297</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3,782,048</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3,216,297</w:t>
            </w:r>
          </w:p>
        </w:tc>
      </w:tr>
      <w:tr>
        <w:trPr>
          <w:trHeight w:val="221"/>
        </w:trPr>
        <w:tc>
          <w:tcPr>
            <w:tcW w:w="5660" w:type="dxa"/>
            <w:vAlign w:val="bottom"/>
            <w:tcBorders>
              <w:top w:val="single" w:sz="8" w:color="CCEEFF"/>
            </w:tcBorders>
            <w:gridSpan w:val="2"/>
          </w:tcPr>
          <w:p>
            <w:pPr>
              <w:ind w:left="20"/>
              <w:spacing w:after="0"/>
              <w:rPr>
                <w:sz w:val="20"/>
                <w:szCs w:val="20"/>
                <w:color w:val="auto"/>
              </w:rPr>
            </w:pPr>
            <w:r>
              <w:rPr>
                <w:rFonts w:ascii="Arial" w:cs="Arial" w:eastAsia="Arial" w:hAnsi="Arial"/>
                <w:sz w:val="17"/>
                <w:szCs w:val="17"/>
                <w:b w:val="1"/>
                <w:bCs w:val="1"/>
                <w:color w:val="auto"/>
              </w:rPr>
              <w:t>Treasury Stock</w:t>
            </w:r>
          </w:p>
        </w:tc>
        <w:tc>
          <w:tcPr>
            <w:tcW w:w="280" w:type="dxa"/>
            <w:vAlign w:val="bottom"/>
            <w:tcBorders>
              <w:top w:val="single" w:sz="8" w:color="CCEEFF"/>
            </w:tcBorders>
          </w:tcPr>
          <w:p>
            <w:pPr>
              <w:spacing w:after="0"/>
              <w:rPr>
                <w:sz w:val="19"/>
                <w:szCs w:val="19"/>
                <w:color w:val="auto"/>
              </w:rPr>
            </w:pPr>
          </w:p>
        </w:tc>
        <w:tc>
          <w:tcPr>
            <w:tcW w:w="104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320" w:type="dxa"/>
            <w:vAlign w:val="bottom"/>
            <w:tcBorders>
              <w:top w:val="single" w:sz="8" w:color="CCEEFF"/>
            </w:tcBorders>
          </w:tcPr>
          <w:p>
            <w:pPr>
              <w:spacing w:after="0"/>
              <w:rPr>
                <w:sz w:val="19"/>
                <w:szCs w:val="19"/>
                <w:color w:val="auto"/>
              </w:rPr>
            </w:pPr>
          </w:p>
        </w:tc>
        <w:tc>
          <w:tcPr>
            <w:tcW w:w="100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320" w:type="dxa"/>
            <w:vAlign w:val="bottom"/>
            <w:tcBorders>
              <w:top w:val="single" w:sz="8" w:color="CCEEFF"/>
            </w:tcBorders>
          </w:tcPr>
          <w:p>
            <w:pPr>
              <w:spacing w:after="0"/>
              <w:rPr>
                <w:sz w:val="19"/>
                <w:szCs w:val="19"/>
                <w:color w:val="auto"/>
              </w:rPr>
            </w:pPr>
          </w:p>
        </w:tc>
        <w:tc>
          <w:tcPr>
            <w:tcW w:w="100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320" w:type="dxa"/>
            <w:vAlign w:val="bottom"/>
            <w:tcBorders>
              <w:top w:val="single" w:sz="8" w:color="CCEEFF"/>
            </w:tcBorders>
          </w:tcPr>
          <w:p>
            <w:pPr>
              <w:spacing w:after="0"/>
              <w:rPr>
                <w:sz w:val="19"/>
                <w:szCs w:val="19"/>
                <w:color w:val="auto"/>
              </w:rPr>
            </w:pPr>
          </w:p>
        </w:tc>
        <w:tc>
          <w:tcPr>
            <w:tcW w:w="1000" w:type="dxa"/>
            <w:vAlign w:val="bottom"/>
            <w:tcBorders>
              <w:top w:val="single" w:sz="8" w:color="CCEEFF"/>
            </w:tcBorders>
          </w:tcPr>
          <w:p>
            <w:pPr>
              <w:spacing w:after="0"/>
              <w:rPr>
                <w:sz w:val="19"/>
                <w:szCs w:val="19"/>
                <w:color w:val="auto"/>
              </w:rPr>
            </w:pPr>
          </w:p>
        </w:tc>
      </w:tr>
      <w:tr>
        <w:trPr>
          <w:trHeight w:val="234"/>
        </w:trPr>
        <w:tc>
          <w:tcPr>
            <w:tcW w:w="566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Balance, beginning of period</w:t>
            </w:r>
          </w:p>
        </w:tc>
        <w:tc>
          <w:tcPr>
            <w:tcW w:w="28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21"/>
        </w:trPr>
        <w:tc>
          <w:tcPr>
            <w:tcW w:w="5660" w:type="dxa"/>
            <w:vAlign w:val="bottom"/>
            <w:gridSpan w:val="2"/>
          </w:tcPr>
          <w:p>
            <w:pPr>
              <w:ind w:left="220"/>
              <w:spacing w:after="0"/>
              <w:rPr>
                <w:sz w:val="20"/>
                <w:szCs w:val="20"/>
                <w:color w:val="auto"/>
              </w:rPr>
            </w:pPr>
            <w:r>
              <w:rPr>
                <w:rFonts w:ascii="Arial" w:cs="Arial" w:eastAsia="Arial" w:hAnsi="Arial"/>
                <w:sz w:val="17"/>
                <w:szCs w:val="17"/>
                <w:color w:val="auto"/>
              </w:rPr>
              <w:t>Treasury stock acquired</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(29,552)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(22,330)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(50,831)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(97,752)</w:t>
            </w:r>
          </w:p>
        </w:tc>
      </w:tr>
      <w:tr>
        <w:trPr>
          <w:trHeight w:val="221"/>
        </w:trPr>
        <w:tc>
          <w:tcPr>
            <w:tcW w:w="566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7"/>
                <w:szCs w:val="17"/>
                <w:color w:val="auto"/>
              </w:rPr>
              <w:t>Cancellation of treasury stock</w:t>
            </w: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29,552</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22,330</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50,831</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97,752</w:t>
            </w:r>
          </w:p>
        </w:tc>
      </w:tr>
      <w:tr>
        <w:trPr>
          <w:trHeight w:val="264"/>
        </w:trPr>
        <w:tc>
          <w:tcPr>
            <w:tcW w:w="5660" w:type="dxa"/>
            <w:vAlign w:val="bottom"/>
            <w:tcBorders>
              <w:bottom w:val="single" w:sz="8" w:color="CCEEFF"/>
            </w:tcBorders>
            <w:gridSpan w:val="2"/>
          </w:tcPr>
          <w:p>
            <w:pPr>
              <w:ind w:left="20"/>
              <w:spacing w:after="0"/>
              <w:rPr>
                <w:sz w:val="20"/>
                <w:szCs w:val="20"/>
                <w:color w:val="auto"/>
              </w:rPr>
            </w:pPr>
            <w:r>
              <w:rPr>
                <w:rFonts w:ascii="Arial" w:cs="Arial" w:eastAsia="Arial" w:hAnsi="Arial"/>
                <w:sz w:val="17"/>
                <w:szCs w:val="17"/>
                <w:color w:val="auto"/>
              </w:rPr>
              <w:t>Balance, end of period</w:t>
            </w:r>
          </w:p>
        </w:tc>
        <w:tc>
          <w:tcPr>
            <w:tcW w:w="28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r>
      <w:tr>
        <w:trPr>
          <w:trHeight w:val="234"/>
        </w:trPr>
        <w:tc>
          <w:tcPr>
            <w:tcW w:w="5660" w:type="dxa"/>
            <w:vAlign w:val="bottom"/>
            <w:tcBorders>
              <w:top w:val="single" w:sz="8" w:color="CCEEFF"/>
            </w:tcBorders>
            <w:gridSpan w:val="2"/>
          </w:tcPr>
          <w:p>
            <w:pPr>
              <w:ind w:left="20"/>
              <w:spacing w:after="0"/>
              <w:rPr>
                <w:sz w:val="20"/>
                <w:szCs w:val="20"/>
                <w:color w:val="auto"/>
              </w:rPr>
            </w:pPr>
            <w:r>
              <w:rPr>
                <w:rFonts w:ascii="Arial" w:cs="Arial" w:eastAsia="Arial" w:hAnsi="Arial"/>
                <w:sz w:val="17"/>
                <w:szCs w:val="17"/>
                <w:b w:val="1"/>
                <w:bCs w:val="1"/>
                <w:color w:val="auto"/>
              </w:rPr>
              <w:t>Total Stockholders' Equity</w:t>
            </w:r>
          </w:p>
        </w:tc>
        <w:tc>
          <w:tcPr>
            <w:tcW w:w="280" w:type="dxa"/>
            <w:vAlign w:val="bottom"/>
            <w:tcBorders>
              <w:top w:val="single" w:sz="8" w:color="CCEEFF"/>
            </w:tcBorders>
          </w:tcPr>
          <w:p>
            <w:pPr>
              <w:jc w:val="right"/>
              <w:ind w:right="93"/>
              <w:spacing w:after="0"/>
              <w:rPr>
                <w:sz w:val="20"/>
                <w:szCs w:val="20"/>
                <w:color w:val="auto"/>
              </w:rPr>
            </w:pPr>
            <w:r>
              <w:rPr>
                <w:rFonts w:ascii="Arial" w:cs="Arial" w:eastAsia="Arial" w:hAnsi="Arial"/>
                <w:sz w:val="17"/>
                <w:szCs w:val="17"/>
                <w:color w:val="auto"/>
                <w:w w:val="84"/>
              </w:rPr>
              <w:t>$</w:t>
            </w:r>
          </w:p>
        </w:tc>
        <w:tc>
          <w:tcPr>
            <w:tcW w:w="1040" w:type="dxa"/>
            <w:vAlign w:val="bottom"/>
            <w:tcBorders>
              <w:top w:val="single" w:sz="8" w:color="CCEEFF"/>
            </w:tcBorders>
          </w:tcPr>
          <w:p>
            <w:pPr>
              <w:jc w:val="right"/>
              <w:spacing w:after="0"/>
              <w:rPr>
                <w:sz w:val="20"/>
                <w:szCs w:val="20"/>
                <w:color w:val="auto"/>
              </w:rPr>
            </w:pPr>
            <w:r>
              <w:rPr>
                <w:rFonts w:ascii="Arial" w:cs="Arial" w:eastAsia="Arial" w:hAnsi="Arial"/>
                <w:sz w:val="17"/>
                <w:szCs w:val="17"/>
                <w:color w:val="auto"/>
              </w:rPr>
              <w:t>4,733,352</w:t>
            </w:r>
          </w:p>
        </w:tc>
        <w:tc>
          <w:tcPr>
            <w:tcW w:w="420" w:type="dxa"/>
            <w:vAlign w:val="bottom"/>
            <w:tcBorders>
              <w:top w:val="single" w:sz="8" w:color="CCEEFF"/>
            </w:tcBorders>
            <w:gridSpan w:val="2"/>
          </w:tcPr>
          <w:p>
            <w:pPr>
              <w:jc w:val="right"/>
              <w:ind w:right="220"/>
              <w:spacing w:after="0"/>
              <w:rPr>
                <w:sz w:val="20"/>
                <w:szCs w:val="20"/>
                <w:color w:val="auto"/>
              </w:rPr>
            </w:pPr>
            <w:r>
              <w:rPr>
                <w:rFonts w:ascii="Arial" w:cs="Arial" w:eastAsia="Arial" w:hAnsi="Arial"/>
                <w:sz w:val="17"/>
                <w:szCs w:val="17"/>
                <w:color w:val="auto"/>
              </w:rPr>
              <w:t>$</w:t>
            </w:r>
          </w:p>
        </w:tc>
        <w:tc>
          <w:tcPr>
            <w:tcW w:w="1000" w:type="dxa"/>
            <w:vAlign w:val="bottom"/>
            <w:tcBorders>
              <w:top w:val="single" w:sz="8" w:color="CCEEFF"/>
            </w:tcBorders>
          </w:tcPr>
          <w:p>
            <w:pPr>
              <w:jc w:val="right"/>
              <w:spacing w:after="0"/>
              <w:rPr>
                <w:sz w:val="20"/>
                <w:szCs w:val="20"/>
                <w:color w:val="auto"/>
              </w:rPr>
            </w:pPr>
            <w:r>
              <w:rPr>
                <w:rFonts w:ascii="Arial" w:cs="Arial" w:eastAsia="Arial" w:hAnsi="Arial"/>
                <w:sz w:val="17"/>
                <w:szCs w:val="17"/>
                <w:color w:val="auto"/>
              </w:rPr>
              <w:t>4,271,995</w:t>
            </w:r>
          </w:p>
        </w:tc>
        <w:tc>
          <w:tcPr>
            <w:tcW w:w="420" w:type="dxa"/>
            <w:vAlign w:val="bottom"/>
            <w:tcBorders>
              <w:top w:val="single" w:sz="8" w:color="CCEEFF"/>
            </w:tcBorders>
            <w:gridSpan w:val="2"/>
          </w:tcPr>
          <w:p>
            <w:pPr>
              <w:jc w:val="right"/>
              <w:ind w:right="220"/>
              <w:spacing w:after="0"/>
              <w:rPr>
                <w:sz w:val="20"/>
                <w:szCs w:val="20"/>
                <w:color w:val="auto"/>
              </w:rPr>
            </w:pPr>
            <w:r>
              <w:rPr>
                <w:rFonts w:ascii="Arial" w:cs="Arial" w:eastAsia="Arial" w:hAnsi="Arial"/>
                <w:sz w:val="17"/>
                <w:szCs w:val="17"/>
                <w:color w:val="auto"/>
              </w:rPr>
              <w:t>$</w:t>
            </w:r>
          </w:p>
        </w:tc>
        <w:tc>
          <w:tcPr>
            <w:tcW w:w="1000" w:type="dxa"/>
            <w:vAlign w:val="bottom"/>
            <w:tcBorders>
              <w:top w:val="single" w:sz="8" w:color="CCEEFF"/>
            </w:tcBorders>
          </w:tcPr>
          <w:p>
            <w:pPr>
              <w:jc w:val="right"/>
              <w:spacing w:after="0"/>
              <w:rPr>
                <w:sz w:val="20"/>
                <w:szCs w:val="20"/>
                <w:color w:val="auto"/>
              </w:rPr>
            </w:pPr>
            <w:r>
              <w:rPr>
                <w:rFonts w:ascii="Arial" w:cs="Arial" w:eastAsia="Arial" w:hAnsi="Arial"/>
                <w:sz w:val="17"/>
                <w:szCs w:val="17"/>
                <w:color w:val="auto"/>
              </w:rPr>
              <w:t>4,733,352</w:t>
            </w:r>
          </w:p>
        </w:tc>
        <w:tc>
          <w:tcPr>
            <w:tcW w:w="420" w:type="dxa"/>
            <w:vAlign w:val="bottom"/>
            <w:tcBorders>
              <w:top w:val="single" w:sz="8" w:color="CCEEFF"/>
            </w:tcBorders>
            <w:gridSpan w:val="2"/>
          </w:tcPr>
          <w:p>
            <w:pPr>
              <w:jc w:val="right"/>
              <w:ind w:right="220"/>
              <w:spacing w:after="0"/>
              <w:rPr>
                <w:sz w:val="20"/>
                <w:szCs w:val="20"/>
                <w:color w:val="auto"/>
              </w:rPr>
            </w:pPr>
            <w:r>
              <w:rPr>
                <w:rFonts w:ascii="Arial" w:cs="Arial" w:eastAsia="Arial" w:hAnsi="Arial"/>
                <w:sz w:val="17"/>
                <w:szCs w:val="17"/>
                <w:color w:val="auto"/>
              </w:rPr>
              <w:t>$</w:t>
            </w:r>
          </w:p>
        </w:tc>
        <w:tc>
          <w:tcPr>
            <w:tcW w:w="1000" w:type="dxa"/>
            <w:vAlign w:val="bottom"/>
            <w:tcBorders>
              <w:top w:val="single" w:sz="8" w:color="CCEEFF"/>
            </w:tcBorders>
          </w:tcPr>
          <w:p>
            <w:pPr>
              <w:jc w:val="right"/>
              <w:spacing w:after="0"/>
              <w:rPr>
                <w:sz w:val="20"/>
                <w:szCs w:val="20"/>
                <w:color w:val="auto"/>
              </w:rPr>
            </w:pPr>
            <w:r>
              <w:rPr>
                <w:rFonts w:ascii="Arial" w:cs="Arial" w:eastAsia="Arial" w:hAnsi="Arial"/>
                <w:sz w:val="17"/>
                <w:szCs w:val="17"/>
                <w:color w:val="auto"/>
              </w:rPr>
              <w:t>4,271,995</w:t>
            </w:r>
          </w:p>
        </w:tc>
      </w:tr>
      <w:tr>
        <w:trPr>
          <w:trHeight w:val="20"/>
        </w:trPr>
        <w:tc>
          <w:tcPr>
            <w:tcW w:w="5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r>
    </w:tbl>
    <w:p>
      <w:pPr>
        <w:spacing w:after="0" w:line="29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68580</wp:posOffset>
            </wp:positionV>
            <wp:extent cx="7162800" cy="419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7" w:name="page8"/>
    <w:bookmarkEnd w:id="7"/>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Essent Group Ltd. and Subsidiaries</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Condensed Consolidated Statements of Cash Flows (Unaudited)</w:t>
      </w:r>
    </w:p>
    <w:p>
      <w:pPr>
        <w:spacing w:after="0" w:line="34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820" w:type="dxa"/>
            <w:vAlign w:val="bottom"/>
            <w:tcBorders>
              <w:bottom w:val="single" w:sz="8" w:color="auto"/>
            </w:tcBorders>
            <w:gridSpan w:val="4"/>
          </w:tcPr>
          <w:p>
            <w:pPr>
              <w:jc w:val="right"/>
              <w:ind w:right="702"/>
              <w:spacing w:after="0"/>
              <w:rPr>
                <w:sz w:val="20"/>
                <w:szCs w:val="20"/>
                <w:color w:val="auto"/>
              </w:rPr>
            </w:pPr>
            <w:r>
              <w:rPr>
                <w:rFonts w:ascii="Arial" w:cs="Arial" w:eastAsia="Arial" w:hAnsi="Arial"/>
                <w:sz w:val="14"/>
                <w:szCs w:val="14"/>
                <w:b w:val="1"/>
                <w:bCs w:val="1"/>
                <w:color w:val="auto"/>
              </w:rPr>
              <w:t>Six Months Ended June 30,</w:t>
            </w:r>
          </w:p>
        </w:tc>
      </w:tr>
      <w:tr>
        <w:trPr>
          <w:trHeight w:val="188"/>
        </w:trPr>
        <w:tc>
          <w:tcPr>
            <w:tcW w:w="8060" w:type="dxa"/>
            <w:vAlign w:val="bottom"/>
            <w:gridSpan w:val="2"/>
          </w:tcPr>
          <w:p>
            <w:pPr>
              <w:ind w:left="20"/>
              <w:spacing w:after="0"/>
              <w:rPr>
                <w:sz w:val="20"/>
                <w:szCs w:val="20"/>
                <w:color w:val="auto"/>
              </w:rPr>
            </w:pPr>
            <w:r>
              <w:rPr>
                <w:rFonts w:ascii="Arial" w:cs="Arial" w:eastAsia="Arial" w:hAnsi="Arial"/>
                <w:sz w:val="14"/>
                <w:szCs w:val="14"/>
                <w:b w:val="1"/>
                <w:bCs w:val="1"/>
                <w:color w:val="auto"/>
              </w:rPr>
              <w:t>(In thousands)</w:t>
            </w:r>
          </w:p>
        </w:tc>
        <w:tc>
          <w:tcPr>
            <w:tcW w:w="360" w:type="dxa"/>
            <w:vAlign w:val="bottom"/>
          </w:tcPr>
          <w:p>
            <w:pPr>
              <w:spacing w:after="0"/>
              <w:rPr>
                <w:sz w:val="16"/>
                <w:szCs w:val="16"/>
                <w:color w:val="auto"/>
              </w:rPr>
            </w:pPr>
          </w:p>
        </w:tc>
        <w:tc>
          <w:tcPr>
            <w:tcW w:w="1180" w:type="dxa"/>
            <w:vAlign w:val="bottom"/>
          </w:tcPr>
          <w:p>
            <w:pPr>
              <w:jc w:val="right"/>
              <w:ind w:right="542"/>
              <w:spacing w:after="0"/>
              <w:rPr>
                <w:sz w:val="20"/>
                <w:szCs w:val="20"/>
                <w:color w:val="auto"/>
              </w:rPr>
            </w:pPr>
            <w:r>
              <w:rPr>
                <w:rFonts w:ascii="Arial" w:cs="Arial" w:eastAsia="Arial" w:hAnsi="Arial"/>
                <w:sz w:val="14"/>
                <w:szCs w:val="14"/>
                <w:b w:val="1"/>
                <w:bCs w:val="1"/>
                <w:color w:val="auto"/>
              </w:rPr>
              <w:t>2023</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60" w:type="dxa"/>
            <w:vAlign w:val="bottom"/>
          </w:tcPr>
          <w:p>
            <w:pPr>
              <w:jc w:val="right"/>
              <w:ind w:right="542"/>
              <w:spacing w:after="0"/>
              <w:rPr>
                <w:sz w:val="20"/>
                <w:szCs w:val="20"/>
                <w:color w:val="auto"/>
              </w:rPr>
            </w:pPr>
            <w:r>
              <w:rPr>
                <w:rFonts w:ascii="Arial" w:cs="Arial" w:eastAsia="Arial" w:hAnsi="Arial"/>
                <w:sz w:val="14"/>
                <w:szCs w:val="14"/>
                <w:b w:val="1"/>
                <w:bCs w:val="1"/>
                <w:color w:val="auto"/>
              </w:rPr>
              <w:t>2022</w:t>
            </w:r>
          </w:p>
        </w:tc>
      </w:tr>
      <w:tr>
        <w:trPr>
          <w:trHeight w:val="208"/>
        </w:trPr>
        <w:tc>
          <w:tcPr>
            <w:tcW w:w="79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Operating Activities</w:t>
            </w:r>
          </w:p>
        </w:tc>
        <w:tc>
          <w:tcPr>
            <w:tcW w:w="1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r>
      <w:tr>
        <w:trPr>
          <w:trHeight w:val="205"/>
        </w:trPr>
        <w:tc>
          <w:tcPr>
            <w:tcW w:w="8060" w:type="dxa"/>
            <w:vAlign w:val="bottom"/>
            <w:gridSpan w:val="2"/>
          </w:tcPr>
          <w:p>
            <w:pPr>
              <w:ind w:left="20"/>
              <w:spacing w:after="0"/>
              <w:rPr>
                <w:sz w:val="20"/>
                <w:szCs w:val="20"/>
                <w:color w:val="auto"/>
              </w:rPr>
            </w:pPr>
            <w:r>
              <w:rPr>
                <w:rFonts w:ascii="Arial" w:cs="Arial" w:eastAsia="Arial" w:hAnsi="Arial"/>
                <w:sz w:val="16"/>
                <w:szCs w:val="16"/>
                <w:color w:val="auto"/>
              </w:rPr>
              <w:t>Net income</w:t>
            </w:r>
          </w:p>
        </w:tc>
        <w:tc>
          <w:tcPr>
            <w:tcW w:w="360" w:type="dxa"/>
            <w:vAlign w:val="bottom"/>
          </w:tcPr>
          <w:p>
            <w:pPr>
              <w:jc w:val="right"/>
              <w:ind w:right="182"/>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343,060</w:t>
            </w:r>
          </w:p>
        </w:tc>
        <w:tc>
          <w:tcPr>
            <w:tcW w:w="48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505,936</w:t>
            </w:r>
          </w:p>
        </w:tc>
      </w:tr>
      <w:tr>
        <w:trPr>
          <w:trHeight w:val="211"/>
        </w:trPr>
        <w:tc>
          <w:tcPr>
            <w:tcW w:w="80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Adjustments to reconcile net income to net cash provided by operating activities:</w:t>
            </w: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r>
      <w:tr>
        <w:trPr>
          <w:trHeight w:val="205"/>
        </w:trPr>
        <w:tc>
          <w:tcPr>
            <w:tcW w:w="8060" w:type="dxa"/>
            <w:vAlign w:val="bottom"/>
            <w:gridSpan w:val="2"/>
          </w:tcPr>
          <w:p>
            <w:pPr>
              <w:ind w:left="220"/>
              <w:spacing w:after="0"/>
              <w:rPr>
                <w:sz w:val="20"/>
                <w:szCs w:val="20"/>
                <w:color w:val="auto"/>
              </w:rPr>
            </w:pPr>
            <w:r>
              <w:rPr>
                <w:rFonts w:ascii="Arial" w:cs="Arial" w:eastAsia="Arial" w:hAnsi="Arial"/>
                <w:sz w:val="16"/>
                <w:szCs w:val="16"/>
                <w:color w:val="auto"/>
              </w:rPr>
              <w:t>Loss on the sale of investments, net</w:t>
            </w:r>
          </w:p>
        </w:tc>
        <w:tc>
          <w:tcPr>
            <w:tcW w:w="36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2,077</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7,823</w:t>
            </w:r>
          </w:p>
        </w:tc>
      </w:tr>
      <w:tr>
        <w:trPr>
          <w:trHeight w:val="211"/>
        </w:trPr>
        <w:tc>
          <w:tcPr>
            <w:tcW w:w="806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Loss (income) from other invested assets</w:t>
            </w: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7,554</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(26,658)</w:t>
            </w:r>
          </w:p>
        </w:tc>
      </w:tr>
      <w:tr>
        <w:trPr>
          <w:trHeight w:val="205"/>
        </w:trPr>
        <w:tc>
          <w:tcPr>
            <w:tcW w:w="8060" w:type="dxa"/>
            <w:vAlign w:val="bottom"/>
            <w:gridSpan w:val="2"/>
          </w:tcPr>
          <w:p>
            <w:pPr>
              <w:ind w:left="220"/>
              <w:spacing w:after="0"/>
              <w:rPr>
                <w:sz w:val="20"/>
                <w:szCs w:val="20"/>
                <w:color w:val="auto"/>
              </w:rPr>
            </w:pPr>
            <w:r>
              <w:rPr>
                <w:rFonts w:ascii="Arial" w:cs="Arial" w:eastAsia="Arial" w:hAnsi="Arial"/>
                <w:sz w:val="16"/>
                <w:szCs w:val="16"/>
                <w:color w:val="auto"/>
              </w:rPr>
              <w:t>Distribution of income from other invested assets</w:t>
            </w:r>
          </w:p>
        </w:tc>
        <w:tc>
          <w:tcPr>
            <w:tcW w:w="36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1,715</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9,711</w:t>
            </w:r>
          </w:p>
        </w:tc>
      </w:tr>
      <w:tr>
        <w:trPr>
          <w:trHeight w:val="211"/>
        </w:trPr>
        <w:tc>
          <w:tcPr>
            <w:tcW w:w="806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Depreciation and amortization</w:t>
            </w: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1,439</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1,490</w:t>
            </w:r>
          </w:p>
        </w:tc>
      </w:tr>
      <w:tr>
        <w:trPr>
          <w:trHeight w:val="205"/>
        </w:trPr>
        <w:tc>
          <w:tcPr>
            <w:tcW w:w="8060" w:type="dxa"/>
            <w:vAlign w:val="bottom"/>
            <w:gridSpan w:val="2"/>
          </w:tcPr>
          <w:p>
            <w:pPr>
              <w:ind w:left="220"/>
              <w:spacing w:after="0"/>
              <w:rPr>
                <w:sz w:val="20"/>
                <w:szCs w:val="20"/>
                <w:color w:val="auto"/>
              </w:rPr>
            </w:pPr>
            <w:r>
              <w:rPr>
                <w:rFonts w:ascii="Arial" w:cs="Arial" w:eastAsia="Arial" w:hAnsi="Arial"/>
                <w:sz w:val="16"/>
                <w:szCs w:val="16"/>
                <w:color w:val="auto"/>
              </w:rPr>
              <w:t>Stock-based compensation expense</w:t>
            </w:r>
          </w:p>
        </w:tc>
        <w:tc>
          <w:tcPr>
            <w:tcW w:w="36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9,460</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9,005</w:t>
            </w:r>
          </w:p>
        </w:tc>
      </w:tr>
      <w:tr>
        <w:trPr>
          <w:trHeight w:val="211"/>
        </w:trPr>
        <w:tc>
          <w:tcPr>
            <w:tcW w:w="806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Amortization of premium on investment securities</w:t>
            </w: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6,707</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10,451</w:t>
            </w:r>
          </w:p>
        </w:tc>
      </w:tr>
      <w:tr>
        <w:trPr>
          <w:trHeight w:val="205"/>
        </w:trPr>
        <w:tc>
          <w:tcPr>
            <w:tcW w:w="8060" w:type="dxa"/>
            <w:vAlign w:val="bottom"/>
            <w:gridSpan w:val="2"/>
          </w:tcPr>
          <w:p>
            <w:pPr>
              <w:ind w:left="220"/>
              <w:spacing w:after="0"/>
              <w:rPr>
                <w:sz w:val="20"/>
                <w:szCs w:val="20"/>
                <w:color w:val="auto"/>
              </w:rPr>
            </w:pPr>
            <w:r>
              <w:rPr>
                <w:rFonts w:ascii="Arial" w:cs="Arial" w:eastAsia="Arial" w:hAnsi="Arial"/>
                <w:sz w:val="16"/>
                <w:szCs w:val="16"/>
                <w:color w:val="auto"/>
              </w:rPr>
              <w:t>Deferred income tax provision</w:t>
            </w:r>
          </w:p>
        </w:tc>
        <w:tc>
          <w:tcPr>
            <w:tcW w:w="36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(32,850)</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34,853</w:t>
            </w:r>
          </w:p>
        </w:tc>
      </w:tr>
      <w:tr>
        <w:trPr>
          <w:trHeight w:val="211"/>
        </w:trPr>
        <w:tc>
          <w:tcPr>
            <w:tcW w:w="806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Change in:</w:t>
            </w: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r>
      <w:tr>
        <w:trPr>
          <w:trHeight w:val="205"/>
        </w:trPr>
        <w:tc>
          <w:tcPr>
            <w:tcW w:w="8060" w:type="dxa"/>
            <w:vAlign w:val="bottom"/>
            <w:gridSpan w:val="2"/>
          </w:tcPr>
          <w:p>
            <w:pPr>
              <w:ind w:left="440"/>
              <w:spacing w:after="0"/>
              <w:rPr>
                <w:sz w:val="20"/>
                <w:szCs w:val="20"/>
                <w:color w:val="auto"/>
              </w:rPr>
            </w:pPr>
            <w:r>
              <w:rPr>
                <w:rFonts w:ascii="Arial" w:cs="Arial" w:eastAsia="Arial" w:hAnsi="Arial"/>
                <w:sz w:val="16"/>
                <w:szCs w:val="16"/>
                <w:color w:val="auto"/>
              </w:rPr>
              <w:t>Accrued investment income</w:t>
            </w:r>
          </w:p>
        </w:tc>
        <w:tc>
          <w:tcPr>
            <w:tcW w:w="36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(2,937)</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(170)</w:t>
            </w:r>
          </w:p>
        </w:tc>
      </w:tr>
      <w:tr>
        <w:trPr>
          <w:trHeight w:val="211"/>
        </w:trPr>
        <w:tc>
          <w:tcPr>
            <w:tcW w:w="8060" w:type="dxa"/>
            <w:vAlign w:val="bottom"/>
            <w:gridSpan w:val="2"/>
            <w:shd w:val="clear" w:color="auto" w:fill="CCEEFF"/>
          </w:tcPr>
          <w:p>
            <w:pPr>
              <w:ind w:left="440"/>
              <w:spacing w:after="0"/>
              <w:rPr>
                <w:sz w:val="20"/>
                <w:szCs w:val="20"/>
                <w:color w:val="auto"/>
              </w:rPr>
            </w:pPr>
            <w:r>
              <w:rPr>
                <w:rFonts w:ascii="Arial" w:cs="Arial" w:eastAsia="Arial" w:hAnsi="Arial"/>
                <w:sz w:val="16"/>
                <w:szCs w:val="16"/>
                <w:color w:val="auto"/>
              </w:rPr>
              <w:t>Accounts receivable</w:t>
            </w: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(5,308)</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(4,428)</w:t>
            </w:r>
          </w:p>
        </w:tc>
      </w:tr>
      <w:tr>
        <w:trPr>
          <w:trHeight w:val="205"/>
        </w:trPr>
        <w:tc>
          <w:tcPr>
            <w:tcW w:w="8060" w:type="dxa"/>
            <w:vAlign w:val="bottom"/>
            <w:gridSpan w:val="2"/>
          </w:tcPr>
          <w:p>
            <w:pPr>
              <w:ind w:left="440"/>
              <w:spacing w:after="0"/>
              <w:rPr>
                <w:sz w:val="20"/>
                <w:szCs w:val="20"/>
                <w:color w:val="auto"/>
              </w:rPr>
            </w:pPr>
            <w:r>
              <w:rPr>
                <w:rFonts w:ascii="Arial" w:cs="Arial" w:eastAsia="Arial" w:hAnsi="Arial"/>
                <w:sz w:val="16"/>
                <w:szCs w:val="16"/>
                <w:color w:val="auto"/>
              </w:rPr>
              <w:t>Deferred policy acquisition costs</w:t>
            </w:r>
          </w:p>
        </w:tc>
        <w:tc>
          <w:tcPr>
            <w:tcW w:w="36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450</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1,369</w:t>
            </w:r>
          </w:p>
        </w:tc>
      </w:tr>
      <w:tr>
        <w:trPr>
          <w:trHeight w:val="224"/>
        </w:trPr>
        <w:tc>
          <w:tcPr>
            <w:tcW w:w="8060" w:type="dxa"/>
            <w:vAlign w:val="bottom"/>
            <w:gridSpan w:val="2"/>
            <w:shd w:val="clear" w:color="auto" w:fill="CCEEFF"/>
          </w:tcPr>
          <w:p>
            <w:pPr>
              <w:ind w:left="440"/>
              <w:spacing w:after="0"/>
              <w:rPr>
                <w:sz w:val="20"/>
                <w:szCs w:val="20"/>
                <w:color w:val="auto"/>
              </w:rPr>
            </w:pPr>
            <w:r>
              <w:rPr>
                <w:rFonts w:ascii="Arial" w:cs="Arial" w:eastAsia="Arial" w:hAnsi="Arial"/>
                <w:sz w:val="16"/>
                <w:szCs w:val="16"/>
                <w:color w:val="auto"/>
              </w:rPr>
              <w:t>Prepaid federal income tax</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(28,000)</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(31,100)</w:t>
            </w:r>
          </w:p>
        </w:tc>
      </w:tr>
      <w:tr>
        <w:trPr>
          <w:trHeight w:val="205"/>
        </w:trPr>
        <w:tc>
          <w:tcPr>
            <w:tcW w:w="8060" w:type="dxa"/>
            <w:vAlign w:val="bottom"/>
            <w:gridSpan w:val="2"/>
          </w:tcPr>
          <w:p>
            <w:pPr>
              <w:ind w:left="440"/>
              <w:spacing w:after="0"/>
              <w:rPr>
                <w:sz w:val="20"/>
                <w:szCs w:val="20"/>
                <w:color w:val="auto"/>
              </w:rPr>
            </w:pPr>
            <w:r>
              <w:rPr>
                <w:rFonts w:ascii="Arial" w:cs="Arial" w:eastAsia="Arial" w:hAnsi="Arial"/>
                <w:sz w:val="16"/>
                <w:szCs w:val="16"/>
                <w:color w:val="auto"/>
              </w:rPr>
              <w:t>Other assets</w:t>
            </w:r>
          </w:p>
        </w:tc>
        <w:tc>
          <w:tcPr>
            <w:tcW w:w="36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68,514</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(52,672)</w:t>
            </w:r>
          </w:p>
        </w:tc>
      </w:tr>
      <w:tr>
        <w:trPr>
          <w:trHeight w:val="211"/>
        </w:trPr>
        <w:tc>
          <w:tcPr>
            <w:tcW w:w="8060" w:type="dxa"/>
            <w:vAlign w:val="bottom"/>
            <w:gridSpan w:val="2"/>
            <w:shd w:val="clear" w:color="auto" w:fill="CCEEFF"/>
          </w:tcPr>
          <w:p>
            <w:pPr>
              <w:ind w:left="440"/>
              <w:spacing w:after="0"/>
              <w:rPr>
                <w:sz w:val="20"/>
                <w:szCs w:val="20"/>
                <w:color w:val="auto"/>
              </w:rPr>
            </w:pPr>
            <w:r>
              <w:rPr>
                <w:rFonts w:ascii="Arial" w:cs="Arial" w:eastAsia="Arial" w:hAnsi="Arial"/>
                <w:sz w:val="16"/>
                <w:szCs w:val="16"/>
                <w:color w:val="auto"/>
              </w:rPr>
              <w:t>Reserve for losses and LAE</w:t>
            </w: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479</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(197,472)</w:t>
            </w:r>
          </w:p>
        </w:tc>
      </w:tr>
      <w:tr>
        <w:trPr>
          <w:trHeight w:val="205"/>
        </w:trPr>
        <w:tc>
          <w:tcPr>
            <w:tcW w:w="8060" w:type="dxa"/>
            <w:vAlign w:val="bottom"/>
            <w:gridSpan w:val="2"/>
          </w:tcPr>
          <w:p>
            <w:pPr>
              <w:ind w:left="440"/>
              <w:spacing w:after="0"/>
              <w:rPr>
                <w:sz w:val="20"/>
                <w:szCs w:val="20"/>
                <w:color w:val="auto"/>
              </w:rPr>
            </w:pPr>
            <w:r>
              <w:rPr>
                <w:rFonts w:ascii="Arial" w:cs="Arial" w:eastAsia="Arial" w:hAnsi="Arial"/>
                <w:sz w:val="16"/>
                <w:szCs w:val="16"/>
                <w:color w:val="auto"/>
              </w:rPr>
              <w:t>Unearned premium reserve</w:t>
            </w:r>
          </w:p>
        </w:tc>
        <w:tc>
          <w:tcPr>
            <w:tcW w:w="36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(8,966)</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(17,268)</w:t>
            </w:r>
          </w:p>
        </w:tc>
      </w:tr>
      <w:tr>
        <w:trPr>
          <w:trHeight w:val="211"/>
        </w:trPr>
        <w:tc>
          <w:tcPr>
            <w:tcW w:w="8060" w:type="dxa"/>
            <w:vAlign w:val="bottom"/>
            <w:tcBorders>
              <w:bottom w:val="single" w:sz="8" w:color="CCEEFF"/>
            </w:tcBorders>
            <w:gridSpan w:val="2"/>
            <w:shd w:val="clear" w:color="auto" w:fill="CCEEFF"/>
          </w:tcPr>
          <w:p>
            <w:pPr>
              <w:ind w:left="440"/>
              <w:spacing w:after="0"/>
              <w:rPr>
                <w:sz w:val="20"/>
                <w:szCs w:val="20"/>
                <w:color w:val="auto"/>
              </w:rPr>
            </w:pPr>
            <w:r>
              <w:rPr>
                <w:rFonts w:ascii="Arial" w:cs="Arial" w:eastAsia="Arial" w:hAnsi="Arial"/>
                <w:sz w:val="16"/>
                <w:szCs w:val="16"/>
                <w:color w:val="auto"/>
              </w:rPr>
              <w:t>Other accrued liabilities</w:t>
            </w:r>
          </w:p>
        </w:tc>
        <w:tc>
          <w:tcPr>
            <w:tcW w:w="3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(10,894)</w:t>
            </w:r>
          </w:p>
        </w:tc>
        <w:tc>
          <w:tcPr>
            <w:tcW w:w="12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(6,972)</w:t>
            </w:r>
          </w:p>
        </w:tc>
      </w:tr>
      <w:tr>
        <w:trPr>
          <w:trHeight w:val="201"/>
        </w:trPr>
        <w:tc>
          <w:tcPr>
            <w:tcW w:w="8060" w:type="dxa"/>
            <w:vAlign w:val="bottom"/>
            <w:gridSpan w:val="2"/>
          </w:tcPr>
          <w:p>
            <w:pPr>
              <w:ind w:left="20"/>
              <w:spacing w:after="0"/>
              <w:rPr>
                <w:sz w:val="20"/>
                <w:szCs w:val="20"/>
                <w:color w:val="auto"/>
              </w:rPr>
            </w:pPr>
            <w:r>
              <w:rPr>
                <w:rFonts w:ascii="Arial" w:cs="Arial" w:eastAsia="Arial" w:hAnsi="Arial"/>
                <w:sz w:val="16"/>
                <w:szCs w:val="16"/>
                <w:color w:val="auto"/>
              </w:rPr>
              <w:t>Net cash provided by operating activities</w:t>
            </w:r>
          </w:p>
        </w:tc>
        <w:tc>
          <w:tcPr>
            <w:tcW w:w="3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352,500</w:t>
            </w:r>
          </w:p>
        </w:tc>
        <w:tc>
          <w:tcPr>
            <w:tcW w:w="12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243,898</w:t>
            </w:r>
          </w:p>
        </w:tc>
      </w:tr>
      <w:tr>
        <w:trPr>
          <w:trHeight w:val="97"/>
        </w:trPr>
        <w:tc>
          <w:tcPr>
            <w:tcW w:w="79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11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1160" w:type="dxa"/>
            <w:vAlign w:val="bottom"/>
            <w:shd w:val="clear" w:color="auto" w:fill="CCEEFF"/>
          </w:tcPr>
          <w:p>
            <w:pPr>
              <w:spacing w:after="0"/>
              <w:rPr>
                <w:sz w:val="8"/>
                <w:szCs w:val="8"/>
                <w:color w:val="auto"/>
              </w:rPr>
            </w:pPr>
          </w:p>
        </w:tc>
      </w:tr>
      <w:tr>
        <w:trPr>
          <w:trHeight w:val="205"/>
        </w:trPr>
        <w:tc>
          <w:tcPr>
            <w:tcW w:w="8060" w:type="dxa"/>
            <w:vAlign w:val="bottom"/>
            <w:gridSpan w:val="2"/>
          </w:tcPr>
          <w:p>
            <w:pPr>
              <w:ind w:left="20"/>
              <w:spacing w:after="0"/>
              <w:rPr>
                <w:sz w:val="20"/>
                <w:szCs w:val="20"/>
                <w:color w:val="auto"/>
              </w:rPr>
            </w:pPr>
            <w:r>
              <w:rPr>
                <w:rFonts w:ascii="Arial" w:cs="Arial" w:eastAsia="Arial" w:hAnsi="Arial"/>
                <w:sz w:val="16"/>
                <w:szCs w:val="16"/>
                <w:b w:val="1"/>
                <w:bCs w:val="1"/>
                <w:color w:val="auto"/>
              </w:rPr>
              <w:t>Investing Activities</w:t>
            </w:r>
          </w:p>
        </w:tc>
        <w:tc>
          <w:tcPr>
            <w:tcW w:w="3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10"/>
        </w:trPr>
        <w:tc>
          <w:tcPr>
            <w:tcW w:w="806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Net change in short-term investments</w:t>
            </w: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(331,513)</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(42,538)</w:t>
            </w:r>
          </w:p>
        </w:tc>
      </w:tr>
      <w:tr>
        <w:trPr>
          <w:trHeight w:val="205"/>
        </w:trPr>
        <w:tc>
          <w:tcPr>
            <w:tcW w:w="8060" w:type="dxa"/>
            <w:vAlign w:val="bottom"/>
            <w:gridSpan w:val="2"/>
          </w:tcPr>
          <w:p>
            <w:pPr>
              <w:ind w:left="220"/>
              <w:spacing w:after="0"/>
              <w:rPr>
                <w:sz w:val="20"/>
                <w:szCs w:val="20"/>
                <w:color w:val="auto"/>
              </w:rPr>
            </w:pPr>
            <w:r>
              <w:rPr>
                <w:rFonts w:ascii="Arial" w:cs="Arial" w:eastAsia="Arial" w:hAnsi="Arial"/>
                <w:sz w:val="16"/>
                <w:szCs w:val="16"/>
                <w:color w:val="auto"/>
              </w:rPr>
              <w:t>Purchase of investments available for sale</w:t>
            </w:r>
          </w:p>
        </w:tc>
        <w:tc>
          <w:tcPr>
            <w:tcW w:w="36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(849,582)</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(733,213)</w:t>
            </w:r>
          </w:p>
        </w:tc>
      </w:tr>
      <w:tr>
        <w:trPr>
          <w:trHeight w:val="211"/>
        </w:trPr>
        <w:tc>
          <w:tcPr>
            <w:tcW w:w="806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Proceeds from maturity of investments available for sale</w:t>
            </w: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533,563</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126,164</w:t>
            </w:r>
          </w:p>
        </w:tc>
      </w:tr>
      <w:tr>
        <w:trPr>
          <w:trHeight w:val="205"/>
        </w:trPr>
        <w:tc>
          <w:tcPr>
            <w:tcW w:w="8060" w:type="dxa"/>
            <w:vAlign w:val="bottom"/>
            <w:gridSpan w:val="2"/>
          </w:tcPr>
          <w:p>
            <w:pPr>
              <w:ind w:left="220"/>
              <w:spacing w:after="0"/>
              <w:rPr>
                <w:sz w:val="20"/>
                <w:szCs w:val="20"/>
                <w:color w:val="auto"/>
              </w:rPr>
            </w:pPr>
            <w:r>
              <w:rPr>
                <w:rFonts w:ascii="Arial" w:cs="Arial" w:eastAsia="Arial" w:hAnsi="Arial"/>
                <w:sz w:val="16"/>
                <w:szCs w:val="16"/>
                <w:color w:val="auto"/>
              </w:rPr>
              <w:t>Proceeds from sales of investments available for sale</w:t>
            </w:r>
          </w:p>
        </w:tc>
        <w:tc>
          <w:tcPr>
            <w:tcW w:w="36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404,708</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575,977</w:t>
            </w:r>
          </w:p>
        </w:tc>
      </w:tr>
      <w:tr>
        <w:trPr>
          <w:trHeight w:val="211"/>
        </w:trPr>
        <w:tc>
          <w:tcPr>
            <w:tcW w:w="806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Purchase of other invested assets</w:t>
            </w: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(19,158)</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(31,708)</w:t>
            </w:r>
          </w:p>
        </w:tc>
      </w:tr>
      <w:tr>
        <w:trPr>
          <w:trHeight w:val="205"/>
        </w:trPr>
        <w:tc>
          <w:tcPr>
            <w:tcW w:w="8060" w:type="dxa"/>
            <w:vAlign w:val="bottom"/>
            <w:gridSpan w:val="2"/>
          </w:tcPr>
          <w:p>
            <w:pPr>
              <w:ind w:left="220"/>
              <w:spacing w:after="0"/>
              <w:rPr>
                <w:sz w:val="20"/>
                <w:szCs w:val="20"/>
                <w:color w:val="auto"/>
              </w:rPr>
            </w:pPr>
            <w:r>
              <w:rPr>
                <w:rFonts w:ascii="Arial" w:cs="Arial" w:eastAsia="Arial" w:hAnsi="Arial"/>
                <w:sz w:val="16"/>
                <w:szCs w:val="16"/>
                <w:color w:val="auto"/>
              </w:rPr>
              <w:t>Return of investment from other invested assets</w:t>
            </w:r>
          </w:p>
        </w:tc>
        <w:tc>
          <w:tcPr>
            <w:tcW w:w="36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1,272</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1,370</w:t>
            </w:r>
          </w:p>
        </w:tc>
      </w:tr>
      <w:tr>
        <w:trPr>
          <w:trHeight w:val="211"/>
        </w:trPr>
        <w:tc>
          <w:tcPr>
            <w:tcW w:w="806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Purchase of property and equipment</w:t>
            </w:r>
          </w:p>
        </w:tc>
        <w:tc>
          <w:tcPr>
            <w:tcW w:w="3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(797)</w:t>
            </w:r>
          </w:p>
        </w:tc>
        <w:tc>
          <w:tcPr>
            <w:tcW w:w="12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(1,649)</w:t>
            </w:r>
          </w:p>
        </w:tc>
      </w:tr>
      <w:tr>
        <w:trPr>
          <w:trHeight w:val="198"/>
        </w:trPr>
        <w:tc>
          <w:tcPr>
            <w:tcW w:w="806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Net cash used in investing activities</w:t>
            </w:r>
          </w:p>
        </w:tc>
        <w:tc>
          <w:tcPr>
            <w:tcW w:w="3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(261,507)</w:t>
            </w:r>
          </w:p>
        </w:tc>
        <w:tc>
          <w:tcPr>
            <w:tcW w:w="12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(105,597)</w:t>
            </w:r>
          </w:p>
        </w:tc>
      </w:tr>
      <w:tr>
        <w:trPr>
          <w:trHeight w:val="87"/>
        </w:trPr>
        <w:tc>
          <w:tcPr>
            <w:tcW w:w="796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360" w:type="dxa"/>
            <w:vAlign w:val="bottom"/>
            <w:shd w:val="clear" w:color="auto" w:fill="CCEEFF"/>
          </w:tcPr>
          <w:p>
            <w:pPr>
              <w:spacing w:after="0"/>
              <w:rPr>
                <w:sz w:val="7"/>
                <w:szCs w:val="7"/>
                <w:color w:val="auto"/>
              </w:rPr>
            </w:pPr>
          </w:p>
        </w:tc>
        <w:tc>
          <w:tcPr>
            <w:tcW w:w="118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360" w:type="dxa"/>
            <w:vAlign w:val="bottom"/>
            <w:shd w:val="clear" w:color="auto" w:fill="CCEEFF"/>
          </w:tcPr>
          <w:p>
            <w:pPr>
              <w:spacing w:after="0"/>
              <w:rPr>
                <w:sz w:val="7"/>
                <w:szCs w:val="7"/>
                <w:color w:val="auto"/>
              </w:rPr>
            </w:pPr>
          </w:p>
        </w:tc>
        <w:tc>
          <w:tcPr>
            <w:tcW w:w="1160" w:type="dxa"/>
            <w:vAlign w:val="bottom"/>
            <w:shd w:val="clear" w:color="auto" w:fill="CCEEFF"/>
          </w:tcPr>
          <w:p>
            <w:pPr>
              <w:spacing w:after="0"/>
              <w:rPr>
                <w:sz w:val="7"/>
                <w:szCs w:val="7"/>
                <w:color w:val="auto"/>
              </w:rPr>
            </w:pPr>
          </w:p>
        </w:tc>
      </w:tr>
      <w:tr>
        <w:trPr>
          <w:trHeight w:val="205"/>
        </w:trPr>
        <w:tc>
          <w:tcPr>
            <w:tcW w:w="8060" w:type="dxa"/>
            <w:vAlign w:val="bottom"/>
            <w:gridSpan w:val="2"/>
          </w:tcPr>
          <w:p>
            <w:pPr>
              <w:ind w:left="20"/>
              <w:spacing w:after="0"/>
              <w:rPr>
                <w:sz w:val="20"/>
                <w:szCs w:val="20"/>
                <w:color w:val="auto"/>
              </w:rPr>
            </w:pPr>
            <w:r>
              <w:rPr>
                <w:rFonts w:ascii="Arial" w:cs="Arial" w:eastAsia="Arial" w:hAnsi="Arial"/>
                <w:sz w:val="16"/>
                <w:szCs w:val="16"/>
                <w:b w:val="1"/>
                <w:bCs w:val="1"/>
                <w:color w:val="auto"/>
              </w:rPr>
              <w:t>Financing Activities</w:t>
            </w:r>
          </w:p>
        </w:tc>
        <w:tc>
          <w:tcPr>
            <w:tcW w:w="3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10"/>
        </w:trPr>
        <w:tc>
          <w:tcPr>
            <w:tcW w:w="806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Treasury stock acquired</w:t>
            </w: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(50,831)</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(97,752)</w:t>
            </w:r>
          </w:p>
        </w:tc>
      </w:tr>
      <w:tr>
        <w:trPr>
          <w:trHeight w:val="205"/>
        </w:trPr>
        <w:tc>
          <w:tcPr>
            <w:tcW w:w="8060" w:type="dxa"/>
            <w:vAlign w:val="bottom"/>
            <w:gridSpan w:val="2"/>
          </w:tcPr>
          <w:p>
            <w:pPr>
              <w:ind w:left="220"/>
              <w:spacing w:after="0"/>
              <w:rPr>
                <w:sz w:val="20"/>
                <w:szCs w:val="20"/>
                <w:color w:val="auto"/>
              </w:rPr>
            </w:pPr>
            <w:r>
              <w:rPr>
                <w:rFonts w:ascii="Arial" w:cs="Arial" w:eastAsia="Arial" w:hAnsi="Arial"/>
                <w:sz w:val="16"/>
                <w:szCs w:val="16"/>
                <w:color w:val="auto"/>
              </w:rPr>
              <w:t>Payment of issuance costs for credit facility</w:t>
            </w:r>
          </w:p>
        </w:tc>
        <w:tc>
          <w:tcPr>
            <w:tcW w:w="36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(154)</w:t>
            </w:r>
          </w:p>
        </w:tc>
      </w:tr>
      <w:tr>
        <w:trPr>
          <w:trHeight w:val="211"/>
        </w:trPr>
        <w:tc>
          <w:tcPr>
            <w:tcW w:w="806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Dividends paid</w:t>
            </w:r>
          </w:p>
        </w:tc>
        <w:tc>
          <w:tcPr>
            <w:tcW w:w="3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(53,301)</w:t>
            </w:r>
          </w:p>
        </w:tc>
        <w:tc>
          <w:tcPr>
            <w:tcW w:w="12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(44,034)</w:t>
            </w:r>
          </w:p>
        </w:tc>
      </w:tr>
      <w:tr>
        <w:trPr>
          <w:trHeight w:val="198"/>
        </w:trPr>
        <w:tc>
          <w:tcPr>
            <w:tcW w:w="806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Net cash used in financing activities</w:t>
            </w:r>
          </w:p>
        </w:tc>
        <w:tc>
          <w:tcPr>
            <w:tcW w:w="3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(104,132)</w:t>
            </w:r>
          </w:p>
        </w:tc>
        <w:tc>
          <w:tcPr>
            <w:tcW w:w="12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(141,940)</w:t>
            </w:r>
          </w:p>
        </w:tc>
      </w:tr>
      <w:tr>
        <w:trPr>
          <w:trHeight w:val="87"/>
        </w:trPr>
        <w:tc>
          <w:tcPr>
            <w:tcW w:w="796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360" w:type="dxa"/>
            <w:vAlign w:val="bottom"/>
            <w:shd w:val="clear" w:color="auto" w:fill="CCEEFF"/>
          </w:tcPr>
          <w:p>
            <w:pPr>
              <w:spacing w:after="0"/>
              <w:rPr>
                <w:sz w:val="7"/>
                <w:szCs w:val="7"/>
                <w:color w:val="auto"/>
              </w:rPr>
            </w:pPr>
          </w:p>
        </w:tc>
        <w:tc>
          <w:tcPr>
            <w:tcW w:w="118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360" w:type="dxa"/>
            <w:vAlign w:val="bottom"/>
            <w:shd w:val="clear" w:color="auto" w:fill="CCEEFF"/>
          </w:tcPr>
          <w:p>
            <w:pPr>
              <w:spacing w:after="0"/>
              <w:rPr>
                <w:sz w:val="7"/>
                <w:szCs w:val="7"/>
                <w:color w:val="auto"/>
              </w:rPr>
            </w:pPr>
          </w:p>
        </w:tc>
        <w:tc>
          <w:tcPr>
            <w:tcW w:w="1160" w:type="dxa"/>
            <w:vAlign w:val="bottom"/>
            <w:shd w:val="clear" w:color="auto" w:fill="CCEEFF"/>
          </w:tcPr>
          <w:p>
            <w:pPr>
              <w:spacing w:after="0"/>
              <w:rPr>
                <w:sz w:val="7"/>
                <w:szCs w:val="7"/>
                <w:color w:val="auto"/>
              </w:rPr>
            </w:pPr>
          </w:p>
        </w:tc>
      </w:tr>
      <w:tr>
        <w:trPr>
          <w:trHeight w:val="205"/>
        </w:trPr>
        <w:tc>
          <w:tcPr>
            <w:tcW w:w="8060" w:type="dxa"/>
            <w:vAlign w:val="bottom"/>
            <w:gridSpan w:val="2"/>
          </w:tcPr>
          <w:p>
            <w:pPr>
              <w:ind w:left="20"/>
              <w:spacing w:after="0"/>
              <w:rPr>
                <w:sz w:val="20"/>
                <w:szCs w:val="20"/>
                <w:color w:val="auto"/>
              </w:rPr>
            </w:pPr>
            <w:r>
              <w:rPr>
                <w:rFonts w:ascii="Arial" w:cs="Arial" w:eastAsia="Arial" w:hAnsi="Arial"/>
                <w:sz w:val="16"/>
                <w:szCs w:val="16"/>
                <w:color w:val="auto"/>
              </w:rPr>
              <w:t>Net decrease in cash</w:t>
            </w:r>
          </w:p>
        </w:tc>
        <w:tc>
          <w:tcPr>
            <w:tcW w:w="36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(13,139)</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(3,639)</w:t>
            </w:r>
          </w:p>
        </w:tc>
      </w:tr>
      <w:tr>
        <w:trPr>
          <w:trHeight w:val="211"/>
        </w:trPr>
        <w:tc>
          <w:tcPr>
            <w:tcW w:w="80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Cash at beginning of year</w:t>
            </w:r>
          </w:p>
        </w:tc>
        <w:tc>
          <w:tcPr>
            <w:tcW w:w="3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81,240</w:t>
            </w:r>
          </w:p>
        </w:tc>
        <w:tc>
          <w:tcPr>
            <w:tcW w:w="12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81,491</w:t>
            </w:r>
          </w:p>
        </w:tc>
      </w:tr>
      <w:tr>
        <w:trPr>
          <w:trHeight w:val="201"/>
        </w:trPr>
        <w:tc>
          <w:tcPr>
            <w:tcW w:w="8060" w:type="dxa"/>
            <w:vAlign w:val="bottom"/>
            <w:gridSpan w:val="2"/>
          </w:tcPr>
          <w:p>
            <w:pPr>
              <w:ind w:left="20"/>
              <w:spacing w:after="0"/>
              <w:rPr>
                <w:sz w:val="20"/>
                <w:szCs w:val="20"/>
                <w:color w:val="auto"/>
              </w:rPr>
            </w:pPr>
            <w:r>
              <w:rPr>
                <w:rFonts w:ascii="Arial" w:cs="Arial" w:eastAsia="Arial" w:hAnsi="Arial"/>
                <w:sz w:val="16"/>
                <w:szCs w:val="16"/>
                <w:b w:val="1"/>
                <w:bCs w:val="1"/>
                <w:color w:val="auto"/>
              </w:rPr>
              <w:t>Cash at end of period</w:t>
            </w:r>
          </w:p>
        </w:tc>
        <w:tc>
          <w:tcPr>
            <w:tcW w:w="360" w:type="dxa"/>
            <w:vAlign w:val="bottom"/>
          </w:tcPr>
          <w:p>
            <w:pPr>
              <w:jc w:val="right"/>
              <w:ind w:right="182"/>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68,101</w:t>
            </w:r>
          </w:p>
        </w:tc>
        <w:tc>
          <w:tcPr>
            <w:tcW w:w="48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77,852</w:t>
            </w:r>
          </w:p>
        </w:tc>
      </w:tr>
      <w:tr>
        <w:trPr>
          <w:trHeight w:val="20"/>
        </w:trPr>
        <w:tc>
          <w:tcPr>
            <w:tcW w:w="79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r>
      <w:tr>
        <w:trPr>
          <w:trHeight w:val="70"/>
        </w:trPr>
        <w:tc>
          <w:tcPr>
            <w:tcW w:w="796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118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1160" w:type="dxa"/>
            <w:vAlign w:val="bottom"/>
            <w:shd w:val="clear" w:color="auto" w:fill="CCEEFF"/>
          </w:tcPr>
          <w:p>
            <w:pPr>
              <w:spacing w:after="0"/>
              <w:rPr>
                <w:sz w:val="6"/>
                <w:szCs w:val="6"/>
                <w:color w:val="auto"/>
              </w:rPr>
            </w:pPr>
          </w:p>
        </w:tc>
      </w:tr>
      <w:tr>
        <w:trPr>
          <w:trHeight w:val="205"/>
        </w:trPr>
        <w:tc>
          <w:tcPr>
            <w:tcW w:w="8060" w:type="dxa"/>
            <w:vAlign w:val="bottom"/>
            <w:gridSpan w:val="2"/>
          </w:tcPr>
          <w:p>
            <w:pPr>
              <w:ind w:left="20"/>
              <w:spacing w:after="0"/>
              <w:rPr>
                <w:sz w:val="20"/>
                <w:szCs w:val="20"/>
                <w:color w:val="auto"/>
              </w:rPr>
            </w:pPr>
            <w:r>
              <w:rPr>
                <w:rFonts w:ascii="Arial" w:cs="Arial" w:eastAsia="Arial" w:hAnsi="Arial"/>
                <w:sz w:val="16"/>
                <w:szCs w:val="16"/>
                <w:b w:val="1"/>
                <w:bCs w:val="1"/>
                <w:color w:val="auto"/>
              </w:rPr>
              <w:t>Supplemental Disclosure of Cash Flow Information</w:t>
            </w:r>
          </w:p>
        </w:tc>
        <w:tc>
          <w:tcPr>
            <w:tcW w:w="3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10"/>
        </w:trPr>
        <w:tc>
          <w:tcPr>
            <w:tcW w:w="80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Income tax payments</w:t>
            </w:r>
          </w:p>
        </w:tc>
        <w:tc>
          <w:tcPr>
            <w:tcW w:w="360" w:type="dxa"/>
            <w:vAlign w:val="bottom"/>
            <w:shd w:val="clear" w:color="auto" w:fill="CCEEFF"/>
          </w:tcPr>
          <w:p>
            <w:pPr>
              <w:jc w:val="right"/>
              <w:ind w:right="182"/>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(34,671)</w:t>
            </w:r>
          </w:p>
        </w:tc>
        <w:tc>
          <w:tcPr>
            <w:tcW w:w="48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(49,695)</w:t>
            </w:r>
          </w:p>
        </w:tc>
      </w:tr>
      <w:tr>
        <w:trPr>
          <w:trHeight w:val="205"/>
        </w:trPr>
        <w:tc>
          <w:tcPr>
            <w:tcW w:w="8060" w:type="dxa"/>
            <w:vAlign w:val="bottom"/>
            <w:gridSpan w:val="2"/>
          </w:tcPr>
          <w:p>
            <w:pPr>
              <w:ind w:left="20"/>
              <w:spacing w:after="0"/>
              <w:rPr>
                <w:sz w:val="20"/>
                <w:szCs w:val="20"/>
                <w:color w:val="auto"/>
              </w:rPr>
            </w:pPr>
            <w:r>
              <w:rPr>
                <w:rFonts w:ascii="Arial" w:cs="Arial" w:eastAsia="Arial" w:hAnsi="Arial"/>
                <w:sz w:val="16"/>
                <w:szCs w:val="16"/>
                <w:color w:val="auto"/>
              </w:rPr>
              <w:t>Interest payments</w:t>
            </w:r>
          </w:p>
        </w:tc>
        <w:tc>
          <w:tcPr>
            <w:tcW w:w="36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(13,520)</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(4,291)</w:t>
            </w:r>
          </w:p>
        </w:tc>
      </w:tr>
      <w:tr>
        <w:trPr>
          <w:trHeight w:val="107"/>
        </w:trPr>
        <w:tc>
          <w:tcPr>
            <w:tcW w:w="79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11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1160" w:type="dxa"/>
            <w:vAlign w:val="bottom"/>
            <w:shd w:val="clear" w:color="auto" w:fill="CCEEFF"/>
          </w:tcPr>
          <w:p>
            <w:pPr>
              <w:spacing w:after="0"/>
              <w:rPr>
                <w:sz w:val="9"/>
                <w:szCs w:val="9"/>
                <w:color w:val="auto"/>
              </w:rPr>
            </w:pPr>
          </w:p>
        </w:tc>
      </w:tr>
      <w:tr>
        <w:trPr>
          <w:trHeight w:val="205"/>
        </w:trPr>
        <w:tc>
          <w:tcPr>
            <w:tcW w:w="8060" w:type="dxa"/>
            <w:vAlign w:val="bottom"/>
            <w:gridSpan w:val="2"/>
          </w:tcPr>
          <w:p>
            <w:pPr>
              <w:ind w:left="20"/>
              <w:spacing w:after="0"/>
              <w:rPr>
                <w:sz w:val="20"/>
                <w:szCs w:val="20"/>
                <w:color w:val="auto"/>
              </w:rPr>
            </w:pPr>
            <w:r>
              <w:rPr>
                <w:rFonts w:ascii="Arial" w:cs="Arial" w:eastAsia="Arial" w:hAnsi="Arial"/>
                <w:sz w:val="16"/>
                <w:szCs w:val="16"/>
                <w:b w:val="1"/>
                <w:bCs w:val="1"/>
                <w:color w:val="auto"/>
              </w:rPr>
              <w:t>Noncash Transactions</w:t>
            </w:r>
          </w:p>
        </w:tc>
        <w:tc>
          <w:tcPr>
            <w:tcW w:w="3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10"/>
        </w:trPr>
        <w:tc>
          <w:tcPr>
            <w:tcW w:w="80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Lease liabilities arising from obtaining right-of-use assets</w:t>
            </w:r>
          </w:p>
        </w:tc>
        <w:tc>
          <w:tcPr>
            <w:tcW w:w="360" w:type="dxa"/>
            <w:vAlign w:val="bottom"/>
            <w:shd w:val="clear" w:color="auto" w:fill="CCEEFF"/>
          </w:tcPr>
          <w:p>
            <w:pPr>
              <w:jc w:val="right"/>
              <w:ind w:right="182"/>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17,293</w:t>
            </w:r>
          </w:p>
        </w:tc>
        <w:tc>
          <w:tcPr>
            <w:tcW w:w="48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10,096</w:t>
            </w:r>
          </w:p>
        </w:tc>
      </w:tr>
    </w:tbl>
    <w:p>
      <w:pPr>
        <w:spacing w:after="0" w:line="28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See accompanying notes to condensed consolidated financial statements.</w:t>
      </w: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68580</wp:posOffset>
            </wp:positionV>
            <wp:extent cx="7162800" cy="419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8" w:name="page9"/>
    <w:bookmarkEnd w:id="8"/>
    <w:p>
      <w:pPr>
        <w:spacing w:after="0"/>
        <w:rPr>
          <w:sz w:val="20"/>
          <w:szCs w:val="20"/>
          <w:color w:val="auto"/>
        </w:rPr>
      </w:pPr>
      <w:r>
        <w:rPr>
          <w:rFonts w:ascii="Arial" w:cs="Arial" w:eastAsia="Arial" w:hAnsi="Arial"/>
          <w:sz w:val="17"/>
          <w:szCs w:val="17"/>
          <w:u w:val="single" w:color="auto"/>
          <w:color w:val="0000FF"/>
        </w:rPr>
        <w:t>Table of Contents</w:t>
      </w:r>
    </w:p>
    <w:p>
      <w:pPr>
        <w:spacing w:after="0" w:line="25"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Essent Group Ltd. and Subsidiaries</w:t>
      </w:r>
    </w:p>
    <w:p>
      <w:pPr>
        <w:spacing w:after="0" w:line="201"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right="800" w:firstLine="623"/>
        <w:spacing w:after="0" w:line="285" w:lineRule="auto"/>
        <w:rPr>
          <w:sz w:val="20"/>
          <w:szCs w:val="20"/>
          <w:color w:val="auto"/>
        </w:rPr>
      </w:pPr>
      <w:r>
        <w:rPr>
          <w:rFonts w:ascii="Arial" w:cs="Arial" w:eastAsia="Arial" w:hAnsi="Arial"/>
          <w:sz w:val="17"/>
          <w:szCs w:val="17"/>
          <w:color w:val="auto"/>
        </w:rPr>
        <w:t>In these notes to condensed consolidated financial statements, “Essent”, “Company”, “we”, “us”, and “our” refer to Essent Group Ltd. and its subsidiaries, unless the context otherwise requires.</w:t>
      </w:r>
    </w:p>
    <w:p>
      <w:pPr>
        <w:spacing w:after="0" w:line="15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 Nature of Operations and Basis of Presentation</w:t>
      </w:r>
    </w:p>
    <w:p>
      <w:pPr>
        <w:spacing w:after="0" w:line="226" w:lineRule="exact"/>
        <w:rPr>
          <w:sz w:val="20"/>
          <w:szCs w:val="20"/>
          <w:color w:val="auto"/>
        </w:rPr>
      </w:pPr>
    </w:p>
    <w:p>
      <w:pPr>
        <w:ind w:right="280" w:firstLine="623"/>
        <w:spacing w:after="0" w:line="265" w:lineRule="auto"/>
        <w:rPr>
          <w:sz w:val="20"/>
          <w:szCs w:val="20"/>
          <w:color w:val="auto"/>
        </w:rPr>
      </w:pPr>
      <w:r>
        <w:rPr>
          <w:rFonts w:ascii="Arial" w:cs="Arial" w:eastAsia="Arial" w:hAnsi="Arial"/>
          <w:sz w:val="17"/>
          <w:szCs w:val="17"/>
          <w:color w:val="auto"/>
        </w:rPr>
        <w:t>Essent Group Ltd. (“Essent Group”) is a Bermuda-based holding company, which, through its wholly-owned subsidiaries, offers private mortgage insurance and reinsurance for mortgages secured by residential properties located in the United States. Mortgage insurance facilitates the sale of low down payment (generally less than 20%) mortgage loans into the secondary mortgage market, primarily to two government-sponsored enterprises (“GSEs”), Fannie Mae and Freddie Mac.</w:t>
      </w:r>
    </w:p>
    <w:p>
      <w:pPr>
        <w:spacing w:after="0" w:line="201" w:lineRule="exact"/>
        <w:rPr>
          <w:sz w:val="20"/>
          <w:szCs w:val="20"/>
          <w:color w:val="auto"/>
        </w:rPr>
      </w:pPr>
    </w:p>
    <w:p>
      <w:pPr>
        <w:ind w:right="60" w:firstLine="623"/>
        <w:spacing w:after="0" w:line="294" w:lineRule="auto"/>
        <w:rPr>
          <w:sz w:val="20"/>
          <w:szCs w:val="20"/>
          <w:color w:val="auto"/>
        </w:rPr>
      </w:pPr>
      <w:r>
        <w:rPr>
          <w:rFonts w:ascii="Arial" w:cs="Arial" w:eastAsia="Arial" w:hAnsi="Arial"/>
          <w:sz w:val="16"/>
          <w:szCs w:val="16"/>
          <w:color w:val="auto"/>
        </w:rPr>
        <w:t>The primary mortgage insurance operations are conducted through Essent Guaranty, Inc. (“Essent Guaranty”), which is domiciled in the state of Pennsylvania. Essent Guaranty is headquartered in Radnor, Pennsylvania and maintains an operations center in Winston-Salem, North Carolina. Essent Guaranty is approved as a qualified mortgage insurer by the GSEs and is licensed to write mortgage insurance in all 50 states and the District of Columbia.</w:t>
      </w:r>
    </w:p>
    <w:p>
      <w:pPr>
        <w:spacing w:after="0" w:line="181" w:lineRule="exact"/>
        <w:rPr>
          <w:sz w:val="20"/>
          <w:szCs w:val="20"/>
          <w:color w:val="auto"/>
        </w:rPr>
      </w:pPr>
    </w:p>
    <w:p>
      <w:pPr>
        <w:ind w:firstLine="623"/>
        <w:spacing w:after="0" w:line="298" w:lineRule="auto"/>
        <w:rPr>
          <w:sz w:val="20"/>
          <w:szCs w:val="20"/>
          <w:color w:val="auto"/>
        </w:rPr>
      </w:pPr>
      <w:r>
        <w:rPr>
          <w:rFonts w:ascii="Arial" w:cs="Arial" w:eastAsia="Arial" w:hAnsi="Arial"/>
          <w:sz w:val="15"/>
          <w:szCs w:val="15"/>
          <w:color w:val="auto"/>
        </w:rPr>
        <w:t>Essent Guaranty reinsures new insurance written ("NIW") to Essent Reinsurance Ltd. (“Essent Re”), an affiliated Bermuda domiciled Class 3A Insurer licensed pursuant to Section 4 of the Bermuda Insurance Act 1978 that provides insurance and reinsurance coverage of mortgage credit risk. In April 2021, Essent Guaranty and Essent Re agreed to increase the quota share reinsurance coverage provided by Essent Re from 25% to 35% effective January 1, 2021. The quota share reinsurance coverage provided for Essent Guaranty’s NIW prior to January 1, 2021 will continue to be 25%, the quota share percentage in effect at the time NIW was first ceded. Essent Re also provides insurance and reinsurance to Freddie Mac and Fannie Mae. In 2016, Essent Re formed Essent Agency (Bermuda) Ltd., a wholly-owned subsidiary, which provides underwriting consulting services to third-party reinsurers. In accordance with certain state law requirements, Essent Guaranty also reinsures that portion of the risk that is in excess of 25% of the mortgage balance with respect to any loan insured prior to April 1, 2019, after consideration of other reinsurance, to Essent Guaranty of PA, Inc. (“Essent PA”), an affiliate domiciled in the state of Pennsylvania.</w:t>
      </w:r>
    </w:p>
    <w:p>
      <w:pPr>
        <w:spacing w:after="0" w:line="182" w:lineRule="exact"/>
        <w:rPr>
          <w:sz w:val="20"/>
          <w:szCs w:val="20"/>
          <w:color w:val="auto"/>
        </w:rPr>
      </w:pPr>
    </w:p>
    <w:p>
      <w:pPr>
        <w:ind w:right="80" w:firstLine="623"/>
        <w:spacing w:after="0" w:line="265" w:lineRule="auto"/>
        <w:rPr>
          <w:sz w:val="20"/>
          <w:szCs w:val="20"/>
          <w:color w:val="auto"/>
        </w:rPr>
      </w:pPr>
      <w:r>
        <w:rPr>
          <w:rFonts w:ascii="Arial" w:cs="Arial" w:eastAsia="Arial" w:hAnsi="Arial"/>
          <w:sz w:val="17"/>
          <w:szCs w:val="17"/>
          <w:color w:val="auto"/>
        </w:rPr>
        <w:t>In addition to offering mortgage insurance, we provide contract underwriting services on a limited basis through CUW Solutions, LLC ("CUW Solutions"), a Delaware limited liability company, that provides, among other things, mortgage contract underwriting services to lenders and mortgage insurance underwriting services to affiliates. CUW Solutions is headquartered in Radnor, Pennsylvania and it maintains an operations center in Winston-Salem, North Carolina that is subleased from Essent Guaranty.</w:t>
      </w:r>
    </w:p>
    <w:p>
      <w:pPr>
        <w:spacing w:after="0" w:line="201" w:lineRule="exact"/>
        <w:rPr>
          <w:sz w:val="20"/>
          <w:szCs w:val="20"/>
          <w:color w:val="auto"/>
        </w:rPr>
      </w:pPr>
    </w:p>
    <w:p>
      <w:pPr>
        <w:ind w:right="40" w:firstLine="623"/>
        <w:spacing w:after="0" w:line="276" w:lineRule="auto"/>
        <w:rPr>
          <w:sz w:val="20"/>
          <w:szCs w:val="20"/>
          <w:color w:val="auto"/>
        </w:rPr>
      </w:pPr>
      <w:r>
        <w:rPr>
          <w:rFonts w:ascii="Arial" w:cs="Arial" w:eastAsia="Arial" w:hAnsi="Arial"/>
          <w:sz w:val="16"/>
          <w:szCs w:val="16"/>
          <w:color w:val="auto"/>
        </w:rPr>
        <w:t>We have prepared the condensed consolidated financial statements included herein pursuant to the rules and regulations of the Securities and Exchange Commission (“SEC”). We have condensed or omitted certain information and footnote disclosures normally included in consolidated financial statements prepared in accordance with U.S. generally accepted accounting principles (“GAAP”) pursuant to such rules and regulations. In the opinion of management, the statements include all adjustments (which include normal recurring adjustments) required for a fair statement of financial position, results of operations and cash flows for the interim periods presented. These statements should be read in conjunction with the consolidated financial statements and notes thereto, including Note 1 and Note 2 to the consolidated financial statements, included in our Annual Report on Form 10-K for the year ended December 31, 2022, which discloses the principles of consolidation and a summary of significant accounting policies. The results of operations for the interim periods are not necessarily indicative of the results for the full year. We evaluated the need to recognize or disclose events that occurred subsequent to June 30, 2023 prior to the issuance of these condensed consolidated financial statements.</w:t>
      </w:r>
    </w:p>
    <w:p>
      <w:pPr>
        <w:spacing w:after="0" w:line="198" w:lineRule="exact"/>
        <w:rPr>
          <w:sz w:val="20"/>
          <w:szCs w:val="20"/>
          <w:color w:val="auto"/>
        </w:rPr>
      </w:pPr>
    </w:p>
    <w:p>
      <w:pPr>
        <w:ind w:right="60" w:firstLine="623"/>
        <w:spacing w:after="0" w:line="260" w:lineRule="auto"/>
        <w:rPr>
          <w:sz w:val="20"/>
          <w:szCs w:val="20"/>
          <w:color w:val="auto"/>
        </w:rPr>
      </w:pPr>
      <w:r>
        <w:rPr>
          <w:rFonts w:ascii="Arial" w:cs="Arial" w:eastAsia="Arial" w:hAnsi="Arial"/>
          <w:sz w:val="17"/>
          <w:szCs w:val="17"/>
          <w:color w:val="auto"/>
        </w:rPr>
        <w:t>Effective July 1, 2023, Essent US Holdings acquired all of the issued and outstanding shares of capital stock of Agents National Title Holding Company (“Agents National Title”) and the issued and outstanding membership interests of Boston National Holdings LLC (“Boston National Title”) for $92.6 million in cash. The purchase price is subject to further customary post-closing adjustments as described in a securities purchase agreement among the parties to the transaction. The acquisition provides complementary products and services to our mortgage insurance business, adding a team of seasoned title professionals to Essent and providing a platform to leverage our capital, lender network and operational expertise in a well-established, adjacent real estate sector. Our initial accounting for this business combination is currently underway. We expect to record and disclose the preliminary purchase price allocation in the third quarter of 2023.</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68580</wp:posOffset>
            </wp:positionV>
            <wp:extent cx="7162800" cy="419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9" w:name="page10"/>
    <w:bookmarkEnd w:id="9"/>
    <w:p>
      <w:pPr>
        <w:spacing w:after="0"/>
        <w:rPr>
          <w:sz w:val="20"/>
          <w:szCs w:val="20"/>
          <w:color w:val="auto"/>
        </w:rPr>
      </w:pPr>
      <w:r>
        <w:rPr>
          <w:rFonts w:ascii="Arial" w:cs="Arial" w:eastAsia="Arial" w:hAnsi="Arial"/>
          <w:sz w:val="17"/>
          <w:szCs w:val="17"/>
          <w:u w:val="single" w:color="auto"/>
          <w:color w:val="0000FF"/>
        </w:rPr>
        <w:t>Table of Contents</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Essent Group Ltd. and Subsidiaries</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Condensed Consolidated Financial Statements (Unaudited)</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2. Recently Issued Accounting Standards</w:t>
      </w:r>
    </w:p>
    <w:p>
      <w:pPr>
        <w:spacing w:after="0" w:line="25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Accounting Standards Not Yet Adopted</w:t>
      </w:r>
    </w:p>
    <w:p>
      <w:pPr>
        <w:spacing w:after="0" w:line="246" w:lineRule="exact"/>
        <w:rPr>
          <w:sz w:val="20"/>
          <w:szCs w:val="20"/>
          <w:color w:val="auto"/>
        </w:rPr>
      </w:pPr>
    </w:p>
    <w:p>
      <w:pPr>
        <w:ind w:firstLine="173"/>
        <w:spacing w:after="0" w:line="259" w:lineRule="auto"/>
        <w:rPr>
          <w:sz w:val="20"/>
          <w:szCs w:val="20"/>
          <w:color w:val="auto"/>
        </w:rPr>
      </w:pPr>
      <w:r>
        <w:rPr>
          <w:rFonts w:ascii="Arial" w:cs="Arial" w:eastAsia="Arial" w:hAnsi="Arial"/>
          <w:sz w:val="17"/>
          <w:szCs w:val="17"/>
          <w:color w:val="auto"/>
        </w:rPr>
        <w:t xml:space="preserve">In March 2020, the Financial Accounting Standards Board ("FASB") issued ASU No. 2020-04, </w:t>
      </w:r>
      <w:r>
        <w:rPr>
          <w:rFonts w:ascii="Arial" w:cs="Arial" w:eastAsia="Arial" w:hAnsi="Arial"/>
          <w:sz w:val="17"/>
          <w:szCs w:val="17"/>
          <w:i w:val="1"/>
          <w:iCs w:val="1"/>
          <w:color w:val="auto"/>
        </w:rPr>
        <w:t>Reference Rate Reform (Topic 848): Facilitation of the Effects</w:t>
      </w:r>
      <w:r>
        <w:rPr>
          <w:rFonts w:ascii="Arial" w:cs="Arial" w:eastAsia="Arial" w:hAnsi="Arial"/>
          <w:sz w:val="17"/>
          <w:szCs w:val="17"/>
          <w:color w:val="auto"/>
        </w:rPr>
        <w:t xml:space="preserve"> </w:t>
      </w:r>
      <w:r>
        <w:rPr>
          <w:rFonts w:ascii="Arial" w:cs="Arial" w:eastAsia="Arial" w:hAnsi="Arial"/>
          <w:sz w:val="17"/>
          <w:szCs w:val="17"/>
          <w:i w:val="1"/>
          <w:iCs w:val="1"/>
          <w:color w:val="auto"/>
        </w:rPr>
        <w:t>of Reference Rate Reform on Financial Reporting</w:t>
      </w:r>
      <w:r>
        <w:rPr>
          <w:rFonts w:ascii="Arial" w:cs="Arial" w:eastAsia="Arial" w:hAnsi="Arial"/>
          <w:sz w:val="17"/>
          <w:szCs w:val="17"/>
          <w:color w:val="auto"/>
        </w:rPr>
        <w:t>. The amendments in this update provide temporary optional guidance to ease the potential burden in accounting</w:t>
      </w:r>
      <w:r>
        <w:rPr>
          <w:rFonts w:ascii="Arial" w:cs="Arial" w:eastAsia="Arial" w:hAnsi="Arial"/>
          <w:sz w:val="17"/>
          <w:szCs w:val="17"/>
          <w:i w:val="1"/>
          <w:iCs w:val="1"/>
          <w:color w:val="auto"/>
        </w:rPr>
        <w:t xml:space="preserve"> </w:t>
      </w:r>
      <w:r>
        <w:rPr>
          <w:rFonts w:ascii="Arial" w:cs="Arial" w:eastAsia="Arial" w:hAnsi="Arial"/>
          <w:sz w:val="17"/>
          <w:szCs w:val="17"/>
          <w:color w:val="auto"/>
        </w:rPr>
        <w:t>for (or recognizing the effects of) reference rate reform. It provides optional expedients and exceptions for applying generally accepted accounting principles to contract, hedging relationships and other transactions affected by reference rate reform if certain criteria are met. This standard may be elected and applied prospectively over time from March 12, 2020 through December 31, 2024, as amended by ASU 2022-06, as reference rate reform activities occur. The adoption of, and future elections under, this ASU are not expected to have a material impact on our consolidated financial statements as the ASU will ease, if warranted, the requirements for accounting for the future effects of the rate reform. We continue to monitor the impact the discontinuance of LIBOR or another reference rate will have on our contracts and other transactions.</w:t>
      </w:r>
    </w:p>
    <w:p>
      <w:pPr>
        <w:spacing w:after="0" w:line="207" w:lineRule="exact"/>
        <w:rPr>
          <w:sz w:val="20"/>
          <w:szCs w:val="20"/>
          <w:color w:val="auto"/>
        </w:rPr>
      </w:pPr>
    </w:p>
    <w:p>
      <w:pPr>
        <w:ind w:right="100" w:firstLine="623"/>
        <w:spacing w:after="0" w:line="276" w:lineRule="auto"/>
        <w:rPr>
          <w:sz w:val="20"/>
          <w:szCs w:val="20"/>
          <w:color w:val="auto"/>
        </w:rPr>
      </w:pPr>
      <w:r>
        <w:rPr>
          <w:rFonts w:ascii="Arial" w:cs="Arial" w:eastAsia="Arial" w:hAnsi="Arial"/>
          <w:sz w:val="16"/>
          <w:szCs w:val="16"/>
          <w:color w:val="auto"/>
        </w:rPr>
        <w:t xml:space="preserve">In June 2022, the FASB issued ASU No. 2022-03, </w:t>
      </w:r>
      <w:r>
        <w:rPr>
          <w:rFonts w:ascii="Arial" w:cs="Arial" w:eastAsia="Arial" w:hAnsi="Arial"/>
          <w:sz w:val="16"/>
          <w:szCs w:val="16"/>
          <w:i w:val="1"/>
          <w:iCs w:val="1"/>
          <w:color w:val="auto"/>
        </w:rPr>
        <w:t>Fair Value Measurement (Topic 820): Fair Value Measurement of Equity Securities Subject to</w:t>
      </w:r>
      <w:r>
        <w:rPr>
          <w:rFonts w:ascii="Arial" w:cs="Arial" w:eastAsia="Arial" w:hAnsi="Arial"/>
          <w:sz w:val="16"/>
          <w:szCs w:val="16"/>
          <w:color w:val="auto"/>
        </w:rPr>
        <w:t xml:space="preserve"> </w:t>
      </w:r>
      <w:r>
        <w:rPr>
          <w:rFonts w:ascii="Arial" w:cs="Arial" w:eastAsia="Arial" w:hAnsi="Arial"/>
          <w:sz w:val="16"/>
          <w:szCs w:val="16"/>
          <w:i w:val="1"/>
          <w:iCs w:val="1"/>
          <w:color w:val="auto"/>
        </w:rPr>
        <w:t>Contractual Sale Restrictions</w:t>
      </w:r>
      <w:r>
        <w:rPr>
          <w:rFonts w:ascii="Arial" w:cs="Arial" w:eastAsia="Arial" w:hAnsi="Arial"/>
          <w:sz w:val="16"/>
          <w:szCs w:val="16"/>
          <w:color w:val="auto"/>
        </w:rPr>
        <w:t>. This update clarifies the guidance in ASC 820 on the fair value measurement of an equity security that is subject to a contractual</w:t>
      </w:r>
      <w:r>
        <w:rPr>
          <w:rFonts w:ascii="Arial" w:cs="Arial" w:eastAsia="Arial" w:hAnsi="Arial"/>
          <w:sz w:val="16"/>
          <w:szCs w:val="16"/>
          <w:i w:val="1"/>
          <w:iCs w:val="1"/>
          <w:color w:val="auto"/>
        </w:rPr>
        <w:t xml:space="preserve"> </w:t>
      </w:r>
      <w:r>
        <w:rPr>
          <w:rFonts w:ascii="Arial" w:cs="Arial" w:eastAsia="Arial" w:hAnsi="Arial"/>
          <w:sz w:val="16"/>
          <w:szCs w:val="16"/>
          <w:color w:val="auto"/>
        </w:rPr>
        <w:t>sale restriction and requires specific disclosures related to such an equity security. The update clarifies that a contractual sale restriction prohibiting the sale of an equity security is a characteristic of the reporting entity holding the equity security and is not included in the equity security's unit of account. Accordingly, an entity should not consider the contractual sale restriction when measuring the equity security’s fair value. The update also requires specific disclosures related to equity securities that are subject to contractual sale restrictions, including (1) the fair value of such equity securities reflected in the balance sheet, (2) the nature and remaining duration of the corresponding restrictions, and (3) any circumstances that could cause a lapse in the restrictions. The ASU is effective for fiscal years beginning after December 15, 2023, and interim periods within those fiscal years, with early adoption permitted. The adoption of this ASU is not expected to have a material effect on the Company's consolidated operating results or financial position.</w:t>
      </w:r>
    </w:p>
    <w:p>
      <w:pPr>
        <w:spacing w:after="0" w:line="19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3. Investments</w:t>
      </w:r>
    </w:p>
    <w:p>
      <w:pPr>
        <w:spacing w:after="0" w:line="226" w:lineRule="exact"/>
        <w:rPr>
          <w:sz w:val="20"/>
          <w:szCs w:val="20"/>
          <w:color w:val="auto"/>
        </w:rPr>
      </w:pPr>
    </w:p>
    <w:p>
      <w:pPr>
        <w:ind w:left="620"/>
        <w:spacing w:after="0"/>
        <w:rPr>
          <w:sz w:val="20"/>
          <w:szCs w:val="20"/>
          <w:color w:val="auto"/>
        </w:rPr>
      </w:pPr>
      <w:r>
        <w:rPr>
          <w:rFonts w:ascii="Arial" w:cs="Arial" w:eastAsia="Arial" w:hAnsi="Arial"/>
          <w:sz w:val="17"/>
          <w:szCs w:val="17"/>
          <w:color w:val="auto"/>
        </w:rPr>
        <w:t>Investments available for sale consist of the following:</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7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June 30, 2023 (In thousands)</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20" w:type="dxa"/>
            <w:vAlign w:val="bottom"/>
          </w:tcPr>
          <w:p>
            <w:pPr>
              <w:jc w:val="center"/>
              <w:ind w:right="196"/>
              <w:spacing w:after="0"/>
              <w:rPr>
                <w:sz w:val="20"/>
                <w:szCs w:val="20"/>
                <w:color w:val="auto"/>
              </w:rPr>
            </w:pPr>
            <w:r>
              <w:rPr>
                <w:rFonts w:ascii="Arial" w:cs="Arial" w:eastAsia="Arial" w:hAnsi="Arial"/>
                <w:sz w:val="14"/>
                <w:szCs w:val="14"/>
                <w:b w:val="1"/>
                <w:bCs w:val="1"/>
                <w:color w:val="auto"/>
                <w:w w:val="90"/>
              </w:rPr>
              <w:t>Amortized</w:t>
            </w: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40" w:type="dxa"/>
            <w:vAlign w:val="bottom"/>
          </w:tcPr>
          <w:p>
            <w:pPr>
              <w:jc w:val="right"/>
              <w:ind w:right="336"/>
              <w:spacing w:after="0"/>
              <w:rPr>
                <w:sz w:val="20"/>
                <w:szCs w:val="20"/>
                <w:color w:val="auto"/>
              </w:rPr>
            </w:pPr>
            <w:r>
              <w:rPr>
                <w:rFonts w:ascii="Arial" w:cs="Arial" w:eastAsia="Arial" w:hAnsi="Arial"/>
                <w:sz w:val="14"/>
                <w:szCs w:val="14"/>
                <w:b w:val="1"/>
                <w:bCs w:val="1"/>
                <w:color w:val="auto"/>
              </w:rPr>
              <w:t>Unrealized</w:t>
            </w: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40" w:type="dxa"/>
            <w:vAlign w:val="bottom"/>
          </w:tcPr>
          <w:p>
            <w:pPr>
              <w:jc w:val="right"/>
              <w:ind w:right="356"/>
              <w:spacing w:after="0"/>
              <w:rPr>
                <w:sz w:val="20"/>
                <w:szCs w:val="20"/>
                <w:color w:val="auto"/>
              </w:rPr>
            </w:pPr>
            <w:r>
              <w:rPr>
                <w:rFonts w:ascii="Arial" w:cs="Arial" w:eastAsia="Arial" w:hAnsi="Arial"/>
                <w:sz w:val="14"/>
                <w:szCs w:val="14"/>
                <w:b w:val="1"/>
                <w:bCs w:val="1"/>
                <w:color w:val="auto"/>
              </w:rPr>
              <w:t>Unrealized</w:t>
            </w: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80" w:type="dxa"/>
            <w:vAlign w:val="bottom"/>
            <w:gridSpan w:val="2"/>
          </w:tcPr>
          <w:p>
            <w:pPr>
              <w:ind w:left="280"/>
              <w:spacing w:after="0"/>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47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center"/>
              <w:ind w:right="196"/>
              <w:spacing w:after="0"/>
              <w:rPr>
                <w:sz w:val="20"/>
                <w:szCs w:val="20"/>
                <w:color w:val="auto"/>
              </w:rPr>
            </w:pPr>
            <w:r>
              <w:rPr>
                <w:rFonts w:ascii="Arial" w:cs="Arial" w:eastAsia="Arial" w:hAnsi="Arial"/>
                <w:sz w:val="14"/>
                <w:szCs w:val="14"/>
                <w:b w:val="1"/>
                <w:bCs w:val="1"/>
                <w:color w:val="auto"/>
                <w:w w:val="83"/>
              </w:rPr>
              <w:t>Cost</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496"/>
              <w:spacing w:after="0"/>
              <w:rPr>
                <w:sz w:val="20"/>
                <w:szCs w:val="20"/>
                <w:color w:val="auto"/>
              </w:rPr>
            </w:pPr>
            <w:r>
              <w:rPr>
                <w:rFonts w:ascii="Arial" w:cs="Arial" w:eastAsia="Arial" w:hAnsi="Arial"/>
                <w:sz w:val="14"/>
                <w:szCs w:val="14"/>
                <w:b w:val="1"/>
                <w:bCs w:val="1"/>
                <w:color w:val="auto"/>
              </w:rPr>
              <w:t>Gains</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476"/>
              <w:spacing w:after="0"/>
              <w:rPr>
                <w:sz w:val="20"/>
                <w:szCs w:val="20"/>
                <w:color w:val="auto"/>
              </w:rPr>
            </w:pPr>
            <w:r>
              <w:rPr>
                <w:rFonts w:ascii="Arial" w:cs="Arial" w:eastAsia="Arial" w:hAnsi="Arial"/>
                <w:sz w:val="14"/>
                <w:szCs w:val="14"/>
                <w:b w:val="1"/>
                <w:bCs w:val="1"/>
                <w:color w:val="auto"/>
              </w:rPr>
              <w:t>Losses</w:t>
            </w:r>
          </w:p>
        </w:tc>
        <w:tc>
          <w:tcPr>
            <w:tcW w:w="1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96"/>
              <w:spacing w:after="0"/>
              <w:rPr>
                <w:sz w:val="20"/>
                <w:szCs w:val="20"/>
                <w:color w:val="auto"/>
              </w:rPr>
            </w:pPr>
            <w:r>
              <w:rPr>
                <w:rFonts w:ascii="Arial" w:cs="Arial" w:eastAsia="Arial" w:hAnsi="Arial"/>
                <w:sz w:val="14"/>
                <w:szCs w:val="14"/>
                <w:b w:val="1"/>
                <w:bCs w:val="1"/>
                <w:color w:val="auto"/>
              </w:rPr>
              <w:t>Value</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4740" w:type="dxa"/>
            <w:vAlign w:val="bottom"/>
            <w:shd w:val="clear" w:color="auto" w:fill="CCEEFF"/>
          </w:tcPr>
          <w:p>
            <w:pPr>
              <w:ind w:left="20"/>
              <w:spacing w:after="0"/>
              <w:rPr>
                <w:sz w:val="20"/>
                <w:szCs w:val="20"/>
                <w:color w:val="auto"/>
              </w:rPr>
            </w:pPr>
            <w:r>
              <w:rPr>
                <w:rFonts w:ascii="Arial" w:cs="Arial" w:eastAsia="Arial" w:hAnsi="Arial"/>
                <w:sz w:val="17"/>
                <w:szCs w:val="17"/>
                <w:color w:val="auto"/>
              </w:rPr>
              <w:t>U.S. Treasury securities</w:t>
            </w:r>
          </w:p>
        </w:tc>
        <w:tc>
          <w:tcPr>
            <w:tcW w:w="3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670,537</w:t>
            </w:r>
          </w:p>
        </w:tc>
        <w:tc>
          <w:tcPr>
            <w:tcW w:w="3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503</w:t>
            </w:r>
          </w:p>
        </w:tc>
        <w:tc>
          <w:tcPr>
            <w:tcW w:w="3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(27,454)</w:t>
            </w:r>
          </w:p>
        </w:tc>
        <w:tc>
          <w:tcPr>
            <w:tcW w:w="46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643,586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4740" w:type="dxa"/>
            <w:vAlign w:val="bottom"/>
          </w:tcPr>
          <w:p>
            <w:pPr>
              <w:ind w:left="20"/>
              <w:spacing w:after="0"/>
              <w:rPr>
                <w:sz w:val="20"/>
                <w:szCs w:val="20"/>
                <w:color w:val="auto"/>
              </w:rPr>
            </w:pPr>
            <w:r>
              <w:rPr>
                <w:rFonts w:ascii="Arial" w:cs="Arial" w:eastAsia="Arial" w:hAnsi="Arial"/>
                <w:sz w:val="17"/>
                <w:szCs w:val="17"/>
                <w:color w:val="auto"/>
              </w:rPr>
              <w:t>U.S. agency securities</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9,698</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(27)</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9,671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4740" w:type="dxa"/>
            <w:vAlign w:val="bottom"/>
            <w:shd w:val="clear" w:color="auto" w:fill="CCEEFF"/>
          </w:tcPr>
          <w:p>
            <w:pPr>
              <w:ind w:left="20"/>
              <w:spacing w:after="0"/>
              <w:rPr>
                <w:sz w:val="20"/>
                <w:szCs w:val="20"/>
                <w:color w:val="auto"/>
              </w:rPr>
            </w:pPr>
            <w:r>
              <w:rPr>
                <w:rFonts w:ascii="Arial" w:cs="Arial" w:eastAsia="Arial" w:hAnsi="Arial"/>
                <w:sz w:val="17"/>
                <w:szCs w:val="17"/>
                <w:color w:val="auto"/>
              </w:rPr>
              <w:t>U.S. agency mortgage-backed securities</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923,927</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347</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(114,166)</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810,108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4740" w:type="dxa"/>
            <w:vAlign w:val="bottom"/>
          </w:tcPr>
          <w:p>
            <w:pPr>
              <w:ind w:left="20"/>
              <w:spacing w:after="0"/>
              <w:rPr>
                <w:sz w:val="20"/>
                <w:szCs w:val="20"/>
                <w:color w:val="auto"/>
              </w:rPr>
            </w:pPr>
            <w:r>
              <w:rPr>
                <w:rFonts w:ascii="Arial" w:cs="Arial" w:eastAsia="Arial" w:hAnsi="Arial"/>
                <w:sz w:val="17"/>
                <w:szCs w:val="17"/>
                <w:color w:val="auto"/>
              </w:rPr>
              <w:t>Municipal debt securities (1)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646,058</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4,025</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(49,921)</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600,162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740" w:type="dxa"/>
            <w:vAlign w:val="bottom"/>
            <w:shd w:val="clear" w:color="auto" w:fill="CCEEFF"/>
          </w:tcPr>
          <w:p>
            <w:pPr>
              <w:ind w:left="20"/>
              <w:spacing w:after="0"/>
              <w:rPr>
                <w:sz w:val="20"/>
                <w:szCs w:val="20"/>
                <w:color w:val="auto"/>
              </w:rPr>
            </w:pPr>
            <w:r>
              <w:rPr>
                <w:rFonts w:ascii="Arial" w:cs="Arial" w:eastAsia="Arial" w:hAnsi="Arial"/>
                <w:sz w:val="17"/>
                <w:szCs w:val="17"/>
                <w:color w:val="auto"/>
              </w:rPr>
              <w:t>Non-U.S. government securities</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57,445</w:t>
            </w: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(6,892)</w:t>
            </w:r>
          </w:p>
        </w:tc>
        <w:tc>
          <w:tcPr>
            <w:tcW w:w="1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50,553</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4740" w:type="dxa"/>
            <w:vAlign w:val="bottom"/>
          </w:tcPr>
          <w:p>
            <w:pPr>
              <w:ind w:left="20"/>
              <w:spacing w:after="0"/>
              <w:rPr>
                <w:sz w:val="20"/>
                <w:szCs w:val="20"/>
                <w:color w:val="auto"/>
              </w:rPr>
            </w:pPr>
            <w:r>
              <w:rPr>
                <w:rFonts w:ascii="Arial" w:cs="Arial" w:eastAsia="Arial" w:hAnsi="Arial"/>
                <w:sz w:val="17"/>
                <w:szCs w:val="17"/>
                <w:color w:val="auto"/>
              </w:rPr>
              <w:t>Corporate debt securities (2)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1,473,003</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1,420</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(125,202)</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1,349,221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474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Residential and commercial mortgage securities</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575,624</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147</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(65,421)</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510,350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4740" w:type="dxa"/>
            <w:vAlign w:val="bottom"/>
          </w:tcPr>
          <w:p>
            <w:pPr>
              <w:ind w:left="20"/>
              <w:spacing w:after="0"/>
              <w:rPr>
                <w:sz w:val="20"/>
                <w:szCs w:val="20"/>
                <w:color w:val="auto"/>
              </w:rPr>
            </w:pPr>
            <w:r>
              <w:rPr>
                <w:rFonts w:ascii="Arial" w:cs="Arial" w:eastAsia="Arial" w:hAnsi="Arial"/>
                <w:sz w:val="17"/>
                <w:szCs w:val="17"/>
                <w:color w:val="auto"/>
              </w:rPr>
              <w:t>Asset-backed securities</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668,462</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118</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(33,670)</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634,910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4740" w:type="dxa"/>
            <w:vAlign w:val="bottom"/>
            <w:shd w:val="clear" w:color="auto" w:fill="CCEEFF"/>
          </w:tcPr>
          <w:p>
            <w:pPr>
              <w:ind w:left="20"/>
              <w:spacing w:after="0"/>
              <w:rPr>
                <w:sz w:val="20"/>
                <w:szCs w:val="20"/>
                <w:color w:val="auto"/>
              </w:rPr>
            </w:pPr>
            <w:r>
              <w:rPr>
                <w:rFonts w:ascii="Arial" w:cs="Arial" w:eastAsia="Arial" w:hAnsi="Arial"/>
                <w:sz w:val="17"/>
                <w:szCs w:val="17"/>
                <w:color w:val="auto"/>
              </w:rPr>
              <w:t>Money market funds</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413,533</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413,533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740" w:type="dxa"/>
            <w:vAlign w:val="bottom"/>
          </w:tcPr>
          <w:p>
            <w:pPr>
              <w:ind w:left="20"/>
              <w:spacing w:after="0"/>
              <w:rPr>
                <w:sz w:val="20"/>
                <w:szCs w:val="20"/>
                <w:color w:val="auto"/>
              </w:rPr>
            </w:pPr>
            <w:r>
              <w:rPr>
                <w:rFonts w:ascii="Arial" w:cs="Arial" w:eastAsia="Arial" w:hAnsi="Arial"/>
                <w:sz w:val="17"/>
                <w:szCs w:val="17"/>
                <w:color w:val="auto"/>
              </w:rPr>
              <w:t>Total investments available for sale</w:t>
            </w:r>
          </w:p>
        </w:tc>
        <w:tc>
          <w:tcPr>
            <w:tcW w:w="38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220" w:type="dxa"/>
            <w:vAlign w:val="bottom"/>
          </w:tcPr>
          <w:p>
            <w:pPr>
              <w:jc w:val="right"/>
              <w:spacing w:after="0"/>
              <w:rPr>
                <w:sz w:val="20"/>
                <w:szCs w:val="20"/>
                <w:color w:val="auto"/>
              </w:rPr>
            </w:pPr>
            <w:r>
              <w:rPr>
                <w:rFonts w:ascii="Arial" w:cs="Arial" w:eastAsia="Arial" w:hAnsi="Arial"/>
                <w:sz w:val="17"/>
                <w:szCs w:val="17"/>
                <w:color w:val="auto"/>
              </w:rPr>
              <w:t>5,438,287</w:t>
            </w:r>
          </w:p>
        </w:tc>
        <w:tc>
          <w:tcPr>
            <w:tcW w:w="3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240" w:type="dxa"/>
            <w:vAlign w:val="bottom"/>
          </w:tcPr>
          <w:p>
            <w:pPr>
              <w:jc w:val="right"/>
              <w:spacing w:after="0"/>
              <w:rPr>
                <w:sz w:val="20"/>
                <w:szCs w:val="20"/>
                <w:color w:val="auto"/>
              </w:rPr>
            </w:pPr>
            <w:r>
              <w:rPr>
                <w:rFonts w:ascii="Arial" w:cs="Arial" w:eastAsia="Arial" w:hAnsi="Arial"/>
                <w:sz w:val="17"/>
                <w:szCs w:val="17"/>
                <w:color w:val="auto"/>
              </w:rPr>
              <w:t>6,560</w:t>
            </w:r>
          </w:p>
        </w:tc>
        <w:tc>
          <w:tcPr>
            <w:tcW w:w="3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240" w:type="dxa"/>
            <w:vAlign w:val="bottom"/>
          </w:tcPr>
          <w:p>
            <w:pPr>
              <w:jc w:val="right"/>
              <w:spacing w:after="0"/>
              <w:rPr>
                <w:sz w:val="20"/>
                <w:szCs w:val="20"/>
                <w:color w:val="auto"/>
              </w:rPr>
            </w:pPr>
            <w:r>
              <w:rPr>
                <w:rFonts w:ascii="Arial" w:cs="Arial" w:eastAsia="Arial" w:hAnsi="Arial"/>
                <w:sz w:val="17"/>
                <w:szCs w:val="17"/>
                <w:color w:val="auto"/>
              </w:rPr>
              <w:t>(422,753)</w:t>
            </w:r>
          </w:p>
        </w:tc>
        <w:tc>
          <w:tcPr>
            <w:tcW w:w="46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1160" w:type="dxa"/>
            <w:vAlign w:val="bottom"/>
          </w:tcPr>
          <w:p>
            <w:pPr>
              <w:jc w:val="right"/>
              <w:spacing w:after="0"/>
              <w:rPr>
                <w:sz w:val="20"/>
                <w:szCs w:val="20"/>
                <w:color w:val="auto"/>
              </w:rPr>
            </w:pPr>
            <w:r>
              <w:rPr>
                <w:rFonts w:ascii="Arial" w:cs="Arial" w:eastAsia="Arial" w:hAnsi="Arial"/>
                <w:sz w:val="17"/>
                <w:szCs w:val="17"/>
                <w:color w:val="auto"/>
              </w:rPr>
              <w:t>5,022,094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62"/>
        </w:trPr>
        <w:tc>
          <w:tcPr>
            <w:tcW w:w="20" w:type="dxa"/>
            <w:vAlign w:val="bottom"/>
          </w:tcPr>
          <w:p>
            <w:pPr>
              <w:spacing w:after="0"/>
              <w:rPr>
                <w:sz w:val="24"/>
                <w:szCs w:val="24"/>
                <w:color w:val="auto"/>
              </w:rPr>
            </w:pPr>
          </w:p>
        </w:tc>
        <w:tc>
          <w:tcPr>
            <w:tcW w:w="4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20" w:type="dxa"/>
            <w:vAlign w:val="bottom"/>
          </w:tcPr>
          <w:p>
            <w:pPr>
              <w:jc w:val="center"/>
              <w:ind w:right="176"/>
              <w:spacing w:after="0"/>
              <w:rPr>
                <w:sz w:val="20"/>
                <w:szCs w:val="20"/>
                <w:color w:val="auto"/>
              </w:rPr>
            </w:pPr>
            <w:r>
              <w:rPr>
                <w:rFonts w:ascii="Arial" w:cs="Arial" w:eastAsia="Arial" w:hAnsi="Arial"/>
                <w:sz w:val="17"/>
                <w:szCs w:val="17"/>
                <w:color w:val="auto"/>
                <w:w w:val="84"/>
              </w:rPr>
              <w:t>6</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tcBorders>
              <w:bottom w:val="single" w:sz="8" w:color="9A9A9A"/>
            </w:tcBorders>
          </w:tcPr>
          <w:p>
            <w:pPr>
              <w:spacing w:after="0"/>
              <w:rPr>
                <w:sz w:val="9"/>
                <w:szCs w:val="9"/>
                <w:color w:val="auto"/>
              </w:rPr>
            </w:pPr>
          </w:p>
        </w:tc>
        <w:tc>
          <w:tcPr>
            <w:tcW w:w="47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122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124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124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340" w:type="dxa"/>
            <w:vAlign w:val="bottom"/>
            <w:tcBorders>
              <w:bottom w:val="single" w:sz="8" w:color="9A9A9A"/>
            </w:tcBorders>
          </w:tcPr>
          <w:p>
            <w:pPr>
              <w:spacing w:after="0"/>
              <w:rPr>
                <w:sz w:val="9"/>
                <w:szCs w:val="9"/>
                <w:color w:val="auto"/>
              </w:rPr>
            </w:pPr>
          </w:p>
        </w:tc>
        <w:tc>
          <w:tcPr>
            <w:tcW w:w="116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7118985</wp:posOffset>
            </wp:positionH>
            <wp:positionV relativeFrom="paragraph">
              <wp:posOffset>-28575</wp:posOffset>
            </wp:positionV>
            <wp:extent cx="33655" cy="419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-28575</wp:posOffset>
            </wp:positionV>
            <wp:extent cx="33655" cy="419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0" w:name="page11"/>
    <w:bookmarkEnd w:id="10"/>
    <w:p>
      <w:pPr>
        <w:spacing w:after="0"/>
        <w:rPr>
          <w:sz w:val="20"/>
          <w:szCs w:val="20"/>
          <w:color w:val="auto"/>
        </w:rPr>
      </w:pPr>
      <w:r>
        <w:rPr>
          <w:rFonts w:ascii="Arial" w:cs="Arial" w:eastAsia="Arial" w:hAnsi="Arial"/>
          <w:sz w:val="17"/>
          <w:szCs w:val="17"/>
          <w:u w:val="single" w:color="auto"/>
          <w:color w:val="0000FF"/>
        </w:rPr>
        <w:t>Table of Contents</w:t>
      </w:r>
    </w:p>
    <w:p>
      <w:pPr>
        <w:spacing w:after="0" w:line="25"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Essent Group Ltd. and Subsidiaries</w:t>
      </w: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Notes to Condensed Consolidated Financial Statements (Unaudited)</w:t>
      </w:r>
    </w:p>
    <w:p>
      <w:pPr>
        <w:spacing w:after="0" w:line="200" w:lineRule="exact"/>
        <w:rPr>
          <w:sz w:val="20"/>
          <w:szCs w:val="20"/>
          <w:color w:val="auto"/>
        </w:rPr>
      </w:pPr>
    </w:p>
    <w:p>
      <w:pPr>
        <w:spacing w:after="0" w:line="244"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47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December 31, 2022 (In thousands)</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20" w:type="dxa"/>
            <w:vAlign w:val="bottom"/>
          </w:tcPr>
          <w:p>
            <w:pPr>
              <w:jc w:val="right"/>
              <w:ind w:right="356"/>
              <w:spacing w:after="0"/>
              <w:rPr>
                <w:sz w:val="20"/>
                <w:szCs w:val="20"/>
                <w:color w:val="auto"/>
              </w:rPr>
            </w:pPr>
            <w:r>
              <w:rPr>
                <w:rFonts w:ascii="Arial" w:cs="Arial" w:eastAsia="Arial" w:hAnsi="Arial"/>
                <w:sz w:val="14"/>
                <w:szCs w:val="14"/>
                <w:b w:val="1"/>
                <w:bCs w:val="1"/>
                <w:color w:val="auto"/>
              </w:rPr>
              <w:t>Amortized</w:t>
            </w: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40" w:type="dxa"/>
            <w:vAlign w:val="bottom"/>
          </w:tcPr>
          <w:p>
            <w:pPr>
              <w:jc w:val="right"/>
              <w:ind w:right="336"/>
              <w:spacing w:after="0"/>
              <w:rPr>
                <w:sz w:val="20"/>
                <w:szCs w:val="20"/>
                <w:color w:val="auto"/>
              </w:rPr>
            </w:pPr>
            <w:r>
              <w:rPr>
                <w:rFonts w:ascii="Arial" w:cs="Arial" w:eastAsia="Arial" w:hAnsi="Arial"/>
                <w:sz w:val="14"/>
                <w:szCs w:val="14"/>
                <w:b w:val="1"/>
                <w:bCs w:val="1"/>
                <w:color w:val="auto"/>
              </w:rPr>
              <w:t>Unrealized</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Unrealized</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85"/>
        </w:trPr>
        <w:tc>
          <w:tcPr>
            <w:tcW w:w="4740" w:type="dxa"/>
            <w:vAlign w:val="bottom"/>
            <w:tcBorders>
              <w:bottom w:val="single" w:sz="8" w:color="auto"/>
            </w:tcBorders>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36"/>
              <w:spacing w:after="0"/>
              <w:rPr>
                <w:sz w:val="20"/>
                <w:szCs w:val="20"/>
                <w:color w:val="auto"/>
              </w:rPr>
            </w:pPr>
            <w:r>
              <w:rPr>
                <w:rFonts w:ascii="Arial" w:cs="Arial" w:eastAsia="Arial" w:hAnsi="Arial"/>
                <w:sz w:val="14"/>
                <w:szCs w:val="14"/>
                <w:b w:val="1"/>
                <w:bCs w:val="1"/>
                <w:color w:val="auto"/>
              </w:rPr>
              <w:t>Cost</w:t>
            </w:r>
          </w:p>
        </w:tc>
        <w:tc>
          <w:tcPr>
            <w:tcW w:w="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496"/>
              <w:spacing w:after="0"/>
              <w:rPr>
                <w:sz w:val="20"/>
                <w:szCs w:val="20"/>
                <w:color w:val="auto"/>
              </w:rPr>
            </w:pPr>
            <w:r>
              <w:rPr>
                <w:rFonts w:ascii="Arial" w:cs="Arial" w:eastAsia="Arial" w:hAnsi="Arial"/>
                <w:sz w:val="14"/>
                <w:szCs w:val="14"/>
                <w:b w:val="1"/>
                <w:bCs w:val="1"/>
                <w:color w:val="auto"/>
              </w:rPr>
              <w:t>Gains</w:t>
            </w: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83"/>
              <w:spacing w:after="0"/>
              <w:rPr>
                <w:sz w:val="20"/>
                <w:szCs w:val="20"/>
                <w:color w:val="auto"/>
              </w:rPr>
            </w:pPr>
            <w:r>
              <w:rPr>
                <w:rFonts w:ascii="Arial" w:cs="Arial" w:eastAsia="Arial" w:hAnsi="Arial"/>
                <w:sz w:val="14"/>
                <w:szCs w:val="14"/>
                <w:b w:val="1"/>
                <w:bCs w:val="1"/>
                <w:color w:val="auto"/>
              </w:rPr>
              <w:t>Losses</w:t>
            </w:r>
          </w:p>
        </w:tc>
        <w:tc>
          <w:tcPr>
            <w:tcW w:w="12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2"/>
          </w:tcPr>
          <w:p>
            <w:pPr>
              <w:jc w:val="center"/>
              <w:ind w:right="140"/>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233"/>
        </w:trPr>
        <w:tc>
          <w:tcPr>
            <w:tcW w:w="474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U.S. Treasury securities</w:t>
            </w:r>
          </w:p>
        </w:tc>
        <w:tc>
          <w:tcPr>
            <w:tcW w:w="380" w:type="dxa"/>
            <w:vAlign w:val="bottom"/>
            <w:gridSpan w:val="2"/>
            <w:shd w:val="clear" w:color="auto" w:fill="CCEEFF"/>
          </w:tcPr>
          <w:p>
            <w:pPr>
              <w:jc w:val="right"/>
              <w:ind w:right="93"/>
              <w:spacing w:after="0"/>
              <w:rPr>
                <w:sz w:val="20"/>
                <w:szCs w:val="20"/>
                <w:color w:val="auto"/>
              </w:rPr>
            </w:pPr>
            <w:r>
              <w:rPr>
                <w:rFonts w:ascii="Arial" w:cs="Arial" w:eastAsia="Arial" w:hAnsi="Arial"/>
                <w:sz w:val="17"/>
                <w:szCs w:val="17"/>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584,173</w:t>
            </w:r>
          </w:p>
        </w:tc>
        <w:tc>
          <w:tcPr>
            <w:tcW w:w="380" w:type="dxa"/>
            <w:vAlign w:val="bottom"/>
            <w:gridSpan w:val="2"/>
            <w:shd w:val="clear" w:color="auto" w:fill="CCEEFF"/>
          </w:tcPr>
          <w:p>
            <w:pPr>
              <w:jc w:val="right"/>
              <w:ind w:right="73"/>
              <w:spacing w:after="0"/>
              <w:rPr>
                <w:sz w:val="20"/>
                <w:szCs w:val="20"/>
                <w:color w:val="auto"/>
              </w:rPr>
            </w:pPr>
            <w:r>
              <w:rPr>
                <w:rFonts w:ascii="Arial" w:cs="Arial" w:eastAsia="Arial" w:hAnsi="Arial"/>
                <w:sz w:val="17"/>
                <w:szCs w:val="17"/>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341</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(28,076)</w:t>
            </w:r>
          </w:p>
        </w:tc>
        <w:tc>
          <w:tcPr>
            <w:tcW w:w="120" w:type="dxa"/>
            <w:vAlign w:val="bottom"/>
            <w:shd w:val="clear" w:color="auto" w:fill="CCEEFF"/>
          </w:tcPr>
          <w:p>
            <w:pPr>
              <w:spacing w:after="0"/>
              <w:rPr>
                <w:sz w:val="20"/>
                <w:szCs w:val="20"/>
                <w:color w:val="auto"/>
              </w:rPr>
            </w:pPr>
          </w:p>
        </w:tc>
        <w:tc>
          <w:tcPr>
            <w:tcW w:w="1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w w:val="84"/>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556,438</w:t>
            </w:r>
          </w:p>
        </w:tc>
        <w:tc>
          <w:tcPr>
            <w:tcW w:w="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1"/>
        </w:trPr>
        <w:tc>
          <w:tcPr>
            <w:tcW w:w="4740" w:type="dxa"/>
            <w:vAlign w:val="bottom"/>
            <w:gridSpan w:val="2"/>
          </w:tcPr>
          <w:p>
            <w:pPr>
              <w:ind w:left="20"/>
              <w:spacing w:after="0"/>
              <w:rPr>
                <w:sz w:val="20"/>
                <w:szCs w:val="20"/>
                <w:color w:val="auto"/>
              </w:rPr>
            </w:pPr>
            <w:r>
              <w:rPr>
                <w:rFonts w:ascii="Arial" w:cs="Arial" w:eastAsia="Arial" w:hAnsi="Arial"/>
                <w:sz w:val="17"/>
                <w:szCs w:val="17"/>
                <w:color w:val="auto"/>
              </w:rPr>
              <w:t>U.S. agency securities</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49,059</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7</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gridSpan w:val="2"/>
          </w:tcPr>
          <w:p>
            <w:pPr>
              <w:jc w:val="right"/>
              <w:spacing w:after="0"/>
              <w:rPr>
                <w:sz w:val="20"/>
                <w:szCs w:val="20"/>
                <w:color w:val="auto"/>
              </w:rPr>
            </w:pPr>
            <w:r>
              <w:rPr>
                <w:rFonts w:ascii="Arial" w:cs="Arial" w:eastAsia="Arial" w:hAnsi="Arial"/>
                <w:sz w:val="17"/>
                <w:szCs w:val="17"/>
                <w:color w:val="auto"/>
              </w:rPr>
              <w:t>(8)</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49,058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474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U.S. agency mortgage-backed securities</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898,675</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258</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(115,190)</w:t>
            </w: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783,743</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740" w:type="dxa"/>
            <w:vAlign w:val="bottom"/>
            <w:gridSpan w:val="2"/>
          </w:tcPr>
          <w:p>
            <w:pPr>
              <w:ind w:left="20"/>
              <w:spacing w:after="0"/>
              <w:rPr>
                <w:sz w:val="20"/>
                <w:szCs w:val="20"/>
                <w:color w:val="auto"/>
              </w:rPr>
            </w:pPr>
            <w:r>
              <w:rPr>
                <w:rFonts w:ascii="Arial" w:cs="Arial" w:eastAsia="Arial" w:hAnsi="Arial"/>
                <w:sz w:val="17"/>
                <w:szCs w:val="17"/>
                <w:color w:val="auto"/>
              </w:rPr>
              <w:t>Municipal debt securities (1)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661,934</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2,010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gridSpan w:val="2"/>
          </w:tcPr>
          <w:p>
            <w:pPr>
              <w:jc w:val="right"/>
              <w:spacing w:after="0"/>
              <w:rPr>
                <w:sz w:val="20"/>
                <w:szCs w:val="20"/>
                <w:color w:val="auto"/>
              </w:rPr>
            </w:pPr>
            <w:r>
              <w:rPr>
                <w:rFonts w:ascii="Arial" w:cs="Arial" w:eastAsia="Arial" w:hAnsi="Arial"/>
                <w:sz w:val="17"/>
                <w:szCs w:val="17"/>
                <w:color w:val="auto"/>
              </w:rPr>
              <w:t>(61,254)</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602,690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74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Non-U.S. government securities</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69,651</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(7,252)</w:t>
            </w: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62,399</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4740" w:type="dxa"/>
            <w:vAlign w:val="bottom"/>
            <w:gridSpan w:val="2"/>
          </w:tcPr>
          <w:p>
            <w:pPr>
              <w:ind w:left="20"/>
              <w:spacing w:after="0"/>
              <w:rPr>
                <w:sz w:val="20"/>
                <w:szCs w:val="20"/>
                <w:color w:val="auto"/>
              </w:rPr>
            </w:pPr>
            <w:r>
              <w:rPr>
                <w:rFonts w:ascii="Arial" w:cs="Arial" w:eastAsia="Arial" w:hAnsi="Arial"/>
                <w:sz w:val="17"/>
                <w:szCs w:val="17"/>
                <w:color w:val="auto"/>
              </w:rPr>
              <w:t>Corporate debt securities (2)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1,546,513</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1,195</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gridSpan w:val="2"/>
          </w:tcPr>
          <w:p>
            <w:pPr>
              <w:jc w:val="right"/>
              <w:spacing w:after="0"/>
              <w:rPr>
                <w:sz w:val="20"/>
                <w:szCs w:val="20"/>
                <w:color w:val="auto"/>
              </w:rPr>
            </w:pPr>
            <w:r>
              <w:rPr>
                <w:rFonts w:ascii="Arial" w:cs="Arial" w:eastAsia="Arial" w:hAnsi="Arial"/>
                <w:sz w:val="17"/>
                <w:szCs w:val="17"/>
                <w:color w:val="auto"/>
              </w:rPr>
              <w:t>(133,387)</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1,414,321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474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Residential and commercial mortgage securities</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577,915</w:t>
            </w: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390</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(66,481)</w:t>
            </w:r>
          </w:p>
        </w:tc>
        <w:tc>
          <w:tcPr>
            <w:tcW w:w="1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511,824</w:t>
            </w:r>
          </w:p>
        </w:tc>
        <w:tc>
          <w:tcPr>
            <w:tcW w:w="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1"/>
        </w:trPr>
        <w:tc>
          <w:tcPr>
            <w:tcW w:w="4740" w:type="dxa"/>
            <w:vAlign w:val="bottom"/>
            <w:gridSpan w:val="2"/>
          </w:tcPr>
          <w:p>
            <w:pPr>
              <w:ind w:left="20"/>
              <w:spacing w:after="0"/>
              <w:rPr>
                <w:sz w:val="20"/>
                <w:szCs w:val="20"/>
                <w:color w:val="auto"/>
              </w:rPr>
            </w:pPr>
            <w:r>
              <w:rPr>
                <w:rFonts w:ascii="Arial" w:cs="Arial" w:eastAsia="Arial" w:hAnsi="Arial"/>
                <w:sz w:val="17"/>
                <w:szCs w:val="17"/>
                <w:color w:val="auto"/>
              </w:rPr>
              <w:t>Asset-backed securities</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660,345</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72</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gridSpan w:val="2"/>
          </w:tcPr>
          <w:p>
            <w:pPr>
              <w:jc w:val="right"/>
              <w:spacing w:after="0"/>
              <w:rPr>
                <w:sz w:val="20"/>
                <w:szCs w:val="20"/>
                <w:color w:val="auto"/>
              </w:rPr>
            </w:pPr>
            <w:r>
              <w:rPr>
                <w:rFonts w:ascii="Arial" w:cs="Arial" w:eastAsia="Arial" w:hAnsi="Arial"/>
                <w:sz w:val="17"/>
                <w:szCs w:val="17"/>
                <w:color w:val="auto"/>
              </w:rPr>
              <w:t>(35,856)</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624,561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47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Money market funds</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136,591</w:t>
            </w:r>
          </w:p>
        </w:tc>
        <w:tc>
          <w:tcPr>
            <w:tcW w:w="1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7"/>
                <w:szCs w:val="17"/>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136,591</w:t>
            </w:r>
          </w:p>
        </w:tc>
        <w:tc>
          <w:tcPr>
            <w:tcW w:w="2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4740" w:type="dxa"/>
            <w:vAlign w:val="bottom"/>
            <w:gridSpan w:val="2"/>
          </w:tcPr>
          <w:p>
            <w:pPr>
              <w:ind w:left="20"/>
              <w:spacing w:after="0"/>
              <w:rPr>
                <w:sz w:val="20"/>
                <w:szCs w:val="20"/>
                <w:color w:val="auto"/>
              </w:rPr>
            </w:pPr>
            <w:r>
              <w:rPr>
                <w:rFonts w:ascii="Arial" w:cs="Arial" w:eastAsia="Arial" w:hAnsi="Arial"/>
                <w:sz w:val="17"/>
                <w:szCs w:val="17"/>
                <w:color w:val="auto"/>
              </w:rPr>
              <w:t>Total investments available for sale</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93"/>
              <w:spacing w:after="0"/>
              <w:rPr>
                <w:sz w:val="20"/>
                <w:szCs w:val="20"/>
                <w:color w:val="auto"/>
              </w:rPr>
            </w:pPr>
            <w:r>
              <w:rPr>
                <w:rFonts w:ascii="Arial" w:cs="Arial" w:eastAsia="Arial" w:hAnsi="Arial"/>
                <w:sz w:val="17"/>
                <w:szCs w:val="17"/>
                <w:color w:val="auto"/>
                <w:w w:val="84"/>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5,184,856</w:t>
            </w:r>
          </w:p>
        </w:tc>
        <w:tc>
          <w:tcPr>
            <w:tcW w:w="120" w:type="dxa"/>
            <w:vAlign w:val="bottom"/>
          </w:tcPr>
          <w:p>
            <w:pPr>
              <w:spacing w:after="0"/>
              <w:rPr>
                <w:sz w:val="19"/>
                <w:szCs w:val="19"/>
                <w:color w:val="auto"/>
              </w:rPr>
            </w:pPr>
          </w:p>
        </w:tc>
        <w:tc>
          <w:tcPr>
            <w:tcW w:w="260" w:type="dxa"/>
            <w:vAlign w:val="bottom"/>
            <w:tcBorders>
              <w:bottom w:val="single" w:sz="8" w:color="auto"/>
            </w:tcBorders>
          </w:tcPr>
          <w:p>
            <w:pPr>
              <w:jc w:val="right"/>
              <w:ind w:right="73"/>
              <w:spacing w:after="0"/>
              <w:rPr>
                <w:sz w:val="20"/>
                <w:szCs w:val="20"/>
                <w:color w:val="auto"/>
              </w:rPr>
            </w:pPr>
            <w:r>
              <w:rPr>
                <w:rFonts w:ascii="Arial" w:cs="Arial" w:eastAsia="Arial" w:hAnsi="Arial"/>
                <w:sz w:val="17"/>
                <w:szCs w:val="17"/>
                <w:color w:val="auto"/>
                <w:w w:val="84"/>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4,273</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32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color w:val="auto"/>
              </w:rPr>
              <w:t>(447,504)</w:t>
            </w:r>
          </w:p>
        </w:tc>
        <w:tc>
          <w:tcPr>
            <w:tcW w:w="120" w:type="dxa"/>
            <w:vAlign w:val="bottom"/>
          </w:tcPr>
          <w:p>
            <w:pPr>
              <w:spacing w:after="0"/>
              <w:rPr>
                <w:sz w:val="19"/>
                <w:szCs w:val="19"/>
                <w:color w:val="auto"/>
              </w:rPr>
            </w:pPr>
          </w:p>
        </w:tc>
        <w:tc>
          <w:tcPr>
            <w:tcW w:w="14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7"/>
                <w:szCs w:val="17"/>
                <w:color w:val="auto"/>
                <w:w w:val="84"/>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4,741,625</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5"/>
        </w:trPr>
        <w:tc>
          <w:tcPr>
            <w:tcW w:w="340" w:type="dxa"/>
            <w:vAlign w:val="bottom"/>
          </w:tcPr>
          <w:p>
            <w:pPr>
              <w:spacing w:after="0"/>
              <w:rPr>
                <w:sz w:val="2"/>
                <w:szCs w:val="2"/>
                <w:color w:val="auto"/>
              </w:rPr>
            </w:pPr>
          </w:p>
        </w:tc>
        <w:tc>
          <w:tcPr>
            <w:tcW w:w="4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500"/>
        </w:trPr>
        <w:tc>
          <w:tcPr>
            <w:tcW w:w="340" w:type="dxa"/>
            <w:vAlign w:val="bottom"/>
          </w:tcPr>
          <w:p>
            <w:pPr>
              <w:spacing w:after="0"/>
              <w:rPr>
                <w:sz w:val="24"/>
                <w:szCs w:val="24"/>
                <w:color w:val="auto"/>
              </w:rPr>
            </w:pPr>
          </w:p>
        </w:tc>
        <w:tc>
          <w:tcPr>
            <w:tcW w:w="4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gridSpan w:val="2"/>
          </w:tcPr>
          <w:p>
            <w:pPr>
              <w:jc w:val="center"/>
              <w:spacing w:after="0"/>
              <w:rPr>
                <w:sz w:val="20"/>
                <w:szCs w:val="20"/>
                <w:color w:val="auto"/>
              </w:rPr>
            </w:pPr>
            <w:r>
              <w:rPr>
                <w:rFonts w:ascii="Arial" w:cs="Arial" w:eastAsia="Arial" w:hAnsi="Arial"/>
                <w:sz w:val="14"/>
                <w:szCs w:val="14"/>
                <w:b w:val="1"/>
                <w:bCs w:val="1"/>
                <w:color w:val="auto"/>
                <w:w w:val="85"/>
              </w:rPr>
              <w:t>June 30,</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87"/>
              </w:rPr>
              <w:t>December 31,</w:t>
            </w:r>
          </w:p>
        </w:tc>
        <w:tc>
          <w:tcPr>
            <w:tcW w:w="0" w:type="dxa"/>
            <w:vAlign w:val="bottom"/>
          </w:tcPr>
          <w:p>
            <w:pPr>
              <w:spacing w:after="0"/>
              <w:rPr>
                <w:sz w:val="1"/>
                <w:szCs w:val="1"/>
                <w:color w:val="auto"/>
              </w:rPr>
            </w:pPr>
          </w:p>
        </w:tc>
      </w:tr>
      <w:tr>
        <w:trPr>
          <w:trHeight w:val="195"/>
        </w:trPr>
        <w:tc>
          <w:tcPr>
            <w:tcW w:w="340" w:type="dxa"/>
            <w:vAlign w:val="bottom"/>
          </w:tcPr>
          <w:p>
            <w:pPr>
              <w:spacing w:after="0"/>
              <w:rPr>
                <w:sz w:val="16"/>
                <w:szCs w:val="16"/>
                <w:color w:val="auto"/>
              </w:rPr>
            </w:pPr>
          </w:p>
        </w:tc>
        <w:tc>
          <w:tcPr>
            <w:tcW w:w="4400" w:type="dxa"/>
            <w:vAlign w:val="bottom"/>
          </w:tcPr>
          <w:p>
            <w:pPr>
              <w:ind w:left="20"/>
              <w:spacing w:after="0"/>
              <w:rPr>
                <w:sz w:val="20"/>
                <w:szCs w:val="20"/>
                <w:color w:val="auto"/>
              </w:rPr>
            </w:pPr>
            <w:r>
              <w:rPr>
                <w:rFonts w:ascii="Arial" w:cs="Arial" w:eastAsia="Arial" w:hAnsi="Arial"/>
                <w:sz w:val="14"/>
                <w:szCs w:val="14"/>
                <w:b w:val="1"/>
                <w:bCs w:val="1"/>
                <w:color w:val="auto"/>
                <w:w w:val="96"/>
              </w:rPr>
              <w:t>(1) The following table summarizes municipal debt securities as of :</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20" w:type="dxa"/>
            <w:vAlign w:val="bottom"/>
            <w:gridSpan w:val="2"/>
          </w:tcPr>
          <w:p>
            <w:pPr>
              <w:jc w:val="center"/>
              <w:ind w:left="154"/>
              <w:spacing w:after="0"/>
              <w:rPr>
                <w:sz w:val="20"/>
                <w:szCs w:val="20"/>
                <w:color w:val="auto"/>
              </w:rPr>
            </w:pPr>
            <w:r>
              <w:rPr>
                <w:rFonts w:ascii="Arial" w:cs="Arial" w:eastAsia="Arial" w:hAnsi="Arial"/>
                <w:sz w:val="14"/>
                <w:szCs w:val="14"/>
                <w:b w:val="1"/>
                <w:bCs w:val="1"/>
                <w:color w:val="auto"/>
                <w:w w:val="89"/>
              </w:rPr>
              <w:t>2023</w:t>
            </w: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tcPr>
          <w:p>
            <w:pPr>
              <w:jc w:val="center"/>
              <w:spacing w:after="0"/>
              <w:rPr>
                <w:sz w:val="20"/>
                <w:szCs w:val="20"/>
                <w:color w:val="auto"/>
              </w:rPr>
            </w:pPr>
            <w:r>
              <w:rPr>
                <w:rFonts w:ascii="Arial" w:cs="Arial" w:eastAsia="Arial" w:hAnsi="Arial"/>
                <w:sz w:val="14"/>
                <w:szCs w:val="14"/>
                <w:b w:val="1"/>
                <w:bCs w:val="1"/>
                <w:color w:val="auto"/>
                <w:w w:val="89"/>
              </w:rPr>
              <w:t>2022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340" w:type="dxa"/>
            <w:vAlign w:val="bottom"/>
          </w:tcPr>
          <w:p>
            <w:pPr>
              <w:spacing w:after="0"/>
              <w:rPr>
                <w:sz w:val="2"/>
                <w:szCs w:val="2"/>
                <w:color w:val="auto"/>
              </w:rPr>
            </w:pPr>
          </w:p>
        </w:tc>
        <w:tc>
          <w:tcPr>
            <w:tcW w:w="4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4"/>
        </w:trPr>
        <w:tc>
          <w:tcPr>
            <w:tcW w:w="340" w:type="dxa"/>
            <w:vAlign w:val="bottom"/>
          </w:tcPr>
          <w:p>
            <w:pPr>
              <w:spacing w:after="0"/>
              <w:rPr>
                <w:sz w:val="18"/>
                <w:szCs w:val="18"/>
                <w:color w:val="auto"/>
              </w:rPr>
            </w:pPr>
          </w:p>
        </w:tc>
        <w:tc>
          <w:tcPr>
            <w:tcW w:w="4400" w:type="dxa"/>
            <w:vAlign w:val="bottom"/>
            <w:shd w:val="clear" w:color="auto" w:fill="CCEEFF"/>
          </w:tcPr>
          <w:p>
            <w:pPr>
              <w:ind w:left="20"/>
              <w:spacing w:after="0"/>
              <w:rPr>
                <w:sz w:val="20"/>
                <w:szCs w:val="20"/>
                <w:color w:val="auto"/>
              </w:rPr>
            </w:pPr>
            <w:r>
              <w:rPr>
                <w:rFonts w:ascii="Arial" w:cs="Arial" w:eastAsia="Arial" w:hAnsi="Arial"/>
                <w:sz w:val="17"/>
                <w:szCs w:val="17"/>
                <w:color w:val="auto"/>
              </w:rPr>
              <w:t>Special revenue bonds</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4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81.2 %</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79.0 %</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340" w:type="dxa"/>
            <w:vAlign w:val="bottom"/>
          </w:tcPr>
          <w:p>
            <w:pPr>
              <w:spacing w:after="0"/>
              <w:rPr>
                <w:sz w:val="19"/>
                <w:szCs w:val="19"/>
                <w:color w:val="auto"/>
              </w:rPr>
            </w:pPr>
          </w:p>
        </w:tc>
        <w:tc>
          <w:tcPr>
            <w:tcW w:w="4400" w:type="dxa"/>
            <w:vAlign w:val="bottom"/>
          </w:tcPr>
          <w:p>
            <w:pPr>
              <w:ind w:left="20"/>
              <w:spacing w:after="0"/>
              <w:rPr>
                <w:sz w:val="20"/>
                <w:szCs w:val="20"/>
                <w:color w:val="auto"/>
              </w:rPr>
            </w:pPr>
            <w:r>
              <w:rPr>
                <w:rFonts w:ascii="Arial" w:cs="Arial" w:eastAsia="Arial" w:hAnsi="Arial"/>
                <w:sz w:val="17"/>
                <w:szCs w:val="17"/>
                <w:color w:val="auto"/>
              </w:rPr>
              <w:t>General obligation bonds</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gridSpan w:val="2"/>
          </w:tcPr>
          <w:p>
            <w:pPr>
              <w:jc w:val="right"/>
              <w:spacing w:after="0"/>
              <w:rPr>
                <w:sz w:val="20"/>
                <w:szCs w:val="20"/>
                <w:color w:val="auto"/>
              </w:rPr>
            </w:pPr>
            <w:r>
              <w:rPr>
                <w:rFonts w:ascii="Arial" w:cs="Arial" w:eastAsia="Arial" w:hAnsi="Arial"/>
                <w:sz w:val="17"/>
                <w:szCs w:val="17"/>
                <w:color w:val="auto"/>
              </w:rPr>
              <w:t>18.8</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Pr>
          <w:p>
            <w:pPr>
              <w:jc w:val="right"/>
              <w:ind w:right="117"/>
              <w:spacing w:after="0"/>
              <w:rPr>
                <w:sz w:val="20"/>
                <w:szCs w:val="20"/>
                <w:color w:val="auto"/>
              </w:rPr>
            </w:pPr>
            <w:r>
              <w:rPr>
                <w:rFonts w:ascii="Arial" w:cs="Arial" w:eastAsia="Arial" w:hAnsi="Arial"/>
                <w:sz w:val="17"/>
                <w:szCs w:val="17"/>
                <w:color w:val="auto"/>
              </w:rPr>
              <w:t>20.9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340" w:type="dxa"/>
            <w:vAlign w:val="bottom"/>
          </w:tcPr>
          <w:p>
            <w:pPr>
              <w:spacing w:after="0"/>
              <w:rPr>
                <w:sz w:val="19"/>
                <w:szCs w:val="19"/>
                <w:color w:val="auto"/>
              </w:rPr>
            </w:pPr>
          </w:p>
        </w:tc>
        <w:tc>
          <w:tcPr>
            <w:tcW w:w="4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Tax allocation bonds</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340" w:type="dxa"/>
            <w:vAlign w:val="bottom"/>
            <w:tcBorders>
              <w:bottom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ind w:right="117"/>
              <w:spacing w:after="0"/>
              <w:rPr>
                <w:sz w:val="20"/>
                <w:szCs w:val="20"/>
                <w:color w:val="auto"/>
              </w:rPr>
            </w:pPr>
            <w:r>
              <w:rPr>
                <w:rFonts w:ascii="Arial" w:cs="Arial" w:eastAsia="Arial" w:hAnsi="Arial"/>
                <w:sz w:val="17"/>
                <w:szCs w:val="17"/>
                <w:color w:val="auto"/>
              </w:rPr>
              <w:t>0.1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340" w:type="dxa"/>
            <w:vAlign w:val="bottom"/>
          </w:tcPr>
          <w:p>
            <w:pPr>
              <w:spacing w:after="0"/>
              <w:rPr>
                <w:sz w:val="18"/>
                <w:szCs w:val="18"/>
                <w:color w:val="auto"/>
              </w:rPr>
            </w:pPr>
          </w:p>
        </w:tc>
        <w:tc>
          <w:tcPr>
            <w:tcW w:w="4400" w:type="dxa"/>
            <w:vAlign w:val="bottom"/>
          </w:tcPr>
          <w:p>
            <w:pPr>
              <w:ind w:left="140"/>
              <w:spacing w:after="0"/>
              <w:rPr>
                <w:sz w:val="20"/>
                <w:szCs w:val="20"/>
                <w:color w:val="auto"/>
              </w:rPr>
            </w:pPr>
            <w:r>
              <w:rPr>
                <w:rFonts w:ascii="Arial" w:cs="Arial" w:eastAsia="Arial" w:hAnsi="Arial"/>
                <w:sz w:val="17"/>
                <w:szCs w:val="17"/>
                <w:color w:val="auto"/>
              </w:rPr>
              <w:t>Total</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color w:val="auto"/>
              </w:rPr>
              <w:t>100.0 %</w:t>
            </w:r>
          </w:p>
        </w:tc>
        <w:tc>
          <w:tcPr>
            <w:tcW w:w="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100.0 %</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2"/>
        </w:trPr>
        <w:tc>
          <w:tcPr>
            <w:tcW w:w="340" w:type="dxa"/>
            <w:vAlign w:val="bottom"/>
          </w:tcPr>
          <w:p>
            <w:pPr>
              <w:spacing w:after="0"/>
              <w:rPr>
                <w:sz w:val="24"/>
                <w:szCs w:val="24"/>
                <w:color w:val="auto"/>
              </w:rPr>
            </w:pPr>
          </w:p>
        </w:tc>
        <w:tc>
          <w:tcPr>
            <w:tcW w:w="4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gridSpan w:val="2"/>
          </w:tcPr>
          <w:p>
            <w:pPr>
              <w:jc w:val="center"/>
              <w:spacing w:after="0"/>
              <w:rPr>
                <w:sz w:val="20"/>
                <w:szCs w:val="20"/>
                <w:color w:val="auto"/>
              </w:rPr>
            </w:pPr>
            <w:r>
              <w:rPr>
                <w:rFonts w:ascii="Arial" w:cs="Arial" w:eastAsia="Arial" w:hAnsi="Arial"/>
                <w:sz w:val="14"/>
                <w:szCs w:val="14"/>
                <w:b w:val="1"/>
                <w:bCs w:val="1"/>
                <w:color w:val="auto"/>
                <w:w w:val="89"/>
              </w:rPr>
              <w:t>June 30,</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87"/>
              </w:rPr>
              <w:t>December 31,</w:t>
            </w:r>
          </w:p>
        </w:tc>
        <w:tc>
          <w:tcPr>
            <w:tcW w:w="0" w:type="dxa"/>
            <w:vAlign w:val="bottom"/>
          </w:tcPr>
          <w:p>
            <w:pPr>
              <w:spacing w:after="0"/>
              <w:rPr>
                <w:sz w:val="1"/>
                <w:szCs w:val="1"/>
                <w:color w:val="auto"/>
              </w:rPr>
            </w:pPr>
          </w:p>
        </w:tc>
      </w:tr>
      <w:tr>
        <w:trPr>
          <w:trHeight w:val="201"/>
        </w:trPr>
        <w:tc>
          <w:tcPr>
            <w:tcW w:w="340" w:type="dxa"/>
            <w:vAlign w:val="bottom"/>
          </w:tcPr>
          <w:p>
            <w:pPr>
              <w:spacing w:after="0"/>
              <w:rPr>
                <w:sz w:val="17"/>
                <w:szCs w:val="17"/>
                <w:color w:val="auto"/>
              </w:rPr>
            </w:pPr>
          </w:p>
        </w:tc>
        <w:tc>
          <w:tcPr>
            <w:tcW w:w="44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97"/>
              </w:rPr>
              <w:t>(2) The following table summarizes corporate debt securities as of :</w:t>
            </w:r>
          </w:p>
        </w:tc>
        <w:tc>
          <w:tcPr>
            <w:tcW w:w="10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Borders>
              <w:bottom w:val="single" w:sz="8" w:color="auto"/>
            </w:tcBorders>
          </w:tcPr>
          <w:p>
            <w:pPr>
              <w:jc w:val="center"/>
              <w:ind w:left="63"/>
              <w:spacing w:after="0"/>
              <w:rPr>
                <w:sz w:val="20"/>
                <w:szCs w:val="20"/>
                <w:color w:val="auto"/>
              </w:rPr>
            </w:pPr>
            <w:r>
              <w:rPr>
                <w:rFonts w:ascii="Arial" w:cs="Arial" w:eastAsia="Arial" w:hAnsi="Arial"/>
                <w:sz w:val="14"/>
                <w:szCs w:val="14"/>
                <w:b w:val="1"/>
                <w:bCs w:val="1"/>
                <w:color w:val="auto"/>
                <w:w w:val="89"/>
              </w:rPr>
              <w:t>2023</w:t>
            </w:r>
          </w:p>
        </w:tc>
        <w:tc>
          <w:tcPr>
            <w:tcW w:w="12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2022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3"/>
        </w:trPr>
        <w:tc>
          <w:tcPr>
            <w:tcW w:w="340" w:type="dxa"/>
            <w:vAlign w:val="bottom"/>
          </w:tcPr>
          <w:p>
            <w:pPr>
              <w:spacing w:after="0"/>
              <w:rPr>
                <w:sz w:val="20"/>
                <w:szCs w:val="20"/>
                <w:color w:val="auto"/>
              </w:rPr>
            </w:pPr>
          </w:p>
        </w:tc>
        <w:tc>
          <w:tcPr>
            <w:tcW w:w="4400" w:type="dxa"/>
            <w:vAlign w:val="bottom"/>
            <w:shd w:val="clear" w:color="auto" w:fill="CCEEFF"/>
          </w:tcPr>
          <w:p>
            <w:pPr>
              <w:ind w:left="20"/>
              <w:spacing w:after="0"/>
              <w:rPr>
                <w:sz w:val="20"/>
                <w:szCs w:val="20"/>
                <w:color w:val="auto"/>
              </w:rPr>
            </w:pPr>
            <w:r>
              <w:rPr>
                <w:rFonts w:ascii="Arial" w:cs="Arial" w:eastAsia="Arial" w:hAnsi="Arial"/>
                <w:sz w:val="17"/>
                <w:szCs w:val="17"/>
                <w:color w:val="auto"/>
              </w:rPr>
              <w:t>Financial</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44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43.7 %</w:t>
            </w: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40.5 %</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1"/>
        </w:trPr>
        <w:tc>
          <w:tcPr>
            <w:tcW w:w="340" w:type="dxa"/>
            <w:vAlign w:val="bottom"/>
          </w:tcPr>
          <w:p>
            <w:pPr>
              <w:spacing w:after="0"/>
              <w:rPr>
                <w:sz w:val="19"/>
                <w:szCs w:val="19"/>
                <w:color w:val="auto"/>
              </w:rPr>
            </w:pPr>
          </w:p>
        </w:tc>
        <w:tc>
          <w:tcPr>
            <w:tcW w:w="4400" w:type="dxa"/>
            <w:vAlign w:val="bottom"/>
          </w:tcPr>
          <w:p>
            <w:pPr>
              <w:ind w:left="20"/>
              <w:spacing w:after="0"/>
              <w:rPr>
                <w:sz w:val="20"/>
                <w:szCs w:val="20"/>
                <w:color w:val="auto"/>
              </w:rPr>
            </w:pPr>
            <w:r>
              <w:rPr>
                <w:rFonts w:ascii="Arial" w:cs="Arial" w:eastAsia="Arial" w:hAnsi="Arial"/>
                <w:sz w:val="17"/>
                <w:szCs w:val="17"/>
                <w:color w:val="auto"/>
              </w:rPr>
              <w:t>Consumer, non-cyclical</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gridSpan w:val="2"/>
          </w:tcPr>
          <w:p>
            <w:pPr>
              <w:jc w:val="right"/>
              <w:spacing w:after="0"/>
              <w:rPr>
                <w:sz w:val="20"/>
                <w:szCs w:val="20"/>
                <w:color w:val="auto"/>
              </w:rPr>
            </w:pPr>
            <w:r>
              <w:rPr>
                <w:rFonts w:ascii="Arial" w:cs="Arial" w:eastAsia="Arial" w:hAnsi="Arial"/>
                <w:sz w:val="17"/>
                <w:szCs w:val="17"/>
                <w:color w:val="auto"/>
              </w:rPr>
              <w:t>15.8</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Pr>
          <w:p>
            <w:pPr>
              <w:jc w:val="right"/>
              <w:ind w:right="117"/>
              <w:spacing w:after="0"/>
              <w:rPr>
                <w:sz w:val="20"/>
                <w:szCs w:val="20"/>
                <w:color w:val="auto"/>
              </w:rPr>
            </w:pPr>
            <w:r>
              <w:rPr>
                <w:rFonts w:ascii="Arial" w:cs="Arial" w:eastAsia="Arial" w:hAnsi="Arial"/>
                <w:sz w:val="17"/>
                <w:szCs w:val="17"/>
                <w:color w:val="auto"/>
              </w:rPr>
              <w:t>17.9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340" w:type="dxa"/>
            <w:vAlign w:val="bottom"/>
          </w:tcPr>
          <w:p>
            <w:pPr>
              <w:spacing w:after="0"/>
              <w:rPr>
                <w:sz w:val="19"/>
                <w:szCs w:val="19"/>
                <w:color w:val="auto"/>
              </w:rPr>
            </w:pPr>
          </w:p>
        </w:tc>
        <w:tc>
          <w:tcPr>
            <w:tcW w:w="4400" w:type="dxa"/>
            <w:vAlign w:val="bottom"/>
            <w:shd w:val="clear" w:color="auto" w:fill="CCEEFF"/>
          </w:tcPr>
          <w:p>
            <w:pPr>
              <w:ind w:left="20"/>
              <w:spacing w:after="0"/>
              <w:rPr>
                <w:sz w:val="20"/>
                <w:szCs w:val="20"/>
                <w:color w:val="auto"/>
              </w:rPr>
            </w:pPr>
            <w:r>
              <w:rPr>
                <w:rFonts w:ascii="Arial" w:cs="Arial" w:eastAsia="Arial" w:hAnsi="Arial"/>
                <w:sz w:val="17"/>
                <w:szCs w:val="17"/>
                <w:color w:val="auto"/>
              </w:rPr>
              <w:t>Consumer, cyclical</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6.5</w:t>
            </w: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17"/>
              <w:spacing w:after="0"/>
              <w:rPr>
                <w:sz w:val="20"/>
                <w:szCs w:val="20"/>
                <w:color w:val="auto"/>
              </w:rPr>
            </w:pPr>
            <w:r>
              <w:rPr>
                <w:rFonts w:ascii="Arial" w:cs="Arial" w:eastAsia="Arial" w:hAnsi="Arial"/>
                <w:sz w:val="17"/>
                <w:szCs w:val="17"/>
                <w:color w:val="auto"/>
              </w:rPr>
              <w:t>6.8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340" w:type="dxa"/>
            <w:vAlign w:val="bottom"/>
          </w:tcPr>
          <w:p>
            <w:pPr>
              <w:spacing w:after="0"/>
              <w:rPr>
                <w:sz w:val="19"/>
                <w:szCs w:val="19"/>
                <w:color w:val="auto"/>
              </w:rPr>
            </w:pPr>
          </w:p>
        </w:tc>
        <w:tc>
          <w:tcPr>
            <w:tcW w:w="4400" w:type="dxa"/>
            <w:vAlign w:val="bottom"/>
          </w:tcPr>
          <w:p>
            <w:pPr>
              <w:ind w:left="20"/>
              <w:spacing w:after="0"/>
              <w:rPr>
                <w:sz w:val="20"/>
                <w:szCs w:val="20"/>
                <w:color w:val="auto"/>
              </w:rPr>
            </w:pPr>
            <w:r>
              <w:rPr>
                <w:rFonts w:ascii="Arial" w:cs="Arial" w:eastAsia="Arial" w:hAnsi="Arial"/>
                <w:sz w:val="17"/>
                <w:szCs w:val="17"/>
                <w:color w:val="auto"/>
              </w:rPr>
              <w:t>Industrial</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gridSpan w:val="2"/>
          </w:tcPr>
          <w:p>
            <w:pPr>
              <w:jc w:val="right"/>
              <w:spacing w:after="0"/>
              <w:rPr>
                <w:sz w:val="20"/>
                <w:szCs w:val="20"/>
                <w:color w:val="auto"/>
              </w:rPr>
            </w:pPr>
            <w:r>
              <w:rPr>
                <w:rFonts w:ascii="Arial" w:cs="Arial" w:eastAsia="Arial" w:hAnsi="Arial"/>
                <w:sz w:val="17"/>
                <w:szCs w:val="17"/>
                <w:color w:val="auto"/>
              </w:rPr>
              <w:t>7.8</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Pr>
          <w:p>
            <w:pPr>
              <w:jc w:val="right"/>
              <w:ind w:right="117"/>
              <w:spacing w:after="0"/>
              <w:rPr>
                <w:sz w:val="20"/>
                <w:szCs w:val="20"/>
                <w:color w:val="auto"/>
              </w:rPr>
            </w:pPr>
            <w:r>
              <w:rPr>
                <w:rFonts w:ascii="Arial" w:cs="Arial" w:eastAsia="Arial" w:hAnsi="Arial"/>
                <w:sz w:val="17"/>
                <w:szCs w:val="17"/>
                <w:color w:val="auto"/>
              </w:rPr>
              <w:t>6.8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340" w:type="dxa"/>
            <w:vAlign w:val="bottom"/>
          </w:tcPr>
          <w:p>
            <w:pPr>
              <w:spacing w:after="0"/>
              <w:rPr>
                <w:sz w:val="19"/>
                <w:szCs w:val="19"/>
                <w:color w:val="auto"/>
              </w:rPr>
            </w:pPr>
          </w:p>
        </w:tc>
        <w:tc>
          <w:tcPr>
            <w:tcW w:w="4400" w:type="dxa"/>
            <w:vAlign w:val="bottom"/>
            <w:shd w:val="clear" w:color="auto" w:fill="CCEEFF"/>
          </w:tcPr>
          <w:p>
            <w:pPr>
              <w:ind w:left="20"/>
              <w:spacing w:after="0"/>
              <w:rPr>
                <w:sz w:val="20"/>
                <w:szCs w:val="20"/>
                <w:color w:val="auto"/>
              </w:rPr>
            </w:pPr>
            <w:r>
              <w:rPr>
                <w:rFonts w:ascii="Arial" w:cs="Arial" w:eastAsia="Arial" w:hAnsi="Arial"/>
                <w:sz w:val="17"/>
                <w:szCs w:val="17"/>
                <w:color w:val="auto"/>
              </w:rPr>
              <w:t>Utilities</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6.5</w:t>
            </w: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17"/>
              <w:spacing w:after="0"/>
              <w:rPr>
                <w:sz w:val="20"/>
                <w:szCs w:val="20"/>
                <w:color w:val="auto"/>
              </w:rPr>
            </w:pPr>
            <w:r>
              <w:rPr>
                <w:rFonts w:ascii="Arial" w:cs="Arial" w:eastAsia="Arial" w:hAnsi="Arial"/>
                <w:sz w:val="17"/>
                <w:szCs w:val="17"/>
                <w:color w:val="auto"/>
              </w:rPr>
              <w:t>6.1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340" w:type="dxa"/>
            <w:vAlign w:val="bottom"/>
          </w:tcPr>
          <w:p>
            <w:pPr>
              <w:spacing w:after="0"/>
              <w:rPr>
                <w:sz w:val="19"/>
                <w:szCs w:val="19"/>
                <w:color w:val="auto"/>
              </w:rPr>
            </w:pPr>
          </w:p>
        </w:tc>
        <w:tc>
          <w:tcPr>
            <w:tcW w:w="4400" w:type="dxa"/>
            <w:vAlign w:val="bottom"/>
          </w:tcPr>
          <w:p>
            <w:pPr>
              <w:ind w:left="20"/>
              <w:spacing w:after="0"/>
              <w:rPr>
                <w:sz w:val="20"/>
                <w:szCs w:val="20"/>
                <w:color w:val="auto"/>
              </w:rPr>
            </w:pPr>
            <w:r>
              <w:rPr>
                <w:rFonts w:ascii="Arial" w:cs="Arial" w:eastAsia="Arial" w:hAnsi="Arial"/>
                <w:sz w:val="17"/>
                <w:szCs w:val="17"/>
                <w:color w:val="auto"/>
              </w:rPr>
              <w:t>Communications</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gridSpan w:val="2"/>
          </w:tcPr>
          <w:p>
            <w:pPr>
              <w:jc w:val="right"/>
              <w:spacing w:after="0"/>
              <w:rPr>
                <w:sz w:val="20"/>
                <w:szCs w:val="20"/>
                <w:color w:val="auto"/>
              </w:rPr>
            </w:pPr>
            <w:r>
              <w:rPr>
                <w:rFonts w:ascii="Arial" w:cs="Arial" w:eastAsia="Arial" w:hAnsi="Arial"/>
                <w:sz w:val="17"/>
                <w:szCs w:val="17"/>
                <w:color w:val="auto"/>
              </w:rPr>
              <w:t>7.0</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Pr>
          <w:p>
            <w:pPr>
              <w:jc w:val="right"/>
              <w:ind w:right="117"/>
              <w:spacing w:after="0"/>
              <w:rPr>
                <w:sz w:val="20"/>
                <w:szCs w:val="20"/>
                <w:color w:val="auto"/>
              </w:rPr>
            </w:pPr>
            <w:r>
              <w:rPr>
                <w:rFonts w:ascii="Arial" w:cs="Arial" w:eastAsia="Arial" w:hAnsi="Arial"/>
                <w:sz w:val="17"/>
                <w:szCs w:val="17"/>
                <w:color w:val="auto"/>
              </w:rPr>
              <w:t>8.4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340" w:type="dxa"/>
            <w:vAlign w:val="bottom"/>
          </w:tcPr>
          <w:p>
            <w:pPr>
              <w:spacing w:after="0"/>
              <w:rPr>
                <w:sz w:val="20"/>
                <w:szCs w:val="20"/>
                <w:color w:val="auto"/>
              </w:rPr>
            </w:pPr>
          </w:p>
        </w:tc>
        <w:tc>
          <w:tcPr>
            <w:tcW w:w="4400" w:type="dxa"/>
            <w:vAlign w:val="bottom"/>
            <w:shd w:val="clear" w:color="auto" w:fill="CCEEFF"/>
          </w:tcPr>
          <w:p>
            <w:pPr>
              <w:ind w:left="20"/>
              <w:spacing w:after="0"/>
              <w:rPr>
                <w:sz w:val="20"/>
                <w:szCs w:val="20"/>
                <w:color w:val="auto"/>
              </w:rPr>
            </w:pPr>
            <w:r>
              <w:rPr>
                <w:rFonts w:ascii="Arial" w:cs="Arial" w:eastAsia="Arial" w:hAnsi="Arial"/>
                <w:sz w:val="17"/>
                <w:szCs w:val="17"/>
                <w:color w:val="auto"/>
              </w:rPr>
              <w:t>Technology</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5.4</w:t>
            </w:r>
          </w:p>
        </w:tc>
        <w:tc>
          <w:tcPr>
            <w:tcW w:w="1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40" w:type="dxa"/>
            <w:vAlign w:val="bottom"/>
            <w:shd w:val="clear" w:color="auto" w:fill="CCEEFF"/>
          </w:tcPr>
          <w:p>
            <w:pPr>
              <w:jc w:val="right"/>
              <w:ind w:right="117"/>
              <w:spacing w:after="0"/>
              <w:rPr>
                <w:sz w:val="20"/>
                <w:szCs w:val="20"/>
                <w:color w:val="auto"/>
              </w:rPr>
            </w:pPr>
            <w:r>
              <w:rPr>
                <w:rFonts w:ascii="Arial" w:cs="Arial" w:eastAsia="Arial" w:hAnsi="Arial"/>
                <w:sz w:val="17"/>
                <w:szCs w:val="17"/>
                <w:color w:val="auto"/>
              </w:rPr>
              <w:t>4.9</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1"/>
        </w:trPr>
        <w:tc>
          <w:tcPr>
            <w:tcW w:w="340" w:type="dxa"/>
            <w:vAlign w:val="bottom"/>
          </w:tcPr>
          <w:p>
            <w:pPr>
              <w:spacing w:after="0"/>
              <w:rPr>
                <w:sz w:val="19"/>
                <w:szCs w:val="19"/>
                <w:color w:val="auto"/>
              </w:rPr>
            </w:pPr>
          </w:p>
        </w:tc>
        <w:tc>
          <w:tcPr>
            <w:tcW w:w="4400" w:type="dxa"/>
            <w:vAlign w:val="bottom"/>
          </w:tcPr>
          <w:p>
            <w:pPr>
              <w:ind w:left="20"/>
              <w:spacing w:after="0"/>
              <w:rPr>
                <w:sz w:val="20"/>
                <w:szCs w:val="20"/>
                <w:color w:val="auto"/>
              </w:rPr>
            </w:pPr>
            <w:r>
              <w:rPr>
                <w:rFonts w:ascii="Arial" w:cs="Arial" w:eastAsia="Arial" w:hAnsi="Arial"/>
                <w:sz w:val="17"/>
                <w:szCs w:val="17"/>
                <w:color w:val="auto"/>
              </w:rPr>
              <w:t>Energy</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gridSpan w:val="2"/>
          </w:tcPr>
          <w:p>
            <w:pPr>
              <w:jc w:val="right"/>
              <w:spacing w:after="0"/>
              <w:rPr>
                <w:sz w:val="20"/>
                <w:szCs w:val="20"/>
                <w:color w:val="auto"/>
              </w:rPr>
            </w:pPr>
            <w:r>
              <w:rPr>
                <w:rFonts w:ascii="Arial" w:cs="Arial" w:eastAsia="Arial" w:hAnsi="Arial"/>
                <w:sz w:val="17"/>
                <w:szCs w:val="17"/>
                <w:color w:val="auto"/>
              </w:rPr>
              <w:t>5.0</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Pr>
          <w:p>
            <w:pPr>
              <w:jc w:val="right"/>
              <w:ind w:right="117"/>
              <w:spacing w:after="0"/>
              <w:rPr>
                <w:sz w:val="20"/>
                <w:szCs w:val="20"/>
                <w:color w:val="auto"/>
              </w:rPr>
            </w:pPr>
            <w:r>
              <w:rPr>
                <w:rFonts w:ascii="Arial" w:cs="Arial" w:eastAsia="Arial" w:hAnsi="Arial"/>
                <w:sz w:val="17"/>
                <w:szCs w:val="17"/>
                <w:color w:val="auto"/>
              </w:rPr>
              <w:t>6.4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340" w:type="dxa"/>
            <w:vAlign w:val="bottom"/>
          </w:tcPr>
          <w:p>
            <w:pPr>
              <w:spacing w:after="0"/>
              <w:rPr>
                <w:sz w:val="19"/>
                <w:szCs w:val="19"/>
                <w:color w:val="auto"/>
              </w:rPr>
            </w:pPr>
          </w:p>
        </w:tc>
        <w:tc>
          <w:tcPr>
            <w:tcW w:w="4400" w:type="dxa"/>
            <w:vAlign w:val="bottom"/>
            <w:shd w:val="clear" w:color="auto" w:fill="CCEEFF"/>
          </w:tcPr>
          <w:p>
            <w:pPr>
              <w:ind w:left="20"/>
              <w:spacing w:after="0"/>
              <w:rPr>
                <w:sz w:val="20"/>
                <w:szCs w:val="20"/>
                <w:color w:val="auto"/>
              </w:rPr>
            </w:pPr>
            <w:r>
              <w:rPr>
                <w:rFonts w:ascii="Arial" w:cs="Arial" w:eastAsia="Arial" w:hAnsi="Arial"/>
                <w:sz w:val="17"/>
                <w:szCs w:val="17"/>
                <w:color w:val="auto"/>
              </w:rPr>
              <w:t>Basic Materials</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2.3</w:t>
            </w: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17"/>
              <w:spacing w:after="0"/>
              <w:rPr>
                <w:sz w:val="20"/>
                <w:szCs w:val="20"/>
                <w:color w:val="auto"/>
              </w:rPr>
            </w:pPr>
            <w:r>
              <w:rPr>
                <w:rFonts w:ascii="Arial" w:cs="Arial" w:eastAsia="Arial" w:hAnsi="Arial"/>
                <w:sz w:val="17"/>
                <w:szCs w:val="17"/>
                <w:color w:val="auto"/>
              </w:rPr>
              <w:t>2.1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340" w:type="dxa"/>
            <w:vAlign w:val="bottom"/>
          </w:tcPr>
          <w:p>
            <w:pPr>
              <w:spacing w:after="0"/>
              <w:rPr>
                <w:sz w:val="20"/>
                <w:szCs w:val="20"/>
                <w:color w:val="auto"/>
              </w:rPr>
            </w:pPr>
          </w:p>
        </w:tc>
        <w:tc>
          <w:tcPr>
            <w:tcW w:w="440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Government</w:t>
            </w:r>
          </w:p>
        </w:tc>
        <w:tc>
          <w:tcPr>
            <w:tcW w:w="100" w:type="dxa"/>
            <w:vAlign w:val="bottom"/>
            <w:tcBorders>
              <w:bottom w:val="single" w:sz="8" w:color="CCEEFF"/>
            </w:tcBorders>
          </w:tcPr>
          <w:p>
            <w:pPr>
              <w:spacing w:after="0"/>
              <w:rPr>
                <w:sz w:val="20"/>
                <w:szCs w:val="20"/>
                <w:color w:val="auto"/>
              </w:rPr>
            </w:pPr>
          </w:p>
        </w:tc>
        <w:tc>
          <w:tcPr>
            <w:tcW w:w="280" w:type="dxa"/>
            <w:vAlign w:val="bottom"/>
            <w:tcBorders>
              <w:bottom w:val="single" w:sz="8" w:color="CCEEFF"/>
            </w:tcBorders>
          </w:tcPr>
          <w:p>
            <w:pPr>
              <w:spacing w:after="0"/>
              <w:rPr>
                <w:sz w:val="20"/>
                <w:szCs w:val="20"/>
                <w:color w:val="auto"/>
              </w:rPr>
            </w:pPr>
          </w:p>
        </w:tc>
        <w:tc>
          <w:tcPr>
            <w:tcW w:w="122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260" w:type="dxa"/>
            <w:vAlign w:val="bottom"/>
            <w:tcBorders>
              <w:bottom w:val="single" w:sz="8" w:color="CCEEFF"/>
            </w:tcBorders>
          </w:tcPr>
          <w:p>
            <w:pPr>
              <w:spacing w:after="0"/>
              <w:rPr>
                <w:sz w:val="20"/>
                <w:szCs w:val="20"/>
                <w:color w:val="auto"/>
              </w:rPr>
            </w:pPr>
          </w:p>
        </w:tc>
        <w:tc>
          <w:tcPr>
            <w:tcW w:w="124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18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34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7"/>
                <w:szCs w:val="17"/>
                <w:color w:val="auto"/>
              </w:rPr>
              <w:t>—</w:t>
            </w:r>
          </w:p>
        </w:tc>
        <w:tc>
          <w:tcPr>
            <w:tcW w:w="20" w:type="dxa"/>
            <w:vAlign w:val="bottom"/>
            <w:tcBorders>
              <w:bottom w:val="single" w:sz="8" w:color="auto"/>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1340" w:type="dxa"/>
            <w:vAlign w:val="bottom"/>
            <w:tcBorders>
              <w:bottom w:val="single" w:sz="8" w:color="auto"/>
            </w:tcBorders>
          </w:tcPr>
          <w:p>
            <w:pPr>
              <w:jc w:val="right"/>
              <w:ind w:right="117"/>
              <w:spacing w:after="0"/>
              <w:rPr>
                <w:sz w:val="20"/>
                <w:szCs w:val="20"/>
                <w:color w:val="auto"/>
              </w:rPr>
            </w:pPr>
            <w:r>
              <w:rPr>
                <w:rFonts w:ascii="Arial" w:cs="Arial" w:eastAsia="Arial" w:hAnsi="Arial"/>
                <w:sz w:val="17"/>
                <w:szCs w:val="17"/>
                <w:color w:val="auto"/>
              </w:rPr>
              <w:t>0.1</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340" w:type="dxa"/>
            <w:vAlign w:val="bottom"/>
          </w:tcPr>
          <w:p>
            <w:pPr>
              <w:spacing w:after="0"/>
              <w:rPr>
                <w:sz w:val="20"/>
                <w:szCs w:val="20"/>
                <w:color w:val="auto"/>
              </w:rPr>
            </w:pPr>
          </w:p>
        </w:tc>
        <w:tc>
          <w:tcPr>
            <w:tcW w:w="4400" w:type="dxa"/>
            <w:vAlign w:val="bottom"/>
            <w:shd w:val="clear" w:color="auto" w:fill="CCEEFF"/>
          </w:tcPr>
          <w:p>
            <w:pPr>
              <w:ind w:left="140"/>
              <w:spacing w:after="0"/>
              <w:rPr>
                <w:sz w:val="20"/>
                <w:szCs w:val="20"/>
                <w:color w:val="auto"/>
              </w:rPr>
            </w:pPr>
            <w:r>
              <w:rPr>
                <w:rFonts w:ascii="Arial" w:cs="Arial" w:eastAsia="Arial" w:hAnsi="Arial"/>
                <w:sz w:val="17"/>
                <w:szCs w:val="17"/>
                <w:color w:val="auto"/>
              </w:rPr>
              <w:t>Total</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44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100.0 %</w:t>
            </w: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100.0 %</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44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68580</wp:posOffset>
            </wp:positionV>
            <wp:extent cx="7162800" cy="419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11" w:name="page12"/>
    <w:bookmarkEnd w:id="11"/>
    <w:p>
      <w:pPr>
        <w:spacing w:after="0"/>
        <w:rPr>
          <w:sz w:val="20"/>
          <w:szCs w:val="20"/>
          <w:color w:val="auto"/>
        </w:rPr>
      </w:pPr>
      <w:r>
        <w:rPr>
          <w:rFonts w:ascii="Arial" w:cs="Arial" w:eastAsia="Arial" w:hAnsi="Arial"/>
          <w:sz w:val="17"/>
          <w:szCs w:val="17"/>
          <w:u w:val="single" w:color="auto"/>
          <w:color w:val="0000FF"/>
        </w:rPr>
        <w:t>Table of Contents</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Essent Group Ltd. and Subsidiaries</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Condensed Consolidated Financial Statements (Unaudited)</w:t>
      </w:r>
    </w:p>
    <w:p>
      <w:pPr>
        <w:spacing w:after="0" w:line="200" w:lineRule="exact"/>
        <w:rPr>
          <w:sz w:val="20"/>
          <w:szCs w:val="20"/>
          <w:color w:val="auto"/>
        </w:rPr>
      </w:pPr>
    </w:p>
    <w:p>
      <w:pPr>
        <w:spacing w:after="0" w:line="234" w:lineRule="exact"/>
        <w:rPr>
          <w:sz w:val="20"/>
          <w:szCs w:val="20"/>
          <w:color w:val="auto"/>
        </w:rPr>
      </w:pPr>
    </w:p>
    <w:p>
      <w:pPr>
        <w:ind w:right="120" w:firstLine="623"/>
        <w:spacing w:after="0" w:line="265" w:lineRule="auto"/>
        <w:rPr>
          <w:sz w:val="20"/>
          <w:szCs w:val="20"/>
          <w:color w:val="auto"/>
        </w:rPr>
      </w:pPr>
      <w:r>
        <w:rPr>
          <w:rFonts w:ascii="Arial" w:cs="Arial" w:eastAsia="Arial" w:hAnsi="Arial"/>
          <w:sz w:val="17"/>
          <w:szCs w:val="17"/>
          <w:color w:val="auto"/>
        </w:rPr>
        <w:t>The amortized cost and fair value of investments available for sale at June 30, 2023, by contractual maturity, are shown below. Expected maturities will differ from contractual maturities because borrowers may have the right to call or prepay obligations with or without call or prepayment penalties. Because most U.S. agency mortgage-backed securities, residential and commercial mortgage securities and asset-backed securities provide for periodic payments throughout their lives, they are listed below in separate categories.</w:t>
      </w:r>
    </w:p>
    <w:p>
      <w:pPr>
        <w:spacing w:after="0" w:line="273"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71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540" w:type="dxa"/>
            <w:vAlign w:val="bottom"/>
          </w:tcPr>
          <w:p>
            <w:pPr>
              <w:jc w:val="right"/>
              <w:ind w:right="555"/>
              <w:spacing w:after="0"/>
              <w:rPr>
                <w:sz w:val="20"/>
                <w:szCs w:val="20"/>
                <w:color w:val="auto"/>
              </w:rPr>
            </w:pPr>
            <w:r>
              <w:rPr>
                <w:rFonts w:ascii="Arial" w:cs="Arial" w:eastAsia="Arial" w:hAnsi="Arial"/>
                <w:sz w:val="14"/>
                <w:szCs w:val="14"/>
                <w:b w:val="1"/>
                <w:bCs w:val="1"/>
                <w:color w:val="auto"/>
              </w:rPr>
              <w:t>Amortized</w:t>
            </w: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80" w:type="dxa"/>
            <w:vAlign w:val="bottom"/>
          </w:tcPr>
          <w:p>
            <w:pPr>
              <w:jc w:val="right"/>
              <w:ind w:right="755"/>
              <w:spacing w:after="0"/>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88"/>
        </w:trPr>
        <w:tc>
          <w:tcPr>
            <w:tcW w:w="71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jc w:val="right"/>
              <w:ind w:right="735"/>
              <w:spacing w:after="0"/>
              <w:rPr>
                <w:sz w:val="20"/>
                <w:szCs w:val="20"/>
                <w:color w:val="auto"/>
              </w:rPr>
            </w:pPr>
            <w:r>
              <w:rPr>
                <w:rFonts w:ascii="Arial" w:cs="Arial" w:eastAsia="Arial" w:hAnsi="Arial"/>
                <w:sz w:val="14"/>
                <w:szCs w:val="14"/>
                <w:b w:val="1"/>
                <w:bCs w:val="1"/>
                <w:color w:val="auto"/>
              </w:rPr>
              <w:t>Cost</w:t>
            </w:r>
          </w:p>
        </w:tc>
        <w:tc>
          <w:tcPr>
            <w:tcW w:w="12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ind w:right="715"/>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221"/>
        </w:trPr>
        <w:tc>
          <w:tcPr>
            <w:tcW w:w="7140" w:type="dxa"/>
            <w:vAlign w:val="bottom"/>
            <w:shd w:val="clear" w:color="auto" w:fill="CCEEFF"/>
          </w:tcPr>
          <w:p>
            <w:pPr>
              <w:ind w:left="20"/>
              <w:spacing w:after="0"/>
              <w:rPr>
                <w:sz w:val="20"/>
                <w:szCs w:val="20"/>
                <w:color w:val="auto"/>
              </w:rPr>
            </w:pPr>
            <w:r>
              <w:rPr>
                <w:rFonts w:ascii="Arial" w:cs="Arial" w:eastAsia="Arial" w:hAnsi="Arial"/>
                <w:sz w:val="17"/>
                <w:szCs w:val="17"/>
                <w:color w:val="auto"/>
              </w:rPr>
              <w:t>U.S. Treasury securities:</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7140" w:type="dxa"/>
            <w:vAlign w:val="bottom"/>
          </w:tcPr>
          <w:p>
            <w:pPr>
              <w:ind w:left="220"/>
              <w:spacing w:after="0"/>
              <w:rPr>
                <w:sz w:val="20"/>
                <w:szCs w:val="20"/>
                <w:color w:val="auto"/>
              </w:rPr>
            </w:pPr>
            <w:r>
              <w:rPr>
                <w:rFonts w:ascii="Arial" w:cs="Arial" w:eastAsia="Arial" w:hAnsi="Arial"/>
                <w:sz w:val="17"/>
                <w:szCs w:val="17"/>
                <w:color w:val="auto"/>
              </w:rPr>
              <w:t>Due in 1 year</w:t>
            </w:r>
          </w:p>
        </w:tc>
        <w:tc>
          <w:tcPr>
            <w:tcW w:w="480" w:type="dxa"/>
            <w:vAlign w:val="bottom"/>
            <w:gridSpan w:val="2"/>
          </w:tcPr>
          <w:p>
            <w:pPr>
              <w:jc w:val="right"/>
              <w:ind w:right="280"/>
              <w:spacing w:after="0"/>
              <w:rPr>
                <w:sz w:val="20"/>
                <w:szCs w:val="20"/>
                <w:color w:val="auto"/>
              </w:rPr>
            </w:pPr>
            <w:r>
              <w:rPr>
                <w:rFonts w:ascii="Arial" w:cs="Arial" w:eastAsia="Arial" w:hAnsi="Arial"/>
                <w:sz w:val="17"/>
                <w:szCs w:val="17"/>
                <w:color w:val="auto"/>
              </w:rPr>
              <w:t>$</w:t>
            </w:r>
          </w:p>
        </w:tc>
        <w:tc>
          <w:tcPr>
            <w:tcW w:w="1540" w:type="dxa"/>
            <w:vAlign w:val="bottom"/>
          </w:tcPr>
          <w:p>
            <w:pPr>
              <w:jc w:val="right"/>
              <w:spacing w:after="0"/>
              <w:rPr>
                <w:sz w:val="20"/>
                <w:szCs w:val="20"/>
                <w:color w:val="auto"/>
              </w:rPr>
            </w:pPr>
            <w:r>
              <w:rPr>
                <w:rFonts w:ascii="Arial" w:cs="Arial" w:eastAsia="Arial" w:hAnsi="Arial"/>
                <w:sz w:val="17"/>
                <w:szCs w:val="17"/>
                <w:color w:val="auto"/>
              </w:rPr>
              <w:t>273,518</w:t>
            </w:r>
          </w:p>
        </w:tc>
        <w:tc>
          <w:tcPr>
            <w:tcW w:w="560" w:type="dxa"/>
            <w:vAlign w:val="bottom"/>
            <w:gridSpan w:val="2"/>
          </w:tcPr>
          <w:p>
            <w:pPr>
              <w:jc w:val="right"/>
              <w:ind w:right="340"/>
              <w:spacing w:after="0"/>
              <w:rPr>
                <w:sz w:val="20"/>
                <w:szCs w:val="20"/>
                <w:color w:val="auto"/>
              </w:rPr>
            </w:pPr>
            <w:r>
              <w:rPr>
                <w:rFonts w:ascii="Arial" w:cs="Arial" w:eastAsia="Arial" w:hAnsi="Arial"/>
                <w:sz w:val="17"/>
                <w:szCs w:val="17"/>
                <w:color w:val="auto"/>
              </w:rPr>
              <w:t>$</w:t>
            </w:r>
          </w:p>
        </w:tc>
        <w:tc>
          <w:tcPr>
            <w:tcW w:w="1480" w:type="dxa"/>
            <w:vAlign w:val="bottom"/>
          </w:tcPr>
          <w:p>
            <w:pPr>
              <w:jc w:val="right"/>
              <w:spacing w:after="0"/>
              <w:rPr>
                <w:sz w:val="20"/>
                <w:szCs w:val="20"/>
                <w:color w:val="auto"/>
              </w:rPr>
            </w:pPr>
            <w:r>
              <w:rPr>
                <w:rFonts w:ascii="Arial" w:cs="Arial" w:eastAsia="Arial" w:hAnsi="Arial"/>
                <w:sz w:val="17"/>
                <w:szCs w:val="17"/>
                <w:color w:val="auto"/>
              </w:rPr>
              <w:t>271,747</w:t>
            </w:r>
          </w:p>
        </w:tc>
        <w:tc>
          <w:tcPr>
            <w:tcW w:w="0" w:type="dxa"/>
            <w:vAlign w:val="bottom"/>
          </w:tcPr>
          <w:p>
            <w:pPr>
              <w:spacing w:after="0"/>
              <w:rPr>
                <w:sz w:val="1"/>
                <w:szCs w:val="1"/>
                <w:color w:val="auto"/>
              </w:rPr>
            </w:pPr>
          </w:p>
        </w:tc>
      </w:tr>
      <w:tr>
        <w:trPr>
          <w:trHeight w:val="227"/>
        </w:trPr>
        <w:tc>
          <w:tcPr>
            <w:tcW w:w="7140" w:type="dxa"/>
            <w:vAlign w:val="bottom"/>
            <w:shd w:val="clear" w:color="auto" w:fill="CCEEFF"/>
          </w:tcPr>
          <w:p>
            <w:pPr>
              <w:ind w:left="220"/>
              <w:spacing w:after="0"/>
              <w:rPr>
                <w:sz w:val="20"/>
                <w:szCs w:val="20"/>
                <w:color w:val="auto"/>
              </w:rPr>
            </w:pPr>
            <w:r>
              <w:rPr>
                <w:rFonts w:ascii="Arial" w:cs="Arial" w:eastAsia="Arial" w:hAnsi="Arial"/>
                <w:sz w:val="17"/>
                <w:szCs w:val="17"/>
                <w:color w:val="auto"/>
              </w:rPr>
              <w:t>Due after 1 but within 5 years</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325,556</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305,868</w:t>
            </w:r>
          </w:p>
        </w:tc>
        <w:tc>
          <w:tcPr>
            <w:tcW w:w="0" w:type="dxa"/>
            <w:vAlign w:val="bottom"/>
          </w:tcPr>
          <w:p>
            <w:pPr>
              <w:spacing w:after="0"/>
              <w:rPr>
                <w:sz w:val="1"/>
                <w:szCs w:val="1"/>
                <w:color w:val="auto"/>
              </w:rPr>
            </w:pPr>
          </w:p>
        </w:tc>
      </w:tr>
      <w:tr>
        <w:trPr>
          <w:trHeight w:val="221"/>
        </w:trPr>
        <w:tc>
          <w:tcPr>
            <w:tcW w:w="7140" w:type="dxa"/>
            <w:vAlign w:val="bottom"/>
          </w:tcPr>
          <w:p>
            <w:pPr>
              <w:ind w:left="220"/>
              <w:spacing w:after="0"/>
              <w:rPr>
                <w:sz w:val="20"/>
                <w:szCs w:val="20"/>
                <w:color w:val="auto"/>
              </w:rPr>
            </w:pPr>
            <w:r>
              <w:rPr>
                <w:rFonts w:ascii="Arial" w:cs="Arial" w:eastAsia="Arial" w:hAnsi="Arial"/>
                <w:sz w:val="17"/>
                <w:szCs w:val="17"/>
                <w:color w:val="auto"/>
              </w:rPr>
              <w:t>Due after 5 but within 10 years</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7"/>
                <w:szCs w:val="17"/>
                <w:color w:val="auto"/>
              </w:rPr>
              <w:t>57,063</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7"/>
                <w:szCs w:val="17"/>
                <w:color w:val="auto"/>
              </w:rPr>
              <w:t>52,252</w:t>
            </w:r>
          </w:p>
        </w:tc>
        <w:tc>
          <w:tcPr>
            <w:tcW w:w="0" w:type="dxa"/>
            <w:vAlign w:val="bottom"/>
          </w:tcPr>
          <w:p>
            <w:pPr>
              <w:spacing w:after="0"/>
              <w:rPr>
                <w:sz w:val="1"/>
                <w:szCs w:val="1"/>
                <w:color w:val="auto"/>
              </w:rPr>
            </w:pPr>
          </w:p>
        </w:tc>
      </w:tr>
      <w:tr>
        <w:trPr>
          <w:trHeight w:val="234"/>
        </w:trPr>
        <w:tc>
          <w:tcPr>
            <w:tcW w:w="7140" w:type="dxa"/>
            <w:vAlign w:val="bottom"/>
            <w:shd w:val="clear" w:color="auto" w:fill="CCEEFF"/>
          </w:tcPr>
          <w:p>
            <w:pPr>
              <w:ind w:left="220"/>
              <w:spacing w:after="0"/>
              <w:rPr>
                <w:sz w:val="20"/>
                <w:szCs w:val="20"/>
                <w:color w:val="auto"/>
              </w:rPr>
            </w:pPr>
            <w:r>
              <w:rPr>
                <w:rFonts w:ascii="Arial" w:cs="Arial" w:eastAsia="Arial" w:hAnsi="Arial"/>
                <w:sz w:val="17"/>
                <w:szCs w:val="17"/>
                <w:color w:val="auto"/>
              </w:rPr>
              <w:t>Due after 10 years</w:t>
            </w:r>
          </w:p>
        </w:tc>
        <w:tc>
          <w:tcPr>
            <w:tcW w:w="100" w:type="dxa"/>
            <w:vAlign w:val="bottom"/>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spacing w:after="0"/>
              <w:rPr>
                <w:sz w:val="20"/>
                <w:szCs w:val="20"/>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14,400</w:t>
            </w:r>
          </w:p>
        </w:tc>
        <w:tc>
          <w:tcPr>
            <w:tcW w:w="120" w:type="dxa"/>
            <w:vAlign w:val="bottom"/>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spacing w:after="0"/>
              <w:rPr>
                <w:sz w:val="20"/>
                <w:szCs w:val="20"/>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13,719</w:t>
            </w:r>
          </w:p>
        </w:tc>
        <w:tc>
          <w:tcPr>
            <w:tcW w:w="0" w:type="dxa"/>
            <w:vAlign w:val="bottom"/>
          </w:tcPr>
          <w:p>
            <w:pPr>
              <w:spacing w:after="0"/>
              <w:rPr>
                <w:sz w:val="1"/>
                <w:szCs w:val="1"/>
                <w:color w:val="auto"/>
              </w:rPr>
            </w:pPr>
          </w:p>
        </w:tc>
      </w:tr>
      <w:tr>
        <w:trPr>
          <w:trHeight w:val="214"/>
        </w:trPr>
        <w:tc>
          <w:tcPr>
            <w:tcW w:w="7140" w:type="dxa"/>
            <w:vAlign w:val="bottom"/>
            <w:tcBorders>
              <w:bottom w:val="single" w:sz="8" w:color="CCEEFF"/>
            </w:tcBorders>
          </w:tcPr>
          <w:p>
            <w:pPr>
              <w:ind w:left="460"/>
              <w:spacing w:after="0"/>
              <w:rPr>
                <w:sz w:val="20"/>
                <w:szCs w:val="20"/>
                <w:color w:val="auto"/>
              </w:rPr>
            </w:pPr>
            <w:r>
              <w:rPr>
                <w:rFonts w:ascii="Arial" w:cs="Arial" w:eastAsia="Arial" w:hAnsi="Arial"/>
                <w:sz w:val="17"/>
                <w:szCs w:val="17"/>
                <w:color w:val="auto"/>
              </w:rPr>
              <w:t>Subtotal</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670,537</w:t>
            </w:r>
          </w:p>
        </w:tc>
        <w:tc>
          <w:tcPr>
            <w:tcW w:w="12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643,586</w:t>
            </w:r>
          </w:p>
        </w:tc>
        <w:tc>
          <w:tcPr>
            <w:tcW w:w="0" w:type="dxa"/>
            <w:vAlign w:val="bottom"/>
          </w:tcPr>
          <w:p>
            <w:pPr>
              <w:spacing w:after="0"/>
              <w:rPr>
                <w:sz w:val="1"/>
                <w:szCs w:val="1"/>
                <w:color w:val="auto"/>
              </w:rPr>
            </w:pPr>
          </w:p>
        </w:tc>
      </w:tr>
      <w:tr>
        <w:trPr>
          <w:trHeight w:val="214"/>
        </w:trPr>
        <w:tc>
          <w:tcPr>
            <w:tcW w:w="7140" w:type="dxa"/>
            <w:vAlign w:val="bottom"/>
            <w:shd w:val="clear" w:color="auto" w:fill="CCEEFF"/>
          </w:tcPr>
          <w:p>
            <w:pPr>
              <w:ind w:left="20"/>
              <w:spacing w:after="0"/>
              <w:rPr>
                <w:sz w:val="20"/>
                <w:szCs w:val="20"/>
                <w:color w:val="auto"/>
              </w:rPr>
            </w:pPr>
            <w:r>
              <w:rPr>
                <w:rFonts w:ascii="Arial" w:cs="Arial" w:eastAsia="Arial" w:hAnsi="Arial"/>
                <w:sz w:val="17"/>
                <w:szCs w:val="17"/>
                <w:color w:val="auto"/>
              </w:rPr>
              <w:t>U.S. agency securities:</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7140" w:type="dxa"/>
            <w:vAlign w:val="bottom"/>
            <w:tcBorders>
              <w:bottom w:val="single" w:sz="8" w:color="CCEEFF"/>
            </w:tcBorders>
          </w:tcPr>
          <w:p>
            <w:pPr>
              <w:ind w:left="220"/>
              <w:spacing w:after="0"/>
              <w:rPr>
                <w:sz w:val="20"/>
                <w:szCs w:val="20"/>
                <w:color w:val="auto"/>
              </w:rPr>
            </w:pPr>
            <w:r>
              <w:rPr>
                <w:rFonts w:ascii="Arial" w:cs="Arial" w:eastAsia="Arial" w:hAnsi="Arial"/>
                <w:sz w:val="17"/>
                <w:szCs w:val="17"/>
                <w:color w:val="auto"/>
              </w:rPr>
              <w:t>Due in 1 year</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9,698</w:t>
            </w:r>
          </w:p>
        </w:tc>
        <w:tc>
          <w:tcPr>
            <w:tcW w:w="1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9,671</w:t>
            </w:r>
          </w:p>
        </w:tc>
        <w:tc>
          <w:tcPr>
            <w:tcW w:w="0" w:type="dxa"/>
            <w:vAlign w:val="bottom"/>
          </w:tcPr>
          <w:p>
            <w:pPr>
              <w:spacing w:after="0"/>
              <w:rPr>
                <w:sz w:val="1"/>
                <w:szCs w:val="1"/>
                <w:color w:val="auto"/>
              </w:rPr>
            </w:pPr>
          </w:p>
        </w:tc>
      </w:tr>
      <w:tr>
        <w:trPr>
          <w:trHeight w:val="214"/>
        </w:trPr>
        <w:tc>
          <w:tcPr>
            <w:tcW w:w="7140" w:type="dxa"/>
            <w:vAlign w:val="bottom"/>
            <w:shd w:val="clear" w:color="auto" w:fill="CCEEFF"/>
          </w:tcPr>
          <w:p>
            <w:pPr>
              <w:ind w:left="460"/>
              <w:spacing w:after="0"/>
              <w:rPr>
                <w:sz w:val="20"/>
                <w:szCs w:val="20"/>
                <w:color w:val="auto"/>
              </w:rPr>
            </w:pPr>
            <w:r>
              <w:rPr>
                <w:rFonts w:ascii="Arial" w:cs="Arial" w:eastAsia="Arial" w:hAnsi="Arial"/>
                <w:sz w:val="17"/>
                <w:szCs w:val="17"/>
                <w:color w:val="auto"/>
              </w:rPr>
              <w:t>Subtotal</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9,698</w:t>
            </w:r>
          </w:p>
        </w:tc>
        <w:tc>
          <w:tcPr>
            <w:tcW w:w="12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9,671</w:t>
            </w:r>
          </w:p>
        </w:tc>
        <w:tc>
          <w:tcPr>
            <w:tcW w:w="0" w:type="dxa"/>
            <w:vAlign w:val="bottom"/>
          </w:tcPr>
          <w:p>
            <w:pPr>
              <w:spacing w:after="0"/>
              <w:rPr>
                <w:sz w:val="1"/>
                <w:szCs w:val="1"/>
                <w:color w:val="auto"/>
              </w:rPr>
            </w:pPr>
          </w:p>
        </w:tc>
      </w:tr>
      <w:tr>
        <w:trPr>
          <w:trHeight w:val="207"/>
        </w:trPr>
        <w:tc>
          <w:tcPr>
            <w:tcW w:w="7140" w:type="dxa"/>
            <w:vAlign w:val="bottom"/>
          </w:tcPr>
          <w:p>
            <w:pPr>
              <w:ind w:left="20"/>
              <w:spacing w:after="0"/>
              <w:rPr>
                <w:sz w:val="20"/>
                <w:szCs w:val="20"/>
                <w:color w:val="auto"/>
              </w:rPr>
            </w:pPr>
            <w:r>
              <w:rPr>
                <w:rFonts w:ascii="Arial" w:cs="Arial" w:eastAsia="Arial" w:hAnsi="Arial"/>
                <w:sz w:val="17"/>
                <w:szCs w:val="17"/>
                <w:color w:val="auto"/>
              </w:rPr>
              <w:t>Municipal debt securities:</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7140" w:type="dxa"/>
            <w:vAlign w:val="bottom"/>
            <w:shd w:val="clear" w:color="auto" w:fill="CCEEFF"/>
          </w:tcPr>
          <w:p>
            <w:pPr>
              <w:ind w:left="220"/>
              <w:spacing w:after="0"/>
              <w:rPr>
                <w:sz w:val="20"/>
                <w:szCs w:val="20"/>
                <w:color w:val="auto"/>
              </w:rPr>
            </w:pPr>
            <w:r>
              <w:rPr>
                <w:rFonts w:ascii="Arial" w:cs="Arial" w:eastAsia="Arial" w:hAnsi="Arial"/>
                <w:sz w:val="17"/>
                <w:szCs w:val="17"/>
                <w:color w:val="auto"/>
              </w:rPr>
              <w:t>Due in 1 year</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4,906</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4,896</w:t>
            </w:r>
          </w:p>
        </w:tc>
        <w:tc>
          <w:tcPr>
            <w:tcW w:w="0" w:type="dxa"/>
            <w:vAlign w:val="bottom"/>
          </w:tcPr>
          <w:p>
            <w:pPr>
              <w:spacing w:after="0"/>
              <w:rPr>
                <w:sz w:val="1"/>
                <w:szCs w:val="1"/>
                <w:color w:val="auto"/>
              </w:rPr>
            </w:pPr>
          </w:p>
        </w:tc>
      </w:tr>
      <w:tr>
        <w:trPr>
          <w:trHeight w:val="221"/>
        </w:trPr>
        <w:tc>
          <w:tcPr>
            <w:tcW w:w="7140" w:type="dxa"/>
            <w:vAlign w:val="bottom"/>
          </w:tcPr>
          <w:p>
            <w:pPr>
              <w:ind w:left="220"/>
              <w:spacing w:after="0"/>
              <w:rPr>
                <w:sz w:val="20"/>
                <w:szCs w:val="20"/>
                <w:color w:val="auto"/>
              </w:rPr>
            </w:pPr>
            <w:r>
              <w:rPr>
                <w:rFonts w:ascii="Arial" w:cs="Arial" w:eastAsia="Arial" w:hAnsi="Arial"/>
                <w:sz w:val="17"/>
                <w:szCs w:val="17"/>
                <w:color w:val="auto"/>
              </w:rPr>
              <w:t>Due after 1 but within 5 years</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7"/>
                <w:szCs w:val="17"/>
                <w:color w:val="auto"/>
              </w:rPr>
              <w:t>91,150</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7"/>
                <w:szCs w:val="17"/>
                <w:color w:val="auto"/>
              </w:rPr>
              <w:t>87,755</w:t>
            </w:r>
          </w:p>
        </w:tc>
        <w:tc>
          <w:tcPr>
            <w:tcW w:w="0" w:type="dxa"/>
            <w:vAlign w:val="bottom"/>
          </w:tcPr>
          <w:p>
            <w:pPr>
              <w:spacing w:after="0"/>
              <w:rPr>
                <w:sz w:val="1"/>
                <w:szCs w:val="1"/>
                <w:color w:val="auto"/>
              </w:rPr>
            </w:pPr>
          </w:p>
        </w:tc>
      </w:tr>
      <w:tr>
        <w:trPr>
          <w:trHeight w:val="234"/>
        </w:trPr>
        <w:tc>
          <w:tcPr>
            <w:tcW w:w="7140" w:type="dxa"/>
            <w:vAlign w:val="bottom"/>
            <w:shd w:val="clear" w:color="auto" w:fill="CCEEFF"/>
          </w:tcPr>
          <w:p>
            <w:pPr>
              <w:ind w:left="220"/>
              <w:spacing w:after="0"/>
              <w:rPr>
                <w:sz w:val="20"/>
                <w:szCs w:val="20"/>
                <w:color w:val="auto"/>
              </w:rPr>
            </w:pPr>
            <w:r>
              <w:rPr>
                <w:rFonts w:ascii="Arial" w:cs="Arial" w:eastAsia="Arial" w:hAnsi="Arial"/>
                <w:sz w:val="17"/>
                <w:szCs w:val="17"/>
                <w:color w:val="auto"/>
              </w:rPr>
              <w:t>Due after 5 but within 10 years</w:t>
            </w: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175,677</w:t>
            </w:r>
          </w:p>
        </w:tc>
        <w:tc>
          <w:tcPr>
            <w:tcW w:w="12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165,374</w:t>
            </w:r>
          </w:p>
        </w:tc>
        <w:tc>
          <w:tcPr>
            <w:tcW w:w="0" w:type="dxa"/>
            <w:vAlign w:val="bottom"/>
          </w:tcPr>
          <w:p>
            <w:pPr>
              <w:spacing w:after="0"/>
              <w:rPr>
                <w:sz w:val="1"/>
                <w:szCs w:val="1"/>
                <w:color w:val="auto"/>
              </w:rPr>
            </w:pPr>
          </w:p>
        </w:tc>
      </w:tr>
      <w:tr>
        <w:trPr>
          <w:trHeight w:val="221"/>
        </w:trPr>
        <w:tc>
          <w:tcPr>
            <w:tcW w:w="7140" w:type="dxa"/>
            <w:vAlign w:val="bottom"/>
          </w:tcPr>
          <w:p>
            <w:pPr>
              <w:ind w:left="220"/>
              <w:spacing w:after="0"/>
              <w:rPr>
                <w:sz w:val="20"/>
                <w:szCs w:val="20"/>
                <w:color w:val="auto"/>
              </w:rPr>
            </w:pPr>
            <w:r>
              <w:rPr>
                <w:rFonts w:ascii="Arial" w:cs="Arial" w:eastAsia="Arial" w:hAnsi="Arial"/>
                <w:sz w:val="17"/>
                <w:szCs w:val="17"/>
                <w:color w:val="auto"/>
              </w:rPr>
              <w:t>Due after 10 years</w:t>
            </w:r>
          </w:p>
        </w:tc>
        <w:tc>
          <w:tcPr>
            <w:tcW w:w="10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374,325</w:t>
            </w:r>
          </w:p>
        </w:tc>
        <w:tc>
          <w:tcPr>
            <w:tcW w:w="12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342,137</w:t>
            </w:r>
          </w:p>
        </w:tc>
        <w:tc>
          <w:tcPr>
            <w:tcW w:w="0" w:type="dxa"/>
            <w:vAlign w:val="bottom"/>
          </w:tcPr>
          <w:p>
            <w:pPr>
              <w:spacing w:after="0"/>
              <w:rPr>
                <w:sz w:val="1"/>
                <w:szCs w:val="1"/>
                <w:color w:val="auto"/>
              </w:rPr>
            </w:pPr>
          </w:p>
        </w:tc>
      </w:tr>
      <w:tr>
        <w:trPr>
          <w:trHeight w:val="214"/>
        </w:trPr>
        <w:tc>
          <w:tcPr>
            <w:tcW w:w="714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7"/>
                <w:szCs w:val="17"/>
                <w:color w:val="auto"/>
              </w:rPr>
              <w:t>Subtotal</w:t>
            </w:r>
          </w:p>
        </w:tc>
        <w:tc>
          <w:tcPr>
            <w:tcW w:w="10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646,058</w:t>
            </w:r>
          </w:p>
        </w:tc>
        <w:tc>
          <w:tcPr>
            <w:tcW w:w="12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600,162</w:t>
            </w:r>
          </w:p>
        </w:tc>
        <w:tc>
          <w:tcPr>
            <w:tcW w:w="0" w:type="dxa"/>
            <w:vAlign w:val="bottom"/>
          </w:tcPr>
          <w:p>
            <w:pPr>
              <w:spacing w:after="0"/>
              <w:rPr>
                <w:sz w:val="1"/>
                <w:szCs w:val="1"/>
                <w:color w:val="auto"/>
              </w:rPr>
            </w:pPr>
          </w:p>
        </w:tc>
      </w:tr>
      <w:tr>
        <w:trPr>
          <w:trHeight w:val="214"/>
        </w:trPr>
        <w:tc>
          <w:tcPr>
            <w:tcW w:w="7140" w:type="dxa"/>
            <w:vAlign w:val="bottom"/>
          </w:tcPr>
          <w:p>
            <w:pPr>
              <w:ind w:left="20"/>
              <w:spacing w:after="0"/>
              <w:rPr>
                <w:sz w:val="20"/>
                <w:szCs w:val="20"/>
                <w:color w:val="auto"/>
              </w:rPr>
            </w:pPr>
            <w:r>
              <w:rPr>
                <w:rFonts w:ascii="Arial" w:cs="Arial" w:eastAsia="Arial" w:hAnsi="Arial"/>
                <w:sz w:val="17"/>
                <w:szCs w:val="17"/>
                <w:color w:val="auto"/>
              </w:rPr>
              <w:t>Non-U.S. government securities:</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140" w:type="dxa"/>
            <w:vAlign w:val="bottom"/>
            <w:shd w:val="clear" w:color="auto" w:fill="CCEEFF"/>
          </w:tcPr>
          <w:p>
            <w:pPr>
              <w:ind w:left="220"/>
              <w:spacing w:after="0"/>
              <w:rPr>
                <w:sz w:val="20"/>
                <w:szCs w:val="20"/>
                <w:color w:val="auto"/>
              </w:rPr>
            </w:pPr>
            <w:r>
              <w:rPr>
                <w:rFonts w:ascii="Arial" w:cs="Arial" w:eastAsia="Arial" w:hAnsi="Arial"/>
                <w:sz w:val="17"/>
                <w:szCs w:val="17"/>
                <w:color w:val="auto"/>
              </w:rPr>
              <w:t>Due after 1 but within 5 years</w:t>
            </w: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32,128</w:t>
            </w:r>
          </w:p>
        </w:tc>
        <w:tc>
          <w:tcPr>
            <w:tcW w:w="12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30,877</w:t>
            </w:r>
          </w:p>
        </w:tc>
        <w:tc>
          <w:tcPr>
            <w:tcW w:w="0" w:type="dxa"/>
            <w:vAlign w:val="bottom"/>
          </w:tcPr>
          <w:p>
            <w:pPr>
              <w:spacing w:after="0"/>
              <w:rPr>
                <w:sz w:val="1"/>
                <w:szCs w:val="1"/>
                <w:color w:val="auto"/>
              </w:rPr>
            </w:pPr>
          </w:p>
        </w:tc>
      </w:tr>
      <w:tr>
        <w:trPr>
          <w:trHeight w:val="221"/>
        </w:trPr>
        <w:tc>
          <w:tcPr>
            <w:tcW w:w="7140" w:type="dxa"/>
            <w:vAlign w:val="bottom"/>
          </w:tcPr>
          <w:p>
            <w:pPr>
              <w:ind w:left="220"/>
              <w:spacing w:after="0"/>
              <w:rPr>
                <w:sz w:val="20"/>
                <w:szCs w:val="20"/>
                <w:color w:val="auto"/>
              </w:rPr>
            </w:pPr>
            <w:r>
              <w:rPr>
                <w:rFonts w:ascii="Arial" w:cs="Arial" w:eastAsia="Arial" w:hAnsi="Arial"/>
                <w:sz w:val="17"/>
                <w:szCs w:val="17"/>
                <w:color w:val="auto"/>
              </w:rPr>
              <w:t>Due after 5 but within 10 years</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7"/>
                <w:szCs w:val="17"/>
                <w:color w:val="auto"/>
              </w:rPr>
              <w:t>5,065</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7"/>
                <w:szCs w:val="17"/>
                <w:color w:val="auto"/>
              </w:rPr>
              <w:t>4,114</w:t>
            </w:r>
          </w:p>
        </w:tc>
        <w:tc>
          <w:tcPr>
            <w:tcW w:w="0" w:type="dxa"/>
            <w:vAlign w:val="bottom"/>
          </w:tcPr>
          <w:p>
            <w:pPr>
              <w:spacing w:after="0"/>
              <w:rPr>
                <w:sz w:val="1"/>
                <w:szCs w:val="1"/>
                <w:color w:val="auto"/>
              </w:rPr>
            </w:pPr>
          </w:p>
        </w:tc>
      </w:tr>
      <w:tr>
        <w:trPr>
          <w:trHeight w:val="221"/>
        </w:trPr>
        <w:tc>
          <w:tcPr>
            <w:tcW w:w="71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7"/>
                <w:szCs w:val="17"/>
                <w:color w:val="auto"/>
              </w:rPr>
              <w:t>Due after 10 years</w:t>
            </w:r>
          </w:p>
        </w:tc>
        <w:tc>
          <w:tcPr>
            <w:tcW w:w="1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20,252</w:t>
            </w:r>
          </w:p>
        </w:tc>
        <w:tc>
          <w:tcPr>
            <w:tcW w:w="12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15,562</w:t>
            </w:r>
          </w:p>
        </w:tc>
        <w:tc>
          <w:tcPr>
            <w:tcW w:w="0" w:type="dxa"/>
            <w:vAlign w:val="bottom"/>
          </w:tcPr>
          <w:p>
            <w:pPr>
              <w:spacing w:after="0"/>
              <w:rPr>
                <w:sz w:val="1"/>
                <w:szCs w:val="1"/>
                <w:color w:val="auto"/>
              </w:rPr>
            </w:pPr>
          </w:p>
        </w:tc>
      </w:tr>
      <w:tr>
        <w:trPr>
          <w:trHeight w:val="220"/>
        </w:trPr>
        <w:tc>
          <w:tcPr>
            <w:tcW w:w="7140" w:type="dxa"/>
            <w:vAlign w:val="bottom"/>
            <w:tcBorders>
              <w:bottom w:val="single" w:sz="8" w:color="CCEEFF"/>
            </w:tcBorders>
          </w:tcPr>
          <w:p>
            <w:pPr>
              <w:ind w:left="460"/>
              <w:spacing w:after="0"/>
              <w:rPr>
                <w:sz w:val="20"/>
                <w:szCs w:val="20"/>
                <w:color w:val="auto"/>
              </w:rPr>
            </w:pPr>
            <w:r>
              <w:rPr>
                <w:rFonts w:ascii="Arial" w:cs="Arial" w:eastAsia="Arial" w:hAnsi="Arial"/>
                <w:sz w:val="17"/>
                <w:szCs w:val="17"/>
                <w:color w:val="auto"/>
              </w:rPr>
              <w:t>Subtotal</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57,445</w:t>
            </w:r>
          </w:p>
        </w:tc>
        <w:tc>
          <w:tcPr>
            <w:tcW w:w="1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50,553</w:t>
            </w:r>
          </w:p>
        </w:tc>
        <w:tc>
          <w:tcPr>
            <w:tcW w:w="0" w:type="dxa"/>
            <w:vAlign w:val="bottom"/>
          </w:tcPr>
          <w:p>
            <w:pPr>
              <w:spacing w:after="0"/>
              <w:rPr>
                <w:sz w:val="1"/>
                <w:szCs w:val="1"/>
                <w:color w:val="auto"/>
              </w:rPr>
            </w:pPr>
          </w:p>
        </w:tc>
      </w:tr>
      <w:tr>
        <w:trPr>
          <w:trHeight w:val="207"/>
        </w:trPr>
        <w:tc>
          <w:tcPr>
            <w:tcW w:w="7140" w:type="dxa"/>
            <w:vAlign w:val="bottom"/>
            <w:shd w:val="clear" w:color="auto" w:fill="CCEEFF"/>
          </w:tcPr>
          <w:p>
            <w:pPr>
              <w:ind w:left="20"/>
              <w:spacing w:after="0"/>
              <w:rPr>
                <w:sz w:val="20"/>
                <w:szCs w:val="20"/>
                <w:color w:val="auto"/>
              </w:rPr>
            </w:pPr>
            <w:r>
              <w:rPr>
                <w:rFonts w:ascii="Arial" w:cs="Arial" w:eastAsia="Arial" w:hAnsi="Arial"/>
                <w:sz w:val="17"/>
                <w:szCs w:val="17"/>
                <w:color w:val="auto"/>
              </w:rPr>
              <w:t>Corporate debt securities:</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7140" w:type="dxa"/>
            <w:vAlign w:val="bottom"/>
          </w:tcPr>
          <w:p>
            <w:pPr>
              <w:ind w:left="220"/>
              <w:spacing w:after="0"/>
              <w:rPr>
                <w:sz w:val="20"/>
                <w:szCs w:val="20"/>
                <w:color w:val="auto"/>
              </w:rPr>
            </w:pPr>
            <w:r>
              <w:rPr>
                <w:rFonts w:ascii="Arial" w:cs="Arial" w:eastAsia="Arial" w:hAnsi="Arial"/>
                <w:sz w:val="17"/>
                <w:szCs w:val="17"/>
                <w:color w:val="auto"/>
              </w:rPr>
              <w:t>Due in 1 year</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7"/>
                <w:szCs w:val="17"/>
                <w:color w:val="auto"/>
              </w:rPr>
              <w:t>197,737</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7"/>
                <w:szCs w:val="17"/>
                <w:color w:val="auto"/>
              </w:rPr>
              <w:t>194,606</w:t>
            </w:r>
          </w:p>
        </w:tc>
        <w:tc>
          <w:tcPr>
            <w:tcW w:w="0" w:type="dxa"/>
            <w:vAlign w:val="bottom"/>
          </w:tcPr>
          <w:p>
            <w:pPr>
              <w:spacing w:after="0"/>
              <w:rPr>
                <w:sz w:val="1"/>
                <w:szCs w:val="1"/>
                <w:color w:val="auto"/>
              </w:rPr>
            </w:pPr>
          </w:p>
        </w:tc>
      </w:tr>
      <w:tr>
        <w:trPr>
          <w:trHeight w:val="227"/>
        </w:trPr>
        <w:tc>
          <w:tcPr>
            <w:tcW w:w="7140" w:type="dxa"/>
            <w:vAlign w:val="bottom"/>
            <w:shd w:val="clear" w:color="auto" w:fill="CCEEFF"/>
          </w:tcPr>
          <w:p>
            <w:pPr>
              <w:ind w:left="220"/>
              <w:spacing w:after="0"/>
              <w:rPr>
                <w:sz w:val="20"/>
                <w:szCs w:val="20"/>
                <w:color w:val="auto"/>
              </w:rPr>
            </w:pPr>
            <w:r>
              <w:rPr>
                <w:rFonts w:ascii="Arial" w:cs="Arial" w:eastAsia="Arial" w:hAnsi="Arial"/>
                <w:sz w:val="17"/>
                <w:szCs w:val="17"/>
                <w:color w:val="auto"/>
              </w:rPr>
              <w:t>Due after 1 but within 5 years</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584,412</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550,847</w:t>
            </w:r>
          </w:p>
        </w:tc>
        <w:tc>
          <w:tcPr>
            <w:tcW w:w="0" w:type="dxa"/>
            <w:vAlign w:val="bottom"/>
          </w:tcPr>
          <w:p>
            <w:pPr>
              <w:spacing w:after="0"/>
              <w:rPr>
                <w:sz w:val="1"/>
                <w:szCs w:val="1"/>
                <w:color w:val="auto"/>
              </w:rPr>
            </w:pPr>
          </w:p>
        </w:tc>
      </w:tr>
      <w:tr>
        <w:trPr>
          <w:trHeight w:val="221"/>
        </w:trPr>
        <w:tc>
          <w:tcPr>
            <w:tcW w:w="7140" w:type="dxa"/>
            <w:vAlign w:val="bottom"/>
          </w:tcPr>
          <w:p>
            <w:pPr>
              <w:ind w:left="220"/>
              <w:spacing w:after="0"/>
              <w:rPr>
                <w:sz w:val="20"/>
                <w:szCs w:val="20"/>
                <w:color w:val="auto"/>
              </w:rPr>
            </w:pPr>
            <w:r>
              <w:rPr>
                <w:rFonts w:ascii="Arial" w:cs="Arial" w:eastAsia="Arial" w:hAnsi="Arial"/>
                <w:sz w:val="17"/>
                <w:szCs w:val="17"/>
                <w:color w:val="auto"/>
              </w:rPr>
              <w:t>Due after 5 but within 10 years</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7"/>
                <w:szCs w:val="17"/>
                <w:color w:val="auto"/>
              </w:rPr>
              <w:t>476,475</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7"/>
                <w:szCs w:val="17"/>
                <w:color w:val="auto"/>
              </w:rPr>
              <w:t>421,678</w:t>
            </w:r>
          </w:p>
        </w:tc>
        <w:tc>
          <w:tcPr>
            <w:tcW w:w="0" w:type="dxa"/>
            <w:vAlign w:val="bottom"/>
          </w:tcPr>
          <w:p>
            <w:pPr>
              <w:spacing w:after="0"/>
              <w:rPr>
                <w:sz w:val="1"/>
                <w:szCs w:val="1"/>
                <w:color w:val="auto"/>
              </w:rPr>
            </w:pPr>
          </w:p>
        </w:tc>
      </w:tr>
      <w:tr>
        <w:trPr>
          <w:trHeight w:val="234"/>
        </w:trPr>
        <w:tc>
          <w:tcPr>
            <w:tcW w:w="7140" w:type="dxa"/>
            <w:vAlign w:val="bottom"/>
            <w:shd w:val="clear" w:color="auto" w:fill="CCEEFF"/>
          </w:tcPr>
          <w:p>
            <w:pPr>
              <w:ind w:left="220"/>
              <w:spacing w:after="0"/>
              <w:rPr>
                <w:sz w:val="20"/>
                <w:szCs w:val="20"/>
                <w:color w:val="auto"/>
              </w:rPr>
            </w:pPr>
            <w:r>
              <w:rPr>
                <w:rFonts w:ascii="Arial" w:cs="Arial" w:eastAsia="Arial" w:hAnsi="Arial"/>
                <w:sz w:val="17"/>
                <w:szCs w:val="17"/>
                <w:color w:val="auto"/>
              </w:rPr>
              <w:t>Due after 10 years</w:t>
            </w:r>
          </w:p>
        </w:tc>
        <w:tc>
          <w:tcPr>
            <w:tcW w:w="100" w:type="dxa"/>
            <w:vAlign w:val="bottom"/>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spacing w:after="0"/>
              <w:rPr>
                <w:sz w:val="20"/>
                <w:szCs w:val="20"/>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214,379</w:t>
            </w:r>
          </w:p>
        </w:tc>
        <w:tc>
          <w:tcPr>
            <w:tcW w:w="120" w:type="dxa"/>
            <w:vAlign w:val="bottom"/>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spacing w:after="0"/>
              <w:rPr>
                <w:sz w:val="20"/>
                <w:szCs w:val="20"/>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182,090</w:t>
            </w:r>
          </w:p>
        </w:tc>
        <w:tc>
          <w:tcPr>
            <w:tcW w:w="0" w:type="dxa"/>
            <w:vAlign w:val="bottom"/>
          </w:tcPr>
          <w:p>
            <w:pPr>
              <w:spacing w:after="0"/>
              <w:rPr>
                <w:sz w:val="1"/>
                <w:szCs w:val="1"/>
                <w:color w:val="auto"/>
              </w:rPr>
            </w:pPr>
          </w:p>
        </w:tc>
      </w:tr>
      <w:tr>
        <w:trPr>
          <w:trHeight w:val="214"/>
        </w:trPr>
        <w:tc>
          <w:tcPr>
            <w:tcW w:w="7140" w:type="dxa"/>
            <w:vAlign w:val="bottom"/>
          </w:tcPr>
          <w:p>
            <w:pPr>
              <w:ind w:left="460"/>
              <w:spacing w:after="0"/>
              <w:rPr>
                <w:sz w:val="20"/>
                <w:szCs w:val="20"/>
                <w:color w:val="auto"/>
              </w:rPr>
            </w:pPr>
            <w:r>
              <w:rPr>
                <w:rFonts w:ascii="Arial" w:cs="Arial" w:eastAsia="Arial" w:hAnsi="Arial"/>
                <w:sz w:val="17"/>
                <w:szCs w:val="17"/>
                <w:color w:val="auto"/>
              </w:rPr>
              <w:t>Subtotal</w:t>
            </w:r>
          </w:p>
        </w:tc>
        <w:tc>
          <w:tcPr>
            <w:tcW w:w="10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1,473,003</w:t>
            </w:r>
          </w:p>
        </w:tc>
        <w:tc>
          <w:tcPr>
            <w:tcW w:w="12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1,349,221</w:t>
            </w:r>
          </w:p>
        </w:tc>
        <w:tc>
          <w:tcPr>
            <w:tcW w:w="0" w:type="dxa"/>
            <w:vAlign w:val="bottom"/>
          </w:tcPr>
          <w:p>
            <w:pPr>
              <w:spacing w:after="0"/>
              <w:rPr>
                <w:sz w:val="1"/>
                <w:szCs w:val="1"/>
                <w:color w:val="auto"/>
              </w:rPr>
            </w:pPr>
          </w:p>
        </w:tc>
      </w:tr>
      <w:tr>
        <w:trPr>
          <w:trHeight w:val="214"/>
        </w:trPr>
        <w:tc>
          <w:tcPr>
            <w:tcW w:w="7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U.S. agency mortgage-backed securities</w:t>
            </w:r>
          </w:p>
        </w:tc>
        <w:tc>
          <w:tcPr>
            <w:tcW w:w="10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923,927</w:t>
            </w:r>
          </w:p>
        </w:tc>
        <w:tc>
          <w:tcPr>
            <w:tcW w:w="12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810,108</w:t>
            </w:r>
          </w:p>
        </w:tc>
        <w:tc>
          <w:tcPr>
            <w:tcW w:w="0" w:type="dxa"/>
            <w:vAlign w:val="bottom"/>
          </w:tcPr>
          <w:p>
            <w:pPr>
              <w:spacing w:after="0"/>
              <w:rPr>
                <w:sz w:val="1"/>
                <w:szCs w:val="1"/>
                <w:color w:val="auto"/>
              </w:rPr>
            </w:pPr>
          </w:p>
        </w:tc>
      </w:tr>
      <w:tr>
        <w:trPr>
          <w:trHeight w:val="220"/>
        </w:trPr>
        <w:tc>
          <w:tcPr>
            <w:tcW w:w="714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Residential and commercial mortgage securities</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575,624</w:t>
            </w:r>
          </w:p>
        </w:tc>
        <w:tc>
          <w:tcPr>
            <w:tcW w:w="1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510,350</w:t>
            </w:r>
          </w:p>
        </w:tc>
        <w:tc>
          <w:tcPr>
            <w:tcW w:w="0" w:type="dxa"/>
            <w:vAlign w:val="bottom"/>
          </w:tcPr>
          <w:p>
            <w:pPr>
              <w:spacing w:after="0"/>
              <w:rPr>
                <w:sz w:val="1"/>
                <w:szCs w:val="1"/>
                <w:color w:val="auto"/>
              </w:rPr>
            </w:pPr>
          </w:p>
        </w:tc>
      </w:tr>
      <w:tr>
        <w:trPr>
          <w:trHeight w:val="220"/>
        </w:trPr>
        <w:tc>
          <w:tcPr>
            <w:tcW w:w="7140" w:type="dxa"/>
            <w:vAlign w:val="bottom"/>
            <w:shd w:val="clear" w:color="auto" w:fill="CCEEFF"/>
          </w:tcPr>
          <w:p>
            <w:pPr>
              <w:ind w:left="20"/>
              <w:spacing w:after="0"/>
              <w:rPr>
                <w:sz w:val="20"/>
                <w:szCs w:val="20"/>
                <w:color w:val="auto"/>
              </w:rPr>
            </w:pPr>
            <w:r>
              <w:rPr>
                <w:rFonts w:ascii="Arial" w:cs="Arial" w:eastAsia="Arial" w:hAnsi="Arial"/>
                <w:sz w:val="17"/>
                <w:szCs w:val="17"/>
                <w:color w:val="auto"/>
              </w:rPr>
              <w:t>Asset-backed securities</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668,462</w:t>
            </w:r>
          </w:p>
        </w:tc>
        <w:tc>
          <w:tcPr>
            <w:tcW w:w="12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634,910</w:t>
            </w:r>
          </w:p>
        </w:tc>
        <w:tc>
          <w:tcPr>
            <w:tcW w:w="0" w:type="dxa"/>
            <w:vAlign w:val="bottom"/>
          </w:tcPr>
          <w:p>
            <w:pPr>
              <w:spacing w:after="0"/>
              <w:rPr>
                <w:sz w:val="1"/>
                <w:szCs w:val="1"/>
                <w:color w:val="auto"/>
              </w:rPr>
            </w:pPr>
          </w:p>
        </w:tc>
      </w:tr>
      <w:tr>
        <w:trPr>
          <w:trHeight w:val="214"/>
        </w:trPr>
        <w:tc>
          <w:tcPr>
            <w:tcW w:w="7140" w:type="dxa"/>
            <w:vAlign w:val="bottom"/>
          </w:tcPr>
          <w:p>
            <w:pPr>
              <w:ind w:left="20"/>
              <w:spacing w:after="0"/>
              <w:rPr>
                <w:sz w:val="20"/>
                <w:szCs w:val="20"/>
                <w:color w:val="auto"/>
              </w:rPr>
            </w:pPr>
            <w:r>
              <w:rPr>
                <w:rFonts w:ascii="Arial" w:cs="Arial" w:eastAsia="Arial" w:hAnsi="Arial"/>
                <w:sz w:val="17"/>
                <w:szCs w:val="17"/>
                <w:color w:val="auto"/>
              </w:rPr>
              <w:t>Money market funds</w:t>
            </w:r>
          </w:p>
        </w:tc>
        <w:tc>
          <w:tcPr>
            <w:tcW w:w="10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413,533</w:t>
            </w:r>
          </w:p>
        </w:tc>
        <w:tc>
          <w:tcPr>
            <w:tcW w:w="12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413,533</w:t>
            </w:r>
          </w:p>
        </w:tc>
        <w:tc>
          <w:tcPr>
            <w:tcW w:w="0" w:type="dxa"/>
            <w:vAlign w:val="bottom"/>
          </w:tcPr>
          <w:p>
            <w:pPr>
              <w:spacing w:after="0"/>
              <w:rPr>
                <w:sz w:val="1"/>
                <w:szCs w:val="1"/>
                <w:color w:val="auto"/>
              </w:rPr>
            </w:pPr>
          </w:p>
        </w:tc>
      </w:tr>
      <w:tr>
        <w:trPr>
          <w:trHeight w:val="240"/>
        </w:trPr>
        <w:tc>
          <w:tcPr>
            <w:tcW w:w="7140" w:type="dxa"/>
            <w:vAlign w:val="bottom"/>
            <w:shd w:val="clear" w:color="auto" w:fill="CCEEFF"/>
          </w:tcPr>
          <w:p>
            <w:pPr>
              <w:ind w:left="20"/>
              <w:spacing w:after="0"/>
              <w:rPr>
                <w:sz w:val="20"/>
                <w:szCs w:val="20"/>
                <w:color w:val="auto"/>
              </w:rPr>
            </w:pPr>
            <w:r>
              <w:rPr>
                <w:rFonts w:ascii="Arial" w:cs="Arial" w:eastAsia="Arial" w:hAnsi="Arial"/>
                <w:sz w:val="17"/>
                <w:szCs w:val="17"/>
                <w:color w:val="auto"/>
              </w:rPr>
              <w:t>Total investments available for sale</w:t>
            </w:r>
          </w:p>
        </w:tc>
        <w:tc>
          <w:tcPr>
            <w:tcW w:w="48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5,438,287</w:t>
            </w:r>
          </w:p>
        </w:tc>
        <w:tc>
          <w:tcPr>
            <w:tcW w:w="560" w:type="dxa"/>
            <w:vAlign w:val="bottom"/>
            <w:gridSpan w:val="2"/>
            <w:shd w:val="clear" w:color="auto" w:fill="CCEEFF"/>
          </w:tcPr>
          <w:p>
            <w:pPr>
              <w:jc w:val="right"/>
              <w:ind w:right="340"/>
              <w:spacing w:after="0"/>
              <w:rPr>
                <w:sz w:val="20"/>
                <w:szCs w:val="20"/>
                <w:color w:val="auto"/>
              </w:rPr>
            </w:pPr>
            <w:r>
              <w:rPr>
                <w:rFonts w:ascii="Arial" w:cs="Arial" w:eastAsia="Arial" w:hAnsi="Arial"/>
                <w:sz w:val="17"/>
                <w:szCs w:val="17"/>
                <w:color w:val="auto"/>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5,022,094</w:t>
            </w:r>
          </w:p>
        </w:tc>
        <w:tc>
          <w:tcPr>
            <w:tcW w:w="0" w:type="dxa"/>
            <w:vAlign w:val="bottom"/>
          </w:tcPr>
          <w:p>
            <w:pPr>
              <w:spacing w:after="0"/>
              <w:rPr>
                <w:sz w:val="1"/>
                <w:szCs w:val="1"/>
                <w:color w:val="auto"/>
              </w:rPr>
            </w:pPr>
          </w:p>
        </w:tc>
      </w:tr>
      <w:tr>
        <w:trPr>
          <w:trHeight w:val="20"/>
        </w:trPr>
        <w:tc>
          <w:tcPr>
            <w:tcW w:w="7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9"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components of realized investment (losses) gains, net on the condensed consolidated statements of comprehensive income were as follows:</w:t>
      </w:r>
    </w:p>
    <w:p>
      <w:pPr>
        <w:spacing w:after="0" w:line="351"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40" w:type="dxa"/>
            <w:vAlign w:val="bottom"/>
          </w:tcPr>
          <w:p>
            <w:pPr>
              <w:spacing w:after="0"/>
              <w:rPr>
                <w:sz w:val="15"/>
                <w:szCs w:val="15"/>
                <w:color w:val="auto"/>
              </w:rPr>
            </w:pPr>
          </w:p>
        </w:tc>
        <w:tc>
          <w:tcPr>
            <w:tcW w:w="5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700" w:type="dxa"/>
            <w:vAlign w:val="bottom"/>
            <w:gridSpan w:val="4"/>
          </w:tcPr>
          <w:p>
            <w:pPr>
              <w:jc w:val="right"/>
              <w:ind w:right="498"/>
              <w:spacing w:after="0"/>
              <w:rPr>
                <w:sz w:val="20"/>
                <w:szCs w:val="20"/>
                <w:color w:val="auto"/>
              </w:rPr>
            </w:pPr>
            <w:r>
              <w:rPr>
                <w:rFonts w:ascii="Arial" w:cs="Arial" w:eastAsia="Arial" w:hAnsi="Arial"/>
                <w:sz w:val="14"/>
                <w:szCs w:val="14"/>
                <w:b w:val="1"/>
                <w:bCs w:val="1"/>
                <w:color w:val="auto"/>
              </w:rPr>
              <w:t>Three Months Ended June 30,</w:t>
            </w: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660" w:type="dxa"/>
            <w:vAlign w:val="bottom"/>
            <w:gridSpan w:val="5"/>
          </w:tcPr>
          <w:p>
            <w:pPr>
              <w:ind w:left="340"/>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25"/>
        </w:trPr>
        <w:tc>
          <w:tcPr>
            <w:tcW w:w="40" w:type="dxa"/>
            <w:vAlign w:val="bottom"/>
          </w:tcPr>
          <w:p>
            <w:pPr>
              <w:spacing w:after="0"/>
              <w:rPr>
                <w:sz w:val="2"/>
                <w:szCs w:val="2"/>
                <w:color w:val="auto"/>
              </w:rPr>
            </w:pPr>
          </w:p>
        </w:tc>
        <w:tc>
          <w:tcPr>
            <w:tcW w:w="50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100" w:type="dxa"/>
            <w:vAlign w:val="bottom"/>
            <w:vMerge w:val="restart"/>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73"/>
        </w:trPr>
        <w:tc>
          <w:tcPr>
            <w:tcW w:w="40" w:type="dxa"/>
            <w:vAlign w:val="bottom"/>
          </w:tcPr>
          <w:p>
            <w:pPr>
              <w:spacing w:after="0"/>
              <w:rPr>
                <w:sz w:val="15"/>
                <w:szCs w:val="15"/>
                <w:color w:val="auto"/>
              </w:rPr>
            </w:pPr>
          </w:p>
        </w:tc>
        <w:tc>
          <w:tcPr>
            <w:tcW w:w="5020" w:type="dxa"/>
            <w:vAlign w:val="bottom"/>
            <w:tcBorders>
              <w:bottom w:val="single" w:sz="8" w:color="auto"/>
            </w:tcBorders>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519"/>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478"/>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80"/>
              <w:spacing w:after="0"/>
              <w:rPr>
                <w:sz w:val="20"/>
                <w:szCs w:val="20"/>
                <w:color w:val="auto"/>
              </w:rPr>
            </w:pPr>
            <w:r>
              <w:rPr>
                <w:rFonts w:ascii="Arial" w:cs="Arial" w:eastAsia="Arial" w:hAnsi="Arial"/>
                <w:sz w:val="14"/>
                <w:szCs w:val="14"/>
                <w:b w:val="1"/>
                <w:bCs w:val="1"/>
                <w:color w:val="auto"/>
              </w:rPr>
              <w:t>2023</w:t>
            </w:r>
          </w:p>
        </w:tc>
        <w:tc>
          <w:tcPr>
            <w:tcW w:w="12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98"/>
              <w:spacing w:after="0"/>
              <w:rPr>
                <w:sz w:val="20"/>
                <w:szCs w:val="20"/>
                <w:color w:val="auto"/>
              </w:rPr>
            </w:pPr>
            <w:r>
              <w:rPr>
                <w:rFonts w:ascii="Arial" w:cs="Arial" w:eastAsia="Arial" w:hAnsi="Arial"/>
                <w:sz w:val="14"/>
                <w:szCs w:val="14"/>
                <w:b w:val="1"/>
                <w:bCs w:val="1"/>
                <w:color w:val="auto"/>
              </w:rPr>
              <w:t>2022</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8"/>
        </w:trPr>
        <w:tc>
          <w:tcPr>
            <w:tcW w:w="40" w:type="dxa"/>
            <w:vAlign w:val="bottom"/>
          </w:tcPr>
          <w:p>
            <w:pPr>
              <w:spacing w:after="0"/>
              <w:rPr>
                <w:sz w:val="19"/>
                <w:szCs w:val="19"/>
                <w:color w:val="auto"/>
              </w:rPr>
            </w:pPr>
          </w:p>
        </w:tc>
        <w:tc>
          <w:tcPr>
            <w:tcW w:w="512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Realized gross gains</w:t>
            </w:r>
          </w:p>
        </w:tc>
        <w:tc>
          <w:tcPr>
            <w:tcW w:w="260" w:type="dxa"/>
            <w:vAlign w:val="bottom"/>
            <w:shd w:val="clear" w:color="auto" w:fill="CCEEFF"/>
          </w:tcPr>
          <w:p>
            <w:pPr>
              <w:jc w:val="right"/>
              <w:ind w:right="53"/>
              <w:spacing w:after="0"/>
              <w:rPr>
                <w:sz w:val="20"/>
                <w:szCs w:val="20"/>
                <w:color w:val="auto"/>
              </w:rPr>
            </w:pPr>
            <w:r>
              <w:rPr>
                <w:rFonts w:ascii="Arial" w:cs="Arial" w:eastAsia="Arial" w:hAnsi="Arial"/>
                <w:sz w:val="17"/>
                <w:szCs w:val="17"/>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w:t>
            </w:r>
          </w:p>
        </w:tc>
        <w:tc>
          <w:tcPr>
            <w:tcW w:w="44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1060" w:type="dxa"/>
            <w:vAlign w:val="bottom"/>
            <w:shd w:val="clear" w:color="auto" w:fill="CCEEFF"/>
          </w:tcPr>
          <w:p>
            <w:pPr>
              <w:jc w:val="center"/>
              <w:ind w:left="598"/>
              <w:spacing w:after="0"/>
              <w:rPr>
                <w:sz w:val="20"/>
                <w:szCs w:val="20"/>
                <w:color w:val="auto"/>
              </w:rPr>
            </w:pPr>
            <w:r>
              <w:rPr>
                <w:rFonts w:ascii="Arial" w:cs="Arial" w:eastAsia="Arial" w:hAnsi="Arial"/>
                <w:sz w:val="17"/>
                <w:szCs w:val="17"/>
                <w:color w:val="auto"/>
                <w:w w:val="91"/>
              </w:rPr>
              <w:t>171</w:t>
            </w:r>
          </w:p>
        </w:tc>
        <w:tc>
          <w:tcPr>
            <w:tcW w:w="46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892</w:t>
            </w:r>
          </w:p>
        </w:tc>
        <w:tc>
          <w:tcPr>
            <w:tcW w:w="46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12,747</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40" w:type="dxa"/>
            <w:vAlign w:val="bottom"/>
          </w:tcPr>
          <w:p>
            <w:pPr>
              <w:spacing w:after="0"/>
              <w:rPr>
                <w:sz w:val="19"/>
                <w:szCs w:val="19"/>
                <w:color w:val="auto"/>
              </w:rPr>
            </w:pPr>
          </w:p>
        </w:tc>
        <w:tc>
          <w:tcPr>
            <w:tcW w:w="5120" w:type="dxa"/>
            <w:vAlign w:val="bottom"/>
            <w:gridSpan w:val="2"/>
          </w:tcPr>
          <w:p>
            <w:pPr>
              <w:ind w:left="20"/>
              <w:spacing w:after="0"/>
              <w:rPr>
                <w:sz w:val="20"/>
                <w:szCs w:val="20"/>
                <w:color w:val="auto"/>
              </w:rPr>
            </w:pPr>
            <w:r>
              <w:rPr>
                <w:rFonts w:ascii="Arial" w:cs="Arial" w:eastAsia="Arial" w:hAnsi="Arial"/>
                <w:sz w:val="17"/>
                <w:szCs w:val="17"/>
                <w:color w:val="auto"/>
              </w:rPr>
              <w:t>Realized gross losses</w:t>
            </w:r>
          </w:p>
        </w:tc>
        <w:tc>
          <w:tcPr>
            <w:tcW w:w="2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(1,436)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center"/>
              <w:ind w:left="578"/>
              <w:spacing w:after="0"/>
              <w:rPr>
                <w:sz w:val="20"/>
                <w:szCs w:val="20"/>
                <w:color w:val="auto"/>
              </w:rPr>
            </w:pPr>
            <w:r>
              <w:rPr>
                <w:rFonts w:ascii="Arial" w:cs="Arial" w:eastAsia="Arial" w:hAnsi="Arial"/>
                <w:sz w:val="17"/>
                <w:szCs w:val="17"/>
                <w:color w:val="auto"/>
                <w:w w:val="90"/>
              </w:rPr>
              <w:t>(173)</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(2,793)</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(13,264)</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40" w:type="dxa"/>
            <w:vAlign w:val="bottom"/>
          </w:tcPr>
          <w:p>
            <w:pPr>
              <w:spacing w:after="0"/>
              <w:rPr>
                <w:sz w:val="19"/>
                <w:szCs w:val="19"/>
                <w:color w:val="auto"/>
              </w:rPr>
            </w:pPr>
          </w:p>
        </w:tc>
        <w:tc>
          <w:tcPr>
            <w:tcW w:w="512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Impairment loss</w:t>
            </w: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center"/>
              <w:ind w:left="578"/>
              <w:spacing w:after="0"/>
              <w:rPr>
                <w:sz w:val="20"/>
                <w:szCs w:val="20"/>
                <w:color w:val="auto"/>
              </w:rPr>
            </w:pPr>
            <w:r>
              <w:rPr>
                <w:rFonts w:ascii="Arial" w:cs="Arial" w:eastAsia="Arial" w:hAnsi="Arial"/>
                <w:sz w:val="17"/>
                <w:szCs w:val="17"/>
                <w:color w:val="auto"/>
                <w:w w:val="90"/>
              </w:rPr>
              <w:t>(469)</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(176)</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(7,306)</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70"/>
        </w:trPr>
        <w:tc>
          <w:tcPr>
            <w:tcW w:w="40" w:type="dxa"/>
            <w:vAlign w:val="bottom"/>
          </w:tcPr>
          <w:p>
            <w:pPr>
              <w:spacing w:after="0"/>
              <w:rPr>
                <w:sz w:val="24"/>
                <w:szCs w:val="24"/>
                <w:color w:val="auto"/>
              </w:rPr>
            </w:pPr>
          </w:p>
        </w:tc>
        <w:tc>
          <w:tcPr>
            <w:tcW w:w="5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0" w:type="dxa"/>
            <w:vAlign w:val="bottom"/>
          </w:tcPr>
          <w:p>
            <w:pPr>
              <w:jc w:val="right"/>
              <w:ind w:right="879"/>
              <w:spacing w:after="0"/>
              <w:rPr>
                <w:sz w:val="20"/>
                <w:szCs w:val="20"/>
                <w:color w:val="auto"/>
              </w:rPr>
            </w:pPr>
            <w:r>
              <w:rPr>
                <w:rFonts w:ascii="Arial" w:cs="Arial" w:eastAsia="Arial" w:hAnsi="Arial"/>
                <w:sz w:val="17"/>
                <w:szCs w:val="17"/>
                <w:color w:val="auto"/>
              </w:rPr>
              <w:t>8</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40" w:type="dxa"/>
            <w:vAlign w:val="bottom"/>
            <w:tcBorders>
              <w:bottom w:val="single" w:sz="8" w:color="9A9A9A"/>
            </w:tcBorders>
          </w:tcPr>
          <w:p>
            <w:pPr>
              <w:spacing w:after="0"/>
              <w:rPr>
                <w:sz w:val="9"/>
                <w:szCs w:val="9"/>
                <w:color w:val="auto"/>
              </w:rPr>
            </w:pPr>
          </w:p>
        </w:tc>
        <w:tc>
          <w:tcPr>
            <w:tcW w:w="50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12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340" w:type="dxa"/>
            <w:vAlign w:val="bottom"/>
            <w:tcBorders>
              <w:bottom w:val="single" w:sz="8" w:color="9A9A9A"/>
            </w:tcBorders>
          </w:tcPr>
          <w:p>
            <w:pPr>
              <w:spacing w:after="0"/>
              <w:rPr>
                <w:sz w:val="9"/>
                <w:szCs w:val="9"/>
                <w:color w:val="auto"/>
              </w:rPr>
            </w:pPr>
          </w:p>
        </w:tc>
        <w:tc>
          <w:tcPr>
            <w:tcW w:w="106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340" w:type="dxa"/>
            <w:vAlign w:val="bottom"/>
            <w:tcBorders>
              <w:bottom w:val="single" w:sz="8" w:color="9A9A9A"/>
            </w:tcBorders>
          </w:tcPr>
          <w:p>
            <w:pPr>
              <w:spacing w:after="0"/>
              <w:rPr>
                <w:sz w:val="9"/>
                <w:szCs w:val="9"/>
                <w:color w:val="auto"/>
              </w:rPr>
            </w:pPr>
          </w:p>
        </w:tc>
        <w:tc>
          <w:tcPr>
            <w:tcW w:w="108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340" w:type="dxa"/>
            <w:vAlign w:val="bottom"/>
            <w:tcBorders>
              <w:bottom w:val="single" w:sz="8" w:color="9A9A9A"/>
            </w:tcBorders>
          </w:tcPr>
          <w:p>
            <w:pPr>
              <w:spacing w:after="0"/>
              <w:rPr>
                <w:sz w:val="9"/>
                <w:szCs w:val="9"/>
                <w:color w:val="auto"/>
              </w:rPr>
            </w:pPr>
          </w:p>
        </w:tc>
        <w:tc>
          <w:tcPr>
            <w:tcW w:w="108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7118985</wp:posOffset>
            </wp:positionH>
            <wp:positionV relativeFrom="paragraph">
              <wp:posOffset>-28575</wp:posOffset>
            </wp:positionV>
            <wp:extent cx="33655" cy="419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-28575</wp:posOffset>
            </wp:positionV>
            <wp:extent cx="33655" cy="419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2" w:name="page13"/>
    <w:bookmarkEnd w:id="12"/>
    <w:p>
      <w:pPr>
        <w:spacing w:after="0"/>
        <w:rPr>
          <w:sz w:val="20"/>
          <w:szCs w:val="20"/>
          <w:color w:val="auto"/>
        </w:rPr>
      </w:pPr>
      <w:r>
        <w:rPr>
          <w:rFonts w:ascii="Arial" w:cs="Arial" w:eastAsia="Arial" w:hAnsi="Arial"/>
          <w:sz w:val="17"/>
          <w:szCs w:val="17"/>
          <w:u w:val="single" w:color="auto"/>
          <w:color w:val="0000FF"/>
        </w:rPr>
        <w:t>Table of Contents</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Essent Group Ltd. and Subsidiaries</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right="80" w:firstLine="623"/>
        <w:spacing w:after="0" w:line="285" w:lineRule="auto"/>
        <w:rPr>
          <w:sz w:val="20"/>
          <w:szCs w:val="20"/>
          <w:color w:val="auto"/>
        </w:rPr>
      </w:pPr>
      <w:r>
        <w:rPr>
          <w:rFonts w:ascii="Arial" w:cs="Arial" w:eastAsia="Arial" w:hAnsi="Arial"/>
          <w:sz w:val="17"/>
          <w:szCs w:val="17"/>
          <w:color w:val="auto"/>
        </w:rPr>
        <w:t>The fair value of investments available for sale in an unrealized loss position and the related unrealized losses for which no allowance for credit loss has been recorded were as follows:</w:t>
      </w:r>
    </w:p>
    <w:p>
      <w:pPr>
        <w:spacing w:after="0" w:line="279" w:lineRule="exact"/>
        <w:rPr>
          <w:sz w:val="20"/>
          <w:szCs w:val="20"/>
          <w:color w:val="auto"/>
        </w:rPr>
      </w:pPr>
    </w:p>
    <w:tbl>
      <w:tblPr>
        <w:tblLayout w:type="fixed"/>
        <w:tblInd w:w="20" w:type="dxa"/>
        <w:tblCellMar>
          <w:top w:w="0" w:type="dxa"/>
          <w:left w:w="0" w:type="dxa"/>
          <w:bottom w:w="0" w:type="dxa"/>
          <w:right w:w="0" w:type="dxa"/>
        </w:tblCellMar>
      </w:tblPr>
      <w:tr>
        <w:trPr>
          <w:trHeight w:val="185"/>
        </w:trPr>
        <w:tc>
          <w:tcPr>
            <w:tcW w:w="3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140" w:type="dxa"/>
            <w:vAlign w:val="bottom"/>
            <w:tcBorders>
              <w:bottom w:val="single" w:sz="8" w:color="auto"/>
            </w:tcBorders>
            <w:gridSpan w:val="4"/>
          </w:tcPr>
          <w:p>
            <w:pPr>
              <w:jc w:val="right"/>
              <w:ind w:right="498"/>
              <w:spacing w:after="0"/>
              <w:rPr>
                <w:sz w:val="20"/>
                <w:szCs w:val="20"/>
                <w:color w:val="auto"/>
              </w:rPr>
            </w:pPr>
            <w:r>
              <w:rPr>
                <w:rFonts w:ascii="Arial" w:cs="Arial" w:eastAsia="Arial" w:hAnsi="Arial"/>
                <w:sz w:val="14"/>
                <w:szCs w:val="14"/>
                <w:b w:val="1"/>
                <w:bCs w:val="1"/>
                <w:color w:val="auto"/>
              </w:rPr>
              <w:t>Less than 12 months</w:t>
            </w:r>
          </w:p>
        </w:tc>
        <w:tc>
          <w:tcPr>
            <w:tcW w:w="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140" w:type="dxa"/>
            <w:vAlign w:val="bottom"/>
            <w:tcBorders>
              <w:bottom w:val="single" w:sz="8" w:color="auto"/>
            </w:tcBorders>
            <w:gridSpan w:val="4"/>
          </w:tcPr>
          <w:p>
            <w:pPr>
              <w:jc w:val="right"/>
              <w:ind w:right="558"/>
              <w:spacing w:after="0"/>
              <w:rPr>
                <w:sz w:val="20"/>
                <w:szCs w:val="20"/>
                <w:color w:val="auto"/>
              </w:rPr>
            </w:pPr>
            <w:r>
              <w:rPr>
                <w:rFonts w:ascii="Arial" w:cs="Arial" w:eastAsia="Arial" w:hAnsi="Arial"/>
                <w:sz w:val="14"/>
                <w:szCs w:val="14"/>
                <w:b w:val="1"/>
                <w:bCs w:val="1"/>
                <w:color w:val="auto"/>
              </w:rPr>
              <w:t>12 months or more</w:t>
            </w: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Total</w:t>
            </w:r>
          </w:p>
        </w:tc>
        <w:tc>
          <w:tcPr>
            <w:tcW w:w="9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2"/>
        </w:trPr>
        <w:tc>
          <w:tcPr>
            <w:tcW w:w="3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20" w:type="dxa"/>
            <w:vAlign w:val="bottom"/>
            <w:vMerge w:val="restart"/>
          </w:tcPr>
          <w:p>
            <w:pPr>
              <w:jc w:val="center"/>
              <w:ind w:right="178"/>
              <w:spacing w:after="0"/>
              <w:rPr>
                <w:sz w:val="20"/>
                <w:szCs w:val="20"/>
                <w:color w:val="auto"/>
              </w:rPr>
            </w:pPr>
            <w:r>
              <w:rPr>
                <w:rFonts w:ascii="Arial" w:cs="Arial" w:eastAsia="Arial" w:hAnsi="Arial"/>
                <w:sz w:val="14"/>
                <w:szCs w:val="14"/>
                <w:b w:val="1"/>
                <w:bCs w:val="1"/>
                <w:color w:val="auto"/>
              </w:rPr>
              <w:t>Fair</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40" w:type="dxa"/>
            <w:vAlign w:val="bottom"/>
          </w:tcPr>
          <w:p>
            <w:pPr>
              <w:jc w:val="center"/>
              <w:ind w:right="78"/>
              <w:spacing w:after="0" w:line="133" w:lineRule="exact"/>
              <w:rPr>
                <w:sz w:val="20"/>
                <w:szCs w:val="20"/>
                <w:color w:val="auto"/>
              </w:rPr>
            </w:pPr>
            <w:r>
              <w:rPr>
                <w:rFonts w:ascii="Arial" w:cs="Arial" w:eastAsia="Arial" w:hAnsi="Arial"/>
                <w:sz w:val="14"/>
                <w:szCs w:val="14"/>
                <w:b w:val="1"/>
                <w:bCs w:val="1"/>
                <w:color w:val="auto"/>
                <w:w w:val="83"/>
              </w:rPr>
              <w:t>Gross</w:t>
            </w: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00" w:type="dxa"/>
            <w:vAlign w:val="bottom"/>
            <w:vMerge w:val="restart"/>
          </w:tcPr>
          <w:p>
            <w:pPr>
              <w:jc w:val="center"/>
              <w:ind w:right="158"/>
              <w:spacing w:after="0"/>
              <w:rPr>
                <w:sz w:val="20"/>
                <w:szCs w:val="20"/>
                <w:color w:val="auto"/>
              </w:rPr>
            </w:pPr>
            <w:r>
              <w:rPr>
                <w:rFonts w:ascii="Arial" w:cs="Arial" w:eastAsia="Arial" w:hAnsi="Arial"/>
                <w:sz w:val="14"/>
                <w:szCs w:val="14"/>
                <w:b w:val="1"/>
                <w:bCs w:val="1"/>
                <w:color w:val="auto"/>
              </w:rPr>
              <w:t>Fair</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tcPr>
          <w:p>
            <w:pPr>
              <w:jc w:val="center"/>
              <w:ind w:right="98"/>
              <w:spacing w:after="0" w:line="133" w:lineRule="exact"/>
              <w:rPr>
                <w:sz w:val="20"/>
                <w:szCs w:val="20"/>
                <w:color w:val="auto"/>
              </w:rPr>
            </w:pPr>
            <w:r>
              <w:rPr>
                <w:rFonts w:ascii="Arial" w:cs="Arial" w:eastAsia="Arial" w:hAnsi="Arial"/>
                <w:sz w:val="14"/>
                <w:szCs w:val="14"/>
                <w:b w:val="1"/>
                <w:bCs w:val="1"/>
                <w:color w:val="auto"/>
                <w:w w:val="88"/>
              </w:rPr>
              <w:t>Gross</w:t>
            </w: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20" w:type="dxa"/>
            <w:vAlign w:val="bottom"/>
            <w:vMerge w:val="restart"/>
          </w:tcPr>
          <w:p>
            <w:pPr>
              <w:jc w:val="center"/>
              <w:ind w:right="178"/>
              <w:spacing w:after="0"/>
              <w:rPr>
                <w:sz w:val="20"/>
                <w:szCs w:val="20"/>
                <w:color w:val="auto"/>
              </w:rPr>
            </w:pPr>
            <w:r>
              <w:rPr>
                <w:rFonts w:ascii="Arial" w:cs="Arial" w:eastAsia="Arial" w:hAnsi="Arial"/>
                <w:sz w:val="14"/>
                <w:szCs w:val="14"/>
                <w:b w:val="1"/>
                <w:bCs w:val="1"/>
                <w:color w:val="auto"/>
              </w:rPr>
              <w:t>Fair</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60" w:type="dxa"/>
            <w:vAlign w:val="bottom"/>
          </w:tcPr>
          <w:p>
            <w:pPr>
              <w:jc w:val="center"/>
              <w:ind w:right="98"/>
              <w:spacing w:after="0" w:line="133" w:lineRule="exact"/>
              <w:rPr>
                <w:sz w:val="20"/>
                <w:szCs w:val="20"/>
                <w:color w:val="auto"/>
              </w:rPr>
            </w:pPr>
            <w:r>
              <w:rPr>
                <w:rFonts w:ascii="Arial" w:cs="Arial" w:eastAsia="Arial" w:hAnsi="Arial"/>
                <w:sz w:val="14"/>
                <w:szCs w:val="14"/>
                <w:b w:val="1"/>
                <w:bCs w:val="1"/>
                <w:color w:val="auto"/>
                <w:w w:val="83"/>
              </w:rPr>
              <w:t>Gross</w:t>
            </w:r>
          </w:p>
        </w:tc>
        <w:tc>
          <w:tcPr>
            <w:tcW w:w="0" w:type="dxa"/>
            <w:vAlign w:val="bottom"/>
          </w:tcPr>
          <w:p>
            <w:pPr>
              <w:spacing w:after="0"/>
              <w:rPr>
                <w:sz w:val="1"/>
                <w:szCs w:val="1"/>
                <w:color w:val="auto"/>
              </w:rPr>
            </w:pPr>
          </w:p>
        </w:tc>
      </w:tr>
      <w:tr>
        <w:trPr>
          <w:trHeight w:val="143"/>
        </w:trPr>
        <w:tc>
          <w:tcPr>
            <w:tcW w:w="3720" w:type="dxa"/>
            <w:vAlign w:val="bottom"/>
            <w:vMerge w:val="restart"/>
          </w:tcPr>
          <w:p>
            <w:pPr>
              <w:spacing w:after="0"/>
              <w:rPr>
                <w:sz w:val="20"/>
                <w:szCs w:val="20"/>
                <w:color w:val="auto"/>
              </w:rPr>
            </w:pPr>
            <w:r>
              <w:rPr>
                <w:rFonts w:ascii="Arial" w:cs="Arial" w:eastAsia="Arial" w:hAnsi="Arial"/>
                <w:sz w:val="14"/>
                <w:szCs w:val="14"/>
                <w:b w:val="1"/>
                <w:bCs w:val="1"/>
                <w:color w:val="auto"/>
              </w:rPr>
              <w:t>June 30, 2023 (In thousands)</w:t>
            </w:r>
          </w:p>
        </w:tc>
        <w:tc>
          <w:tcPr>
            <w:tcW w:w="120" w:type="dxa"/>
            <w:vAlign w:val="bottom"/>
            <w:gridSpan w:val="2"/>
            <w:vMerge w:val="restart"/>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tcPr>
          <w:p>
            <w:pPr>
              <w:jc w:val="center"/>
              <w:ind w:right="98"/>
              <w:spacing w:after="0" w:line="143" w:lineRule="exact"/>
              <w:rPr>
                <w:sz w:val="20"/>
                <w:szCs w:val="20"/>
                <w:color w:val="auto"/>
              </w:rPr>
            </w:pPr>
            <w:r>
              <w:rPr>
                <w:rFonts w:ascii="Arial" w:cs="Arial" w:eastAsia="Arial" w:hAnsi="Arial"/>
                <w:sz w:val="14"/>
                <w:szCs w:val="14"/>
                <w:b w:val="1"/>
                <w:bCs w:val="1"/>
                <w:color w:val="auto"/>
                <w:w w:val="90"/>
              </w:rPr>
              <w:t>Unrealized</w:t>
            </w: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tcPr>
          <w:p>
            <w:pPr>
              <w:jc w:val="center"/>
              <w:ind w:right="98"/>
              <w:spacing w:after="0" w:line="143" w:lineRule="exact"/>
              <w:rPr>
                <w:sz w:val="20"/>
                <w:szCs w:val="20"/>
                <w:color w:val="auto"/>
              </w:rPr>
            </w:pPr>
            <w:r>
              <w:rPr>
                <w:rFonts w:ascii="Arial" w:cs="Arial" w:eastAsia="Arial" w:hAnsi="Arial"/>
                <w:sz w:val="14"/>
                <w:szCs w:val="14"/>
                <w:b w:val="1"/>
                <w:bCs w:val="1"/>
                <w:color w:val="auto"/>
                <w:w w:val="90"/>
              </w:rPr>
              <w:t>Unrealized</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jc w:val="center"/>
              <w:ind w:right="78"/>
              <w:spacing w:after="0" w:line="143" w:lineRule="exact"/>
              <w:rPr>
                <w:sz w:val="20"/>
                <w:szCs w:val="20"/>
                <w:color w:val="auto"/>
              </w:rPr>
            </w:pPr>
            <w:r>
              <w:rPr>
                <w:rFonts w:ascii="Arial" w:cs="Arial" w:eastAsia="Arial" w:hAnsi="Arial"/>
                <w:sz w:val="14"/>
                <w:szCs w:val="14"/>
                <w:b w:val="1"/>
                <w:bCs w:val="1"/>
                <w:color w:val="auto"/>
                <w:w w:val="90"/>
              </w:rPr>
              <w:t>Unrealized</w:t>
            </w:r>
          </w:p>
        </w:tc>
        <w:tc>
          <w:tcPr>
            <w:tcW w:w="0" w:type="dxa"/>
            <w:vAlign w:val="bottom"/>
          </w:tcPr>
          <w:p>
            <w:pPr>
              <w:spacing w:after="0"/>
              <w:rPr>
                <w:sz w:val="1"/>
                <w:szCs w:val="1"/>
                <w:color w:val="auto"/>
              </w:rPr>
            </w:pPr>
          </w:p>
        </w:tc>
      </w:tr>
      <w:tr>
        <w:trPr>
          <w:trHeight w:val="185"/>
        </w:trPr>
        <w:tc>
          <w:tcPr>
            <w:tcW w:w="3720" w:type="dxa"/>
            <w:vAlign w:val="bottom"/>
            <w:tcBorders>
              <w:bottom w:val="single" w:sz="8" w:color="auto"/>
            </w:tcBorders>
            <w:vMerge w:val="continue"/>
          </w:tcPr>
          <w:p>
            <w:pPr>
              <w:spacing w:after="0"/>
              <w:rPr>
                <w:sz w:val="16"/>
                <w:szCs w:val="16"/>
                <w:color w:val="auto"/>
              </w:rPr>
            </w:pPr>
          </w:p>
        </w:tc>
        <w:tc>
          <w:tcPr>
            <w:tcW w:w="120" w:type="dxa"/>
            <w:vAlign w:val="bottom"/>
            <w:gridSpan w:val="2"/>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center"/>
              <w:ind w:right="178"/>
              <w:spacing w:after="0"/>
              <w:rPr>
                <w:sz w:val="20"/>
                <w:szCs w:val="20"/>
                <w:color w:val="auto"/>
              </w:rPr>
            </w:pPr>
            <w:r>
              <w:rPr>
                <w:rFonts w:ascii="Arial" w:cs="Arial" w:eastAsia="Arial" w:hAnsi="Arial"/>
                <w:sz w:val="14"/>
                <w:szCs w:val="14"/>
                <w:b w:val="1"/>
                <w:bCs w:val="1"/>
                <w:color w:val="auto"/>
                <w:w w:val="90"/>
              </w:rPr>
              <w:t>Value</w:t>
            </w: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center"/>
              <w:ind w:right="78"/>
              <w:spacing w:after="0"/>
              <w:rPr>
                <w:sz w:val="20"/>
                <w:szCs w:val="20"/>
                <w:color w:val="auto"/>
              </w:rPr>
            </w:pPr>
            <w:r>
              <w:rPr>
                <w:rFonts w:ascii="Arial" w:cs="Arial" w:eastAsia="Arial" w:hAnsi="Arial"/>
                <w:sz w:val="14"/>
                <w:szCs w:val="14"/>
                <w:b w:val="1"/>
                <w:bCs w:val="1"/>
                <w:color w:val="auto"/>
                <w:w w:val="78"/>
              </w:rPr>
              <w:t>Losses</w:t>
            </w:r>
          </w:p>
        </w:tc>
        <w:tc>
          <w:tcPr>
            <w:tcW w:w="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center"/>
              <w:ind w:right="158"/>
              <w:spacing w:after="0"/>
              <w:rPr>
                <w:sz w:val="20"/>
                <w:szCs w:val="20"/>
                <w:color w:val="auto"/>
              </w:rPr>
            </w:pPr>
            <w:r>
              <w:rPr>
                <w:rFonts w:ascii="Arial" w:cs="Arial" w:eastAsia="Arial" w:hAnsi="Arial"/>
                <w:sz w:val="14"/>
                <w:szCs w:val="14"/>
                <w:b w:val="1"/>
                <w:bCs w:val="1"/>
                <w:color w:val="auto"/>
                <w:w w:val="90"/>
              </w:rPr>
              <w:t>Value</w:t>
            </w: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center"/>
              <w:ind w:right="98"/>
              <w:spacing w:after="0"/>
              <w:rPr>
                <w:sz w:val="20"/>
                <w:szCs w:val="20"/>
                <w:color w:val="auto"/>
              </w:rPr>
            </w:pPr>
            <w:r>
              <w:rPr>
                <w:rFonts w:ascii="Arial" w:cs="Arial" w:eastAsia="Arial" w:hAnsi="Arial"/>
                <w:sz w:val="14"/>
                <w:szCs w:val="14"/>
                <w:b w:val="1"/>
                <w:bCs w:val="1"/>
                <w:color w:val="auto"/>
                <w:w w:val="82"/>
              </w:rPr>
              <w:t>Losses</w:t>
            </w: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center"/>
              <w:ind w:right="178"/>
              <w:spacing w:after="0"/>
              <w:rPr>
                <w:sz w:val="20"/>
                <w:szCs w:val="20"/>
                <w:color w:val="auto"/>
              </w:rPr>
            </w:pPr>
            <w:r>
              <w:rPr>
                <w:rFonts w:ascii="Arial" w:cs="Arial" w:eastAsia="Arial" w:hAnsi="Arial"/>
                <w:sz w:val="14"/>
                <w:szCs w:val="14"/>
                <w:b w:val="1"/>
                <w:bCs w:val="1"/>
                <w:color w:val="auto"/>
                <w:w w:val="90"/>
              </w:rPr>
              <w:t>Value</w:t>
            </w: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center"/>
              <w:ind w:right="98"/>
              <w:spacing w:after="0"/>
              <w:rPr>
                <w:sz w:val="20"/>
                <w:szCs w:val="20"/>
                <w:color w:val="auto"/>
              </w:rPr>
            </w:pPr>
            <w:r>
              <w:rPr>
                <w:rFonts w:ascii="Arial" w:cs="Arial" w:eastAsia="Arial" w:hAnsi="Arial"/>
                <w:sz w:val="14"/>
                <w:szCs w:val="14"/>
                <w:b w:val="1"/>
                <w:bCs w:val="1"/>
                <w:color w:val="auto"/>
                <w:w w:val="78"/>
              </w:rPr>
              <w:t>Losses</w:t>
            </w:r>
          </w:p>
        </w:tc>
        <w:tc>
          <w:tcPr>
            <w:tcW w:w="0" w:type="dxa"/>
            <w:vAlign w:val="bottom"/>
          </w:tcPr>
          <w:p>
            <w:pPr>
              <w:spacing w:after="0"/>
              <w:rPr>
                <w:sz w:val="1"/>
                <w:szCs w:val="1"/>
                <w:color w:val="auto"/>
              </w:rPr>
            </w:pPr>
          </w:p>
        </w:tc>
      </w:tr>
      <w:tr>
        <w:trPr>
          <w:trHeight w:val="233"/>
        </w:trPr>
        <w:tc>
          <w:tcPr>
            <w:tcW w:w="384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U.S. Treasury securities</w:t>
            </w:r>
          </w:p>
        </w:tc>
        <w:tc>
          <w:tcPr>
            <w:tcW w:w="240" w:type="dxa"/>
            <w:vAlign w:val="bottom"/>
            <w:shd w:val="clear" w:color="auto" w:fill="CCEEFF"/>
          </w:tcPr>
          <w:p>
            <w:pPr>
              <w:jc w:val="right"/>
              <w:ind w:right="53"/>
              <w:spacing w:after="0"/>
              <w:rPr>
                <w:sz w:val="20"/>
                <w:szCs w:val="20"/>
                <w:color w:val="auto"/>
              </w:rPr>
            </w:pPr>
            <w:r>
              <w:rPr>
                <w:rFonts w:ascii="Arial" w:cs="Arial" w:eastAsia="Arial" w:hAnsi="Arial"/>
                <w:sz w:val="17"/>
                <w:szCs w:val="17"/>
                <w:color w:val="auto"/>
                <w:w w:val="84"/>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274,448</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(4,066)</w:t>
            </w:r>
          </w:p>
        </w:tc>
        <w:tc>
          <w:tcPr>
            <w:tcW w:w="360" w:type="dxa"/>
            <w:vAlign w:val="bottom"/>
            <w:gridSpan w:val="2"/>
            <w:shd w:val="clear" w:color="auto" w:fill="CCEEFF"/>
          </w:tcPr>
          <w:p>
            <w:pPr>
              <w:jc w:val="right"/>
              <w:ind w:right="53"/>
              <w:spacing w:after="0"/>
              <w:rPr>
                <w:sz w:val="20"/>
                <w:szCs w:val="20"/>
                <w:color w:val="auto"/>
              </w:rPr>
            </w:pPr>
            <w:r>
              <w:rPr>
                <w:rFonts w:ascii="Arial" w:cs="Arial" w:eastAsia="Arial" w:hAnsi="Arial"/>
                <w:sz w:val="17"/>
                <w:szCs w:val="17"/>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293,776</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(23,388)</w:t>
            </w:r>
          </w:p>
        </w:tc>
        <w:tc>
          <w:tcPr>
            <w:tcW w:w="360" w:type="dxa"/>
            <w:vAlign w:val="bottom"/>
            <w:gridSpan w:val="2"/>
            <w:shd w:val="clear" w:color="auto" w:fill="CCEEFF"/>
          </w:tcPr>
          <w:p>
            <w:pPr>
              <w:jc w:val="right"/>
              <w:ind w:right="73"/>
              <w:spacing w:after="0"/>
              <w:rPr>
                <w:sz w:val="20"/>
                <w:szCs w:val="20"/>
                <w:color w:val="auto"/>
              </w:rPr>
            </w:pPr>
            <w:r>
              <w:rPr>
                <w:rFonts w:ascii="Arial" w:cs="Arial" w:eastAsia="Arial" w:hAnsi="Arial"/>
                <w:sz w:val="17"/>
                <w:szCs w:val="17"/>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568,224</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(27,454)</w:t>
            </w:r>
          </w:p>
        </w:tc>
        <w:tc>
          <w:tcPr>
            <w:tcW w:w="0" w:type="dxa"/>
            <w:vAlign w:val="bottom"/>
          </w:tcPr>
          <w:p>
            <w:pPr>
              <w:spacing w:after="0"/>
              <w:rPr>
                <w:sz w:val="1"/>
                <w:szCs w:val="1"/>
                <w:color w:val="auto"/>
              </w:rPr>
            </w:pPr>
          </w:p>
        </w:tc>
      </w:tr>
      <w:tr>
        <w:trPr>
          <w:trHeight w:val="221"/>
        </w:trPr>
        <w:tc>
          <w:tcPr>
            <w:tcW w:w="3840" w:type="dxa"/>
            <w:vAlign w:val="bottom"/>
            <w:gridSpan w:val="3"/>
          </w:tcPr>
          <w:p>
            <w:pPr>
              <w:spacing w:after="0"/>
              <w:rPr>
                <w:sz w:val="20"/>
                <w:szCs w:val="20"/>
                <w:color w:val="auto"/>
              </w:rPr>
            </w:pPr>
            <w:r>
              <w:rPr>
                <w:rFonts w:ascii="Arial" w:cs="Arial" w:eastAsia="Arial" w:hAnsi="Arial"/>
                <w:sz w:val="17"/>
                <w:szCs w:val="17"/>
                <w:color w:val="auto"/>
              </w:rPr>
              <w:t>U.S. agency securities</w:t>
            </w: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9,671</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(27)</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9,671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(27)</w:t>
            </w:r>
          </w:p>
        </w:tc>
        <w:tc>
          <w:tcPr>
            <w:tcW w:w="0" w:type="dxa"/>
            <w:vAlign w:val="bottom"/>
          </w:tcPr>
          <w:p>
            <w:pPr>
              <w:spacing w:after="0"/>
              <w:rPr>
                <w:sz w:val="1"/>
                <w:szCs w:val="1"/>
                <w:color w:val="auto"/>
              </w:rPr>
            </w:pPr>
          </w:p>
        </w:tc>
      </w:tr>
      <w:tr>
        <w:trPr>
          <w:trHeight w:val="221"/>
        </w:trPr>
        <w:tc>
          <w:tcPr>
            <w:tcW w:w="384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U.S. agency mortgage-backed securities</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169,514</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(5,925)</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623,847</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(108,241)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793,361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(114,166)</w:t>
            </w:r>
          </w:p>
        </w:tc>
        <w:tc>
          <w:tcPr>
            <w:tcW w:w="0" w:type="dxa"/>
            <w:vAlign w:val="bottom"/>
          </w:tcPr>
          <w:p>
            <w:pPr>
              <w:spacing w:after="0"/>
              <w:rPr>
                <w:sz w:val="1"/>
                <w:szCs w:val="1"/>
                <w:color w:val="auto"/>
              </w:rPr>
            </w:pPr>
          </w:p>
        </w:tc>
      </w:tr>
      <w:tr>
        <w:trPr>
          <w:trHeight w:val="227"/>
        </w:trPr>
        <w:tc>
          <w:tcPr>
            <w:tcW w:w="3840" w:type="dxa"/>
            <w:vAlign w:val="bottom"/>
            <w:gridSpan w:val="3"/>
          </w:tcPr>
          <w:p>
            <w:pPr>
              <w:spacing w:after="0"/>
              <w:rPr>
                <w:sz w:val="20"/>
                <w:szCs w:val="20"/>
                <w:color w:val="auto"/>
              </w:rPr>
            </w:pPr>
            <w:r>
              <w:rPr>
                <w:rFonts w:ascii="Arial" w:cs="Arial" w:eastAsia="Arial" w:hAnsi="Arial"/>
                <w:sz w:val="17"/>
                <w:szCs w:val="17"/>
                <w:color w:val="auto"/>
              </w:rPr>
              <w:t>Municipal debt securities</w:t>
            </w: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196,380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(4,163)</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253,299</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(45,758)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449,679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(49,921)</w:t>
            </w:r>
          </w:p>
        </w:tc>
        <w:tc>
          <w:tcPr>
            <w:tcW w:w="0" w:type="dxa"/>
            <w:vAlign w:val="bottom"/>
          </w:tcPr>
          <w:p>
            <w:pPr>
              <w:spacing w:after="0"/>
              <w:rPr>
                <w:sz w:val="1"/>
                <w:szCs w:val="1"/>
                <w:color w:val="auto"/>
              </w:rPr>
            </w:pPr>
          </w:p>
        </w:tc>
      </w:tr>
      <w:tr>
        <w:trPr>
          <w:trHeight w:val="227"/>
        </w:trPr>
        <w:tc>
          <w:tcPr>
            <w:tcW w:w="384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Non-U.S. government securities</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15,664</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(411)</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34,889</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(6,481)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50,553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(6,892)</w:t>
            </w:r>
          </w:p>
        </w:tc>
        <w:tc>
          <w:tcPr>
            <w:tcW w:w="0" w:type="dxa"/>
            <w:vAlign w:val="bottom"/>
          </w:tcPr>
          <w:p>
            <w:pPr>
              <w:spacing w:after="0"/>
              <w:rPr>
                <w:sz w:val="1"/>
                <w:szCs w:val="1"/>
                <w:color w:val="auto"/>
              </w:rPr>
            </w:pPr>
          </w:p>
        </w:tc>
      </w:tr>
      <w:tr>
        <w:trPr>
          <w:trHeight w:val="221"/>
        </w:trPr>
        <w:tc>
          <w:tcPr>
            <w:tcW w:w="3840" w:type="dxa"/>
            <w:vAlign w:val="bottom"/>
            <w:gridSpan w:val="3"/>
          </w:tcPr>
          <w:p>
            <w:pPr>
              <w:spacing w:after="0"/>
              <w:rPr>
                <w:sz w:val="20"/>
                <w:szCs w:val="20"/>
                <w:color w:val="auto"/>
              </w:rPr>
            </w:pPr>
            <w:r>
              <w:rPr>
                <w:rFonts w:ascii="Arial" w:cs="Arial" w:eastAsia="Arial" w:hAnsi="Arial"/>
                <w:sz w:val="17"/>
                <w:szCs w:val="17"/>
                <w:color w:val="auto"/>
              </w:rPr>
              <w:t>Corporate debt securities</w:t>
            </w: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399,331</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(10,073)</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856,101</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(115,129)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1,255,432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(125,202)</w:t>
            </w:r>
          </w:p>
        </w:tc>
        <w:tc>
          <w:tcPr>
            <w:tcW w:w="0" w:type="dxa"/>
            <w:vAlign w:val="bottom"/>
          </w:tcPr>
          <w:p>
            <w:pPr>
              <w:spacing w:after="0"/>
              <w:rPr>
                <w:sz w:val="1"/>
                <w:szCs w:val="1"/>
                <w:color w:val="auto"/>
              </w:rPr>
            </w:pPr>
          </w:p>
        </w:tc>
      </w:tr>
      <w:tr>
        <w:trPr>
          <w:trHeight w:val="234"/>
        </w:trPr>
        <w:tc>
          <w:tcPr>
            <w:tcW w:w="384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Residential and commercial mortgage securities</w:t>
            </w:r>
          </w:p>
        </w:tc>
        <w:tc>
          <w:tcPr>
            <w:tcW w:w="24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60,682</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(3,586)</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443,965</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(61,835)</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504,647</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(65,421)</w:t>
            </w:r>
          </w:p>
        </w:tc>
        <w:tc>
          <w:tcPr>
            <w:tcW w:w="0" w:type="dxa"/>
            <w:vAlign w:val="bottom"/>
          </w:tcPr>
          <w:p>
            <w:pPr>
              <w:spacing w:after="0"/>
              <w:rPr>
                <w:sz w:val="1"/>
                <w:szCs w:val="1"/>
                <w:color w:val="auto"/>
              </w:rPr>
            </w:pPr>
          </w:p>
        </w:tc>
      </w:tr>
      <w:tr>
        <w:trPr>
          <w:trHeight w:val="208"/>
        </w:trPr>
        <w:tc>
          <w:tcPr>
            <w:tcW w:w="3840" w:type="dxa"/>
            <w:vAlign w:val="bottom"/>
            <w:gridSpan w:val="3"/>
          </w:tcPr>
          <w:p>
            <w:pPr>
              <w:spacing w:after="0"/>
              <w:rPr>
                <w:sz w:val="20"/>
                <w:szCs w:val="20"/>
                <w:color w:val="auto"/>
              </w:rPr>
            </w:pPr>
            <w:r>
              <w:rPr>
                <w:rFonts w:ascii="Arial" w:cs="Arial" w:eastAsia="Arial" w:hAnsi="Arial"/>
                <w:sz w:val="17"/>
                <w:szCs w:val="17"/>
                <w:color w:val="auto"/>
              </w:rPr>
              <w:t>Asset-backed securities</w:t>
            </w:r>
          </w:p>
        </w:tc>
        <w:tc>
          <w:tcPr>
            <w:tcW w:w="2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123,573</w:t>
            </w: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(1,179)</w:t>
            </w: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494,738</w:t>
            </w:r>
          </w:p>
        </w:tc>
        <w:tc>
          <w:tcPr>
            <w:tcW w:w="1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(32,491)</w:t>
            </w: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618,311</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(33,670)</w:t>
            </w:r>
          </w:p>
        </w:tc>
        <w:tc>
          <w:tcPr>
            <w:tcW w:w="0" w:type="dxa"/>
            <w:vAlign w:val="bottom"/>
          </w:tcPr>
          <w:p>
            <w:pPr>
              <w:spacing w:after="0"/>
              <w:rPr>
                <w:sz w:val="1"/>
                <w:szCs w:val="1"/>
                <w:color w:val="auto"/>
              </w:rPr>
            </w:pPr>
          </w:p>
        </w:tc>
      </w:tr>
      <w:tr>
        <w:trPr>
          <w:trHeight w:val="240"/>
        </w:trPr>
        <w:tc>
          <w:tcPr>
            <w:tcW w:w="384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7"/>
                <w:szCs w:val="17"/>
                <w:color w:val="auto"/>
              </w:rPr>
              <w:t>Total</w:t>
            </w:r>
          </w:p>
        </w:tc>
        <w:tc>
          <w:tcPr>
            <w:tcW w:w="24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7"/>
                <w:szCs w:val="17"/>
                <w:color w:val="auto"/>
                <w:w w:val="84"/>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1,249,263</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(29,430)</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7"/>
                <w:szCs w:val="17"/>
                <w:color w:val="auto"/>
                <w:w w:val="84"/>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3,000,615</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(393,323)</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7"/>
                <w:szCs w:val="17"/>
                <w:color w:val="auto"/>
                <w:w w:val="84"/>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4,249,878</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(422,753)</w:t>
            </w:r>
          </w:p>
        </w:tc>
        <w:tc>
          <w:tcPr>
            <w:tcW w:w="0" w:type="dxa"/>
            <w:vAlign w:val="bottom"/>
          </w:tcPr>
          <w:p>
            <w:pPr>
              <w:spacing w:after="0"/>
              <w:rPr>
                <w:sz w:val="1"/>
                <w:szCs w:val="1"/>
                <w:color w:val="auto"/>
              </w:rPr>
            </w:pPr>
          </w:p>
        </w:tc>
      </w:tr>
      <w:tr>
        <w:trPr>
          <w:trHeight w:val="20"/>
        </w:trPr>
        <w:tc>
          <w:tcPr>
            <w:tcW w:w="3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1"/>
        </w:trPr>
        <w:tc>
          <w:tcPr>
            <w:tcW w:w="3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140" w:type="dxa"/>
            <w:vAlign w:val="bottom"/>
            <w:gridSpan w:val="4"/>
          </w:tcPr>
          <w:p>
            <w:pPr>
              <w:jc w:val="right"/>
              <w:ind w:right="498"/>
              <w:spacing w:after="0"/>
              <w:rPr>
                <w:sz w:val="20"/>
                <w:szCs w:val="20"/>
                <w:color w:val="auto"/>
              </w:rPr>
            </w:pPr>
            <w:r>
              <w:rPr>
                <w:rFonts w:ascii="Arial" w:cs="Arial" w:eastAsia="Arial" w:hAnsi="Arial"/>
                <w:sz w:val="14"/>
                <w:szCs w:val="14"/>
                <w:b w:val="1"/>
                <w:bCs w:val="1"/>
                <w:color w:val="auto"/>
              </w:rPr>
              <w:t>Less than 12 months</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140" w:type="dxa"/>
            <w:vAlign w:val="bottom"/>
            <w:gridSpan w:val="4"/>
          </w:tcPr>
          <w:p>
            <w:pPr>
              <w:jc w:val="right"/>
              <w:ind w:right="558"/>
              <w:spacing w:after="0"/>
              <w:rPr>
                <w:sz w:val="20"/>
                <w:szCs w:val="20"/>
                <w:color w:val="auto"/>
              </w:rPr>
            </w:pPr>
            <w:r>
              <w:rPr>
                <w:rFonts w:ascii="Arial" w:cs="Arial" w:eastAsia="Arial" w:hAnsi="Arial"/>
                <w:sz w:val="14"/>
                <w:szCs w:val="14"/>
                <w:b w:val="1"/>
                <w:bCs w:val="1"/>
                <w:color w:val="auto"/>
              </w:rPr>
              <w:t>12 months or more</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80" w:type="dxa"/>
            <w:vAlign w:val="bottom"/>
            <w:gridSpan w:val="3"/>
          </w:tcPr>
          <w:p>
            <w:pPr>
              <w:jc w:val="right"/>
              <w:spacing w:after="0"/>
              <w:rPr>
                <w:sz w:val="20"/>
                <w:szCs w:val="20"/>
                <w:color w:val="auto"/>
              </w:rPr>
            </w:pPr>
            <w:r>
              <w:rPr>
                <w:rFonts w:ascii="Arial" w:cs="Arial" w:eastAsia="Arial" w:hAnsi="Arial"/>
                <w:sz w:val="14"/>
                <w:szCs w:val="14"/>
                <w:b w:val="1"/>
                <w:bCs w:val="1"/>
                <w:color w:val="auto"/>
              </w:rPr>
              <w:t>Total</w:t>
            </w: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
        </w:trPr>
        <w:tc>
          <w:tcPr>
            <w:tcW w:w="3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3"/>
        </w:trPr>
        <w:tc>
          <w:tcPr>
            <w:tcW w:w="3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20" w:type="dxa"/>
            <w:vAlign w:val="bottom"/>
            <w:vMerge w:val="restart"/>
          </w:tcPr>
          <w:p>
            <w:pPr>
              <w:jc w:val="center"/>
              <w:ind w:right="178"/>
              <w:spacing w:after="0"/>
              <w:rPr>
                <w:sz w:val="20"/>
                <w:szCs w:val="20"/>
                <w:color w:val="auto"/>
              </w:rPr>
            </w:pPr>
            <w:r>
              <w:rPr>
                <w:rFonts w:ascii="Arial" w:cs="Arial" w:eastAsia="Arial" w:hAnsi="Arial"/>
                <w:sz w:val="14"/>
                <w:szCs w:val="14"/>
                <w:b w:val="1"/>
                <w:bCs w:val="1"/>
                <w:color w:val="auto"/>
              </w:rPr>
              <w:t>Fair</w:t>
            </w: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40" w:type="dxa"/>
            <w:vAlign w:val="bottom"/>
          </w:tcPr>
          <w:p>
            <w:pPr>
              <w:jc w:val="center"/>
              <w:ind w:right="78"/>
              <w:spacing w:after="0" w:line="123" w:lineRule="exact"/>
              <w:rPr>
                <w:sz w:val="20"/>
                <w:szCs w:val="20"/>
                <w:color w:val="auto"/>
              </w:rPr>
            </w:pPr>
            <w:r>
              <w:rPr>
                <w:rFonts w:ascii="Arial" w:cs="Arial" w:eastAsia="Arial" w:hAnsi="Arial"/>
                <w:sz w:val="14"/>
                <w:szCs w:val="14"/>
                <w:b w:val="1"/>
                <w:bCs w:val="1"/>
                <w:color w:val="auto"/>
                <w:w w:val="83"/>
              </w:rPr>
              <w:t>Gross</w:t>
            </w:r>
          </w:p>
        </w:tc>
        <w:tc>
          <w:tcPr>
            <w:tcW w:w="1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00" w:type="dxa"/>
            <w:vAlign w:val="bottom"/>
            <w:vMerge w:val="restart"/>
          </w:tcPr>
          <w:p>
            <w:pPr>
              <w:jc w:val="center"/>
              <w:ind w:right="158"/>
              <w:spacing w:after="0"/>
              <w:rPr>
                <w:sz w:val="20"/>
                <w:szCs w:val="20"/>
                <w:color w:val="auto"/>
              </w:rPr>
            </w:pPr>
            <w:r>
              <w:rPr>
                <w:rFonts w:ascii="Arial" w:cs="Arial" w:eastAsia="Arial" w:hAnsi="Arial"/>
                <w:sz w:val="14"/>
                <w:szCs w:val="14"/>
                <w:b w:val="1"/>
                <w:bCs w:val="1"/>
                <w:color w:val="auto"/>
              </w:rPr>
              <w:t>Fair</w:t>
            </w: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40" w:type="dxa"/>
            <w:vAlign w:val="bottom"/>
          </w:tcPr>
          <w:p>
            <w:pPr>
              <w:jc w:val="center"/>
              <w:ind w:right="98"/>
              <w:spacing w:after="0" w:line="123" w:lineRule="exact"/>
              <w:rPr>
                <w:sz w:val="20"/>
                <w:szCs w:val="20"/>
                <w:color w:val="auto"/>
              </w:rPr>
            </w:pPr>
            <w:r>
              <w:rPr>
                <w:rFonts w:ascii="Arial" w:cs="Arial" w:eastAsia="Arial" w:hAnsi="Arial"/>
                <w:sz w:val="14"/>
                <w:szCs w:val="14"/>
                <w:b w:val="1"/>
                <w:bCs w:val="1"/>
                <w:color w:val="auto"/>
                <w:w w:val="88"/>
              </w:rPr>
              <w:t>Gross</w:t>
            </w: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20" w:type="dxa"/>
            <w:vAlign w:val="bottom"/>
            <w:vMerge w:val="restart"/>
          </w:tcPr>
          <w:p>
            <w:pPr>
              <w:jc w:val="center"/>
              <w:ind w:right="178"/>
              <w:spacing w:after="0"/>
              <w:rPr>
                <w:sz w:val="20"/>
                <w:szCs w:val="20"/>
                <w:color w:val="auto"/>
              </w:rPr>
            </w:pPr>
            <w:r>
              <w:rPr>
                <w:rFonts w:ascii="Arial" w:cs="Arial" w:eastAsia="Arial" w:hAnsi="Arial"/>
                <w:sz w:val="14"/>
                <w:szCs w:val="14"/>
                <w:b w:val="1"/>
                <w:bCs w:val="1"/>
                <w:color w:val="auto"/>
              </w:rPr>
              <w:t>Fair</w:t>
            </w: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60" w:type="dxa"/>
            <w:vAlign w:val="bottom"/>
          </w:tcPr>
          <w:p>
            <w:pPr>
              <w:jc w:val="center"/>
              <w:ind w:right="98"/>
              <w:spacing w:after="0" w:line="123" w:lineRule="exact"/>
              <w:rPr>
                <w:sz w:val="20"/>
                <w:szCs w:val="20"/>
                <w:color w:val="auto"/>
              </w:rPr>
            </w:pPr>
            <w:r>
              <w:rPr>
                <w:rFonts w:ascii="Arial" w:cs="Arial" w:eastAsia="Arial" w:hAnsi="Arial"/>
                <w:sz w:val="14"/>
                <w:szCs w:val="14"/>
                <w:b w:val="1"/>
                <w:bCs w:val="1"/>
                <w:color w:val="auto"/>
                <w:w w:val="83"/>
              </w:rPr>
              <w:t>Gross</w:t>
            </w:r>
          </w:p>
        </w:tc>
        <w:tc>
          <w:tcPr>
            <w:tcW w:w="0" w:type="dxa"/>
            <w:vAlign w:val="bottom"/>
          </w:tcPr>
          <w:p>
            <w:pPr>
              <w:spacing w:after="0"/>
              <w:rPr>
                <w:sz w:val="1"/>
                <w:szCs w:val="1"/>
                <w:color w:val="auto"/>
              </w:rPr>
            </w:pPr>
          </w:p>
        </w:tc>
      </w:tr>
      <w:tr>
        <w:trPr>
          <w:trHeight w:val="133"/>
        </w:trPr>
        <w:tc>
          <w:tcPr>
            <w:tcW w:w="38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December 31, 2022 (In thousands)</w:t>
            </w:r>
          </w:p>
        </w:tc>
        <w:tc>
          <w:tcPr>
            <w:tcW w:w="240" w:type="dxa"/>
            <w:vAlign w:val="bottom"/>
          </w:tcPr>
          <w:p>
            <w:pPr>
              <w:spacing w:after="0"/>
              <w:rPr>
                <w:sz w:val="11"/>
                <w:szCs w:val="11"/>
                <w:color w:val="auto"/>
              </w:rPr>
            </w:pPr>
          </w:p>
        </w:tc>
        <w:tc>
          <w:tcPr>
            <w:tcW w:w="92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40" w:type="dxa"/>
            <w:vAlign w:val="bottom"/>
          </w:tcPr>
          <w:p>
            <w:pPr>
              <w:jc w:val="center"/>
              <w:ind w:right="98"/>
              <w:spacing w:after="0" w:line="133" w:lineRule="exact"/>
              <w:rPr>
                <w:sz w:val="20"/>
                <w:szCs w:val="20"/>
                <w:color w:val="auto"/>
              </w:rPr>
            </w:pPr>
            <w:r>
              <w:rPr>
                <w:rFonts w:ascii="Arial" w:cs="Arial" w:eastAsia="Arial" w:hAnsi="Arial"/>
                <w:sz w:val="14"/>
                <w:szCs w:val="14"/>
                <w:b w:val="1"/>
                <w:bCs w:val="1"/>
                <w:color w:val="auto"/>
                <w:w w:val="90"/>
              </w:rPr>
              <w:t>Unrealized</w:t>
            </w: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0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tcPr>
          <w:p>
            <w:pPr>
              <w:jc w:val="center"/>
              <w:ind w:right="98"/>
              <w:spacing w:after="0" w:line="133" w:lineRule="exact"/>
              <w:rPr>
                <w:sz w:val="20"/>
                <w:szCs w:val="20"/>
                <w:color w:val="auto"/>
              </w:rPr>
            </w:pPr>
            <w:r>
              <w:rPr>
                <w:rFonts w:ascii="Arial" w:cs="Arial" w:eastAsia="Arial" w:hAnsi="Arial"/>
                <w:sz w:val="14"/>
                <w:szCs w:val="14"/>
                <w:b w:val="1"/>
                <w:bCs w:val="1"/>
                <w:color w:val="auto"/>
                <w:w w:val="90"/>
              </w:rPr>
              <w:t>Unrealized</w:t>
            </w: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2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60" w:type="dxa"/>
            <w:vAlign w:val="bottom"/>
          </w:tcPr>
          <w:p>
            <w:pPr>
              <w:jc w:val="center"/>
              <w:ind w:right="78"/>
              <w:spacing w:after="0" w:line="133" w:lineRule="exact"/>
              <w:rPr>
                <w:sz w:val="20"/>
                <w:szCs w:val="20"/>
                <w:color w:val="auto"/>
              </w:rPr>
            </w:pPr>
            <w:r>
              <w:rPr>
                <w:rFonts w:ascii="Arial" w:cs="Arial" w:eastAsia="Arial" w:hAnsi="Arial"/>
                <w:sz w:val="14"/>
                <w:szCs w:val="14"/>
                <w:b w:val="1"/>
                <w:bCs w:val="1"/>
                <w:color w:val="auto"/>
                <w:w w:val="90"/>
              </w:rPr>
              <w:t>Unrealized</w:t>
            </w:r>
          </w:p>
        </w:tc>
        <w:tc>
          <w:tcPr>
            <w:tcW w:w="0" w:type="dxa"/>
            <w:vAlign w:val="bottom"/>
          </w:tcPr>
          <w:p>
            <w:pPr>
              <w:spacing w:after="0"/>
              <w:rPr>
                <w:sz w:val="1"/>
                <w:szCs w:val="1"/>
                <w:color w:val="auto"/>
              </w:rPr>
            </w:pPr>
          </w:p>
        </w:tc>
      </w:tr>
      <w:tr>
        <w:trPr>
          <w:trHeight w:val="179"/>
        </w:trPr>
        <w:tc>
          <w:tcPr>
            <w:tcW w:w="3840" w:type="dxa"/>
            <w:vAlign w:val="bottom"/>
            <w:gridSpan w:val="3"/>
            <w:vMerge w:val="continue"/>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jc w:val="center"/>
              <w:ind w:right="178"/>
              <w:spacing w:after="0"/>
              <w:rPr>
                <w:sz w:val="20"/>
                <w:szCs w:val="20"/>
                <w:color w:val="auto"/>
              </w:rPr>
            </w:pPr>
            <w:r>
              <w:rPr>
                <w:rFonts w:ascii="Arial" w:cs="Arial" w:eastAsia="Arial" w:hAnsi="Arial"/>
                <w:sz w:val="14"/>
                <w:szCs w:val="14"/>
                <w:b w:val="1"/>
                <w:bCs w:val="1"/>
                <w:color w:val="auto"/>
                <w:w w:val="90"/>
              </w:rPr>
              <w:t>Value</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tcPr>
          <w:p>
            <w:pPr>
              <w:jc w:val="center"/>
              <w:ind w:right="98"/>
              <w:spacing w:after="0"/>
              <w:rPr>
                <w:sz w:val="20"/>
                <w:szCs w:val="20"/>
                <w:color w:val="auto"/>
              </w:rPr>
            </w:pPr>
            <w:r>
              <w:rPr>
                <w:rFonts w:ascii="Arial" w:cs="Arial" w:eastAsia="Arial" w:hAnsi="Arial"/>
                <w:sz w:val="14"/>
                <w:szCs w:val="14"/>
                <w:b w:val="1"/>
                <w:bCs w:val="1"/>
                <w:color w:val="auto"/>
                <w:w w:val="82"/>
              </w:rPr>
              <w:t>Losses</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jc w:val="center"/>
              <w:ind w:right="158"/>
              <w:spacing w:after="0"/>
              <w:rPr>
                <w:sz w:val="20"/>
                <w:szCs w:val="20"/>
                <w:color w:val="auto"/>
              </w:rPr>
            </w:pPr>
            <w:r>
              <w:rPr>
                <w:rFonts w:ascii="Arial" w:cs="Arial" w:eastAsia="Arial" w:hAnsi="Arial"/>
                <w:sz w:val="14"/>
                <w:szCs w:val="14"/>
                <w:b w:val="1"/>
                <w:bCs w:val="1"/>
                <w:color w:val="auto"/>
                <w:w w:val="90"/>
              </w:rPr>
              <w:t>Value</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jc w:val="center"/>
              <w:ind w:right="98"/>
              <w:spacing w:after="0"/>
              <w:rPr>
                <w:sz w:val="20"/>
                <w:szCs w:val="20"/>
                <w:color w:val="auto"/>
              </w:rPr>
            </w:pPr>
            <w:r>
              <w:rPr>
                <w:rFonts w:ascii="Arial" w:cs="Arial" w:eastAsia="Arial" w:hAnsi="Arial"/>
                <w:sz w:val="14"/>
                <w:szCs w:val="14"/>
                <w:b w:val="1"/>
                <w:bCs w:val="1"/>
                <w:color w:val="auto"/>
                <w:w w:val="82"/>
              </w:rPr>
              <w:t>Losses</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tcPr>
          <w:p>
            <w:pPr>
              <w:jc w:val="center"/>
              <w:ind w:right="178"/>
              <w:spacing w:after="0"/>
              <w:rPr>
                <w:sz w:val="20"/>
                <w:szCs w:val="20"/>
                <w:color w:val="auto"/>
              </w:rPr>
            </w:pPr>
            <w:r>
              <w:rPr>
                <w:rFonts w:ascii="Arial" w:cs="Arial" w:eastAsia="Arial" w:hAnsi="Arial"/>
                <w:sz w:val="14"/>
                <w:szCs w:val="14"/>
                <w:b w:val="1"/>
                <w:bCs w:val="1"/>
                <w:color w:val="auto"/>
                <w:w w:val="90"/>
              </w:rPr>
              <w:t>Value</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jc w:val="center"/>
              <w:ind w:right="98"/>
              <w:spacing w:after="0"/>
              <w:rPr>
                <w:sz w:val="20"/>
                <w:szCs w:val="20"/>
                <w:color w:val="auto"/>
              </w:rPr>
            </w:pPr>
            <w:r>
              <w:rPr>
                <w:rFonts w:ascii="Arial" w:cs="Arial" w:eastAsia="Arial" w:hAnsi="Arial"/>
                <w:sz w:val="14"/>
                <w:szCs w:val="14"/>
                <w:b w:val="1"/>
                <w:bCs w:val="1"/>
                <w:color w:val="auto"/>
                <w:w w:val="78"/>
              </w:rPr>
              <w:t>Losses</w:t>
            </w:r>
          </w:p>
        </w:tc>
        <w:tc>
          <w:tcPr>
            <w:tcW w:w="0" w:type="dxa"/>
            <w:vAlign w:val="bottom"/>
          </w:tcPr>
          <w:p>
            <w:pPr>
              <w:spacing w:after="0"/>
              <w:rPr>
                <w:sz w:val="1"/>
                <w:szCs w:val="1"/>
                <w:color w:val="auto"/>
              </w:rPr>
            </w:pPr>
          </w:p>
        </w:tc>
      </w:tr>
      <w:tr>
        <w:trPr>
          <w:trHeight w:val="25"/>
        </w:trPr>
        <w:tc>
          <w:tcPr>
            <w:tcW w:w="3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4"/>
        </w:trPr>
        <w:tc>
          <w:tcPr>
            <w:tcW w:w="384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U.S. Treasury securities</w:t>
            </w:r>
          </w:p>
        </w:tc>
        <w:tc>
          <w:tcPr>
            <w:tcW w:w="240" w:type="dxa"/>
            <w:vAlign w:val="bottom"/>
            <w:shd w:val="clear" w:color="auto" w:fill="CCEEFF"/>
          </w:tcPr>
          <w:p>
            <w:pPr>
              <w:jc w:val="right"/>
              <w:ind w:right="53"/>
              <w:spacing w:after="0"/>
              <w:rPr>
                <w:sz w:val="20"/>
                <w:szCs w:val="20"/>
                <w:color w:val="auto"/>
              </w:rPr>
            </w:pPr>
            <w:r>
              <w:rPr>
                <w:rFonts w:ascii="Arial" w:cs="Arial" w:eastAsia="Arial" w:hAnsi="Arial"/>
                <w:sz w:val="17"/>
                <w:szCs w:val="17"/>
                <w:color w:val="auto"/>
                <w:w w:val="84"/>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321,848</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(12,381)</w:t>
            </w:r>
          </w:p>
        </w:tc>
        <w:tc>
          <w:tcPr>
            <w:tcW w:w="360" w:type="dxa"/>
            <w:vAlign w:val="bottom"/>
            <w:gridSpan w:val="2"/>
            <w:shd w:val="clear" w:color="auto" w:fill="CCEEFF"/>
          </w:tcPr>
          <w:p>
            <w:pPr>
              <w:jc w:val="right"/>
              <w:ind w:right="53"/>
              <w:spacing w:after="0"/>
              <w:rPr>
                <w:sz w:val="20"/>
                <w:szCs w:val="20"/>
                <w:color w:val="auto"/>
              </w:rPr>
            </w:pPr>
            <w:r>
              <w:rPr>
                <w:rFonts w:ascii="Arial" w:cs="Arial" w:eastAsia="Arial" w:hAnsi="Arial"/>
                <w:sz w:val="17"/>
                <w:szCs w:val="17"/>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169,795</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(15,695)</w:t>
            </w:r>
          </w:p>
        </w:tc>
        <w:tc>
          <w:tcPr>
            <w:tcW w:w="360" w:type="dxa"/>
            <w:vAlign w:val="bottom"/>
            <w:gridSpan w:val="2"/>
            <w:shd w:val="clear" w:color="auto" w:fill="CCEEFF"/>
          </w:tcPr>
          <w:p>
            <w:pPr>
              <w:jc w:val="right"/>
              <w:ind w:right="73"/>
              <w:spacing w:after="0"/>
              <w:rPr>
                <w:sz w:val="20"/>
                <w:szCs w:val="20"/>
                <w:color w:val="auto"/>
              </w:rPr>
            </w:pPr>
            <w:r>
              <w:rPr>
                <w:rFonts w:ascii="Arial" w:cs="Arial" w:eastAsia="Arial" w:hAnsi="Arial"/>
                <w:sz w:val="17"/>
                <w:szCs w:val="17"/>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491,643</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(28,076)</w:t>
            </w:r>
          </w:p>
        </w:tc>
        <w:tc>
          <w:tcPr>
            <w:tcW w:w="0" w:type="dxa"/>
            <w:vAlign w:val="bottom"/>
          </w:tcPr>
          <w:p>
            <w:pPr>
              <w:spacing w:after="0"/>
              <w:rPr>
                <w:sz w:val="1"/>
                <w:szCs w:val="1"/>
                <w:color w:val="auto"/>
              </w:rPr>
            </w:pPr>
          </w:p>
        </w:tc>
      </w:tr>
      <w:tr>
        <w:trPr>
          <w:trHeight w:val="221"/>
        </w:trPr>
        <w:tc>
          <w:tcPr>
            <w:tcW w:w="3840" w:type="dxa"/>
            <w:vAlign w:val="bottom"/>
            <w:gridSpan w:val="3"/>
          </w:tcPr>
          <w:p>
            <w:pPr>
              <w:spacing w:after="0"/>
              <w:rPr>
                <w:sz w:val="20"/>
                <w:szCs w:val="20"/>
                <w:color w:val="auto"/>
              </w:rPr>
            </w:pPr>
            <w:r>
              <w:rPr>
                <w:rFonts w:ascii="Arial" w:cs="Arial" w:eastAsia="Arial" w:hAnsi="Arial"/>
                <w:sz w:val="17"/>
                <w:szCs w:val="17"/>
                <w:color w:val="auto"/>
              </w:rPr>
              <w:t>U.S. agency securities</w:t>
            </w: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7,117</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(8)</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7,117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(8)</w:t>
            </w:r>
          </w:p>
        </w:tc>
        <w:tc>
          <w:tcPr>
            <w:tcW w:w="0" w:type="dxa"/>
            <w:vAlign w:val="bottom"/>
          </w:tcPr>
          <w:p>
            <w:pPr>
              <w:spacing w:after="0"/>
              <w:rPr>
                <w:sz w:val="1"/>
                <w:szCs w:val="1"/>
                <w:color w:val="auto"/>
              </w:rPr>
            </w:pPr>
          </w:p>
        </w:tc>
      </w:tr>
      <w:tr>
        <w:trPr>
          <w:trHeight w:val="234"/>
        </w:trPr>
        <w:tc>
          <w:tcPr>
            <w:tcW w:w="384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U.S. agency mortgage-backed securities</w:t>
            </w:r>
          </w:p>
        </w:tc>
        <w:tc>
          <w:tcPr>
            <w:tcW w:w="24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351,310</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(34,193)</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415,743</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(80,997)</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767,053</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(115,190)</w:t>
            </w:r>
          </w:p>
        </w:tc>
        <w:tc>
          <w:tcPr>
            <w:tcW w:w="0" w:type="dxa"/>
            <w:vAlign w:val="bottom"/>
          </w:tcPr>
          <w:p>
            <w:pPr>
              <w:spacing w:after="0"/>
              <w:rPr>
                <w:sz w:val="1"/>
                <w:szCs w:val="1"/>
                <w:color w:val="auto"/>
              </w:rPr>
            </w:pPr>
          </w:p>
        </w:tc>
      </w:tr>
      <w:tr>
        <w:trPr>
          <w:trHeight w:val="221"/>
        </w:trPr>
        <w:tc>
          <w:tcPr>
            <w:tcW w:w="3840" w:type="dxa"/>
            <w:vAlign w:val="bottom"/>
            <w:gridSpan w:val="3"/>
          </w:tcPr>
          <w:p>
            <w:pPr>
              <w:spacing w:after="0"/>
              <w:rPr>
                <w:sz w:val="20"/>
                <w:szCs w:val="20"/>
                <w:color w:val="auto"/>
              </w:rPr>
            </w:pPr>
            <w:r>
              <w:rPr>
                <w:rFonts w:ascii="Arial" w:cs="Arial" w:eastAsia="Arial" w:hAnsi="Arial"/>
                <w:sz w:val="17"/>
                <w:szCs w:val="17"/>
                <w:color w:val="auto"/>
              </w:rPr>
              <w:t>Municipal debt securities</w:t>
            </w: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335,784</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(41,620)</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64,766</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(19,634)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400,550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(61,254)</w:t>
            </w:r>
          </w:p>
        </w:tc>
        <w:tc>
          <w:tcPr>
            <w:tcW w:w="0" w:type="dxa"/>
            <w:vAlign w:val="bottom"/>
          </w:tcPr>
          <w:p>
            <w:pPr>
              <w:spacing w:after="0"/>
              <w:rPr>
                <w:sz w:val="1"/>
                <w:szCs w:val="1"/>
                <w:color w:val="auto"/>
              </w:rPr>
            </w:pPr>
          </w:p>
        </w:tc>
      </w:tr>
      <w:tr>
        <w:trPr>
          <w:trHeight w:val="221"/>
        </w:trPr>
        <w:tc>
          <w:tcPr>
            <w:tcW w:w="384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Non-U.S. government securities</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48,071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(2,914)</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14,328</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(4,338)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62,399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(7,252)</w:t>
            </w:r>
          </w:p>
        </w:tc>
        <w:tc>
          <w:tcPr>
            <w:tcW w:w="0" w:type="dxa"/>
            <w:vAlign w:val="bottom"/>
          </w:tcPr>
          <w:p>
            <w:pPr>
              <w:spacing w:after="0"/>
              <w:rPr>
                <w:sz w:val="1"/>
                <w:szCs w:val="1"/>
                <w:color w:val="auto"/>
              </w:rPr>
            </w:pPr>
          </w:p>
        </w:tc>
      </w:tr>
      <w:tr>
        <w:trPr>
          <w:trHeight w:val="227"/>
        </w:trPr>
        <w:tc>
          <w:tcPr>
            <w:tcW w:w="3840" w:type="dxa"/>
            <w:vAlign w:val="bottom"/>
            <w:gridSpan w:val="3"/>
          </w:tcPr>
          <w:p>
            <w:pPr>
              <w:spacing w:after="0"/>
              <w:rPr>
                <w:sz w:val="20"/>
                <w:szCs w:val="20"/>
                <w:color w:val="auto"/>
              </w:rPr>
            </w:pPr>
            <w:r>
              <w:rPr>
                <w:rFonts w:ascii="Arial" w:cs="Arial" w:eastAsia="Arial" w:hAnsi="Arial"/>
                <w:sz w:val="17"/>
                <w:szCs w:val="17"/>
                <w:color w:val="auto"/>
              </w:rPr>
              <w:t>Corporate debt securities</w:t>
            </w: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811,217</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(69,415)</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421,307</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(63,972)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1,232,524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(133,387)</w:t>
            </w:r>
          </w:p>
        </w:tc>
        <w:tc>
          <w:tcPr>
            <w:tcW w:w="0" w:type="dxa"/>
            <w:vAlign w:val="bottom"/>
          </w:tcPr>
          <w:p>
            <w:pPr>
              <w:spacing w:after="0"/>
              <w:rPr>
                <w:sz w:val="1"/>
                <w:szCs w:val="1"/>
                <w:color w:val="auto"/>
              </w:rPr>
            </w:pPr>
          </w:p>
        </w:tc>
      </w:tr>
      <w:tr>
        <w:trPr>
          <w:trHeight w:val="227"/>
        </w:trPr>
        <w:tc>
          <w:tcPr>
            <w:tcW w:w="384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Residential and commercial mortgage securities</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265,934</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(22,628)</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242,366</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(43,853)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508,300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(66,481)</w:t>
            </w:r>
          </w:p>
        </w:tc>
        <w:tc>
          <w:tcPr>
            <w:tcW w:w="0" w:type="dxa"/>
            <w:vAlign w:val="bottom"/>
          </w:tcPr>
          <w:p>
            <w:pPr>
              <w:spacing w:after="0"/>
              <w:rPr>
                <w:sz w:val="1"/>
                <w:szCs w:val="1"/>
                <w:color w:val="auto"/>
              </w:rPr>
            </w:pPr>
          </w:p>
        </w:tc>
      </w:tr>
      <w:tr>
        <w:trPr>
          <w:trHeight w:val="221"/>
        </w:trPr>
        <w:tc>
          <w:tcPr>
            <w:tcW w:w="3820" w:type="dxa"/>
            <w:vAlign w:val="bottom"/>
            <w:tcBorders>
              <w:bottom w:val="single" w:sz="8" w:color="CCEEFF"/>
            </w:tcBorders>
            <w:gridSpan w:val="2"/>
          </w:tcPr>
          <w:p>
            <w:pPr>
              <w:spacing w:after="0"/>
              <w:rPr>
                <w:sz w:val="20"/>
                <w:szCs w:val="20"/>
                <w:color w:val="auto"/>
              </w:rPr>
            </w:pPr>
            <w:r>
              <w:rPr>
                <w:rFonts w:ascii="Arial" w:cs="Arial" w:eastAsia="Arial" w:hAnsi="Arial"/>
                <w:sz w:val="17"/>
                <w:szCs w:val="17"/>
                <w:color w:val="auto"/>
              </w:rPr>
              <w:t>Asset-backed securities</w:t>
            </w:r>
          </w:p>
        </w:tc>
        <w:tc>
          <w:tcPr>
            <w:tcW w:w="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333,080</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(15,454)</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258,572</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(20,402)</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591,652</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(35,856)</w:t>
            </w:r>
          </w:p>
        </w:tc>
        <w:tc>
          <w:tcPr>
            <w:tcW w:w="0" w:type="dxa"/>
            <w:vAlign w:val="bottom"/>
          </w:tcPr>
          <w:p>
            <w:pPr>
              <w:spacing w:after="0"/>
              <w:rPr>
                <w:sz w:val="1"/>
                <w:szCs w:val="1"/>
                <w:color w:val="auto"/>
              </w:rPr>
            </w:pPr>
          </w:p>
        </w:tc>
      </w:tr>
      <w:tr>
        <w:trPr>
          <w:trHeight w:val="234"/>
        </w:trPr>
        <w:tc>
          <w:tcPr>
            <w:tcW w:w="38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Total</w:t>
            </w:r>
          </w:p>
        </w:tc>
        <w:tc>
          <w:tcPr>
            <w:tcW w:w="2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3"/>
              <w:spacing w:after="0"/>
              <w:rPr>
                <w:sz w:val="20"/>
                <w:szCs w:val="20"/>
                <w:color w:val="auto"/>
              </w:rPr>
            </w:pPr>
            <w:r>
              <w:rPr>
                <w:rFonts w:ascii="Arial" w:cs="Arial" w:eastAsia="Arial" w:hAnsi="Arial"/>
                <w:sz w:val="17"/>
                <w:szCs w:val="17"/>
                <w:color w:val="auto"/>
                <w:w w:val="84"/>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2,474,361</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(198,613)</w:t>
            </w:r>
          </w:p>
        </w:tc>
        <w:tc>
          <w:tcPr>
            <w:tcW w:w="360" w:type="dxa"/>
            <w:vAlign w:val="bottom"/>
            <w:gridSpan w:val="2"/>
            <w:shd w:val="clear" w:color="auto" w:fill="CCEEFF"/>
          </w:tcPr>
          <w:p>
            <w:pPr>
              <w:jc w:val="right"/>
              <w:ind w:right="53"/>
              <w:spacing w:after="0"/>
              <w:rPr>
                <w:sz w:val="20"/>
                <w:szCs w:val="20"/>
                <w:color w:val="auto"/>
              </w:rPr>
            </w:pPr>
            <w:r>
              <w:rPr>
                <w:rFonts w:ascii="Arial" w:cs="Arial" w:eastAsia="Arial" w:hAnsi="Arial"/>
                <w:sz w:val="17"/>
                <w:szCs w:val="17"/>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1,586,877</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(248,891)</w:t>
            </w:r>
          </w:p>
        </w:tc>
        <w:tc>
          <w:tcPr>
            <w:tcW w:w="360" w:type="dxa"/>
            <w:vAlign w:val="bottom"/>
            <w:gridSpan w:val="2"/>
            <w:shd w:val="clear" w:color="auto" w:fill="CCEEFF"/>
          </w:tcPr>
          <w:p>
            <w:pPr>
              <w:jc w:val="right"/>
              <w:ind w:right="73"/>
              <w:spacing w:after="0"/>
              <w:rPr>
                <w:sz w:val="20"/>
                <w:szCs w:val="20"/>
                <w:color w:val="auto"/>
              </w:rPr>
            </w:pPr>
            <w:r>
              <w:rPr>
                <w:rFonts w:ascii="Arial" w:cs="Arial" w:eastAsia="Arial" w:hAnsi="Arial"/>
                <w:sz w:val="17"/>
                <w:szCs w:val="17"/>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4,061,238</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(447,504)</w:t>
            </w:r>
          </w:p>
        </w:tc>
        <w:tc>
          <w:tcPr>
            <w:tcW w:w="0" w:type="dxa"/>
            <w:vAlign w:val="bottom"/>
          </w:tcPr>
          <w:p>
            <w:pPr>
              <w:spacing w:after="0"/>
              <w:rPr>
                <w:sz w:val="1"/>
                <w:szCs w:val="1"/>
                <w:color w:val="auto"/>
              </w:rPr>
            </w:pPr>
          </w:p>
        </w:tc>
      </w:tr>
      <w:tr>
        <w:trPr>
          <w:trHeight w:val="20"/>
        </w:trPr>
        <w:tc>
          <w:tcPr>
            <w:tcW w:w="37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6" w:lineRule="exact"/>
        <w:rPr>
          <w:sz w:val="20"/>
          <w:szCs w:val="20"/>
          <w:color w:val="auto"/>
        </w:rPr>
      </w:pPr>
    </w:p>
    <w:p>
      <w:pPr>
        <w:ind w:firstLine="623"/>
        <w:spacing w:after="0" w:line="298" w:lineRule="auto"/>
        <w:rPr>
          <w:sz w:val="20"/>
          <w:szCs w:val="20"/>
          <w:color w:val="auto"/>
        </w:rPr>
      </w:pPr>
      <w:r>
        <w:rPr>
          <w:rFonts w:ascii="Arial" w:cs="Arial" w:eastAsia="Arial" w:hAnsi="Arial"/>
          <w:sz w:val="15"/>
          <w:szCs w:val="15"/>
          <w:color w:val="auto"/>
        </w:rPr>
        <w:t>At June 30, 2023 and December 31, 2022, we held 2,567 and 2,578 individual investment securities, respectively, that were in an unrealized loss position. We assess our intent to sell these securities and whether we will be required to sell these securities before the recovery of their amortized cost basis when determining whether to record an impairment on the securities in an unrealized loss position. In assessing whether the decline in the fair value at June 30, 2023 of any of these securities resulted from a credit loss or other factors, we made inquiries of our investment managers to determine that each issuer was current on its scheduled interest and principal payments. We reviewed the credit rating of these securities noting that approximately 98% of the securities at June 30, 2023 had investment-grade ratings. We concluded that gross unrealized losses noted above were primarily associated with the changes in interest rates subsequent to purchase rather than due to credit impairment. We recorded impairments of $0.2 million in the three and six months ended June 30, 2023 and impairments of $0.5 million and $7.3 million, respectively, in the three and six months ended June 30, 2022 due to our intent to sell securities in an unrealized loss position.</w:t>
      </w:r>
    </w:p>
    <w:p>
      <w:pPr>
        <w:spacing w:after="0" w:line="182" w:lineRule="exact"/>
        <w:rPr>
          <w:sz w:val="20"/>
          <w:szCs w:val="20"/>
          <w:color w:val="auto"/>
        </w:rPr>
      </w:pPr>
    </w:p>
    <w:p>
      <w:pPr>
        <w:ind w:right="60" w:firstLine="623"/>
        <w:spacing w:after="0" w:line="282" w:lineRule="auto"/>
        <w:rPr>
          <w:sz w:val="20"/>
          <w:szCs w:val="20"/>
          <w:color w:val="auto"/>
        </w:rPr>
      </w:pPr>
      <w:r>
        <w:rPr>
          <w:rFonts w:ascii="Arial" w:cs="Arial" w:eastAsia="Arial" w:hAnsi="Arial"/>
          <w:sz w:val="16"/>
          <w:szCs w:val="16"/>
          <w:color w:val="auto"/>
        </w:rPr>
        <w:t>The Company's other invested assets at June 30, 2023 and December 31, 2022 totaled $266.6 million and $257.9 million, respectively. Other invested assets are principally comprised of limited partnership interests which are generally accounted for under the equity method or fair value using net asset value (or its equivalent) as a practical expedient. Our proportionate share of earnings or losses or changes in fair value are reported in income from other invested assets on the condensed consolidated statements of comprehensive income. For entities accounted for under the equity method that follow industry-specific guidance for investment companies, our proportionate share of earnings or losses includes changes in the fair</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68580</wp:posOffset>
            </wp:positionV>
            <wp:extent cx="7162800" cy="419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3" w:name="page14"/>
    <w:bookmarkEnd w:id="13"/>
    <w:p>
      <w:pPr>
        <w:spacing w:after="0"/>
        <w:rPr>
          <w:sz w:val="20"/>
          <w:szCs w:val="20"/>
          <w:color w:val="auto"/>
        </w:rPr>
      </w:pPr>
      <w:r>
        <w:rPr>
          <w:rFonts w:ascii="Arial" w:cs="Arial" w:eastAsia="Arial" w:hAnsi="Arial"/>
          <w:sz w:val="17"/>
          <w:szCs w:val="17"/>
          <w:u w:val="single" w:color="auto"/>
          <w:color w:val="0000FF"/>
        </w:rPr>
        <w:t>Table of Contents</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Essent Group Ltd. and Subsidiaries</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Condensed Consolidated Financial Statements (Unaudited)</w:t>
      </w:r>
    </w:p>
    <w:p>
      <w:pPr>
        <w:spacing w:after="0" w:line="200" w:lineRule="exact"/>
        <w:rPr>
          <w:sz w:val="20"/>
          <w:szCs w:val="20"/>
          <w:color w:val="auto"/>
        </w:rPr>
      </w:pPr>
    </w:p>
    <w:p>
      <w:pPr>
        <w:spacing w:after="0" w:line="234" w:lineRule="exact"/>
        <w:rPr>
          <w:sz w:val="20"/>
          <w:szCs w:val="20"/>
          <w:color w:val="auto"/>
        </w:rPr>
      </w:pPr>
    </w:p>
    <w:p>
      <w:pPr>
        <w:spacing w:after="0" w:line="285" w:lineRule="auto"/>
        <w:rPr>
          <w:sz w:val="20"/>
          <w:szCs w:val="20"/>
          <w:color w:val="auto"/>
        </w:rPr>
      </w:pPr>
      <w:r>
        <w:rPr>
          <w:rFonts w:ascii="Arial" w:cs="Arial" w:eastAsia="Arial" w:hAnsi="Arial"/>
          <w:sz w:val="17"/>
          <w:szCs w:val="17"/>
          <w:color w:val="auto"/>
        </w:rPr>
        <w:t>value of the underlying assets of these entities. Due to the timing of receiving financial information from these partnerships, the results are generally reported on a one month or quarter lag.</w:t>
      </w:r>
    </w:p>
    <w:p>
      <w:pPr>
        <w:spacing w:after="0" w:line="185" w:lineRule="exact"/>
        <w:rPr>
          <w:sz w:val="20"/>
          <w:szCs w:val="20"/>
          <w:color w:val="auto"/>
        </w:rPr>
      </w:pPr>
    </w:p>
    <w:p>
      <w:pPr>
        <w:ind w:right="20" w:firstLine="623"/>
        <w:spacing w:after="0" w:line="261" w:lineRule="auto"/>
        <w:rPr>
          <w:sz w:val="20"/>
          <w:szCs w:val="20"/>
          <w:color w:val="auto"/>
        </w:rPr>
      </w:pPr>
      <w:r>
        <w:rPr>
          <w:rFonts w:ascii="Arial" w:cs="Arial" w:eastAsia="Arial" w:hAnsi="Arial"/>
          <w:sz w:val="17"/>
          <w:szCs w:val="17"/>
          <w:color w:val="auto"/>
        </w:rPr>
        <w:t>Other invested assets that are accounted for at fair value using the net asset value (or its equivalent) as a practical expedient totaled $139.7 million as of June 30, 2023. The majority of these investments were in limited partnerships invested in real estate or technology. At June 30, 2023, maximum future funding commitments were $50.3 million. For limited partnership investments that have a contractual expiration date, we expect the liquidation of the underlying assets to occur over the next one to nine years. For certain of these investments, the Company does not have the contractual option to redeem but receives distributions based on the liquidation of the underlying assets. In addition, the Company generally does not have the ability to sell or transfer these investments without the consent from the general partner of individual limited partnerships.</w:t>
      </w:r>
    </w:p>
    <w:p>
      <w:pPr>
        <w:spacing w:after="0" w:line="204" w:lineRule="exact"/>
        <w:rPr>
          <w:sz w:val="20"/>
          <w:szCs w:val="20"/>
          <w:color w:val="auto"/>
        </w:rPr>
      </w:pPr>
    </w:p>
    <w:p>
      <w:pPr>
        <w:ind w:right="20" w:firstLine="623"/>
        <w:spacing w:after="0" w:line="260" w:lineRule="auto"/>
        <w:rPr>
          <w:sz w:val="20"/>
          <w:szCs w:val="20"/>
          <w:color w:val="auto"/>
        </w:rPr>
      </w:pPr>
      <w:r>
        <w:rPr>
          <w:rFonts w:ascii="Arial" w:cs="Arial" w:eastAsia="Arial" w:hAnsi="Arial"/>
          <w:sz w:val="17"/>
          <w:szCs w:val="17"/>
          <w:color w:val="auto"/>
        </w:rPr>
        <w:t>The fair value of investments deposited with insurance regulatory authorities to meet statutory requirements was $9.3 million at June 30, 2023 and $9.1 million at December 31, 2022. In connection with its insurance and reinsurance activities, Essent Re is required to maintain assets in trusts for the benefit of its contractual counterparties. The fair value of the investments on deposit in these trusts was $1.1 billion at June 30, 2023 and $972.4 million at December 31, 2022. Essent Guaranty is required to maintain assets on deposit in connection with its fully collateralized reinsurance agreements (see Note 4). The fair value of the assets on deposit was $5.0 million at June 30, 2023 and $8.6 million at December 31, 2022. Essent Guaranty is also required to maintain assets on deposit for the benefit of the sponsor of a fixed income investment commitment. The fair value of the assets on deposit was $9.0 million at June 30, 2023 and $9.1 million at December 31, 2022.</w:t>
      </w:r>
    </w:p>
    <w:p>
      <w:pPr>
        <w:spacing w:after="0" w:line="205" w:lineRule="exact"/>
        <w:rPr>
          <w:sz w:val="20"/>
          <w:szCs w:val="20"/>
          <w:color w:val="auto"/>
        </w:rPr>
      </w:pPr>
    </w:p>
    <w:p>
      <w:pPr>
        <w:ind w:left="620"/>
        <w:spacing w:after="0"/>
        <w:rPr>
          <w:sz w:val="20"/>
          <w:szCs w:val="20"/>
          <w:color w:val="auto"/>
        </w:rPr>
      </w:pPr>
      <w:r>
        <w:rPr>
          <w:rFonts w:ascii="Arial" w:cs="Arial" w:eastAsia="Arial" w:hAnsi="Arial"/>
          <w:sz w:val="17"/>
          <w:szCs w:val="17"/>
          <w:color w:val="auto"/>
        </w:rPr>
        <w:t>Net investment income consists of:</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2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June 30,</w:t>
            </w:r>
          </w:p>
        </w:tc>
        <w:tc>
          <w:tcPr>
            <w:tcW w:w="5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620" w:type="dxa"/>
            <w:vAlign w:val="bottom"/>
            <w:tcBorders>
              <w:bottom w:val="single" w:sz="8" w:color="auto"/>
            </w:tcBorders>
            <w:gridSpan w:val="4"/>
          </w:tcPr>
          <w:p>
            <w:pPr>
              <w:jc w:val="right"/>
              <w:ind w:right="576"/>
              <w:spacing w:after="0"/>
              <w:rPr>
                <w:sz w:val="20"/>
                <w:szCs w:val="20"/>
                <w:color w:val="auto"/>
              </w:rPr>
            </w:pPr>
            <w:r>
              <w:rPr>
                <w:rFonts w:ascii="Arial" w:cs="Arial" w:eastAsia="Arial" w:hAnsi="Arial"/>
                <w:sz w:val="14"/>
                <w:szCs w:val="14"/>
                <w:b w:val="1"/>
                <w:bCs w:val="1"/>
                <w:color w:val="auto"/>
              </w:rPr>
              <w:t>Six Months Ended June 30,</w:t>
            </w:r>
          </w:p>
        </w:tc>
      </w:tr>
      <w:tr>
        <w:trPr>
          <w:trHeight w:val="188"/>
        </w:trPr>
        <w:tc>
          <w:tcPr>
            <w:tcW w:w="51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100" w:type="dxa"/>
            <w:vAlign w:val="bottom"/>
            <w:tcBorders>
              <w:bottom w:val="single" w:sz="8" w:color="CCEEFF"/>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56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54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8"/>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96"/>
              <w:spacing w:after="0"/>
              <w:rPr>
                <w:sz w:val="20"/>
                <w:szCs w:val="20"/>
                <w:color w:val="auto"/>
              </w:rPr>
            </w:pPr>
            <w:r>
              <w:rPr>
                <w:rFonts w:ascii="Arial" w:cs="Arial" w:eastAsia="Arial" w:hAnsi="Arial"/>
                <w:sz w:val="14"/>
                <w:szCs w:val="14"/>
                <w:b w:val="1"/>
                <w:bCs w:val="1"/>
                <w:color w:val="auto"/>
              </w:rPr>
              <w:t>2022</w:t>
            </w:r>
          </w:p>
        </w:tc>
      </w:tr>
      <w:tr>
        <w:trPr>
          <w:trHeight w:val="221"/>
        </w:trPr>
        <w:tc>
          <w:tcPr>
            <w:tcW w:w="520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Fixed maturities</w:t>
            </w:r>
          </w:p>
        </w:tc>
        <w:tc>
          <w:tcPr>
            <w:tcW w:w="880" w:type="dxa"/>
            <w:vAlign w:val="bottom"/>
            <w:shd w:val="clear" w:color="auto" w:fill="CCEEFF"/>
          </w:tcPr>
          <w:p>
            <w:pPr>
              <w:jc w:val="right"/>
              <w:ind w:right="682"/>
              <w:spacing w:after="0"/>
              <w:rPr>
                <w:sz w:val="20"/>
                <w:szCs w:val="20"/>
                <w:color w:val="auto"/>
              </w:rPr>
            </w:pPr>
            <w:r>
              <w:rPr>
                <w:rFonts w:ascii="Arial" w:cs="Arial" w:eastAsia="Arial" w:hAnsi="Arial"/>
                <w:sz w:val="17"/>
                <w:szCs w:val="17"/>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8"/>
              </w:rPr>
              <w:t>43,775</w:t>
            </w:r>
          </w:p>
        </w:tc>
        <w:tc>
          <w:tcPr>
            <w:tcW w:w="980" w:type="dxa"/>
            <w:vAlign w:val="bottom"/>
            <w:gridSpan w:val="2"/>
            <w:shd w:val="clear" w:color="auto" w:fill="CCEEFF"/>
          </w:tcPr>
          <w:p>
            <w:pPr>
              <w:jc w:val="right"/>
              <w:ind w:right="691"/>
              <w:spacing w:after="0"/>
              <w:rPr>
                <w:sz w:val="20"/>
                <w:szCs w:val="20"/>
                <w:color w:val="auto"/>
              </w:rPr>
            </w:pPr>
            <w:r>
              <w:rPr>
                <w:rFonts w:ascii="Arial" w:cs="Arial" w:eastAsia="Arial" w:hAnsi="Arial"/>
                <w:sz w:val="17"/>
                <w:szCs w:val="17"/>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8"/>
              </w:rPr>
              <w:t>31,074</w:t>
            </w:r>
          </w:p>
        </w:tc>
        <w:tc>
          <w:tcPr>
            <w:tcW w:w="46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87,251</w:t>
            </w:r>
          </w:p>
        </w:tc>
        <w:tc>
          <w:tcPr>
            <w:tcW w:w="44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57,298</w:t>
            </w:r>
          </w:p>
        </w:tc>
      </w:tr>
      <w:tr>
        <w:trPr>
          <w:trHeight w:val="227"/>
        </w:trPr>
        <w:tc>
          <w:tcPr>
            <w:tcW w:w="5200" w:type="dxa"/>
            <w:vAlign w:val="bottom"/>
            <w:tcBorders>
              <w:bottom w:val="single" w:sz="8" w:color="CCEEFF"/>
            </w:tcBorders>
            <w:gridSpan w:val="2"/>
          </w:tcPr>
          <w:p>
            <w:pPr>
              <w:ind w:left="20"/>
              <w:spacing w:after="0"/>
              <w:rPr>
                <w:sz w:val="20"/>
                <w:szCs w:val="20"/>
                <w:color w:val="auto"/>
              </w:rPr>
            </w:pPr>
            <w:r>
              <w:rPr>
                <w:rFonts w:ascii="Arial" w:cs="Arial" w:eastAsia="Arial" w:hAnsi="Arial"/>
                <w:sz w:val="17"/>
                <w:szCs w:val="17"/>
                <w:color w:val="auto"/>
              </w:rPr>
              <w:t>Short-term investments</w:t>
            </w:r>
          </w:p>
        </w:tc>
        <w:tc>
          <w:tcPr>
            <w:tcW w:w="8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3,298</w:t>
            </w:r>
          </w:p>
        </w:tc>
        <w:tc>
          <w:tcPr>
            <w:tcW w:w="120" w:type="dxa"/>
            <w:vAlign w:val="bottom"/>
            <w:tcBorders>
              <w:bottom w:val="single" w:sz="8" w:color="CCEEFF"/>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215</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5,017</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258</w:t>
            </w:r>
          </w:p>
        </w:tc>
      </w:tr>
      <w:tr>
        <w:trPr>
          <w:trHeight w:val="220"/>
        </w:trPr>
        <w:tc>
          <w:tcPr>
            <w:tcW w:w="520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Gross investment income</w:t>
            </w:r>
          </w:p>
        </w:tc>
        <w:tc>
          <w:tcPr>
            <w:tcW w:w="88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8"/>
              </w:rPr>
              <w:t>47,073</w:t>
            </w: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8"/>
              </w:rPr>
              <w:t>31,289</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92,268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57,556</w:t>
            </w:r>
          </w:p>
        </w:tc>
      </w:tr>
      <w:tr>
        <w:trPr>
          <w:trHeight w:val="221"/>
        </w:trPr>
        <w:tc>
          <w:tcPr>
            <w:tcW w:w="5200" w:type="dxa"/>
            <w:vAlign w:val="bottom"/>
            <w:gridSpan w:val="2"/>
          </w:tcPr>
          <w:p>
            <w:pPr>
              <w:ind w:left="20"/>
              <w:spacing w:after="0"/>
              <w:rPr>
                <w:sz w:val="20"/>
                <w:szCs w:val="20"/>
                <w:color w:val="auto"/>
              </w:rPr>
            </w:pPr>
            <w:r>
              <w:rPr>
                <w:rFonts w:ascii="Arial" w:cs="Arial" w:eastAsia="Arial" w:hAnsi="Arial"/>
                <w:sz w:val="17"/>
                <w:szCs w:val="17"/>
                <w:color w:val="auto"/>
              </w:rPr>
              <w:t>Investment expenses</w:t>
            </w:r>
          </w:p>
        </w:tc>
        <w:tc>
          <w:tcPr>
            <w:tcW w:w="8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96"/>
              </w:rPr>
              <w:t>(1,823)</w:t>
            </w:r>
          </w:p>
        </w:tc>
        <w:tc>
          <w:tcPr>
            <w:tcW w:w="120" w:type="dxa"/>
            <w:vAlign w:val="bottom"/>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92"/>
              </w:rPr>
              <w:t>(1,950)</w:t>
            </w:r>
          </w:p>
        </w:tc>
        <w:tc>
          <w:tcPr>
            <w:tcW w:w="12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(3,782)</w:t>
            </w:r>
          </w:p>
        </w:tc>
        <w:tc>
          <w:tcPr>
            <w:tcW w:w="1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(3,537)</w:t>
            </w:r>
          </w:p>
        </w:tc>
      </w:tr>
      <w:tr>
        <w:trPr>
          <w:trHeight w:val="240"/>
        </w:trPr>
        <w:tc>
          <w:tcPr>
            <w:tcW w:w="520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Net investment income</w:t>
            </w:r>
          </w:p>
        </w:tc>
        <w:tc>
          <w:tcPr>
            <w:tcW w:w="880" w:type="dxa"/>
            <w:vAlign w:val="bottom"/>
            <w:shd w:val="clear" w:color="auto" w:fill="CCEEFF"/>
          </w:tcPr>
          <w:p>
            <w:pPr>
              <w:jc w:val="right"/>
              <w:ind w:right="682"/>
              <w:spacing w:after="0"/>
              <w:rPr>
                <w:sz w:val="20"/>
                <w:szCs w:val="20"/>
                <w:color w:val="auto"/>
              </w:rPr>
            </w:pPr>
            <w:r>
              <w:rPr>
                <w:rFonts w:ascii="Arial" w:cs="Arial" w:eastAsia="Arial" w:hAnsi="Arial"/>
                <w:sz w:val="17"/>
                <w:szCs w:val="17"/>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8"/>
              </w:rPr>
              <w:t>45,250</w:t>
            </w:r>
          </w:p>
        </w:tc>
        <w:tc>
          <w:tcPr>
            <w:tcW w:w="980" w:type="dxa"/>
            <w:vAlign w:val="bottom"/>
            <w:gridSpan w:val="2"/>
            <w:shd w:val="clear" w:color="auto" w:fill="CCEEFF"/>
          </w:tcPr>
          <w:p>
            <w:pPr>
              <w:jc w:val="right"/>
              <w:ind w:right="691"/>
              <w:spacing w:after="0"/>
              <w:rPr>
                <w:sz w:val="20"/>
                <w:szCs w:val="20"/>
                <w:color w:val="auto"/>
              </w:rPr>
            </w:pPr>
            <w:r>
              <w:rPr>
                <w:rFonts w:ascii="Arial" w:cs="Arial" w:eastAsia="Arial" w:hAnsi="Arial"/>
                <w:sz w:val="17"/>
                <w:szCs w:val="17"/>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8"/>
              </w:rPr>
              <w:t>29,339</w:t>
            </w:r>
          </w:p>
        </w:tc>
        <w:tc>
          <w:tcPr>
            <w:tcW w:w="46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88,486</w:t>
            </w:r>
          </w:p>
        </w:tc>
        <w:tc>
          <w:tcPr>
            <w:tcW w:w="44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54,019</w:t>
            </w:r>
          </w:p>
        </w:tc>
      </w:tr>
      <w:tr>
        <w:trPr>
          <w:trHeight w:val="20"/>
        </w:trPr>
        <w:tc>
          <w:tcPr>
            <w:tcW w:w="5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r>
    </w:tbl>
    <w:p>
      <w:pPr>
        <w:spacing w:after="0" w:line="26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4. Reinsurance</w:t>
      </w:r>
    </w:p>
    <w:p>
      <w:pPr>
        <w:spacing w:after="0" w:line="226" w:lineRule="exact"/>
        <w:rPr>
          <w:sz w:val="20"/>
          <w:szCs w:val="20"/>
          <w:color w:val="auto"/>
        </w:rPr>
      </w:pPr>
    </w:p>
    <w:p>
      <w:pPr>
        <w:ind w:right="220" w:firstLine="623"/>
        <w:spacing w:after="0" w:line="265" w:lineRule="auto"/>
        <w:rPr>
          <w:sz w:val="20"/>
          <w:szCs w:val="20"/>
          <w:color w:val="auto"/>
        </w:rPr>
      </w:pPr>
      <w:r>
        <w:rPr>
          <w:rFonts w:ascii="Arial" w:cs="Arial" w:eastAsia="Arial" w:hAnsi="Arial"/>
          <w:sz w:val="17"/>
          <w:szCs w:val="17"/>
          <w:color w:val="auto"/>
        </w:rPr>
        <w:t>In the ordinary course of business, our insurance subsidiaries may use reinsurance to provide protection against adverse loss experience and to expand our capital sources. Reinsurance recoverables are recorded as assets and included in other assets on our condensed consolidated balance sheets, predicated on a reinsurer's ability to meet their obligations under the reinsurance agreements. If the reinsurers are unable to satisfy their obligations under the agreements, our insurance subsidiaries would be liable for such defaulted amounts.</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68580</wp:posOffset>
            </wp:positionV>
            <wp:extent cx="7162800" cy="419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4" w:name="page15"/>
    <w:bookmarkEnd w:id="14"/>
    <w:p>
      <w:pPr>
        <w:spacing w:after="0"/>
        <w:rPr>
          <w:sz w:val="20"/>
          <w:szCs w:val="20"/>
          <w:color w:val="auto"/>
        </w:rPr>
      </w:pPr>
      <w:r>
        <w:rPr>
          <w:rFonts w:ascii="Arial" w:cs="Arial" w:eastAsia="Arial" w:hAnsi="Arial"/>
          <w:sz w:val="17"/>
          <w:szCs w:val="17"/>
          <w:u w:val="single" w:color="auto"/>
          <w:color w:val="0000FF"/>
        </w:rPr>
        <w:t>Table of Contents</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Essent Group Ltd. and Subsidiaries</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Condensed Consolidated Financial Statements (Unaudited)</w:t>
      </w:r>
    </w:p>
    <w:p>
      <w:pPr>
        <w:spacing w:after="0" w:line="200" w:lineRule="exact"/>
        <w:rPr>
          <w:sz w:val="20"/>
          <w:szCs w:val="20"/>
          <w:color w:val="auto"/>
        </w:rPr>
      </w:pPr>
    </w:p>
    <w:p>
      <w:pPr>
        <w:spacing w:after="0" w:line="234" w:lineRule="exact"/>
        <w:rPr>
          <w:sz w:val="20"/>
          <w:szCs w:val="20"/>
          <w:color w:val="auto"/>
        </w:rPr>
      </w:pPr>
    </w:p>
    <w:p>
      <w:pPr>
        <w:ind w:left="620"/>
        <w:spacing w:after="0"/>
        <w:rPr>
          <w:sz w:val="20"/>
          <w:szCs w:val="20"/>
          <w:color w:val="auto"/>
        </w:rPr>
      </w:pPr>
      <w:r>
        <w:rPr>
          <w:rFonts w:ascii="Arial" w:cs="Arial" w:eastAsia="Arial" w:hAnsi="Arial"/>
          <w:sz w:val="17"/>
          <w:szCs w:val="17"/>
          <w:color w:val="auto"/>
        </w:rPr>
        <w:t>The effect of reinsurance on net premiums written and earned is as follows:</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180" w:type="dxa"/>
            <w:vAlign w:val="bottom"/>
          </w:tcPr>
          <w:p>
            <w:pPr>
              <w:spacing w:after="0"/>
              <w:rPr>
                <w:sz w:val="14"/>
                <w:szCs w:val="14"/>
                <w:color w:val="auto"/>
              </w:rPr>
            </w:pPr>
          </w:p>
        </w:tc>
        <w:tc>
          <w:tcPr>
            <w:tcW w:w="2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780" w:type="dxa"/>
            <w:vAlign w:val="bottom"/>
            <w:gridSpan w:val="3"/>
          </w:tcPr>
          <w:p>
            <w:pPr>
              <w:jc w:val="center"/>
              <w:ind w:left="399"/>
              <w:spacing w:after="0"/>
              <w:rPr>
                <w:sz w:val="20"/>
                <w:szCs w:val="20"/>
                <w:color w:val="auto"/>
              </w:rPr>
            </w:pPr>
            <w:r>
              <w:rPr>
                <w:rFonts w:ascii="Arial" w:cs="Arial" w:eastAsia="Arial" w:hAnsi="Arial"/>
                <w:sz w:val="14"/>
                <w:szCs w:val="14"/>
                <w:b w:val="1"/>
                <w:bCs w:val="1"/>
                <w:color w:val="auto"/>
                <w:w w:val="90"/>
              </w:rPr>
              <w:t>Three Months Ended</w:t>
            </w: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720" w:type="dxa"/>
            <w:vAlign w:val="bottom"/>
            <w:gridSpan w:val="3"/>
          </w:tcPr>
          <w:p>
            <w:pPr>
              <w:jc w:val="center"/>
              <w:ind w:left="459"/>
              <w:spacing w:after="0"/>
              <w:rPr>
                <w:sz w:val="20"/>
                <w:szCs w:val="20"/>
                <w:color w:val="auto"/>
              </w:rPr>
            </w:pPr>
            <w:r>
              <w:rPr>
                <w:rFonts w:ascii="Arial" w:cs="Arial" w:eastAsia="Arial" w:hAnsi="Arial"/>
                <w:sz w:val="14"/>
                <w:szCs w:val="14"/>
                <w:b w:val="1"/>
                <w:bCs w:val="1"/>
                <w:color w:val="auto"/>
                <w:w w:val="90"/>
              </w:rPr>
              <w:t>Six Months Ended</w:t>
            </w:r>
          </w:p>
        </w:tc>
        <w:tc>
          <w:tcPr>
            <w:tcW w:w="900" w:type="dxa"/>
            <w:vAlign w:val="bottom"/>
          </w:tcPr>
          <w:p>
            <w:pPr>
              <w:spacing w:after="0"/>
              <w:rPr>
                <w:sz w:val="14"/>
                <w:szCs w:val="14"/>
                <w:color w:val="auto"/>
              </w:rPr>
            </w:pPr>
          </w:p>
        </w:tc>
      </w:tr>
      <w:tr>
        <w:trPr>
          <w:trHeight w:val="184"/>
        </w:trPr>
        <w:tc>
          <w:tcPr>
            <w:tcW w:w="2180" w:type="dxa"/>
            <w:vAlign w:val="bottom"/>
          </w:tcPr>
          <w:p>
            <w:pPr>
              <w:spacing w:after="0"/>
              <w:rPr>
                <w:sz w:val="16"/>
                <w:szCs w:val="16"/>
                <w:color w:val="auto"/>
              </w:rPr>
            </w:pPr>
          </w:p>
        </w:tc>
        <w:tc>
          <w:tcPr>
            <w:tcW w:w="2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3"/>
          </w:tcPr>
          <w:p>
            <w:pPr>
              <w:jc w:val="center"/>
              <w:ind w:left="439"/>
              <w:spacing w:after="0"/>
              <w:rPr>
                <w:sz w:val="20"/>
                <w:szCs w:val="20"/>
                <w:color w:val="auto"/>
              </w:rPr>
            </w:pPr>
            <w:r>
              <w:rPr>
                <w:rFonts w:ascii="Arial" w:cs="Arial" w:eastAsia="Arial" w:hAnsi="Arial"/>
                <w:sz w:val="14"/>
                <w:szCs w:val="14"/>
                <w:b w:val="1"/>
                <w:bCs w:val="1"/>
                <w:color w:val="auto"/>
                <w:w w:val="89"/>
              </w:rPr>
              <w:t>June 30,</w:t>
            </w:r>
          </w:p>
        </w:tc>
        <w:tc>
          <w:tcPr>
            <w:tcW w:w="8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3"/>
          </w:tcPr>
          <w:p>
            <w:pPr>
              <w:jc w:val="center"/>
              <w:ind w:left="479"/>
              <w:spacing w:after="0"/>
              <w:rPr>
                <w:sz w:val="20"/>
                <w:szCs w:val="20"/>
                <w:color w:val="auto"/>
              </w:rPr>
            </w:pPr>
            <w:r>
              <w:rPr>
                <w:rFonts w:ascii="Arial" w:cs="Arial" w:eastAsia="Arial" w:hAnsi="Arial"/>
                <w:sz w:val="14"/>
                <w:szCs w:val="14"/>
                <w:b w:val="1"/>
                <w:bCs w:val="1"/>
                <w:color w:val="auto"/>
                <w:w w:val="85"/>
              </w:rPr>
              <w:t>June 30,</w:t>
            </w:r>
          </w:p>
        </w:tc>
        <w:tc>
          <w:tcPr>
            <w:tcW w:w="900" w:type="dxa"/>
            <w:vAlign w:val="bottom"/>
            <w:tcBorders>
              <w:bottom w:val="single" w:sz="8" w:color="auto"/>
            </w:tcBorders>
          </w:tcPr>
          <w:p>
            <w:pPr>
              <w:spacing w:after="0"/>
              <w:rPr>
                <w:sz w:val="16"/>
                <w:szCs w:val="16"/>
                <w:color w:val="auto"/>
              </w:rPr>
            </w:pPr>
          </w:p>
        </w:tc>
      </w:tr>
      <w:tr>
        <w:trPr>
          <w:trHeight w:val="188"/>
        </w:trPr>
        <w:tc>
          <w:tcPr>
            <w:tcW w:w="510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(In thousands)</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ind w:left="240"/>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ind w:left="240"/>
              <w:spacing w:after="0"/>
              <w:rPr>
                <w:sz w:val="20"/>
                <w:szCs w:val="20"/>
                <w:color w:val="auto"/>
              </w:rPr>
            </w:pPr>
            <w:r>
              <w:rPr>
                <w:rFonts w:ascii="Arial" w:cs="Arial" w:eastAsia="Arial" w:hAnsi="Arial"/>
                <w:sz w:val="14"/>
                <w:szCs w:val="14"/>
                <w:b w:val="1"/>
                <w:bCs w:val="1"/>
                <w:color w:val="auto"/>
              </w:rPr>
              <w:t>2023</w:t>
            </w:r>
          </w:p>
        </w:tc>
        <w:tc>
          <w:tcPr>
            <w:tcW w:w="120" w:type="dxa"/>
            <w:vAlign w:val="bottom"/>
            <w:tcBorders>
              <w:bottom w:val="single" w:sz="8" w:color="CCEEFF"/>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2022</w:t>
            </w:r>
          </w:p>
        </w:tc>
      </w:tr>
      <w:tr>
        <w:trPr>
          <w:trHeight w:val="221"/>
        </w:trPr>
        <w:tc>
          <w:tcPr>
            <w:tcW w:w="5200" w:type="dxa"/>
            <w:vAlign w:val="bottom"/>
            <w:gridSpan w:val="3"/>
            <w:shd w:val="clear" w:color="auto" w:fill="CCEEFF"/>
          </w:tcPr>
          <w:p>
            <w:pPr>
              <w:ind w:left="20"/>
              <w:spacing w:after="0"/>
              <w:rPr>
                <w:sz w:val="20"/>
                <w:szCs w:val="20"/>
                <w:color w:val="auto"/>
              </w:rPr>
            </w:pPr>
            <w:r>
              <w:rPr>
                <w:rFonts w:ascii="Arial" w:cs="Arial" w:eastAsia="Arial" w:hAnsi="Arial"/>
                <w:sz w:val="17"/>
                <w:szCs w:val="17"/>
                <w:color w:val="auto"/>
              </w:rPr>
              <w:t>Net premiums written:</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227"/>
        </w:trPr>
        <w:tc>
          <w:tcPr>
            <w:tcW w:w="5200" w:type="dxa"/>
            <w:vAlign w:val="bottom"/>
            <w:gridSpan w:val="3"/>
          </w:tcPr>
          <w:p>
            <w:pPr>
              <w:ind w:left="140"/>
              <w:spacing w:after="0"/>
              <w:rPr>
                <w:sz w:val="20"/>
                <w:szCs w:val="20"/>
                <w:color w:val="auto"/>
              </w:rPr>
            </w:pPr>
            <w:r>
              <w:rPr>
                <w:rFonts w:ascii="Arial" w:cs="Arial" w:eastAsia="Arial" w:hAnsi="Arial"/>
                <w:sz w:val="17"/>
                <w:szCs w:val="17"/>
                <w:color w:val="auto"/>
              </w:rPr>
              <w:t>Direct</w:t>
            </w:r>
          </w:p>
        </w:tc>
        <w:tc>
          <w:tcPr>
            <w:tcW w:w="340" w:type="dxa"/>
            <w:vAlign w:val="bottom"/>
          </w:tcPr>
          <w:p>
            <w:pPr>
              <w:jc w:val="right"/>
              <w:ind w:right="133"/>
              <w:spacing w:after="0"/>
              <w:rPr>
                <w:sz w:val="20"/>
                <w:szCs w:val="20"/>
                <w:color w:val="auto"/>
              </w:rPr>
            </w:pPr>
            <w:r>
              <w:rPr>
                <w:rFonts w:ascii="Arial" w:cs="Arial" w:eastAsia="Arial" w:hAnsi="Arial"/>
                <w:sz w:val="17"/>
                <w:szCs w:val="17"/>
                <w:color w:val="auto"/>
              </w:rPr>
              <w:t>$</w:t>
            </w:r>
          </w:p>
        </w:tc>
        <w:tc>
          <w:tcPr>
            <w:tcW w:w="1100" w:type="dxa"/>
            <w:vAlign w:val="bottom"/>
          </w:tcPr>
          <w:p>
            <w:pPr>
              <w:ind w:left="460"/>
              <w:spacing w:after="0"/>
              <w:rPr>
                <w:sz w:val="20"/>
                <w:szCs w:val="20"/>
                <w:color w:val="auto"/>
              </w:rPr>
            </w:pPr>
            <w:r>
              <w:rPr>
                <w:rFonts w:ascii="Arial" w:cs="Arial" w:eastAsia="Arial" w:hAnsi="Arial"/>
                <w:sz w:val="17"/>
                <w:szCs w:val="17"/>
                <w:color w:val="auto"/>
              </w:rPr>
              <w:t>249,167</w:t>
            </w:r>
          </w:p>
        </w:tc>
        <w:tc>
          <w:tcPr>
            <w:tcW w:w="680" w:type="dxa"/>
            <w:vAlign w:val="bottom"/>
            <w:gridSpan w:val="2"/>
          </w:tcPr>
          <w:p>
            <w:pPr>
              <w:jc w:val="right"/>
              <w:ind w:right="480"/>
              <w:spacing w:after="0"/>
              <w:rPr>
                <w:sz w:val="20"/>
                <w:szCs w:val="20"/>
                <w:color w:val="auto"/>
              </w:rPr>
            </w:pPr>
            <w:r>
              <w:rPr>
                <w:rFonts w:ascii="Arial" w:cs="Arial" w:eastAsia="Arial" w:hAnsi="Arial"/>
                <w:sz w:val="17"/>
                <w:szCs w:val="17"/>
                <w:color w:val="auto"/>
              </w:rPr>
              <w:t>$</w:t>
            </w:r>
          </w:p>
        </w:tc>
        <w:tc>
          <w:tcPr>
            <w:tcW w:w="840" w:type="dxa"/>
            <w:vAlign w:val="bottom"/>
          </w:tcPr>
          <w:p>
            <w:pPr>
              <w:ind w:left="220"/>
              <w:spacing w:after="0"/>
              <w:rPr>
                <w:sz w:val="20"/>
                <w:szCs w:val="20"/>
                <w:color w:val="auto"/>
              </w:rPr>
            </w:pPr>
            <w:r>
              <w:rPr>
                <w:rFonts w:ascii="Arial" w:cs="Arial" w:eastAsia="Arial" w:hAnsi="Arial"/>
                <w:sz w:val="17"/>
                <w:szCs w:val="17"/>
                <w:color w:val="auto"/>
                <w:w w:val="97"/>
              </w:rPr>
              <w:t>232,660</w:t>
            </w:r>
          </w:p>
        </w:tc>
        <w:tc>
          <w:tcPr>
            <w:tcW w:w="46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1080" w:type="dxa"/>
            <w:vAlign w:val="bottom"/>
          </w:tcPr>
          <w:p>
            <w:pPr>
              <w:ind w:left="460"/>
              <w:spacing w:after="0"/>
              <w:rPr>
                <w:sz w:val="20"/>
                <w:szCs w:val="20"/>
                <w:color w:val="auto"/>
              </w:rPr>
            </w:pPr>
            <w:r>
              <w:rPr>
                <w:rFonts w:ascii="Arial" w:cs="Arial" w:eastAsia="Arial" w:hAnsi="Arial"/>
                <w:sz w:val="17"/>
                <w:szCs w:val="17"/>
                <w:color w:val="auto"/>
                <w:w w:val="97"/>
              </w:rPr>
              <w:t>488,658</w:t>
            </w:r>
          </w:p>
        </w:tc>
        <w:tc>
          <w:tcPr>
            <w:tcW w:w="640" w:type="dxa"/>
            <w:vAlign w:val="bottom"/>
            <w:gridSpan w:val="2"/>
          </w:tcPr>
          <w:p>
            <w:pPr>
              <w:jc w:val="right"/>
              <w:ind w:right="420"/>
              <w:spacing w:after="0"/>
              <w:rPr>
                <w:sz w:val="20"/>
                <w:szCs w:val="20"/>
                <w:color w:val="auto"/>
              </w:rPr>
            </w:pPr>
            <w:r>
              <w:rPr>
                <w:rFonts w:ascii="Arial" w:cs="Arial" w:eastAsia="Arial" w:hAnsi="Arial"/>
                <w:sz w:val="17"/>
                <w:szCs w:val="17"/>
                <w:color w:val="auto"/>
              </w:rPr>
              <w:t>$</w:t>
            </w:r>
          </w:p>
        </w:tc>
        <w:tc>
          <w:tcPr>
            <w:tcW w:w="900" w:type="dxa"/>
            <w:vAlign w:val="bottom"/>
          </w:tcPr>
          <w:p>
            <w:pPr>
              <w:ind w:left="280"/>
              <w:spacing w:after="0"/>
              <w:rPr>
                <w:sz w:val="20"/>
                <w:szCs w:val="20"/>
                <w:color w:val="auto"/>
              </w:rPr>
            </w:pPr>
            <w:r>
              <w:rPr>
                <w:rFonts w:ascii="Arial" w:cs="Arial" w:eastAsia="Arial" w:hAnsi="Arial"/>
                <w:sz w:val="17"/>
                <w:szCs w:val="17"/>
                <w:color w:val="auto"/>
                <w:w w:val="97"/>
              </w:rPr>
              <w:t>452,914</w:t>
            </w:r>
          </w:p>
        </w:tc>
      </w:tr>
      <w:tr>
        <w:trPr>
          <w:trHeight w:val="227"/>
        </w:trPr>
        <w:tc>
          <w:tcPr>
            <w:tcW w:w="5200" w:type="dxa"/>
            <w:vAlign w:val="bottom"/>
            <w:gridSpan w:val="3"/>
            <w:shd w:val="clear" w:color="auto" w:fill="CCEEFF"/>
          </w:tcPr>
          <w:p>
            <w:pPr>
              <w:ind w:left="140"/>
              <w:spacing w:after="0"/>
              <w:rPr>
                <w:sz w:val="20"/>
                <w:szCs w:val="20"/>
                <w:color w:val="auto"/>
              </w:rPr>
            </w:pPr>
            <w:r>
              <w:rPr>
                <w:rFonts w:ascii="Arial" w:cs="Arial" w:eastAsia="Arial" w:hAnsi="Arial"/>
                <w:sz w:val="17"/>
                <w:szCs w:val="17"/>
                <w:color w:val="auto"/>
              </w:rPr>
              <w:t>Ceded (1)</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ind w:left="480"/>
              <w:spacing w:after="0"/>
              <w:rPr>
                <w:sz w:val="20"/>
                <w:szCs w:val="20"/>
                <w:color w:val="auto"/>
              </w:rPr>
            </w:pPr>
            <w:r>
              <w:rPr>
                <w:rFonts w:ascii="Arial" w:cs="Arial" w:eastAsia="Arial" w:hAnsi="Arial"/>
                <w:sz w:val="17"/>
                <w:szCs w:val="17"/>
                <w:color w:val="auto"/>
                <w:w w:val="94"/>
              </w:rPr>
              <w:t>(39,546)</w:t>
            </w:r>
          </w:p>
        </w:tc>
        <w:tc>
          <w:tcPr>
            <w:tcW w:w="10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ind w:left="240"/>
              <w:spacing w:after="0"/>
              <w:rPr>
                <w:sz w:val="20"/>
                <w:szCs w:val="20"/>
                <w:color w:val="auto"/>
              </w:rPr>
            </w:pPr>
            <w:r>
              <w:rPr>
                <w:rFonts w:ascii="Arial" w:cs="Arial" w:eastAsia="Arial" w:hAnsi="Arial"/>
                <w:sz w:val="17"/>
                <w:szCs w:val="17"/>
                <w:color w:val="auto"/>
                <w:w w:val="91"/>
              </w:rPr>
              <w:t>(22,318)</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ind w:left="460"/>
              <w:spacing w:after="0"/>
              <w:rPr>
                <w:sz w:val="20"/>
                <w:szCs w:val="20"/>
                <w:color w:val="auto"/>
              </w:rPr>
            </w:pPr>
            <w:r>
              <w:rPr>
                <w:rFonts w:ascii="Arial" w:cs="Arial" w:eastAsia="Arial" w:hAnsi="Arial"/>
                <w:sz w:val="17"/>
                <w:szCs w:val="17"/>
                <w:color w:val="auto"/>
                <w:w w:val="94"/>
              </w:rPr>
              <w:t>(73,137)</w:t>
            </w:r>
          </w:p>
        </w:tc>
        <w:tc>
          <w:tcPr>
            <w:tcW w:w="12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ind w:left="280"/>
              <w:spacing w:after="0"/>
              <w:rPr>
                <w:sz w:val="20"/>
                <w:szCs w:val="20"/>
                <w:color w:val="auto"/>
              </w:rPr>
            </w:pPr>
            <w:r>
              <w:rPr>
                <w:rFonts w:ascii="Arial" w:cs="Arial" w:eastAsia="Arial" w:hAnsi="Arial"/>
                <w:sz w:val="17"/>
                <w:szCs w:val="17"/>
                <w:color w:val="auto"/>
                <w:w w:val="94"/>
              </w:rPr>
              <w:t>(42,841)</w:t>
            </w:r>
          </w:p>
        </w:tc>
      </w:tr>
      <w:tr>
        <w:trPr>
          <w:trHeight w:val="214"/>
        </w:trPr>
        <w:tc>
          <w:tcPr>
            <w:tcW w:w="5200" w:type="dxa"/>
            <w:vAlign w:val="bottom"/>
            <w:gridSpan w:val="3"/>
          </w:tcPr>
          <w:p>
            <w:pPr>
              <w:ind w:left="220"/>
              <w:spacing w:after="0"/>
              <w:rPr>
                <w:sz w:val="20"/>
                <w:szCs w:val="20"/>
                <w:color w:val="auto"/>
              </w:rPr>
            </w:pPr>
            <w:r>
              <w:rPr>
                <w:rFonts w:ascii="Arial" w:cs="Arial" w:eastAsia="Arial" w:hAnsi="Arial"/>
                <w:sz w:val="17"/>
                <w:szCs w:val="17"/>
                <w:color w:val="auto"/>
              </w:rPr>
              <w:t>Net premiums written</w:t>
            </w:r>
          </w:p>
        </w:tc>
        <w:tc>
          <w:tcPr>
            <w:tcW w:w="340" w:type="dxa"/>
            <w:vAlign w:val="bottom"/>
          </w:tcPr>
          <w:p>
            <w:pPr>
              <w:jc w:val="right"/>
              <w:ind w:right="133"/>
              <w:spacing w:after="0"/>
              <w:rPr>
                <w:sz w:val="20"/>
                <w:szCs w:val="20"/>
                <w:color w:val="auto"/>
              </w:rPr>
            </w:pPr>
            <w:r>
              <w:rPr>
                <w:rFonts w:ascii="Arial" w:cs="Arial" w:eastAsia="Arial" w:hAnsi="Arial"/>
                <w:sz w:val="17"/>
                <w:szCs w:val="17"/>
                <w:color w:val="auto"/>
              </w:rPr>
              <w:t>$</w:t>
            </w:r>
          </w:p>
        </w:tc>
        <w:tc>
          <w:tcPr>
            <w:tcW w:w="1100" w:type="dxa"/>
            <w:vAlign w:val="bottom"/>
          </w:tcPr>
          <w:p>
            <w:pPr>
              <w:ind w:left="460"/>
              <w:spacing w:after="0"/>
              <w:rPr>
                <w:sz w:val="20"/>
                <w:szCs w:val="20"/>
                <w:color w:val="auto"/>
              </w:rPr>
            </w:pPr>
            <w:r>
              <w:rPr>
                <w:rFonts w:ascii="Arial" w:cs="Arial" w:eastAsia="Arial" w:hAnsi="Arial"/>
                <w:sz w:val="17"/>
                <w:szCs w:val="17"/>
                <w:color w:val="auto"/>
              </w:rPr>
              <w:t>209,621</w:t>
            </w:r>
          </w:p>
        </w:tc>
        <w:tc>
          <w:tcPr>
            <w:tcW w:w="680" w:type="dxa"/>
            <w:vAlign w:val="bottom"/>
            <w:gridSpan w:val="2"/>
          </w:tcPr>
          <w:p>
            <w:pPr>
              <w:jc w:val="right"/>
              <w:ind w:right="480"/>
              <w:spacing w:after="0"/>
              <w:rPr>
                <w:sz w:val="20"/>
                <w:szCs w:val="20"/>
                <w:color w:val="auto"/>
              </w:rPr>
            </w:pPr>
            <w:r>
              <w:rPr>
                <w:rFonts w:ascii="Arial" w:cs="Arial" w:eastAsia="Arial" w:hAnsi="Arial"/>
                <w:sz w:val="17"/>
                <w:szCs w:val="17"/>
                <w:color w:val="auto"/>
              </w:rPr>
              <w:t>$</w:t>
            </w:r>
          </w:p>
        </w:tc>
        <w:tc>
          <w:tcPr>
            <w:tcW w:w="840" w:type="dxa"/>
            <w:vAlign w:val="bottom"/>
          </w:tcPr>
          <w:p>
            <w:pPr>
              <w:ind w:left="220"/>
              <w:spacing w:after="0"/>
              <w:rPr>
                <w:sz w:val="20"/>
                <w:szCs w:val="20"/>
                <w:color w:val="auto"/>
              </w:rPr>
            </w:pPr>
            <w:r>
              <w:rPr>
                <w:rFonts w:ascii="Arial" w:cs="Arial" w:eastAsia="Arial" w:hAnsi="Arial"/>
                <w:sz w:val="17"/>
                <w:szCs w:val="17"/>
                <w:color w:val="auto"/>
                <w:w w:val="97"/>
              </w:rPr>
              <w:t>210,342</w:t>
            </w:r>
          </w:p>
        </w:tc>
        <w:tc>
          <w:tcPr>
            <w:tcW w:w="46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1080" w:type="dxa"/>
            <w:vAlign w:val="bottom"/>
          </w:tcPr>
          <w:p>
            <w:pPr>
              <w:ind w:left="460"/>
              <w:spacing w:after="0"/>
              <w:rPr>
                <w:sz w:val="20"/>
                <w:szCs w:val="20"/>
                <w:color w:val="auto"/>
              </w:rPr>
            </w:pPr>
            <w:r>
              <w:rPr>
                <w:rFonts w:ascii="Arial" w:cs="Arial" w:eastAsia="Arial" w:hAnsi="Arial"/>
                <w:sz w:val="17"/>
                <w:szCs w:val="17"/>
                <w:color w:val="auto"/>
                <w:w w:val="97"/>
              </w:rPr>
              <w:t>415,521</w:t>
            </w:r>
          </w:p>
        </w:tc>
        <w:tc>
          <w:tcPr>
            <w:tcW w:w="640" w:type="dxa"/>
            <w:vAlign w:val="bottom"/>
            <w:gridSpan w:val="2"/>
          </w:tcPr>
          <w:p>
            <w:pPr>
              <w:jc w:val="right"/>
              <w:ind w:right="420"/>
              <w:spacing w:after="0"/>
              <w:rPr>
                <w:sz w:val="20"/>
                <w:szCs w:val="20"/>
                <w:color w:val="auto"/>
              </w:rPr>
            </w:pPr>
            <w:r>
              <w:rPr>
                <w:rFonts w:ascii="Arial" w:cs="Arial" w:eastAsia="Arial" w:hAnsi="Arial"/>
                <w:sz w:val="17"/>
                <w:szCs w:val="17"/>
                <w:color w:val="auto"/>
              </w:rPr>
              <w:t>$</w:t>
            </w:r>
          </w:p>
        </w:tc>
        <w:tc>
          <w:tcPr>
            <w:tcW w:w="900" w:type="dxa"/>
            <w:vAlign w:val="bottom"/>
          </w:tcPr>
          <w:p>
            <w:pPr>
              <w:ind w:left="280"/>
              <w:spacing w:after="0"/>
              <w:rPr>
                <w:sz w:val="20"/>
                <w:szCs w:val="20"/>
                <w:color w:val="auto"/>
              </w:rPr>
            </w:pPr>
            <w:r>
              <w:rPr>
                <w:rFonts w:ascii="Arial" w:cs="Arial" w:eastAsia="Arial" w:hAnsi="Arial"/>
                <w:sz w:val="17"/>
                <w:szCs w:val="17"/>
                <w:color w:val="auto"/>
                <w:w w:val="97"/>
              </w:rPr>
              <w:t>410,073</w:t>
            </w:r>
          </w:p>
        </w:tc>
      </w:tr>
      <w:tr>
        <w:trPr>
          <w:trHeight w:val="20"/>
        </w:trPr>
        <w:tc>
          <w:tcPr>
            <w:tcW w:w="2180" w:type="dxa"/>
            <w:vAlign w:val="bottom"/>
            <w:tcBorders>
              <w:bottom w:val="single" w:sz="8" w:color="CCEEFF"/>
            </w:tcBorders>
          </w:tcPr>
          <w:p>
            <w:pPr>
              <w:spacing w:after="0" w:line="20" w:lineRule="exact"/>
              <w:rPr>
                <w:sz w:val="1"/>
                <w:szCs w:val="1"/>
                <w:color w:val="auto"/>
              </w:rPr>
            </w:pPr>
          </w:p>
        </w:tc>
        <w:tc>
          <w:tcPr>
            <w:tcW w:w="29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r>
      <w:tr>
        <w:trPr>
          <w:trHeight w:val="226"/>
        </w:trPr>
        <w:tc>
          <w:tcPr>
            <w:tcW w:w="2180" w:type="dxa"/>
            <w:vAlign w:val="bottom"/>
            <w:shd w:val="clear" w:color="auto" w:fill="CCEEFF"/>
          </w:tcPr>
          <w:p>
            <w:pPr>
              <w:spacing w:after="0"/>
              <w:rPr>
                <w:sz w:val="19"/>
                <w:szCs w:val="19"/>
                <w:color w:val="auto"/>
              </w:rPr>
            </w:pPr>
          </w:p>
        </w:tc>
        <w:tc>
          <w:tcPr>
            <w:tcW w:w="2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227"/>
        </w:trPr>
        <w:tc>
          <w:tcPr>
            <w:tcW w:w="5200" w:type="dxa"/>
            <w:vAlign w:val="bottom"/>
            <w:gridSpan w:val="3"/>
          </w:tcPr>
          <w:p>
            <w:pPr>
              <w:ind w:left="20"/>
              <w:spacing w:after="0"/>
              <w:rPr>
                <w:sz w:val="20"/>
                <w:szCs w:val="20"/>
                <w:color w:val="auto"/>
              </w:rPr>
            </w:pPr>
            <w:r>
              <w:rPr>
                <w:rFonts w:ascii="Arial" w:cs="Arial" w:eastAsia="Arial" w:hAnsi="Arial"/>
                <w:sz w:val="17"/>
                <w:szCs w:val="17"/>
                <w:color w:val="auto"/>
              </w:rPr>
              <w:t>Net premiums earned:</w:t>
            </w: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27"/>
        </w:trPr>
        <w:tc>
          <w:tcPr>
            <w:tcW w:w="5200" w:type="dxa"/>
            <w:vAlign w:val="bottom"/>
            <w:gridSpan w:val="3"/>
            <w:shd w:val="clear" w:color="auto" w:fill="CCEEFF"/>
          </w:tcPr>
          <w:p>
            <w:pPr>
              <w:ind w:left="140"/>
              <w:spacing w:after="0"/>
              <w:rPr>
                <w:sz w:val="20"/>
                <w:szCs w:val="20"/>
                <w:color w:val="auto"/>
              </w:rPr>
            </w:pPr>
            <w:r>
              <w:rPr>
                <w:rFonts w:ascii="Arial" w:cs="Arial" w:eastAsia="Arial" w:hAnsi="Arial"/>
                <w:sz w:val="17"/>
                <w:szCs w:val="17"/>
                <w:color w:val="auto"/>
              </w:rPr>
              <w:t>Direct</w:t>
            </w:r>
          </w:p>
        </w:tc>
        <w:tc>
          <w:tcPr>
            <w:tcW w:w="340" w:type="dxa"/>
            <w:vAlign w:val="bottom"/>
            <w:shd w:val="clear" w:color="auto" w:fill="CCEEFF"/>
          </w:tcPr>
          <w:p>
            <w:pPr>
              <w:jc w:val="right"/>
              <w:ind w:right="133"/>
              <w:spacing w:after="0"/>
              <w:rPr>
                <w:sz w:val="20"/>
                <w:szCs w:val="20"/>
                <w:color w:val="auto"/>
              </w:rPr>
            </w:pPr>
            <w:r>
              <w:rPr>
                <w:rFonts w:ascii="Arial" w:cs="Arial" w:eastAsia="Arial" w:hAnsi="Arial"/>
                <w:sz w:val="17"/>
                <w:szCs w:val="17"/>
                <w:color w:val="auto"/>
              </w:rPr>
              <w:t>$</w:t>
            </w:r>
          </w:p>
        </w:tc>
        <w:tc>
          <w:tcPr>
            <w:tcW w:w="1100" w:type="dxa"/>
            <w:vAlign w:val="bottom"/>
            <w:shd w:val="clear" w:color="auto" w:fill="CCEEFF"/>
          </w:tcPr>
          <w:p>
            <w:pPr>
              <w:ind w:left="460"/>
              <w:spacing w:after="0"/>
              <w:rPr>
                <w:sz w:val="20"/>
                <w:szCs w:val="20"/>
                <w:color w:val="auto"/>
              </w:rPr>
            </w:pPr>
            <w:r>
              <w:rPr>
                <w:rFonts w:ascii="Arial" w:cs="Arial" w:eastAsia="Arial" w:hAnsi="Arial"/>
                <w:sz w:val="17"/>
                <w:szCs w:val="17"/>
                <w:color w:val="auto"/>
              </w:rPr>
              <w:t>252,775</w:t>
            </w:r>
          </w:p>
        </w:tc>
        <w:tc>
          <w:tcPr>
            <w:tcW w:w="680" w:type="dxa"/>
            <w:vAlign w:val="bottom"/>
            <w:gridSpan w:val="2"/>
            <w:shd w:val="clear" w:color="auto" w:fill="CCEEFF"/>
          </w:tcPr>
          <w:p>
            <w:pPr>
              <w:jc w:val="right"/>
              <w:ind w:right="480"/>
              <w:spacing w:after="0"/>
              <w:rPr>
                <w:sz w:val="20"/>
                <w:szCs w:val="20"/>
                <w:color w:val="auto"/>
              </w:rPr>
            </w:pPr>
            <w:r>
              <w:rPr>
                <w:rFonts w:ascii="Arial" w:cs="Arial" w:eastAsia="Arial" w:hAnsi="Arial"/>
                <w:sz w:val="17"/>
                <w:szCs w:val="17"/>
                <w:color w:val="auto"/>
              </w:rPr>
              <w:t>$</w:t>
            </w:r>
          </w:p>
        </w:tc>
        <w:tc>
          <w:tcPr>
            <w:tcW w:w="840" w:type="dxa"/>
            <w:vAlign w:val="bottom"/>
            <w:shd w:val="clear" w:color="auto" w:fill="CCEEFF"/>
          </w:tcPr>
          <w:p>
            <w:pPr>
              <w:ind w:left="220"/>
              <w:spacing w:after="0"/>
              <w:rPr>
                <w:sz w:val="20"/>
                <w:szCs w:val="20"/>
                <w:color w:val="auto"/>
              </w:rPr>
            </w:pPr>
            <w:r>
              <w:rPr>
                <w:rFonts w:ascii="Arial" w:cs="Arial" w:eastAsia="Arial" w:hAnsi="Arial"/>
                <w:sz w:val="17"/>
                <w:szCs w:val="17"/>
                <w:color w:val="auto"/>
                <w:w w:val="97"/>
              </w:rPr>
              <w:t>234,329</w:t>
            </w:r>
          </w:p>
        </w:tc>
        <w:tc>
          <w:tcPr>
            <w:tcW w:w="46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1080" w:type="dxa"/>
            <w:vAlign w:val="bottom"/>
            <w:shd w:val="clear" w:color="auto" w:fill="CCEEFF"/>
          </w:tcPr>
          <w:p>
            <w:pPr>
              <w:ind w:left="460"/>
              <w:spacing w:after="0"/>
              <w:rPr>
                <w:sz w:val="20"/>
                <w:szCs w:val="20"/>
                <w:color w:val="auto"/>
              </w:rPr>
            </w:pPr>
            <w:r>
              <w:rPr>
                <w:rFonts w:ascii="Arial" w:cs="Arial" w:eastAsia="Arial" w:hAnsi="Arial"/>
                <w:sz w:val="17"/>
                <w:szCs w:val="17"/>
                <w:color w:val="auto"/>
                <w:w w:val="97"/>
              </w:rPr>
              <w:t>497,624</w:t>
            </w:r>
          </w:p>
        </w:tc>
        <w:tc>
          <w:tcPr>
            <w:tcW w:w="640" w:type="dxa"/>
            <w:vAlign w:val="bottom"/>
            <w:gridSpan w:val="2"/>
            <w:shd w:val="clear" w:color="auto" w:fill="CCEEFF"/>
          </w:tcPr>
          <w:p>
            <w:pPr>
              <w:jc w:val="right"/>
              <w:ind w:right="420"/>
              <w:spacing w:after="0"/>
              <w:rPr>
                <w:sz w:val="20"/>
                <w:szCs w:val="20"/>
                <w:color w:val="auto"/>
              </w:rPr>
            </w:pPr>
            <w:r>
              <w:rPr>
                <w:rFonts w:ascii="Arial" w:cs="Arial" w:eastAsia="Arial" w:hAnsi="Arial"/>
                <w:sz w:val="17"/>
                <w:szCs w:val="17"/>
                <w:color w:val="auto"/>
              </w:rPr>
              <w:t>$</w:t>
            </w:r>
          </w:p>
        </w:tc>
        <w:tc>
          <w:tcPr>
            <w:tcW w:w="900" w:type="dxa"/>
            <w:vAlign w:val="bottom"/>
            <w:shd w:val="clear" w:color="auto" w:fill="CCEEFF"/>
          </w:tcPr>
          <w:p>
            <w:pPr>
              <w:ind w:left="280"/>
              <w:spacing w:after="0"/>
              <w:rPr>
                <w:sz w:val="20"/>
                <w:szCs w:val="20"/>
                <w:color w:val="auto"/>
              </w:rPr>
            </w:pPr>
            <w:r>
              <w:rPr>
                <w:rFonts w:ascii="Arial" w:cs="Arial" w:eastAsia="Arial" w:hAnsi="Arial"/>
                <w:sz w:val="17"/>
                <w:szCs w:val="17"/>
                <w:color w:val="auto"/>
                <w:w w:val="97"/>
              </w:rPr>
              <w:t>470,182</w:t>
            </w:r>
          </w:p>
        </w:tc>
      </w:tr>
      <w:tr>
        <w:trPr>
          <w:trHeight w:val="221"/>
        </w:trPr>
        <w:tc>
          <w:tcPr>
            <w:tcW w:w="5200" w:type="dxa"/>
            <w:vAlign w:val="bottom"/>
            <w:gridSpan w:val="3"/>
          </w:tcPr>
          <w:p>
            <w:pPr>
              <w:ind w:left="140"/>
              <w:spacing w:after="0"/>
              <w:rPr>
                <w:sz w:val="20"/>
                <w:szCs w:val="20"/>
                <w:color w:val="auto"/>
              </w:rPr>
            </w:pPr>
            <w:r>
              <w:rPr>
                <w:rFonts w:ascii="Arial" w:cs="Arial" w:eastAsia="Arial" w:hAnsi="Arial"/>
                <w:sz w:val="17"/>
                <w:szCs w:val="17"/>
                <w:color w:val="auto"/>
              </w:rPr>
              <w:t>Ceded (1)</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ind w:left="480"/>
              <w:spacing w:after="0"/>
              <w:rPr>
                <w:sz w:val="20"/>
                <w:szCs w:val="20"/>
                <w:color w:val="auto"/>
              </w:rPr>
            </w:pPr>
            <w:r>
              <w:rPr>
                <w:rFonts w:ascii="Arial" w:cs="Arial" w:eastAsia="Arial" w:hAnsi="Arial"/>
                <w:sz w:val="17"/>
                <w:szCs w:val="17"/>
                <w:color w:val="auto"/>
                <w:w w:val="94"/>
              </w:rPr>
              <w:t>(39,546)</w:t>
            </w:r>
          </w:p>
        </w:tc>
        <w:tc>
          <w:tcPr>
            <w:tcW w:w="100" w:type="dxa"/>
            <w:vAlign w:val="bottom"/>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ind w:left="240"/>
              <w:spacing w:after="0"/>
              <w:rPr>
                <w:sz w:val="20"/>
                <w:szCs w:val="20"/>
                <w:color w:val="auto"/>
              </w:rPr>
            </w:pPr>
            <w:r>
              <w:rPr>
                <w:rFonts w:ascii="Arial" w:cs="Arial" w:eastAsia="Arial" w:hAnsi="Arial"/>
                <w:sz w:val="17"/>
                <w:szCs w:val="17"/>
                <w:color w:val="auto"/>
                <w:w w:val="91"/>
              </w:rPr>
              <w:t>(22,318)</w:t>
            </w:r>
          </w:p>
        </w:tc>
        <w:tc>
          <w:tcPr>
            <w:tcW w:w="12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ind w:left="460"/>
              <w:spacing w:after="0"/>
              <w:rPr>
                <w:sz w:val="20"/>
                <w:szCs w:val="20"/>
                <w:color w:val="auto"/>
              </w:rPr>
            </w:pPr>
            <w:r>
              <w:rPr>
                <w:rFonts w:ascii="Arial" w:cs="Arial" w:eastAsia="Arial" w:hAnsi="Arial"/>
                <w:sz w:val="17"/>
                <w:szCs w:val="17"/>
                <w:color w:val="auto"/>
                <w:w w:val="94"/>
              </w:rPr>
              <w:t>(73,137)</w:t>
            </w:r>
          </w:p>
        </w:tc>
        <w:tc>
          <w:tcPr>
            <w:tcW w:w="120" w:type="dxa"/>
            <w:vAlign w:val="bottom"/>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ind w:left="280"/>
              <w:spacing w:after="0"/>
              <w:rPr>
                <w:sz w:val="20"/>
                <w:szCs w:val="20"/>
                <w:color w:val="auto"/>
              </w:rPr>
            </w:pPr>
            <w:r>
              <w:rPr>
                <w:rFonts w:ascii="Arial" w:cs="Arial" w:eastAsia="Arial" w:hAnsi="Arial"/>
                <w:sz w:val="17"/>
                <w:szCs w:val="17"/>
                <w:color w:val="auto"/>
                <w:w w:val="94"/>
              </w:rPr>
              <w:t>(42,841)</w:t>
            </w:r>
          </w:p>
        </w:tc>
      </w:tr>
      <w:tr>
        <w:trPr>
          <w:trHeight w:val="247"/>
        </w:trPr>
        <w:tc>
          <w:tcPr>
            <w:tcW w:w="5200" w:type="dxa"/>
            <w:vAlign w:val="bottom"/>
            <w:gridSpan w:val="3"/>
            <w:shd w:val="clear" w:color="auto" w:fill="CCEEFF"/>
          </w:tcPr>
          <w:p>
            <w:pPr>
              <w:ind w:left="220"/>
              <w:spacing w:after="0"/>
              <w:rPr>
                <w:sz w:val="20"/>
                <w:szCs w:val="20"/>
                <w:color w:val="auto"/>
              </w:rPr>
            </w:pPr>
            <w:r>
              <w:rPr>
                <w:rFonts w:ascii="Arial" w:cs="Arial" w:eastAsia="Arial" w:hAnsi="Arial"/>
                <w:sz w:val="17"/>
                <w:szCs w:val="17"/>
                <w:color w:val="auto"/>
              </w:rPr>
              <w:t>Net premiums earned</w:t>
            </w:r>
          </w:p>
        </w:tc>
        <w:tc>
          <w:tcPr>
            <w:tcW w:w="340" w:type="dxa"/>
            <w:vAlign w:val="bottom"/>
            <w:shd w:val="clear" w:color="auto" w:fill="CCEEFF"/>
          </w:tcPr>
          <w:p>
            <w:pPr>
              <w:jc w:val="right"/>
              <w:ind w:right="133"/>
              <w:spacing w:after="0"/>
              <w:rPr>
                <w:sz w:val="20"/>
                <w:szCs w:val="20"/>
                <w:color w:val="auto"/>
              </w:rPr>
            </w:pPr>
            <w:r>
              <w:rPr>
                <w:rFonts w:ascii="Arial" w:cs="Arial" w:eastAsia="Arial" w:hAnsi="Arial"/>
                <w:sz w:val="17"/>
                <w:szCs w:val="17"/>
                <w:color w:val="auto"/>
              </w:rPr>
              <w:t>$</w:t>
            </w:r>
          </w:p>
        </w:tc>
        <w:tc>
          <w:tcPr>
            <w:tcW w:w="1100" w:type="dxa"/>
            <w:vAlign w:val="bottom"/>
            <w:shd w:val="clear" w:color="auto" w:fill="CCEEFF"/>
          </w:tcPr>
          <w:p>
            <w:pPr>
              <w:ind w:left="460"/>
              <w:spacing w:after="0"/>
              <w:rPr>
                <w:sz w:val="20"/>
                <w:szCs w:val="20"/>
                <w:color w:val="auto"/>
              </w:rPr>
            </w:pPr>
            <w:r>
              <w:rPr>
                <w:rFonts w:ascii="Arial" w:cs="Arial" w:eastAsia="Arial" w:hAnsi="Arial"/>
                <w:sz w:val="17"/>
                <w:szCs w:val="17"/>
                <w:color w:val="auto"/>
              </w:rPr>
              <w:t>213,229</w:t>
            </w:r>
          </w:p>
        </w:tc>
        <w:tc>
          <w:tcPr>
            <w:tcW w:w="680" w:type="dxa"/>
            <w:vAlign w:val="bottom"/>
            <w:gridSpan w:val="2"/>
            <w:shd w:val="clear" w:color="auto" w:fill="CCEEFF"/>
          </w:tcPr>
          <w:p>
            <w:pPr>
              <w:jc w:val="right"/>
              <w:ind w:right="480"/>
              <w:spacing w:after="0"/>
              <w:rPr>
                <w:sz w:val="20"/>
                <w:szCs w:val="20"/>
                <w:color w:val="auto"/>
              </w:rPr>
            </w:pPr>
            <w:r>
              <w:rPr>
                <w:rFonts w:ascii="Arial" w:cs="Arial" w:eastAsia="Arial" w:hAnsi="Arial"/>
                <w:sz w:val="17"/>
                <w:szCs w:val="17"/>
                <w:color w:val="auto"/>
              </w:rPr>
              <w:t>$</w:t>
            </w:r>
          </w:p>
        </w:tc>
        <w:tc>
          <w:tcPr>
            <w:tcW w:w="840" w:type="dxa"/>
            <w:vAlign w:val="bottom"/>
            <w:shd w:val="clear" w:color="auto" w:fill="CCEEFF"/>
          </w:tcPr>
          <w:p>
            <w:pPr>
              <w:ind w:left="220"/>
              <w:spacing w:after="0"/>
              <w:rPr>
                <w:sz w:val="20"/>
                <w:szCs w:val="20"/>
                <w:color w:val="auto"/>
              </w:rPr>
            </w:pPr>
            <w:r>
              <w:rPr>
                <w:rFonts w:ascii="Arial" w:cs="Arial" w:eastAsia="Arial" w:hAnsi="Arial"/>
                <w:sz w:val="17"/>
                <w:szCs w:val="17"/>
                <w:color w:val="auto"/>
                <w:w w:val="97"/>
              </w:rPr>
              <w:t>212,011</w:t>
            </w:r>
          </w:p>
        </w:tc>
        <w:tc>
          <w:tcPr>
            <w:tcW w:w="46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1080" w:type="dxa"/>
            <w:vAlign w:val="bottom"/>
            <w:shd w:val="clear" w:color="auto" w:fill="CCEEFF"/>
          </w:tcPr>
          <w:p>
            <w:pPr>
              <w:ind w:left="460"/>
              <w:spacing w:after="0"/>
              <w:rPr>
                <w:sz w:val="20"/>
                <w:szCs w:val="20"/>
                <w:color w:val="auto"/>
              </w:rPr>
            </w:pPr>
            <w:r>
              <w:rPr>
                <w:rFonts w:ascii="Arial" w:cs="Arial" w:eastAsia="Arial" w:hAnsi="Arial"/>
                <w:sz w:val="17"/>
                <w:szCs w:val="17"/>
                <w:color w:val="auto"/>
                <w:w w:val="97"/>
              </w:rPr>
              <w:t>424,487</w:t>
            </w:r>
          </w:p>
        </w:tc>
        <w:tc>
          <w:tcPr>
            <w:tcW w:w="640" w:type="dxa"/>
            <w:vAlign w:val="bottom"/>
            <w:gridSpan w:val="2"/>
            <w:shd w:val="clear" w:color="auto" w:fill="CCEEFF"/>
          </w:tcPr>
          <w:p>
            <w:pPr>
              <w:jc w:val="right"/>
              <w:ind w:right="420"/>
              <w:spacing w:after="0"/>
              <w:rPr>
                <w:sz w:val="20"/>
                <w:szCs w:val="20"/>
                <w:color w:val="auto"/>
              </w:rPr>
            </w:pPr>
            <w:r>
              <w:rPr>
                <w:rFonts w:ascii="Arial" w:cs="Arial" w:eastAsia="Arial" w:hAnsi="Arial"/>
                <w:sz w:val="17"/>
                <w:szCs w:val="17"/>
                <w:color w:val="auto"/>
              </w:rPr>
              <w:t>$</w:t>
            </w:r>
          </w:p>
        </w:tc>
        <w:tc>
          <w:tcPr>
            <w:tcW w:w="900" w:type="dxa"/>
            <w:vAlign w:val="bottom"/>
            <w:shd w:val="clear" w:color="auto" w:fill="CCEEFF"/>
          </w:tcPr>
          <w:p>
            <w:pPr>
              <w:ind w:left="280"/>
              <w:spacing w:after="0"/>
              <w:rPr>
                <w:sz w:val="20"/>
                <w:szCs w:val="20"/>
                <w:color w:val="auto"/>
              </w:rPr>
            </w:pPr>
            <w:r>
              <w:rPr>
                <w:rFonts w:ascii="Arial" w:cs="Arial" w:eastAsia="Arial" w:hAnsi="Arial"/>
                <w:sz w:val="17"/>
                <w:szCs w:val="17"/>
                <w:color w:val="auto"/>
                <w:w w:val="97"/>
              </w:rPr>
              <w:t>427,341</w:t>
            </w:r>
          </w:p>
        </w:tc>
      </w:tr>
      <w:tr>
        <w:trPr>
          <w:trHeight w:val="20"/>
        </w:trPr>
        <w:tc>
          <w:tcPr>
            <w:tcW w:w="2180" w:type="dxa"/>
            <w:vAlign w:val="bottom"/>
            <w:tcBorders>
              <w:top w:val="single" w:sz="8" w:color="CCEEFF"/>
            </w:tcBorders>
          </w:tcPr>
          <w:p>
            <w:pPr>
              <w:spacing w:after="0" w:line="20" w:lineRule="exact"/>
              <w:rPr>
                <w:sz w:val="1"/>
                <w:szCs w:val="1"/>
                <w:color w:val="auto"/>
              </w:rPr>
            </w:pPr>
          </w:p>
        </w:tc>
        <w:tc>
          <w:tcPr>
            <w:tcW w:w="29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r>
      <w:tr>
        <w:trPr>
          <w:trHeight w:val="128"/>
        </w:trPr>
        <w:tc>
          <w:tcPr>
            <w:tcW w:w="2180" w:type="dxa"/>
            <w:vAlign w:val="bottom"/>
            <w:tcBorders>
              <w:bottom w:val="single" w:sz="8" w:color="auto"/>
            </w:tcBorders>
          </w:tcPr>
          <w:p>
            <w:pPr>
              <w:spacing w:after="0"/>
              <w:rPr>
                <w:sz w:val="11"/>
                <w:szCs w:val="11"/>
                <w:color w:val="auto"/>
              </w:rPr>
            </w:pPr>
          </w:p>
        </w:tc>
        <w:tc>
          <w:tcPr>
            <w:tcW w:w="2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900" w:type="dxa"/>
            <w:vAlign w:val="bottom"/>
          </w:tcPr>
          <w:p>
            <w:pPr>
              <w:spacing w:after="0"/>
              <w:rPr>
                <w:sz w:val="11"/>
                <w:szCs w:val="11"/>
                <w:color w:val="auto"/>
              </w:rPr>
            </w:pPr>
          </w:p>
        </w:tc>
      </w:tr>
    </w:tbl>
    <w:p>
      <w:pPr>
        <w:spacing w:after="0" w:line="65" w:lineRule="exact"/>
        <w:rPr>
          <w:sz w:val="20"/>
          <w:szCs w:val="20"/>
          <w:color w:val="auto"/>
        </w:rPr>
      </w:pPr>
    </w:p>
    <w:p>
      <w:pPr>
        <w:ind w:left="320"/>
        <w:spacing w:after="0"/>
        <w:rPr>
          <w:sz w:val="20"/>
          <w:szCs w:val="20"/>
          <w:color w:val="auto"/>
        </w:rPr>
      </w:pPr>
      <w:r>
        <w:rPr>
          <w:rFonts w:ascii="Arial" w:cs="Arial" w:eastAsia="Arial" w:hAnsi="Arial"/>
          <w:sz w:val="17"/>
          <w:szCs w:val="17"/>
          <w:color w:val="auto"/>
        </w:rPr>
        <w:t>(1) Net of profit commission.</w:t>
      </w:r>
    </w:p>
    <w:p>
      <w:pPr>
        <w:spacing w:after="0" w:line="24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Quota Share Reinsurance</w:t>
      </w:r>
    </w:p>
    <w:p>
      <w:pPr>
        <w:spacing w:after="0" w:line="252" w:lineRule="exact"/>
        <w:rPr>
          <w:sz w:val="20"/>
          <w:szCs w:val="20"/>
          <w:color w:val="auto"/>
        </w:rPr>
      </w:pPr>
    </w:p>
    <w:p>
      <w:pPr>
        <w:ind w:right="160" w:firstLine="173"/>
        <w:spacing w:after="0" w:line="282" w:lineRule="auto"/>
        <w:rPr>
          <w:sz w:val="20"/>
          <w:szCs w:val="20"/>
          <w:color w:val="auto"/>
        </w:rPr>
      </w:pPr>
      <w:r>
        <w:rPr>
          <w:rFonts w:ascii="Arial" w:cs="Arial" w:eastAsia="Arial" w:hAnsi="Arial"/>
          <w:sz w:val="16"/>
          <w:szCs w:val="16"/>
          <w:color w:val="auto"/>
        </w:rPr>
        <w:t>Essent Guaranty has entered into quota share reinsurance agreements with a panels of third-party reinsurers ("QSR" agreements). Each of the third-party reinsurers has an insurer financial strength rating of A- or better by S&amp;P Global Ratings, A.M. Best or both. Under each QSR agreement, Essent Guaranty will cede premiums earned on all eligible policies written during a specified period, in exchange for reimbursement of ceded claims and claims expenses on covered policies, a specified ceding commission, and a profit commission that varies directly and inversely with ceded claims. Essent Guaranty has certain termination rights under each QSR agreement, including the option to terminate each QSR agreement subject to a termination fee.</w:t>
      </w:r>
    </w:p>
    <w:p>
      <w:pPr>
        <w:spacing w:after="0" w:line="191" w:lineRule="exact"/>
        <w:rPr>
          <w:sz w:val="20"/>
          <w:szCs w:val="20"/>
          <w:color w:val="auto"/>
        </w:rPr>
      </w:pPr>
    </w:p>
    <w:p>
      <w:pPr>
        <w:ind w:left="400"/>
        <w:spacing w:after="0"/>
        <w:rPr>
          <w:sz w:val="20"/>
          <w:szCs w:val="20"/>
          <w:color w:val="auto"/>
        </w:rPr>
      </w:pPr>
      <w:r>
        <w:rPr>
          <w:rFonts w:ascii="Arial" w:cs="Arial" w:eastAsia="Arial" w:hAnsi="Arial"/>
          <w:sz w:val="17"/>
          <w:szCs w:val="17"/>
          <w:color w:val="auto"/>
        </w:rPr>
        <w:t>The following tables summarizes Essent Guaranty's quota share reinsurance agreements as of June 30, 2023:</w:t>
      </w:r>
    </w:p>
    <w:p>
      <w:pPr>
        <w:spacing w:after="0" w:line="256" w:lineRule="exact"/>
        <w:rPr>
          <w:sz w:val="20"/>
          <w:szCs w:val="20"/>
          <w:color w:val="auto"/>
        </w:rPr>
      </w:pPr>
    </w:p>
    <w:tbl>
      <w:tblPr>
        <w:tblLayout w:type="fixed"/>
        <w:tblInd w:w="480" w:type="dxa"/>
        <w:tblCellMar>
          <w:top w:w="0" w:type="dxa"/>
          <w:left w:w="0" w:type="dxa"/>
          <w:bottom w:w="0" w:type="dxa"/>
          <w:right w:w="0" w:type="dxa"/>
        </w:tblCellMar>
      </w:tblPr>
      <w:tr>
        <w:trPr>
          <w:trHeight w:val="161"/>
        </w:trPr>
        <w:tc>
          <w:tcPr>
            <w:tcW w:w="23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QSR Agreement</w:t>
            </w:r>
          </w:p>
        </w:tc>
        <w:tc>
          <w:tcPr>
            <w:tcW w:w="120" w:type="dxa"/>
            <w:vAlign w:val="bottom"/>
          </w:tcPr>
          <w:p>
            <w:pPr>
              <w:spacing w:after="0"/>
              <w:rPr>
                <w:sz w:val="14"/>
                <w:szCs w:val="14"/>
                <w:color w:val="auto"/>
              </w:rPr>
            </w:pPr>
          </w:p>
        </w:tc>
        <w:tc>
          <w:tcPr>
            <w:tcW w:w="39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8"/>
              </w:rPr>
              <w:t>Coverage Period</w:t>
            </w:r>
          </w:p>
        </w:tc>
        <w:tc>
          <w:tcPr>
            <w:tcW w:w="100" w:type="dxa"/>
            <w:vAlign w:val="bottom"/>
          </w:tcPr>
          <w:p>
            <w:pPr>
              <w:spacing w:after="0"/>
              <w:rPr>
                <w:sz w:val="14"/>
                <w:szCs w:val="14"/>
                <w:color w:val="auto"/>
              </w:rPr>
            </w:pP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w w:val="88"/>
              </w:rPr>
              <w:t>Ceding</w:t>
            </w:r>
          </w:p>
        </w:tc>
        <w:tc>
          <w:tcPr>
            <w:tcW w:w="80" w:type="dxa"/>
            <w:vAlign w:val="bottom"/>
          </w:tcPr>
          <w:p>
            <w:pPr>
              <w:spacing w:after="0"/>
              <w:rPr>
                <w:sz w:val="14"/>
                <w:szCs w:val="14"/>
                <w:color w:val="auto"/>
              </w:rPr>
            </w:pPr>
          </w:p>
        </w:tc>
        <w:tc>
          <w:tcPr>
            <w:tcW w:w="14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7"/>
              </w:rPr>
              <w:t>Ceding Commission</w:t>
            </w:r>
          </w:p>
        </w:tc>
        <w:tc>
          <w:tcPr>
            <w:tcW w:w="100" w:type="dxa"/>
            <w:vAlign w:val="bottom"/>
          </w:tcPr>
          <w:p>
            <w:pPr>
              <w:spacing w:after="0"/>
              <w:rPr>
                <w:sz w:val="14"/>
                <w:szCs w:val="14"/>
                <w:color w:val="auto"/>
              </w:rPr>
            </w:pPr>
          </w:p>
        </w:tc>
        <w:tc>
          <w:tcPr>
            <w:tcW w:w="1540" w:type="dxa"/>
            <w:vAlign w:val="bottom"/>
            <w:gridSpan w:val="2"/>
            <w:vMerge w:val="restart"/>
          </w:tcPr>
          <w:p>
            <w:pPr>
              <w:jc w:val="right"/>
              <w:ind w:right="133"/>
              <w:spacing w:after="0"/>
              <w:rPr>
                <w:sz w:val="20"/>
                <w:szCs w:val="20"/>
                <w:color w:val="auto"/>
              </w:rPr>
            </w:pPr>
            <w:r>
              <w:rPr>
                <w:rFonts w:ascii="Arial" w:cs="Arial" w:eastAsia="Arial" w:hAnsi="Arial"/>
                <w:sz w:val="14"/>
                <w:szCs w:val="14"/>
                <w:b w:val="1"/>
                <w:bCs w:val="1"/>
                <w:color w:val="auto"/>
              </w:rPr>
              <w:t>Profit Commission</w:t>
            </w:r>
          </w:p>
        </w:tc>
        <w:tc>
          <w:tcPr>
            <w:tcW w:w="0" w:type="dxa"/>
            <w:vAlign w:val="bottom"/>
          </w:tcPr>
          <w:p>
            <w:pPr>
              <w:spacing w:after="0"/>
              <w:rPr>
                <w:sz w:val="1"/>
                <w:szCs w:val="1"/>
                <w:color w:val="auto"/>
              </w:rPr>
            </w:pPr>
          </w:p>
        </w:tc>
      </w:tr>
      <w:tr>
        <w:trPr>
          <w:trHeight w:val="179"/>
        </w:trPr>
        <w:tc>
          <w:tcPr>
            <w:tcW w:w="230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39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w w:val="87"/>
              </w:rPr>
              <w:t>Percentage</w:t>
            </w:r>
          </w:p>
        </w:tc>
        <w:tc>
          <w:tcPr>
            <w:tcW w:w="80" w:type="dxa"/>
            <w:vAlign w:val="bottom"/>
          </w:tcPr>
          <w:p>
            <w:pPr>
              <w:spacing w:after="0"/>
              <w:rPr>
                <w:sz w:val="15"/>
                <w:szCs w:val="15"/>
                <w:color w:val="auto"/>
              </w:rPr>
            </w:pPr>
          </w:p>
        </w:tc>
        <w:tc>
          <w:tcPr>
            <w:tcW w:w="14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5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5"/>
        </w:trPr>
        <w:tc>
          <w:tcPr>
            <w:tcW w:w="2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4"/>
        </w:trPr>
        <w:tc>
          <w:tcPr>
            <w:tcW w:w="230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2"/>
              </w:rPr>
              <w:t>QSR-2019</w:t>
            </w:r>
          </w:p>
        </w:tc>
        <w:tc>
          <w:tcPr>
            <w:tcW w:w="120" w:type="dxa"/>
            <w:vAlign w:val="bottom"/>
            <w:shd w:val="clear" w:color="auto" w:fill="CCEEFF"/>
          </w:tcPr>
          <w:p>
            <w:pPr>
              <w:spacing w:after="0"/>
              <w:rPr>
                <w:sz w:val="18"/>
                <w:szCs w:val="18"/>
                <w:color w:val="auto"/>
              </w:rPr>
            </w:pPr>
          </w:p>
        </w:tc>
        <w:tc>
          <w:tcPr>
            <w:tcW w:w="390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1"/>
              </w:rPr>
              <w:t>September 1, 2019 - December 31, 2020</w:t>
            </w: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jc w:val="center"/>
              <w:spacing w:after="0"/>
              <w:rPr>
                <w:sz w:val="20"/>
                <w:szCs w:val="20"/>
                <w:color w:val="auto"/>
              </w:rPr>
            </w:pPr>
            <w:r>
              <w:rPr>
                <w:rFonts w:ascii="Arial" w:cs="Arial" w:eastAsia="Arial" w:hAnsi="Arial"/>
                <w:sz w:val="17"/>
                <w:szCs w:val="17"/>
                <w:b w:val="1"/>
                <w:bCs w:val="1"/>
                <w:color w:val="auto"/>
              </w:rPr>
              <w:t>(1)</w:t>
            </w:r>
          </w:p>
        </w:tc>
        <w:tc>
          <w:tcPr>
            <w:tcW w:w="1480" w:type="dxa"/>
            <w:vAlign w:val="bottom"/>
            <w:gridSpan w:val="2"/>
            <w:shd w:val="clear" w:color="auto" w:fill="CCEEFF"/>
          </w:tcPr>
          <w:p>
            <w:pPr>
              <w:jc w:val="center"/>
              <w:spacing w:after="0"/>
              <w:rPr>
                <w:sz w:val="20"/>
                <w:szCs w:val="20"/>
                <w:color w:val="auto"/>
              </w:rPr>
            </w:pPr>
            <w:r>
              <w:rPr>
                <w:rFonts w:ascii="Arial" w:cs="Arial" w:eastAsia="Arial" w:hAnsi="Arial"/>
                <w:sz w:val="17"/>
                <w:szCs w:val="17"/>
                <w:color w:val="auto"/>
                <w:w w:val="93"/>
              </w:rPr>
              <w:t>20%</w:t>
            </w:r>
          </w:p>
        </w:tc>
        <w:tc>
          <w:tcPr>
            <w:tcW w:w="1040" w:type="dxa"/>
            <w:vAlign w:val="bottom"/>
            <w:gridSpan w:val="2"/>
            <w:shd w:val="clear" w:color="auto" w:fill="CCEEFF"/>
          </w:tcPr>
          <w:p>
            <w:pPr>
              <w:jc w:val="right"/>
              <w:ind w:right="151"/>
              <w:spacing w:after="0"/>
              <w:rPr>
                <w:sz w:val="20"/>
                <w:szCs w:val="20"/>
                <w:color w:val="auto"/>
              </w:rPr>
            </w:pPr>
            <w:r>
              <w:rPr>
                <w:rFonts w:ascii="Arial" w:cs="Arial" w:eastAsia="Arial" w:hAnsi="Arial"/>
                <w:sz w:val="17"/>
                <w:szCs w:val="17"/>
                <w:color w:val="auto"/>
              </w:rPr>
              <w:t>63%</w:t>
            </w:r>
          </w:p>
        </w:tc>
        <w:tc>
          <w:tcPr>
            <w:tcW w:w="600" w:type="dxa"/>
            <w:vAlign w:val="bottom"/>
            <w:shd w:val="clear" w:color="auto" w:fill="CCEEFF"/>
          </w:tcPr>
          <w:p>
            <w:pPr>
              <w:jc w:val="right"/>
              <w:ind w:right="93"/>
              <w:spacing w:after="0"/>
              <w:rPr>
                <w:sz w:val="20"/>
                <w:szCs w:val="20"/>
                <w:color w:val="auto"/>
              </w:rPr>
            </w:pPr>
            <w:r>
              <w:rPr>
                <w:rFonts w:ascii="Arial" w:cs="Arial" w:eastAsia="Arial" w:hAnsi="Arial"/>
                <w:sz w:val="17"/>
                <w:szCs w:val="17"/>
                <w:b w:val="1"/>
                <w:bCs w:val="1"/>
                <w:color w:val="auto"/>
              </w:rPr>
              <w:t>(2)</w:t>
            </w:r>
          </w:p>
        </w:tc>
        <w:tc>
          <w:tcPr>
            <w:tcW w:w="0" w:type="dxa"/>
            <w:vAlign w:val="bottom"/>
          </w:tcPr>
          <w:p>
            <w:pPr>
              <w:spacing w:after="0"/>
              <w:rPr>
                <w:sz w:val="1"/>
                <w:szCs w:val="1"/>
                <w:color w:val="auto"/>
              </w:rPr>
            </w:pPr>
          </w:p>
        </w:tc>
      </w:tr>
      <w:tr>
        <w:trPr>
          <w:trHeight w:val="221"/>
        </w:trPr>
        <w:tc>
          <w:tcPr>
            <w:tcW w:w="2300" w:type="dxa"/>
            <w:vAlign w:val="bottom"/>
          </w:tcPr>
          <w:p>
            <w:pPr>
              <w:jc w:val="center"/>
              <w:spacing w:after="0"/>
              <w:rPr>
                <w:sz w:val="20"/>
                <w:szCs w:val="20"/>
                <w:color w:val="auto"/>
              </w:rPr>
            </w:pPr>
            <w:r>
              <w:rPr>
                <w:rFonts w:ascii="Arial" w:cs="Arial" w:eastAsia="Arial" w:hAnsi="Arial"/>
                <w:sz w:val="17"/>
                <w:szCs w:val="17"/>
                <w:color w:val="auto"/>
                <w:w w:val="92"/>
              </w:rPr>
              <w:t>QSR-2022</w:t>
            </w:r>
          </w:p>
        </w:tc>
        <w:tc>
          <w:tcPr>
            <w:tcW w:w="120" w:type="dxa"/>
            <w:vAlign w:val="bottom"/>
          </w:tcPr>
          <w:p>
            <w:pPr>
              <w:spacing w:after="0"/>
              <w:rPr>
                <w:sz w:val="19"/>
                <w:szCs w:val="19"/>
                <w:color w:val="auto"/>
              </w:rPr>
            </w:pPr>
          </w:p>
        </w:tc>
        <w:tc>
          <w:tcPr>
            <w:tcW w:w="3900" w:type="dxa"/>
            <w:vAlign w:val="bottom"/>
          </w:tcPr>
          <w:p>
            <w:pPr>
              <w:jc w:val="center"/>
              <w:spacing w:after="0"/>
              <w:rPr>
                <w:sz w:val="20"/>
                <w:szCs w:val="20"/>
                <w:color w:val="auto"/>
              </w:rPr>
            </w:pPr>
            <w:r>
              <w:rPr>
                <w:rFonts w:ascii="Arial" w:cs="Arial" w:eastAsia="Arial" w:hAnsi="Arial"/>
                <w:sz w:val="17"/>
                <w:szCs w:val="17"/>
                <w:color w:val="auto"/>
                <w:w w:val="91"/>
              </w:rPr>
              <w:t>January 1, 2022 - December 31, 2022</w:t>
            </w:r>
          </w:p>
        </w:tc>
        <w:tc>
          <w:tcPr>
            <w:tcW w:w="1240" w:type="dxa"/>
            <w:vAlign w:val="bottom"/>
            <w:gridSpan w:val="2"/>
          </w:tcPr>
          <w:p>
            <w:pPr>
              <w:jc w:val="center"/>
              <w:ind w:left="13"/>
              <w:spacing w:after="0"/>
              <w:rPr>
                <w:sz w:val="20"/>
                <w:szCs w:val="20"/>
                <w:color w:val="auto"/>
              </w:rPr>
            </w:pPr>
            <w:r>
              <w:rPr>
                <w:rFonts w:ascii="Arial" w:cs="Arial" w:eastAsia="Arial" w:hAnsi="Arial"/>
                <w:sz w:val="17"/>
                <w:szCs w:val="17"/>
                <w:color w:val="auto"/>
                <w:w w:val="88"/>
              </w:rPr>
              <w:t>20%</w:t>
            </w:r>
          </w:p>
        </w:tc>
        <w:tc>
          <w:tcPr>
            <w:tcW w:w="1480" w:type="dxa"/>
            <w:vAlign w:val="bottom"/>
            <w:gridSpan w:val="2"/>
          </w:tcPr>
          <w:p>
            <w:pPr>
              <w:jc w:val="center"/>
              <w:spacing w:after="0"/>
              <w:rPr>
                <w:sz w:val="20"/>
                <w:szCs w:val="20"/>
                <w:color w:val="auto"/>
              </w:rPr>
            </w:pPr>
            <w:r>
              <w:rPr>
                <w:rFonts w:ascii="Arial" w:cs="Arial" w:eastAsia="Arial" w:hAnsi="Arial"/>
                <w:sz w:val="17"/>
                <w:szCs w:val="17"/>
                <w:color w:val="auto"/>
                <w:w w:val="93"/>
              </w:rPr>
              <w:t>20%</w:t>
            </w:r>
          </w:p>
        </w:tc>
        <w:tc>
          <w:tcPr>
            <w:tcW w:w="1040" w:type="dxa"/>
            <w:vAlign w:val="bottom"/>
            <w:gridSpan w:val="2"/>
          </w:tcPr>
          <w:p>
            <w:pPr>
              <w:jc w:val="right"/>
              <w:ind w:right="151"/>
              <w:spacing w:after="0"/>
              <w:rPr>
                <w:sz w:val="20"/>
                <w:szCs w:val="20"/>
                <w:color w:val="auto"/>
              </w:rPr>
            </w:pPr>
            <w:r>
              <w:rPr>
                <w:rFonts w:ascii="Arial" w:cs="Arial" w:eastAsia="Arial" w:hAnsi="Arial"/>
                <w:sz w:val="17"/>
                <w:szCs w:val="17"/>
                <w:color w:val="auto"/>
              </w:rPr>
              <w:t>62%</w:t>
            </w:r>
          </w:p>
        </w:tc>
        <w:tc>
          <w:tcPr>
            <w:tcW w:w="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30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2"/>
              </w:rPr>
              <w:t>QSR-2023</w:t>
            </w:r>
          </w:p>
        </w:tc>
        <w:tc>
          <w:tcPr>
            <w:tcW w:w="120" w:type="dxa"/>
            <w:vAlign w:val="bottom"/>
            <w:shd w:val="clear" w:color="auto" w:fill="CCEEFF"/>
          </w:tcPr>
          <w:p>
            <w:pPr>
              <w:spacing w:after="0"/>
              <w:rPr>
                <w:sz w:val="20"/>
                <w:szCs w:val="20"/>
                <w:color w:val="auto"/>
              </w:rPr>
            </w:pPr>
          </w:p>
        </w:tc>
        <w:tc>
          <w:tcPr>
            <w:tcW w:w="3900" w:type="dxa"/>
            <w:vAlign w:val="bottom"/>
            <w:shd w:val="clear" w:color="auto" w:fill="CCEEFF"/>
          </w:tcPr>
          <w:p>
            <w:pPr>
              <w:ind w:left="560"/>
              <w:spacing w:after="0"/>
              <w:rPr>
                <w:sz w:val="20"/>
                <w:szCs w:val="20"/>
                <w:color w:val="auto"/>
              </w:rPr>
            </w:pPr>
            <w:r>
              <w:rPr>
                <w:rFonts w:ascii="Arial" w:cs="Arial" w:eastAsia="Arial" w:hAnsi="Arial"/>
                <w:sz w:val="17"/>
                <w:szCs w:val="17"/>
                <w:color w:val="auto"/>
              </w:rPr>
              <w:t>January 1, 2023 - December 31, 2023</w:t>
            </w:r>
          </w:p>
        </w:tc>
        <w:tc>
          <w:tcPr>
            <w:tcW w:w="1240" w:type="dxa"/>
            <w:vAlign w:val="bottom"/>
            <w:gridSpan w:val="2"/>
            <w:shd w:val="clear" w:color="auto" w:fill="CCEEFF"/>
          </w:tcPr>
          <w:p>
            <w:pPr>
              <w:jc w:val="center"/>
              <w:ind w:left="13"/>
              <w:spacing w:after="0"/>
              <w:rPr>
                <w:sz w:val="20"/>
                <w:szCs w:val="20"/>
                <w:color w:val="auto"/>
              </w:rPr>
            </w:pPr>
            <w:r>
              <w:rPr>
                <w:rFonts w:ascii="Arial" w:cs="Arial" w:eastAsia="Arial" w:hAnsi="Arial"/>
                <w:sz w:val="17"/>
                <w:szCs w:val="17"/>
                <w:color w:val="auto"/>
                <w:w w:val="95"/>
              </w:rPr>
              <w:t>17.5%</w:t>
            </w:r>
          </w:p>
        </w:tc>
        <w:tc>
          <w:tcPr>
            <w:tcW w:w="1480" w:type="dxa"/>
            <w:vAlign w:val="bottom"/>
            <w:gridSpan w:val="2"/>
            <w:shd w:val="clear" w:color="auto" w:fill="CCEEFF"/>
          </w:tcPr>
          <w:p>
            <w:pPr>
              <w:jc w:val="center"/>
              <w:spacing w:after="0"/>
              <w:rPr>
                <w:sz w:val="20"/>
                <w:szCs w:val="20"/>
                <w:color w:val="auto"/>
              </w:rPr>
            </w:pPr>
            <w:r>
              <w:rPr>
                <w:rFonts w:ascii="Arial" w:cs="Arial" w:eastAsia="Arial" w:hAnsi="Arial"/>
                <w:sz w:val="17"/>
                <w:szCs w:val="17"/>
                <w:color w:val="auto"/>
                <w:w w:val="93"/>
              </w:rPr>
              <w:t>20%</w:t>
            </w:r>
          </w:p>
        </w:tc>
        <w:tc>
          <w:tcPr>
            <w:tcW w:w="1040" w:type="dxa"/>
            <w:vAlign w:val="bottom"/>
            <w:gridSpan w:val="2"/>
            <w:shd w:val="clear" w:color="auto" w:fill="CCEEFF"/>
          </w:tcPr>
          <w:p>
            <w:pPr>
              <w:jc w:val="right"/>
              <w:ind w:right="151"/>
              <w:spacing w:after="0"/>
              <w:rPr>
                <w:sz w:val="20"/>
                <w:szCs w:val="20"/>
                <w:color w:val="auto"/>
              </w:rPr>
            </w:pPr>
            <w:r>
              <w:rPr>
                <w:rFonts w:ascii="Arial" w:cs="Arial" w:eastAsia="Arial" w:hAnsi="Arial"/>
                <w:sz w:val="17"/>
                <w:szCs w:val="17"/>
                <w:color w:val="auto"/>
              </w:rPr>
              <w:t>58%</w:t>
            </w:r>
          </w:p>
        </w:tc>
        <w:tc>
          <w:tcPr>
            <w:tcW w:w="6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bl>
    <w:p>
      <w:pPr>
        <w:spacing w:after="0" w:line="59"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_______________________________________________________________________________</w:t>
      </w:r>
    </w:p>
    <w:p>
      <w:pPr>
        <w:spacing w:after="0" w:line="14" w:lineRule="exact"/>
        <w:rPr>
          <w:sz w:val="20"/>
          <w:szCs w:val="20"/>
          <w:color w:val="auto"/>
        </w:rPr>
      </w:pPr>
    </w:p>
    <w:p>
      <w:pPr>
        <w:ind w:left="400" w:hanging="396"/>
        <w:spacing w:after="0"/>
        <w:tabs>
          <w:tab w:leader="none" w:pos="400" w:val="left"/>
        </w:tabs>
        <w:numPr>
          <w:ilvl w:val="0"/>
          <w:numId w:val="6"/>
        </w:numPr>
        <w:rPr>
          <w:rFonts w:ascii="Arial" w:cs="Arial" w:eastAsia="Arial" w:hAnsi="Arial"/>
          <w:sz w:val="17"/>
          <w:szCs w:val="17"/>
          <w:color w:val="auto"/>
        </w:rPr>
      </w:pPr>
      <w:r>
        <w:rPr>
          <w:rFonts w:ascii="Arial" w:cs="Arial" w:eastAsia="Arial" w:hAnsi="Arial"/>
          <w:sz w:val="17"/>
          <w:szCs w:val="17"/>
          <w:color w:val="auto"/>
        </w:rPr>
        <w:t>Under QSR-2019, Essent Guaranty cedes 40% of premiums on singles policies and 20% on all other policies.</w:t>
      </w:r>
    </w:p>
    <w:p>
      <w:pPr>
        <w:spacing w:after="0" w:line="24" w:lineRule="exact"/>
        <w:rPr>
          <w:rFonts w:ascii="Arial" w:cs="Arial" w:eastAsia="Arial" w:hAnsi="Arial"/>
          <w:sz w:val="17"/>
          <w:szCs w:val="17"/>
          <w:color w:val="auto"/>
        </w:rPr>
      </w:pPr>
    </w:p>
    <w:p>
      <w:pPr>
        <w:ind w:left="400" w:right="20" w:hanging="396"/>
        <w:spacing w:after="0" w:line="301" w:lineRule="auto"/>
        <w:tabs>
          <w:tab w:leader="none" w:pos="400" w:val="left"/>
        </w:tabs>
        <w:numPr>
          <w:ilvl w:val="0"/>
          <w:numId w:val="6"/>
        </w:numPr>
        <w:rPr>
          <w:rFonts w:ascii="Arial" w:cs="Arial" w:eastAsia="Arial" w:hAnsi="Arial"/>
          <w:sz w:val="16"/>
          <w:szCs w:val="16"/>
          <w:color w:val="auto"/>
        </w:rPr>
      </w:pPr>
      <w:r>
        <w:rPr>
          <w:rFonts w:ascii="Arial" w:cs="Arial" w:eastAsia="Arial" w:hAnsi="Arial"/>
          <w:sz w:val="16"/>
          <w:szCs w:val="16"/>
          <w:color w:val="auto"/>
        </w:rPr>
        <w:t>The original profit commission on QSR-2019 was up to 60%; however because Essent Guaranty did not exercise its option to terminate the QSR Agreement on December 31, 2021, the maximum profit commission that Essent Guaranty could earn increased to 63% in 2022 and thereafter.</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color w:val="auto"/>
        </w:rPr>
        <w:t>Total RIF ceded under the QSR agreements was $7.7 billion as of June 30, 2023.</w:t>
      </w:r>
    </w:p>
    <w:p>
      <w:pPr>
        <w:spacing w:after="0" w:line="24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Excess of Loss Reinsurance</w:t>
      </w:r>
    </w:p>
    <w:p>
      <w:pPr>
        <w:spacing w:after="0" w:line="252" w:lineRule="exact"/>
        <w:rPr>
          <w:sz w:val="20"/>
          <w:szCs w:val="20"/>
          <w:color w:val="auto"/>
        </w:rPr>
      </w:pPr>
    </w:p>
    <w:p>
      <w:pPr>
        <w:ind w:right="80" w:firstLine="623"/>
        <w:spacing w:after="0" w:line="300" w:lineRule="auto"/>
        <w:rPr>
          <w:sz w:val="20"/>
          <w:szCs w:val="20"/>
          <w:color w:val="auto"/>
        </w:rPr>
      </w:pPr>
      <w:r>
        <w:rPr>
          <w:rFonts w:ascii="Arial" w:cs="Arial" w:eastAsia="Arial" w:hAnsi="Arial"/>
          <w:sz w:val="15"/>
          <w:szCs w:val="15"/>
          <w:color w:val="auto"/>
        </w:rPr>
        <w:t>Essent Guaranty has entered into fully collateralized reinsurance agreements ("Radnor Re Transactions") with unaffiliated special purpose insurers domiciled in Bermuda. For the reinsurance coverage periods, Essent Guaranty and its affiliates retain the first layer of the respective aggregate losses, and a Radnor Re special purpose insurer will then provide second layer coverage up to the outstanding reinsurance coverage amount. Essent Guaranty and its affiliates retain losses in excess of the outstanding reinsurance coverage amount. The reinsurance premium due to each Radnor Re special purpose insurer is calculated by multiplying the outstanding reinsurance coverage amount at the beginning of a period by a coupon rate, which is the sum of one-month LIBOR or SOFR plus a risk margin, and then subtracting actual investment income collected on the assets in the related reinsurance trust during that period. The aggregate excess of loss reinsurance coverage decreases over a ten-year period as the underlying covered mortgages amortize. Essent Guaranty has rights to terminate the Radnor Re</w:t>
      </w: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68580</wp:posOffset>
            </wp:positionV>
            <wp:extent cx="7162800" cy="419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5" w:name="page16"/>
    <w:bookmarkEnd w:id="15"/>
    <w:p>
      <w:pPr>
        <w:spacing w:after="0"/>
        <w:rPr>
          <w:sz w:val="20"/>
          <w:szCs w:val="20"/>
          <w:color w:val="auto"/>
        </w:rPr>
      </w:pPr>
      <w:r>
        <w:rPr>
          <w:rFonts w:ascii="Arial" w:cs="Arial" w:eastAsia="Arial" w:hAnsi="Arial"/>
          <w:sz w:val="17"/>
          <w:szCs w:val="17"/>
          <w:u w:val="single" w:color="auto"/>
          <w:color w:val="0000FF"/>
        </w:rPr>
        <w:t>Table of Contents</w:t>
      </w:r>
    </w:p>
    <w:p>
      <w:pPr>
        <w:spacing w:after="0" w:line="25" w:lineRule="exact"/>
        <w:rPr>
          <w:sz w:val="20"/>
          <w:szCs w:val="20"/>
          <w:color w:val="auto"/>
        </w:rPr>
      </w:pPr>
    </w:p>
    <w:p>
      <w:pPr>
        <w:jc w:val="center"/>
        <w:ind w:right="100"/>
        <w:spacing w:after="0"/>
        <w:rPr>
          <w:sz w:val="20"/>
          <w:szCs w:val="20"/>
          <w:color w:val="auto"/>
        </w:rPr>
      </w:pPr>
      <w:r>
        <w:rPr>
          <w:rFonts w:ascii="Arial" w:cs="Arial" w:eastAsia="Arial" w:hAnsi="Arial"/>
          <w:sz w:val="17"/>
          <w:szCs w:val="17"/>
          <w:b w:val="1"/>
          <w:bCs w:val="1"/>
          <w:color w:val="auto"/>
        </w:rPr>
        <w:t>Essent Group Ltd. and Subsidiaries</w:t>
      </w:r>
    </w:p>
    <w:p>
      <w:pPr>
        <w:spacing w:after="0" w:line="201" w:lineRule="exact"/>
        <w:rPr>
          <w:sz w:val="20"/>
          <w:szCs w:val="20"/>
          <w:color w:val="auto"/>
        </w:rPr>
      </w:pPr>
    </w:p>
    <w:p>
      <w:pPr>
        <w:jc w:val="center"/>
        <w:ind w:right="100"/>
        <w:spacing w:after="0"/>
        <w:rPr>
          <w:sz w:val="20"/>
          <w:szCs w:val="20"/>
          <w:color w:val="auto"/>
        </w:rPr>
      </w:pPr>
      <w:r>
        <w:rPr>
          <w:rFonts w:ascii="Arial" w:cs="Arial" w:eastAsia="Arial" w:hAnsi="Arial"/>
          <w:sz w:val="17"/>
          <w:szCs w:val="17"/>
          <w:b w:val="1"/>
          <w:bCs w:val="1"/>
          <w:color w:val="auto"/>
        </w:rPr>
        <w:t>Notes to Condensed Consolidated Financial Statements (Unaudited)</w:t>
      </w:r>
    </w:p>
    <w:p>
      <w:pPr>
        <w:spacing w:after="0" w:line="200" w:lineRule="exact"/>
        <w:rPr>
          <w:sz w:val="20"/>
          <w:szCs w:val="20"/>
          <w:color w:val="auto"/>
        </w:rPr>
      </w:pPr>
    </w:p>
    <w:p>
      <w:pPr>
        <w:spacing w:after="0" w:line="234" w:lineRule="exact"/>
        <w:rPr>
          <w:sz w:val="20"/>
          <w:szCs w:val="20"/>
          <w:color w:val="auto"/>
        </w:rPr>
      </w:pPr>
    </w:p>
    <w:p>
      <w:pPr>
        <w:ind w:right="160"/>
        <w:spacing w:after="0" w:line="265" w:lineRule="auto"/>
        <w:rPr>
          <w:sz w:val="20"/>
          <w:szCs w:val="20"/>
          <w:color w:val="auto"/>
        </w:rPr>
      </w:pPr>
      <w:r>
        <w:rPr>
          <w:rFonts w:ascii="Arial" w:cs="Arial" w:eastAsia="Arial" w:hAnsi="Arial"/>
          <w:sz w:val="17"/>
          <w:szCs w:val="17"/>
          <w:color w:val="auto"/>
        </w:rPr>
        <w:t>Transactions. The Radnor Re entities collateralized the coverage by issuing mortgage insurance-linked notes ("ILNs") in an aggregate amount equal to the initial coverage to unaffiliated investors. The notes have ten-year legal maturities and are non-recourse to any assets of Essent Guaranty or its affiliates. The proceeds of the notes were deposited into reinsurance trusts for the benefit of Essent Guaranty and will be the source of reinsurance claim payments to Essent Guaranty and principal repayments on the ILNs.</w:t>
      </w:r>
    </w:p>
    <w:p>
      <w:pPr>
        <w:spacing w:after="0" w:line="201" w:lineRule="exact"/>
        <w:rPr>
          <w:sz w:val="20"/>
          <w:szCs w:val="20"/>
          <w:color w:val="auto"/>
        </w:rPr>
      </w:pPr>
    </w:p>
    <w:p>
      <w:pPr>
        <w:ind w:right="120" w:firstLine="389"/>
        <w:spacing w:after="0" w:line="294" w:lineRule="auto"/>
        <w:rPr>
          <w:sz w:val="20"/>
          <w:szCs w:val="20"/>
          <w:color w:val="auto"/>
        </w:rPr>
      </w:pPr>
      <w:r>
        <w:rPr>
          <w:rFonts w:ascii="Arial" w:cs="Arial" w:eastAsia="Arial" w:hAnsi="Arial"/>
          <w:sz w:val="16"/>
          <w:szCs w:val="16"/>
          <w:color w:val="auto"/>
        </w:rPr>
        <w:t>Essent Guaranty has also entered into reinsurance agreements with panels of reinsurers that provide aggregate excess of loss coverage immediately above or pari-passu to the coverage provided by the Radnor Re Transactions. The aggregate excess of loss reinsurance coverage decreases over a ten-year period as the underlying covered mortgages amortize. Essent Guaranty has rights to terminate these reinsurance agreements.</w:t>
      </w:r>
    </w:p>
    <w:p>
      <w:pPr>
        <w:spacing w:after="0" w:line="181" w:lineRule="exact"/>
        <w:rPr>
          <w:sz w:val="20"/>
          <w:szCs w:val="20"/>
          <w:color w:val="auto"/>
        </w:rPr>
      </w:pPr>
    </w:p>
    <w:p>
      <w:pPr>
        <w:ind w:right="260" w:firstLine="389"/>
        <w:spacing w:after="0" w:line="265" w:lineRule="auto"/>
        <w:rPr>
          <w:sz w:val="20"/>
          <w:szCs w:val="20"/>
          <w:color w:val="auto"/>
        </w:rPr>
      </w:pPr>
      <w:r>
        <w:rPr>
          <w:rFonts w:ascii="Arial" w:cs="Arial" w:eastAsia="Arial" w:hAnsi="Arial"/>
          <w:sz w:val="17"/>
          <w:szCs w:val="17"/>
          <w:color w:val="auto"/>
        </w:rPr>
        <w:t>Essent Guaranty entered into a reinsurance agreement with a panel of reinsurers that provides excess of loss coverage on new insurance written from October 1, 2021 through December 31, 2022. For the reinsurance coverage period, Essent Guaranty and its affiliates retain the first layer of the respective aggregate losses, and the reinsurance panel will then provide second layer coverage up to the outstanding reinsurance coverage amount. Essent Guaranty and its affiliates retain losses in excess of the outstanding reinsurance coverage amount.</w:t>
      </w:r>
    </w:p>
    <w:p>
      <w:pPr>
        <w:spacing w:after="0" w:line="175"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The following table summarizes Essent Guaranty's excess of loss coverages and retentions provided by insurance linked notes as of June 30, 2023:</w:t>
      </w:r>
    </w:p>
    <w:p>
      <w:pPr>
        <w:spacing w:after="0" w:line="275" w:lineRule="exact"/>
        <w:rPr>
          <w:sz w:val="20"/>
          <w:szCs w:val="20"/>
          <w:color w:val="auto"/>
        </w:rPr>
      </w:pPr>
    </w:p>
    <w:tbl>
      <w:tblPr>
        <w:tblLayout w:type="fixed"/>
        <w:tblInd w:w="60" w:type="dxa"/>
        <w:tblCellMar>
          <w:top w:w="0" w:type="dxa"/>
          <w:left w:w="0" w:type="dxa"/>
          <w:bottom w:w="0" w:type="dxa"/>
          <w:right w:w="0" w:type="dxa"/>
        </w:tblCellMar>
      </w:tblPr>
      <w:tr>
        <w:trPr>
          <w:trHeight w:val="179"/>
        </w:trPr>
        <w:tc>
          <w:tcPr>
            <w:tcW w:w="1740" w:type="dxa"/>
            <w:vAlign w:val="bottom"/>
          </w:tcPr>
          <w:p>
            <w:pPr>
              <w:ind w:left="20"/>
              <w:spacing w:after="0"/>
              <w:rPr>
                <w:sz w:val="20"/>
                <w:szCs w:val="20"/>
                <w:color w:val="auto"/>
              </w:rPr>
            </w:pPr>
            <w:r>
              <w:rPr>
                <w:rFonts w:ascii="Arial" w:cs="Arial" w:eastAsia="Arial" w:hAnsi="Arial"/>
                <w:sz w:val="14"/>
                <w:szCs w:val="14"/>
                <w:b w:val="1"/>
                <w:bCs w:val="1"/>
                <w:color w:val="auto"/>
              </w:rPr>
              <w:t>(In thousands)</w:t>
            </w:r>
          </w:p>
        </w:tc>
        <w:tc>
          <w:tcPr>
            <w:tcW w:w="1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1740" w:type="dxa"/>
            <w:vAlign w:val="bottom"/>
          </w:tcPr>
          <w:p>
            <w:pPr>
              <w:spacing w:after="0"/>
              <w:rPr>
                <w:sz w:val="13"/>
                <w:szCs w:val="13"/>
                <w:color w:val="auto"/>
              </w:rPr>
            </w:pPr>
          </w:p>
        </w:tc>
        <w:tc>
          <w:tcPr>
            <w:tcW w:w="1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0" w:type="dxa"/>
            <w:vAlign w:val="bottom"/>
          </w:tcPr>
          <w:p>
            <w:pPr>
              <w:jc w:val="center"/>
              <w:ind w:right="185"/>
              <w:spacing w:after="0" w:line="155" w:lineRule="exact"/>
              <w:rPr>
                <w:sz w:val="20"/>
                <w:szCs w:val="20"/>
                <w:color w:val="auto"/>
              </w:rPr>
            </w:pPr>
            <w:r>
              <w:rPr>
                <w:rFonts w:ascii="Arial" w:cs="Arial" w:eastAsia="Arial" w:hAnsi="Arial"/>
                <w:sz w:val="14"/>
                <w:szCs w:val="14"/>
                <w:b w:val="1"/>
                <w:bCs w:val="1"/>
                <w:color w:val="auto"/>
                <w:w w:val="92"/>
              </w:rPr>
              <w:t>Remaining</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0" w:type="dxa"/>
            <w:vAlign w:val="bottom"/>
          </w:tcPr>
          <w:p>
            <w:pPr>
              <w:jc w:val="center"/>
              <w:ind w:right="165"/>
              <w:spacing w:after="0" w:line="155" w:lineRule="exact"/>
              <w:rPr>
                <w:sz w:val="20"/>
                <w:szCs w:val="20"/>
                <w:color w:val="auto"/>
              </w:rPr>
            </w:pPr>
            <w:r>
              <w:rPr>
                <w:rFonts w:ascii="Arial" w:cs="Arial" w:eastAsia="Arial" w:hAnsi="Arial"/>
                <w:sz w:val="14"/>
                <w:szCs w:val="14"/>
                <w:b w:val="1"/>
                <w:bCs w:val="1"/>
                <w:color w:val="auto"/>
                <w:w w:val="89"/>
              </w:rPr>
              <w:t>Remaining</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tcPr>
          <w:p>
            <w:pPr>
              <w:jc w:val="center"/>
              <w:ind w:right="65"/>
              <w:spacing w:after="0" w:line="155" w:lineRule="exact"/>
              <w:rPr>
                <w:sz w:val="20"/>
                <w:szCs w:val="20"/>
                <w:color w:val="auto"/>
              </w:rPr>
            </w:pPr>
            <w:r>
              <w:rPr>
                <w:rFonts w:ascii="Arial" w:cs="Arial" w:eastAsia="Arial" w:hAnsi="Arial"/>
                <w:sz w:val="14"/>
                <w:szCs w:val="14"/>
                <w:b w:val="1"/>
                <w:bCs w:val="1"/>
                <w:color w:val="auto"/>
                <w:w w:val="89"/>
              </w:rPr>
              <w:t>Remaining</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60" w:type="dxa"/>
            <w:vAlign w:val="bottom"/>
          </w:tcPr>
          <w:p>
            <w:pPr>
              <w:jc w:val="center"/>
              <w:ind w:right="105"/>
              <w:spacing w:after="0" w:line="155" w:lineRule="exact"/>
              <w:rPr>
                <w:sz w:val="20"/>
                <w:szCs w:val="20"/>
                <w:color w:val="auto"/>
              </w:rPr>
            </w:pPr>
            <w:r>
              <w:rPr>
                <w:rFonts w:ascii="Arial" w:cs="Arial" w:eastAsia="Arial" w:hAnsi="Arial"/>
                <w:sz w:val="14"/>
                <w:szCs w:val="14"/>
                <w:b w:val="1"/>
                <w:bCs w:val="1"/>
                <w:color w:val="auto"/>
                <w:w w:val="89"/>
              </w:rPr>
              <w:t>Remaining</w:t>
            </w:r>
          </w:p>
        </w:tc>
        <w:tc>
          <w:tcPr>
            <w:tcW w:w="1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1740" w:type="dxa"/>
            <w:vAlign w:val="bottom"/>
          </w:tcPr>
          <w:p>
            <w:pPr>
              <w:spacing w:after="0"/>
              <w:rPr>
                <w:sz w:val="11"/>
                <w:szCs w:val="11"/>
                <w:color w:val="auto"/>
              </w:rPr>
            </w:pPr>
          </w:p>
        </w:tc>
        <w:tc>
          <w:tcPr>
            <w:tcW w:w="19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6"/>
              </w:rPr>
              <w:t>Vintage</w:t>
            </w: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0" w:type="dxa"/>
            <w:vAlign w:val="bottom"/>
          </w:tcPr>
          <w:p>
            <w:pPr>
              <w:jc w:val="center"/>
              <w:ind w:right="185"/>
              <w:spacing w:after="0" w:line="133" w:lineRule="exact"/>
              <w:rPr>
                <w:sz w:val="20"/>
                <w:szCs w:val="20"/>
                <w:color w:val="auto"/>
              </w:rPr>
            </w:pPr>
            <w:r>
              <w:rPr>
                <w:rFonts w:ascii="Arial" w:cs="Arial" w:eastAsia="Arial" w:hAnsi="Arial"/>
                <w:sz w:val="14"/>
                <w:szCs w:val="14"/>
                <w:b w:val="1"/>
                <w:bCs w:val="1"/>
                <w:color w:val="auto"/>
                <w:w w:val="87"/>
              </w:rPr>
              <w:t>Insurance</w:t>
            </w: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0" w:type="dxa"/>
            <w:vAlign w:val="bottom"/>
          </w:tcPr>
          <w:p>
            <w:pPr>
              <w:jc w:val="center"/>
              <w:ind w:right="185"/>
              <w:spacing w:after="0" w:line="133" w:lineRule="exact"/>
              <w:rPr>
                <w:sz w:val="20"/>
                <w:szCs w:val="20"/>
                <w:color w:val="auto"/>
              </w:rPr>
            </w:pPr>
            <w:r>
              <w:rPr>
                <w:rFonts w:ascii="Arial" w:cs="Arial" w:eastAsia="Arial" w:hAnsi="Arial"/>
                <w:sz w:val="14"/>
                <w:szCs w:val="14"/>
                <w:b w:val="1"/>
                <w:bCs w:val="1"/>
                <w:color w:val="auto"/>
                <w:w w:val="87"/>
              </w:rPr>
              <w:t>Risk</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tcPr>
          <w:p>
            <w:pPr>
              <w:jc w:val="center"/>
              <w:ind w:right="65"/>
              <w:spacing w:after="0" w:line="133" w:lineRule="exact"/>
              <w:rPr>
                <w:sz w:val="20"/>
                <w:szCs w:val="20"/>
                <w:color w:val="auto"/>
              </w:rPr>
            </w:pPr>
            <w:r>
              <w:rPr>
                <w:rFonts w:ascii="Arial" w:cs="Arial" w:eastAsia="Arial" w:hAnsi="Arial"/>
                <w:sz w:val="14"/>
                <w:szCs w:val="14"/>
                <w:b w:val="1"/>
                <w:bCs w:val="1"/>
                <w:color w:val="auto"/>
                <w:w w:val="87"/>
              </w:rPr>
              <w:t>Reinsurance in</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60" w:type="dxa"/>
            <w:vAlign w:val="bottom"/>
          </w:tcPr>
          <w:p>
            <w:pPr>
              <w:jc w:val="center"/>
              <w:ind w:right="105"/>
              <w:spacing w:after="0" w:line="133" w:lineRule="exact"/>
              <w:rPr>
                <w:sz w:val="20"/>
                <w:szCs w:val="20"/>
                <w:color w:val="auto"/>
              </w:rPr>
            </w:pPr>
            <w:r>
              <w:rPr>
                <w:rFonts w:ascii="Arial" w:cs="Arial" w:eastAsia="Arial" w:hAnsi="Arial"/>
                <w:sz w:val="14"/>
                <w:szCs w:val="14"/>
                <w:b w:val="1"/>
                <w:bCs w:val="1"/>
                <w:color w:val="auto"/>
                <w:w w:val="94"/>
              </w:rPr>
              <w:t>First Layer</w:t>
            </w:r>
          </w:p>
        </w:tc>
        <w:tc>
          <w:tcPr>
            <w:tcW w:w="16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Optional Termination Date</w:t>
            </w:r>
          </w:p>
        </w:tc>
        <w:tc>
          <w:tcPr>
            <w:tcW w:w="0" w:type="dxa"/>
            <w:vAlign w:val="bottom"/>
          </w:tcPr>
          <w:p>
            <w:pPr>
              <w:spacing w:after="0"/>
              <w:rPr>
                <w:sz w:val="1"/>
                <w:szCs w:val="1"/>
                <w:color w:val="auto"/>
              </w:rPr>
            </w:pPr>
          </w:p>
        </w:tc>
      </w:tr>
      <w:tr>
        <w:trPr>
          <w:trHeight w:val="179"/>
        </w:trPr>
        <w:tc>
          <w:tcPr>
            <w:tcW w:w="1740" w:type="dxa"/>
            <w:vAlign w:val="bottom"/>
          </w:tcPr>
          <w:p>
            <w:pPr>
              <w:jc w:val="center"/>
              <w:spacing w:after="0"/>
              <w:rPr>
                <w:sz w:val="20"/>
                <w:szCs w:val="20"/>
                <w:color w:val="auto"/>
              </w:rPr>
            </w:pPr>
            <w:r>
              <w:rPr>
                <w:rFonts w:ascii="Arial" w:cs="Arial" w:eastAsia="Arial" w:hAnsi="Arial"/>
                <w:sz w:val="12"/>
                <w:szCs w:val="12"/>
                <w:b w:val="1"/>
                <w:bCs w:val="1"/>
                <w:color w:val="auto"/>
                <w:w w:val="94"/>
              </w:rPr>
              <w:t>Deal Name</w:t>
            </w:r>
          </w:p>
        </w:tc>
        <w:tc>
          <w:tcPr>
            <w:tcW w:w="192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0" w:type="dxa"/>
            <w:vAlign w:val="bottom"/>
          </w:tcPr>
          <w:p>
            <w:pPr>
              <w:jc w:val="center"/>
              <w:ind w:right="185"/>
              <w:spacing w:after="0"/>
              <w:rPr>
                <w:sz w:val="20"/>
                <w:szCs w:val="20"/>
                <w:color w:val="auto"/>
              </w:rPr>
            </w:pPr>
            <w:r>
              <w:rPr>
                <w:rFonts w:ascii="Arial" w:cs="Arial" w:eastAsia="Arial" w:hAnsi="Arial"/>
                <w:sz w:val="14"/>
                <w:szCs w:val="14"/>
                <w:b w:val="1"/>
                <w:bCs w:val="1"/>
                <w:color w:val="auto"/>
                <w:w w:val="91"/>
              </w:rPr>
              <w:t>in Force</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0" w:type="dxa"/>
            <w:vAlign w:val="bottom"/>
          </w:tcPr>
          <w:p>
            <w:pPr>
              <w:jc w:val="center"/>
              <w:ind w:right="165"/>
              <w:spacing w:after="0"/>
              <w:rPr>
                <w:sz w:val="20"/>
                <w:szCs w:val="20"/>
                <w:color w:val="auto"/>
              </w:rPr>
            </w:pPr>
            <w:r>
              <w:rPr>
                <w:rFonts w:ascii="Arial" w:cs="Arial" w:eastAsia="Arial" w:hAnsi="Arial"/>
                <w:sz w:val="14"/>
                <w:szCs w:val="14"/>
                <w:b w:val="1"/>
                <w:bCs w:val="1"/>
                <w:color w:val="auto"/>
                <w:w w:val="88"/>
              </w:rPr>
              <w:t>in Force</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jc w:val="center"/>
              <w:ind w:right="65"/>
              <w:spacing w:after="0"/>
              <w:rPr>
                <w:sz w:val="20"/>
                <w:szCs w:val="20"/>
                <w:color w:val="auto"/>
              </w:rPr>
            </w:pPr>
            <w:r>
              <w:rPr>
                <w:rFonts w:ascii="Arial" w:cs="Arial" w:eastAsia="Arial" w:hAnsi="Arial"/>
                <w:sz w:val="14"/>
                <w:szCs w:val="14"/>
                <w:b w:val="1"/>
                <w:bCs w:val="1"/>
                <w:color w:val="auto"/>
                <w:w w:val="83"/>
              </w:rPr>
              <w:t>Force</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tcPr>
          <w:p>
            <w:pPr>
              <w:jc w:val="center"/>
              <w:ind w:right="125"/>
              <w:spacing w:after="0"/>
              <w:rPr>
                <w:sz w:val="20"/>
                <w:szCs w:val="20"/>
                <w:color w:val="auto"/>
              </w:rPr>
            </w:pPr>
            <w:r>
              <w:rPr>
                <w:rFonts w:ascii="Arial" w:cs="Arial" w:eastAsia="Arial" w:hAnsi="Arial"/>
                <w:sz w:val="14"/>
                <w:szCs w:val="14"/>
                <w:b w:val="1"/>
                <w:bCs w:val="1"/>
                <w:color w:val="auto"/>
                <w:w w:val="89"/>
              </w:rPr>
              <w:t>Retention</w:t>
            </w:r>
          </w:p>
        </w:tc>
        <w:tc>
          <w:tcPr>
            <w:tcW w:w="16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5"/>
        </w:trPr>
        <w:tc>
          <w:tcPr>
            <w:tcW w:w="174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1"/>
        </w:trPr>
        <w:tc>
          <w:tcPr>
            <w:tcW w:w="17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6"/>
              </w:rPr>
              <w:t>Radnor Re 2019-1</w:t>
            </w:r>
          </w:p>
        </w:tc>
        <w:tc>
          <w:tcPr>
            <w:tcW w:w="19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6"/>
              </w:rPr>
              <w:t>Jan. 2018 - Dec. 2018</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6,031,462</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1,568,566</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5"/>
              <w:spacing w:after="0"/>
              <w:rPr>
                <w:sz w:val="20"/>
                <w:szCs w:val="20"/>
                <w:color w:val="auto"/>
              </w:rPr>
            </w:pPr>
            <w:r>
              <w:rPr>
                <w:rFonts w:ascii="Arial" w:cs="Arial" w:eastAsia="Arial" w:hAnsi="Arial"/>
                <w:sz w:val="16"/>
                <w:szCs w:val="16"/>
                <w:color w:val="auto"/>
              </w:rPr>
              <w:t>21,467</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5"/>
              <w:spacing w:after="0"/>
              <w:rPr>
                <w:sz w:val="20"/>
                <w:szCs w:val="20"/>
                <w:color w:val="auto"/>
              </w:rPr>
            </w:pPr>
            <w:r>
              <w:rPr>
                <w:rFonts w:ascii="Arial" w:cs="Arial" w:eastAsia="Arial" w:hAnsi="Arial"/>
                <w:sz w:val="16"/>
                <w:szCs w:val="16"/>
                <w:color w:val="auto"/>
              </w:rPr>
              <w:t>247,780</w:t>
            </w:r>
          </w:p>
        </w:tc>
        <w:tc>
          <w:tcPr>
            <w:tcW w:w="16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7"/>
              </w:rPr>
              <w:t>February 25, 2026</w:t>
            </w:r>
          </w:p>
        </w:tc>
        <w:tc>
          <w:tcPr>
            <w:tcW w:w="0" w:type="dxa"/>
            <w:vAlign w:val="bottom"/>
          </w:tcPr>
          <w:p>
            <w:pPr>
              <w:spacing w:after="0"/>
              <w:rPr>
                <w:sz w:val="1"/>
                <w:szCs w:val="1"/>
                <w:color w:val="auto"/>
              </w:rPr>
            </w:pPr>
          </w:p>
        </w:tc>
      </w:tr>
      <w:tr>
        <w:trPr>
          <w:trHeight w:val="205"/>
        </w:trPr>
        <w:tc>
          <w:tcPr>
            <w:tcW w:w="1740" w:type="dxa"/>
            <w:vAlign w:val="bottom"/>
          </w:tcPr>
          <w:p>
            <w:pPr>
              <w:jc w:val="center"/>
              <w:spacing w:after="0"/>
              <w:rPr>
                <w:sz w:val="20"/>
                <w:szCs w:val="20"/>
                <w:color w:val="auto"/>
              </w:rPr>
            </w:pPr>
            <w:r>
              <w:rPr>
                <w:rFonts w:ascii="Arial" w:cs="Arial" w:eastAsia="Arial" w:hAnsi="Arial"/>
                <w:sz w:val="16"/>
                <w:szCs w:val="16"/>
                <w:color w:val="auto"/>
                <w:w w:val="86"/>
              </w:rPr>
              <w:t>Radnor Re 2020-1</w:t>
            </w:r>
          </w:p>
        </w:tc>
        <w:tc>
          <w:tcPr>
            <w:tcW w:w="1920" w:type="dxa"/>
            <w:vAlign w:val="bottom"/>
          </w:tcPr>
          <w:p>
            <w:pPr>
              <w:jc w:val="center"/>
              <w:spacing w:after="0"/>
              <w:rPr>
                <w:sz w:val="20"/>
                <w:szCs w:val="20"/>
                <w:color w:val="auto"/>
              </w:rPr>
            </w:pPr>
            <w:r>
              <w:rPr>
                <w:rFonts w:ascii="Arial" w:cs="Arial" w:eastAsia="Arial" w:hAnsi="Arial"/>
                <w:sz w:val="16"/>
                <w:szCs w:val="16"/>
                <w:color w:val="auto"/>
                <w:w w:val="86"/>
              </w:rPr>
              <w:t>Jan. 2019 - Aug. 2019</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7,496,071</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1,939,751</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jc w:val="right"/>
              <w:ind w:right="5"/>
              <w:spacing w:after="0"/>
              <w:rPr>
                <w:sz w:val="20"/>
                <w:szCs w:val="20"/>
                <w:color w:val="auto"/>
              </w:rPr>
            </w:pPr>
            <w:r>
              <w:rPr>
                <w:rFonts w:ascii="Arial" w:cs="Arial" w:eastAsia="Arial" w:hAnsi="Arial"/>
                <w:sz w:val="16"/>
                <w:szCs w:val="16"/>
                <w:color w:val="auto"/>
              </w:rPr>
              <w:t>52,691</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jc w:val="right"/>
              <w:ind w:right="5"/>
              <w:spacing w:after="0"/>
              <w:rPr>
                <w:sz w:val="20"/>
                <w:szCs w:val="20"/>
                <w:color w:val="auto"/>
              </w:rPr>
            </w:pPr>
            <w:r>
              <w:rPr>
                <w:rFonts w:ascii="Arial" w:cs="Arial" w:eastAsia="Arial" w:hAnsi="Arial"/>
                <w:sz w:val="16"/>
                <w:szCs w:val="16"/>
                <w:color w:val="auto"/>
              </w:rPr>
              <w:t>214,221</w:t>
            </w:r>
          </w:p>
        </w:tc>
        <w:tc>
          <w:tcPr>
            <w:tcW w:w="1680" w:type="dxa"/>
            <w:vAlign w:val="bottom"/>
          </w:tcPr>
          <w:p>
            <w:pPr>
              <w:jc w:val="center"/>
              <w:spacing w:after="0"/>
              <w:rPr>
                <w:sz w:val="20"/>
                <w:szCs w:val="20"/>
                <w:color w:val="auto"/>
              </w:rPr>
            </w:pPr>
            <w:r>
              <w:rPr>
                <w:rFonts w:ascii="Arial" w:cs="Arial" w:eastAsia="Arial" w:hAnsi="Arial"/>
                <w:sz w:val="16"/>
                <w:szCs w:val="16"/>
                <w:color w:val="auto"/>
                <w:w w:val="85"/>
              </w:rPr>
              <w:t>January 25, 2027</w:t>
            </w:r>
          </w:p>
        </w:tc>
        <w:tc>
          <w:tcPr>
            <w:tcW w:w="0" w:type="dxa"/>
            <w:vAlign w:val="bottom"/>
          </w:tcPr>
          <w:p>
            <w:pPr>
              <w:spacing w:after="0"/>
              <w:rPr>
                <w:sz w:val="1"/>
                <w:szCs w:val="1"/>
                <w:color w:val="auto"/>
              </w:rPr>
            </w:pPr>
          </w:p>
        </w:tc>
      </w:tr>
      <w:tr>
        <w:trPr>
          <w:trHeight w:val="211"/>
        </w:trPr>
        <w:tc>
          <w:tcPr>
            <w:tcW w:w="17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6"/>
              </w:rPr>
              <w:t>Radnor Re 2021-1</w:t>
            </w:r>
          </w:p>
        </w:tc>
        <w:tc>
          <w:tcPr>
            <w:tcW w:w="19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0"/>
              </w:rPr>
              <w:t>Aug. 2020 - Mar. 2021</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35,742,003</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9,110,919</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5"/>
              <w:spacing w:after="0"/>
              <w:rPr>
                <w:sz w:val="20"/>
                <w:szCs w:val="20"/>
                <w:color w:val="auto"/>
              </w:rPr>
            </w:pPr>
            <w:r>
              <w:rPr>
                <w:rFonts w:ascii="Arial" w:cs="Arial" w:eastAsia="Arial" w:hAnsi="Arial"/>
                <w:sz w:val="16"/>
                <w:szCs w:val="16"/>
                <w:color w:val="auto"/>
              </w:rPr>
              <w:t>374,172</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5"/>
              <w:spacing w:after="0"/>
              <w:rPr>
                <w:sz w:val="20"/>
                <w:szCs w:val="20"/>
                <w:color w:val="auto"/>
              </w:rPr>
            </w:pPr>
            <w:r>
              <w:rPr>
                <w:rFonts w:ascii="Arial" w:cs="Arial" w:eastAsia="Arial" w:hAnsi="Arial"/>
                <w:sz w:val="16"/>
                <w:szCs w:val="16"/>
                <w:color w:val="auto"/>
              </w:rPr>
              <w:t>278,827</w:t>
            </w:r>
          </w:p>
        </w:tc>
        <w:tc>
          <w:tcPr>
            <w:tcW w:w="16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4"/>
              </w:rPr>
              <w:t>June 26, 2028</w:t>
            </w:r>
          </w:p>
        </w:tc>
        <w:tc>
          <w:tcPr>
            <w:tcW w:w="0" w:type="dxa"/>
            <w:vAlign w:val="bottom"/>
          </w:tcPr>
          <w:p>
            <w:pPr>
              <w:spacing w:after="0"/>
              <w:rPr>
                <w:sz w:val="1"/>
                <w:szCs w:val="1"/>
                <w:color w:val="auto"/>
              </w:rPr>
            </w:pPr>
          </w:p>
        </w:tc>
      </w:tr>
      <w:tr>
        <w:trPr>
          <w:trHeight w:val="205"/>
        </w:trPr>
        <w:tc>
          <w:tcPr>
            <w:tcW w:w="1740" w:type="dxa"/>
            <w:vAlign w:val="bottom"/>
          </w:tcPr>
          <w:p>
            <w:pPr>
              <w:jc w:val="center"/>
              <w:spacing w:after="0"/>
              <w:rPr>
                <w:sz w:val="20"/>
                <w:szCs w:val="20"/>
                <w:color w:val="auto"/>
              </w:rPr>
            </w:pPr>
            <w:r>
              <w:rPr>
                <w:rFonts w:ascii="Arial" w:cs="Arial" w:eastAsia="Arial" w:hAnsi="Arial"/>
                <w:sz w:val="16"/>
                <w:szCs w:val="16"/>
                <w:color w:val="auto"/>
                <w:w w:val="86"/>
              </w:rPr>
              <w:t>Radnor Re 2021-2</w:t>
            </w:r>
          </w:p>
        </w:tc>
        <w:tc>
          <w:tcPr>
            <w:tcW w:w="1920" w:type="dxa"/>
            <w:vAlign w:val="bottom"/>
          </w:tcPr>
          <w:p>
            <w:pPr>
              <w:jc w:val="center"/>
              <w:spacing w:after="0"/>
              <w:rPr>
                <w:sz w:val="20"/>
                <w:szCs w:val="20"/>
                <w:color w:val="auto"/>
              </w:rPr>
            </w:pPr>
            <w:r>
              <w:rPr>
                <w:rFonts w:ascii="Arial" w:cs="Arial" w:eastAsia="Arial" w:hAnsi="Arial"/>
                <w:sz w:val="16"/>
                <w:szCs w:val="16"/>
                <w:color w:val="auto"/>
                <w:w w:val="86"/>
              </w:rPr>
              <w:t>Apr. 2021 - Sep. 2021</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39,179,542</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10,503,842</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jc w:val="right"/>
              <w:ind w:right="5"/>
              <w:spacing w:after="0"/>
              <w:rPr>
                <w:sz w:val="20"/>
                <w:szCs w:val="20"/>
                <w:color w:val="auto"/>
              </w:rPr>
            </w:pPr>
            <w:r>
              <w:rPr>
                <w:rFonts w:ascii="Arial" w:cs="Arial" w:eastAsia="Arial" w:hAnsi="Arial"/>
                <w:sz w:val="16"/>
                <w:szCs w:val="16"/>
                <w:color w:val="auto"/>
              </w:rPr>
              <w:t>384,452</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jc w:val="right"/>
              <w:ind w:right="5"/>
              <w:spacing w:after="0"/>
              <w:rPr>
                <w:sz w:val="20"/>
                <w:szCs w:val="20"/>
                <w:color w:val="auto"/>
              </w:rPr>
            </w:pPr>
            <w:r>
              <w:rPr>
                <w:rFonts w:ascii="Arial" w:cs="Arial" w:eastAsia="Arial" w:hAnsi="Arial"/>
                <w:sz w:val="16"/>
                <w:szCs w:val="16"/>
                <w:color w:val="auto"/>
              </w:rPr>
              <w:t>279,297</w:t>
            </w:r>
          </w:p>
        </w:tc>
        <w:tc>
          <w:tcPr>
            <w:tcW w:w="1680" w:type="dxa"/>
            <w:vAlign w:val="bottom"/>
          </w:tcPr>
          <w:p>
            <w:pPr>
              <w:jc w:val="center"/>
              <w:spacing w:after="0"/>
              <w:rPr>
                <w:sz w:val="20"/>
                <w:szCs w:val="20"/>
                <w:color w:val="auto"/>
              </w:rPr>
            </w:pPr>
            <w:r>
              <w:rPr>
                <w:rFonts w:ascii="Arial" w:cs="Arial" w:eastAsia="Arial" w:hAnsi="Arial"/>
                <w:sz w:val="16"/>
                <w:szCs w:val="16"/>
                <w:color w:val="auto"/>
                <w:w w:val="88"/>
              </w:rPr>
              <w:t>November 25, 2027</w:t>
            </w:r>
          </w:p>
        </w:tc>
        <w:tc>
          <w:tcPr>
            <w:tcW w:w="0" w:type="dxa"/>
            <w:vAlign w:val="bottom"/>
          </w:tcPr>
          <w:p>
            <w:pPr>
              <w:spacing w:after="0"/>
              <w:rPr>
                <w:sz w:val="1"/>
                <w:szCs w:val="1"/>
                <w:color w:val="auto"/>
              </w:rPr>
            </w:pPr>
          </w:p>
        </w:tc>
      </w:tr>
      <w:tr>
        <w:trPr>
          <w:trHeight w:val="208"/>
        </w:trPr>
        <w:tc>
          <w:tcPr>
            <w:tcW w:w="17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6"/>
              </w:rPr>
              <w:t>Radnor Re 2022-1</w:t>
            </w:r>
          </w:p>
        </w:tc>
        <w:tc>
          <w:tcPr>
            <w:tcW w:w="19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8"/>
              </w:rPr>
              <w:t>Oct. 2021 - Jul. 2022</w:t>
            </w:r>
          </w:p>
        </w:tc>
        <w:tc>
          <w:tcPr>
            <w:tcW w:w="1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32,744,576</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8,818,357</w:t>
            </w: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6"/>
                <w:szCs w:val="16"/>
                <w:color w:val="auto"/>
              </w:rPr>
              <w:t>237,868</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6"/>
                <w:szCs w:val="16"/>
                <w:color w:val="auto"/>
              </w:rPr>
              <w:t>303,761</w:t>
            </w:r>
          </w:p>
        </w:tc>
        <w:tc>
          <w:tcPr>
            <w:tcW w:w="16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6"/>
              </w:rPr>
              <w:t>September 25, 2028</w:t>
            </w:r>
          </w:p>
        </w:tc>
        <w:tc>
          <w:tcPr>
            <w:tcW w:w="0" w:type="dxa"/>
            <w:vAlign w:val="bottom"/>
          </w:tcPr>
          <w:p>
            <w:pPr>
              <w:spacing w:after="0"/>
              <w:rPr>
                <w:sz w:val="1"/>
                <w:szCs w:val="1"/>
                <w:color w:val="auto"/>
              </w:rPr>
            </w:pPr>
          </w:p>
        </w:tc>
      </w:tr>
      <w:tr>
        <w:trPr>
          <w:trHeight w:val="204"/>
        </w:trPr>
        <w:tc>
          <w:tcPr>
            <w:tcW w:w="1740" w:type="dxa"/>
            <w:vAlign w:val="bottom"/>
          </w:tcPr>
          <w:p>
            <w:pPr>
              <w:jc w:val="center"/>
              <w:spacing w:after="0"/>
              <w:rPr>
                <w:sz w:val="20"/>
                <w:szCs w:val="20"/>
                <w:color w:val="auto"/>
              </w:rPr>
            </w:pPr>
            <w:r>
              <w:rPr>
                <w:rFonts w:ascii="Arial" w:cs="Arial" w:eastAsia="Arial" w:hAnsi="Arial"/>
                <w:sz w:val="16"/>
                <w:szCs w:val="16"/>
                <w:color w:val="auto"/>
                <w:w w:val="89"/>
              </w:rPr>
              <w:t>Total</w:t>
            </w:r>
          </w:p>
        </w:tc>
        <w:tc>
          <w:tcPr>
            <w:tcW w:w="1920" w:type="dxa"/>
            <w:vAlign w:val="bottom"/>
          </w:tcPr>
          <w:p>
            <w:pPr>
              <w:spacing w:after="0"/>
              <w:rPr>
                <w:sz w:val="17"/>
                <w:szCs w:val="17"/>
                <w:color w:val="auto"/>
              </w:rPr>
            </w:pPr>
          </w:p>
        </w:tc>
        <w:tc>
          <w:tcPr>
            <w:tcW w:w="3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121,193,654</w:t>
            </w:r>
          </w:p>
        </w:tc>
        <w:tc>
          <w:tcPr>
            <w:tcW w:w="3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31,941,435</w:t>
            </w:r>
          </w:p>
        </w:tc>
        <w:tc>
          <w:tcPr>
            <w:tcW w:w="24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5"/>
              <w:spacing w:after="0"/>
              <w:rPr>
                <w:sz w:val="20"/>
                <w:szCs w:val="20"/>
                <w:color w:val="auto"/>
              </w:rPr>
            </w:pPr>
            <w:r>
              <w:rPr>
                <w:rFonts w:ascii="Arial" w:cs="Arial" w:eastAsia="Arial" w:hAnsi="Arial"/>
                <w:sz w:val="16"/>
                <w:szCs w:val="16"/>
                <w:color w:val="auto"/>
              </w:rPr>
              <w:t>1,070,650</w:t>
            </w:r>
          </w:p>
        </w:tc>
        <w:tc>
          <w:tcPr>
            <w:tcW w:w="28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5"/>
              <w:spacing w:after="0"/>
              <w:rPr>
                <w:sz w:val="20"/>
                <w:szCs w:val="20"/>
                <w:color w:val="auto"/>
              </w:rPr>
            </w:pPr>
            <w:r>
              <w:rPr>
                <w:rFonts w:ascii="Arial" w:cs="Arial" w:eastAsia="Arial" w:hAnsi="Arial"/>
                <w:sz w:val="16"/>
                <w:szCs w:val="16"/>
                <w:color w:val="auto"/>
              </w:rPr>
              <w:t>1,323,886</w:t>
            </w:r>
          </w:p>
        </w:tc>
        <w:tc>
          <w:tcPr>
            <w:tcW w:w="1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74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left="620"/>
        <w:spacing w:after="0"/>
        <w:rPr>
          <w:sz w:val="20"/>
          <w:szCs w:val="20"/>
          <w:color w:val="auto"/>
        </w:rPr>
      </w:pPr>
      <w:r>
        <w:rPr>
          <w:rFonts w:ascii="Arial" w:cs="Arial" w:eastAsia="Arial" w:hAnsi="Arial"/>
          <w:sz w:val="15"/>
          <w:szCs w:val="15"/>
          <w:color w:val="auto"/>
        </w:rPr>
        <w:t>The following table summarizes Essent Guaranty's excess of loss reinsurance coverages and retentions provided by panels of reinsurers as of June 30,</w:t>
      </w:r>
    </w:p>
    <w:p>
      <w:pPr>
        <w:spacing w:after="0" w:line="48" w:lineRule="exact"/>
        <w:rPr>
          <w:sz w:val="20"/>
          <w:szCs w:val="20"/>
          <w:color w:val="auto"/>
        </w:rPr>
      </w:pPr>
    </w:p>
    <w:p>
      <w:pPr>
        <w:spacing w:after="0"/>
        <w:rPr>
          <w:sz w:val="20"/>
          <w:szCs w:val="20"/>
          <w:color w:val="auto"/>
        </w:rPr>
      </w:pPr>
      <w:r>
        <w:rPr>
          <w:rFonts w:ascii="Arial" w:cs="Arial" w:eastAsia="Arial" w:hAnsi="Arial"/>
          <w:sz w:val="17"/>
          <w:szCs w:val="17"/>
          <w:color w:val="auto"/>
        </w:rPr>
        <w:t>2023:</w:t>
      </w:r>
    </w:p>
    <w:p>
      <w:pPr>
        <w:spacing w:after="0" w:line="262" w:lineRule="exact"/>
        <w:rPr>
          <w:sz w:val="20"/>
          <w:szCs w:val="20"/>
          <w:color w:val="auto"/>
        </w:rPr>
      </w:pPr>
    </w:p>
    <w:tbl>
      <w:tblPr>
        <w:tblLayout w:type="fixed"/>
        <w:tblInd w:w="620" w:type="dxa"/>
        <w:tblCellMar>
          <w:top w:w="0" w:type="dxa"/>
          <w:left w:w="0" w:type="dxa"/>
          <w:bottom w:w="0" w:type="dxa"/>
          <w:right w:w="0" w:type="dxa"/>
        </w:tblCellMar>
      </w:tblPr>
      <w:tr>
        <w:trPr>
          <w:trHeight w:val="179"/>
        </w:trPr>
        <w:tc>
          <w:tcPr>
            <w:tcW w:w="1240" w:type="dxa"/>
            <w:vAlign w:val="bottom"/>
          </w:tcPr>
          <w:p>
            <w:pPr>
              <w:ind w:left="20"/>
              <w:spacing w:after="0"/>
              <w:rPr>
                <w:sz w:val="20"/>
                <w:szCs w:val="20"/>
                <w:color w:val="auto"/>
              </w:rPr>
            </w:pPr>
            <w:r>
              <w:rPr>
                <w:rFonts w:ascii="Arial" w:cs="Arial" w:eastAsia="Arial" w:hAnsi="Arial"/>
                <w:sz w:val="14"/>
                <w:szCs w:val="14"/>
                <w:b w:val="1"/>
                <w:bCs w:val="1"/>
                <w:color w:val="auto"/>
              </w:rPr>
              <w:t>(In thousands)</w:t>
            </w:r>
          </w:p>
        </w:tc>
        <w:tc>
          <w:tcPr>
            <w:tcW w:w="1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8"/>
        </w:trPr>
        <w:tc>
          <w:tcPr>
            <w:tcW w:w="124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0" w:type="dxa"/>
            <w:vAlign w:val="bottom"/>
          </w:tcPr>
          <w:p>
            <w:pPr>
              <w:jc w:val="center"/>
              <w:ind w:right="185"/>
              <w:spacing w:after="0" w:line="158" w:lineRule="exact"/>
              <w:rPr>
                <w:sz w:val="20"/>
                <w:szCs w:val="20"/>
                <w:color w:val="auto"/>
              </w:rPr>
            </w:pPr>
            <w:r>
              <w:rPr>
                <w:rFonts w:ascii="Arial" w:cs="Arial" w:eastAsia="Arial" w:hAnsi="Arial"/>
                <w:sz w:val="14"/>
                <w:szCs w:val="14"/>
                <w:b w:val="1"/>
                <w:bCs w:val="1"/>
                <w:color w:val="auto"/>
                <w:w w:val="92"/>
              </w:rPr>
              <w:t>Remaining</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0" w:type="dxa"/>
            <w:vAlign w:val="bottom"/>
          </w:tcPr>
          <w:p>
            <w:pPr>
              <w:jc w:val="center"/>
              <w:ind w:right="165"/>
              <w:spacing w:after="0" w:line="158" w:lineRule="exact"/>
              <w:rPr>
                <w:sz w:val="20"/>
                <w:szCs w:val="20"/>
                <w:color w:val="auto"/>
              </w:rPr>
            </w:pPr>
            <w:r>
              <w:rPr>
                <w:rFonts w:ascii="Arial" w:cs="Arial" w:eastAsia="Arial" w:hAnsi="Arial"/>
                <w:sz w:val="14"/>
                <w:szCs w:val="14"/>
                <w:b w:val="1"/>
                <w:bCs w:val="1"/>
                <w:color w:val="auto"/>
                <w:w w:val="89"/>
              </w:rPr>
              <w:t>Remaining</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tcPr>
          <w:p>
            <w:pPr>
              <w:jc w:val="center"/>
              <w:ind w:right="25"/>
              <w:spacing w:after="0" w:line="158" w:lineRule="exact"/>
              <w:rPr>
                <w:sz w:val="20"/>
                <w:szCs w:val="20"/>
                <w:color w:val="auto"/>
              </w:rPr>
            </w:pPr>
            <w:r>
              <w:rPr>
                <w:rFonts w:ascii="Arial" w:cs="Arial" w:eastAsia="Arial" w:hAnsi="Arial"/>
                <w:sz w:val="14"/>
                <w:szCs w:val="14"/>
                <w:b w:val="1"/>
                <w:bCs w:val="1"/>
                <w:color w:val="auto"/>
                <w:w w:val="89"/>
              </w:rPr>
              <w:t>Remaining</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20" w:type="dxa"/>
            <w:vAlign w:val="bottom"/>
          </w:tcPr>
          <w:p>
            <w:pPr>
              <w:jc w:val="center"/>
              <w:ind w:right="105"/>
              <w:spacing w:after="0" w:line="158" w:lineRule="exact"/>
              <w:rPr>
                <w:sz w:val="20"/>
                <w:szCs w:val="20"/>
                <w:color w:val="auto"/>
              </w:rPr>
            </w:pPr>
            <w:r>
              <w:rPr>
                <w:rFonts w:ascii="Arial" w:cs="Arial" w:eastAsia="Arial" w:hAnsi="Arial"/>
                <w:sz w:val="14"/>
                <w:szCs w:val="14"/>
                <w:b w:val="1"/>
                <w:bCs w:val="1"/>
                <w:color w:val="auto"/>
                <w:w w:val="89"/>
              </w:rPr>
              <w:t>Remaining</w:t>
            </w:r>
          </w:p>
        </w:tc>
        <w:tc>
          <w:tcPr>
            <w:tcW w:w="30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9"/>
        </w:trPr>
        <w:tc>
          <w:tcPr>
            <w:tcW w:w="12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Deal Name</w:t>
            </w:r>
          </w:p>
        </w:tc>
        <w:tc>
          <w:tcPr>
            <w:tcW w:w="18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Vintage</w:t>
            </w: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0" w:type="dxa"/>
            <w:vAlign w:val="bottom"/>
          </w:tcPr>
          <w:p>
            <w:pPr>
              <w:jc w:val="center"/>
              <w:ind w:right="185"/>
              <w:spacing w:after="0" w:line="139" w:lineRule="exact"/>
              <w:rPr>
                <w:sz w:val="20"/>
                <w:szCs w:val="20"/>
                <w:color w:val="auto"/>
              </w:rPr>
            </w:pPr>
            <w:r>
              <w:rPr>
                <w:rFonts w:ascii="Arial" w:cs="Arial" w:eastAsia="Arial" w:hAnsi="Arial"/>
                <w:sz w:val="14"/>
                <w:szCs w:val="14"/>
                <w:b w:val="1"/>
                <w:bCs w:val="1"/>
                <w:color w:val="auto"/>
                <w:w w:val="87"/>
              </w:rPr>
              <w:t>Insurance</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0" w:type="dxa"/>
            <w:vAlign w:val="bottom"/>
          </w:tcPr>
          <w:p>
            <w:pPr>
              <w:jc w:val="center"/>
              <w:ind w:right="165"/>
              <w:spacing w:after="0" w:line="139" w:lineRule="exact"/>
              <w:rPr>
                <w:sz w:val="20"/>
                <w:szCs w:val="20"/>
                <w:color w:val="auto"/>
              </w:rPr>
            </w:pPr>
            <w:r>
              <w:rPr>
                <w:rFonts w:ascii="Arial" w:cs="Arial" w:eastAsia="Arial" w:hAnsi="Arial"/>
                <w:sz w:val="14"/>
                <w:szCs w:val="14"/>
                <w:b w:val="1"/>
                <w:bCs w:val="1"/>
                <w:color w:val="auto"/>
                <w:w w:val="94"/>
              </w:rPr>
              <w:t>Risk</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jc w:val="center"/>
              <w:ind w:right="25"/>
              <w:spacing w:after="0" w:line="139" w:lineRule="exact"/>
              <w:rPr>
                <w:sz w:val="20"/>
                <w:szCs w:val="20"/>
                <w:color w:val="auto"/>
              </w:rPr>
            </w:pPr>
            <w:r>
              <w:rPr>
                <w:rFonts w:ascii="Arial" w:cs="Arial" w:eastAsia="Arial" w:hAnsi="Arial"/>
                <w:sz w:val="14"/>
                <w:szCs w:val="14"/>
                <w:b w:val="1"/>
                <w:bCs w:val="1"/>
                <w:color w:val="auto"/>
                <w:w w:val="87"/>
              </w:rPr>
              <w:t>Reinsurance in</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20" w:type="dxa"/>
            <w:vAlign w:val="bottom"/>
          </w:tcPr>
          <w:p>
            <w:pPr>
              <w:jc w:val="center"/>
              <w:ind w:right="105"/>
              <w:spacing w:after="0" w:line="139" w:lineRule="exact"/>
              <w:rPr>
                <w:sz w:val="20"/>
                <w:szCs w:val="20"/>
                <w:color w:val="auto"/>
              </w:rPr>
            </w:pPr>
            <w:r>
              <w:rPr>
                <w:rFonts w:ascii="Arial" w:cs="Arial" w:eastAsia="Arial" w:hAnsi="Arial"/>
                <w:sz w:val="14"/>
                <w:szCs w:val="14"/>
                <w:b w:val="1"/>
                <w:bCs w:val="1"/>
                <w:color w:val="auto"/>
                <w:w w:val="94"/>
              </w:rPr>
              <w:t>First Layer</w:t>
            </w:r>
          </w:p>
        </w:tc>
        <w:tc>
          <w:tcPr>
            <w:tcW w:w="300" w:type="dxa"/>
            <w:vAlign w:val="bottom"/>
          </w:tcPr>
          <w:p>
            <w:pPr>
              <w:spacing w:after="0"/>
              <w:rPr>
                <w:sz w:val="12"/>
                <w:szCs w:val="12"/>
                <w:color w:val="auto"/>
              </w:rPr>
            </w:pPr>
          </w:p>
        </w:tc>
        <w:tc>
          <w:tcPr>
            <w:tcW w:w="1660" w:type="dxa"/>
            <w:vAlign w:val="bottom"/>
            <w:vMerge w:val="restart"/>
          </w:tcPr>
          <w:p>
            <w:pPr>
              <w:jc w:val="center"/>
              <w:ind w:left="24"/>
              <w:spacing w:after="0"/>
              <w:rPr>
                <w:sz w:val="20"/>
                <w:szCs w:val="20"/>
                <w:color w:val="auto"/>
              </w:rPr>
            </w:pPr>
            <w:r>
              <w:rPr>
                <w:rFonts w:ascii="Arial" w:cs="Arial" w:eastAsia="Arial" w:hAnsi="Arial"/>
                <w:sz w:val="14"/>
                <w:szCs w:val="14"/>
                <w:b w:val="1"/>
                <w:bCs w:val="1"/>
                <w:color w:val="auto"/>
                <w:w w:val="89"/>
              </w:rPr>
              <w:t>Optional Termination Date</w:t>
            </w:r>
          </w:p>
        </w:tc>
        <w:tc>
          <w:tcPr>
            <w:tcW w:w="0" w:type="dxa"/>
            <w:vAlign w:val="bottom"/>
          </w:tcPr>
          <w:p>
            <w:pPr>
              <w:spacing w:after="0"/>
              <w:rPr>
                <w:sz w:val="1"/>
                <w:szCs w:val="1"/>
                <w:color w:val="auto"/>
              </w:rPr>
            </w:pPr>
          </w:p>
        </w:tc>
      </w:tr>
      <w:tr>
        <w:trPr>
          <w:trHeight w:val="188"/>
        </w:trPr>
        <w:tc>
          <w:tcPr>
            <w:tcW w:w="1240" w:type="dxa"/>
            <w:vAlign w:val="bottom"/>
            <w:tcBorders>
              <w:bottom w:val="single" w:sz="8" w:color="auto"/>
            </w:tcBorders>
            <w:vMerge w:val="continue"/>
          </w:tcPr>
          <w:p>
            <w:pPr>
              <w:spacing w:after="0"/>
              <w:rPr>
                <w:sz w:val="16"/>
                <w:szCs w:val="16"/>
                <w:color w:val="auto"/>
              </w:rPr>
            </w:pPr>
          </w:p>
        </w:tc>
        <w:tc>
          <w:tcPr>
            <w:tcW w:w="18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185"/>
              <w:spacing w:after="0"/>
              <w:rPr>
                <w:sz w:val="20"/>
                <w:szCs w:val="20"/>
                <w:color w:val="auto"/>
              </w:rPr>
            </w:pPr>
            <w:r>
              <w:rPr>
                <w:rFonts w:ascii="Arial" w:cs="Arial" w:eastAsia="Arial" w:hAnsi="Arial"/>
                <w:sz w:val="14"/>
                <w:szCs w:val="14"/>
                <w:b w:val="1"/>
                <w:bCs w:val="1"/>
                <w:color w:val="auto"/>
                <w:w w:val="91"/>
              </w:rPr>
              <w:t>in Force</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165"/>
              <w:spacing w:after="0"/>
              <w:rPr>
                <w:sz w:val="20"/>
                <w:szCs w:val="20"/>
                <w:color w:val="auto"/>
              </w:rPr>
            </w:pPr>
            <w:r>
              <w:rPr>
                <w:rFonts w:ascii="Arial" w:cs="Arial" w:eastAsia="Arial" w:hAnsi="Arial"/>
                <w:sz w:val="14"/>
                <w:szCs w:val="14"/>
                <w:b w:val="1"/>
                <w:bCs w:val="1"/>
                <w:color w:val="auto"/>
                <w:w w:val="88"/>
              </w:rPr>
              <w:t>in Force</w:t>
            </w:r>
          </w:p>
        </w:tc>
        <w:tc>
          <w:tcPr>
            <w:tcW w:w="1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45"/>
              <w:spacing w:after="0"/>
              <w:rPr>
                <w:sz w:val="20"/>
                <w:szCs w:val="20"/>
                <w:color w:val="auto"/>
              </w:rPr>
            </w:pPr>
            <w:r>
              <w:rPr>
                <w:rFonts w:ascii="Arial" w:cs="Arial" w:eastAsia="Arial" w:hAnsi="Arial"/>
                <w:sz w:val="14"/>
                <w:szCs w:val="14"/>
                <w:b w:val="1"/>
                <w:bCs w:val="1"/>
                <w:color w:val="auto"/>
                <w:w w:val="89"/>
              </w:rPr>
              <w:t>Force</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85"/>
              <w:spacing w:after="0"/>
              <w:rPr>
                <w:sz w:val="20"/>
                <w:szCs w:val="20"/>
                <w:color w:val="auto"/>
              </w:rPr>
            </w:pPr>
            <w:r>
              <w:rPr>
                <w:rFonts w:ascii="Arial" w:cs="Arial" w:eastAsia="Arial" w:hAnsi="Arial"/>
                <w:sz w:val="14"/>
                <w:szCs w:val="14"/>
                <w:b w:val="1"/>
                <w:bCs w:val="1"/>
                <w:color w:val="auto"/>
                <w:w w:val="89"/>
              </w:rPr>
              <w:t>Retention</w:t>
            </w:r>
          </w:p>
        </w:tc>
        <w:tc>
          <w:tcPr>
            <w:tcW w:w="30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12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XOL 2018-1</w:t>
            </w:r>
          </w:p>
        </w:tc>
        <w:tc>
          <w:tcPr>
            <w:tcW w:w="18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7"/>
              </w:rPr>
              <w:t>Jan. 2017 - Dec. 2017</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ind w:right="5"/>
              <w:spacing w:after="0"/>
              <w:rPr>
                <w:sz w:val="20"/>
                <w:szCs w:val="20"/>
                <w:color w:val="auto"/>
              </w:rPr>
            </w:pPr>
            <w:r>
              <w:rPr>
                <w:rFonts w:ascii="Arial" w:cs="Arial" w:eastAsia="Arial" w:hAnsi="Arial"/>
                <w:sz w:val="16"/>
                <w:szCs w:val="16"/>
                <w:color w:val="auto"/>
              </w:rPr>
              <w:t>5,200,346</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1,369,342</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65,983</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421,003</w:t>
            </w:r>
          </w:p>
        </w:tc>
        <w:tc>
          <w:tcPr>
            <w:tcW w:w="300" w:type="dxa"/>
            <w:vAlign w:val="bottom"/>
            <w:shd w:val="clear" w:color="auto" w:fill="CCEEFF"/>
          </w:tcPr>
          <w:p>
            <w:pPr>
              <w:spacing w:after="0"/>
              <w:rPr>
                <w:sz w:val="18"/>
                <w:szCs w:val="18"/>
                <w:color w:val="auto"/>
              </w:rPr>
            </w:pPr>
          </w:p>
        </w:tc>
        <w:tc>
          <w:tcPr>
            <w:tcW w:w="1660" w:type="dxa"/>
            <w:vAlign w:val="bottom"/>
            <w:shd w:val="clear" w:color="auto" w:fill="CCEEFF"/>
          </w:tcPr>
          <w:p>
            <w:pPr>
              <w:jc w:val="center"/>
              <w:ind w:left="44"/>
              <w:spacing w:after="0"/>
              <w:rPr>
                <w:sz w:val="20"/>
                <w:szCs w:val="20"/>
                <w:color w:val="auto"/>
              </w:rPr>
            </w:pPr>
            <w:r>
              <w:rPr>
                <w:rFonts w:ascii="Arial" w:cs="Arial" w:eastAsia="Arial" w:hAnsi="Arial"/>
                <w:sz w:val="16"/>
                <w:szCs w:val="16"/>
                <w:color w:val="auto"/>
                <w:w w:val="88"/>
              </w:rPr>
              <w:t>October 1, 2023</w:t>
            </w:r>
          </w:p>
        </w:tc>
        <w:tc>
          <w:tcPr>
            <w:tcW w:w="0" w:type="dxa"/>
            <w:vAlign w:val="bottom"/>
          </w:tcPr>
          <w:p>
            <w:pPr>
              <w:spacing w:after="0"/>
              <w:rPr>
                <w:sz w:val="1"/>
                <w:szCs w:val="1"/>
                <w:color w:val="auto"/>
              </w:rPr>
            </w:pPr>
          </w:p>
        </w:tc>
      </w:tr>
      <w:tr>
        <w:trPr>
          <w:trHeight w:val="205"/>
        </w:trPr>
        <w:tc>
          <w:tcPr>
            <w:tcW w:w="1240" w:type="dxa"/>
            <w:vAlign w:val="bottom"/>
          </w:tcPr>
          <w:p>
            <w:pPr>
              <w:jc w:val="center"/>
              <w:spacing w:after="0"/>
              <w:rPr>
                <w:sz w:val="20"/>
                <w:szCs w:val="20"/>
                <w:color w:val="auto"/>
              </w:rPr>
            </w:pPr>
            <w:r>
              <w:rPr>
                <w:rFonts w:ascii="Arial" w:cs="Arial" w:eastAsia="Arial" w:hAnsi="Arial"/>
                <w:sz w:val="16"/>
                <w:szCs w:val="16"/>
                <w:color w:val="auto"/>
                <w:w w:val="92"/>
              </w:rPr>
              <w:t>XOL 2019-1</w:t>
            </w:r>
          </w:p>
        </w:tc>
        <w:tc>
          <w:tcPr>
            <w:tcW w:w="1820" w:type="dxa"/>
            <w:vAlign w:val="bottom"/>
          </w:tcPr>
          <w:p>
            <w:pPr>
              <w:jc w:val="center"/>
              <w:spacing w:after="0"/>
              <w:rPr>
                <w:sz w:val="20"/>
                <w:szCs w:val="20"/>
                <w:color w:val="auto"/>
              </w:rPr>
            </w:pPr>
            <w:r>
              <w:rPr>
                <w:rFonts w:ascii="Arial" w:cs="Arial" w:eastAsia="Arial" w:hAnsi="Arial"/>
                <w:sz w:val="16"/>
                <w:szCs w:val="16"/>
                <w:color w:val="auto"/>
                <w:w w:val="87"/>
              </w:rPr>
              <w:t>Jan. 2018 - Dec. 2018</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0" w:type="dxa"/>
            <w:vAlign w:val="bottom"/>
          </w:tcPr>
          <w:p>
            <w:pPr>
              <w:jc w:val="right"/>
              <w:ind w:right="5"/>
              <w:spacing w:after="0"/>
              <w:rPr>
                <w:sz w:val="20"/>
                <w:szCs w:val="20"/>
                <w:color w:val="auto"/>
              </w:rPr>
            </w:pPr>
            <w:r>
              <w:rPr>
                <w:rFonts w:ascii="Arial" w:cs="Arial" w:eastAsia="Arial" w:hAnsi="Arial"/>
                <w:sz w:val="16"/>
                <w:szCs w:val="16"/>
                <w:color w:val="auto"/>
              </w:rPr>
              <w:t>6,031,462</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1,568,566</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76,144</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247,780</w:t>
            </w:r>
          </w:p>
        </w:tc>
        <w:tc>
          <w:tcPr>
            <w:tcW w:w="300" w:type="dxa"/>
            <w:vAlign w:val="bottom"/>
          </w:tcPr>
          <w:p>
            <w:pPr>
              <w:jc w:val="right"/>
              <w:ind w:right="2"/>
              <w:spacing w:after="0"/>
              <w:rPr>
                <w:sz w:val="20"/>
                <w:szCs w:val="20"/>
                <w:color w:val="auto"/>
              </w:rPr>
            </w:pPr>
            <w:r>
              <w:rPr>
                <w:rFonts w:ascii="Arial" w:cs="Arial" w:eastAsia="Arial" w:hAnsi="Arial"/>
                <w:sz w:val="16"/>
                <w:szCs w:val="16"/>
                <w:b w:val="1"/>
                <w:bCs w:val="1"/>
                <w:color w:val="auto"/>
              </w:rPr>
              <w:t>(1)</w:t>
            </w:r>
          </w:p>
        </w:tc>
        <w:tc>
          <w:tcPr>
            <w:tcW w:w="1660" w:type="dxa"/>
            <w:vAlign w:val="bottom"/>
          </w:tcPr>
          <w:p>
            <w:pPr>
              <w:jc w:val="center"/>
              <w:ind w:left="44"/>
              <w:spacing w:after="0"/>
              <w:rPr>
                <w:sz w:val="20"/>
                <w:szCs w:val="20"/>
                <w:color w:val="auto"/>
              </w:rPr>
            </w:pPr>
            <w:r>
              <w:rPr>
                <w:rFonts w:ascii="Arial" w:cs="Arial" w:eastAsia="Arial" w:hAnsi="Arial"/>
                <w:sz w:val="16"/>
                <w:szCs w:val="16"/>
                <w:color w:val="auto"/>
                <w:w w:val="87"/>
              </w:rPr>
              <w:t>February 25, 2026</w:t>
            </w:r>
          </w:p>
        </w:tc>
        <w:tc>
          <w:tcPr>
            <w:tcW w:w="0" w:type="dxa"/>
            <w:vAlign w:val="bottom"/>
          </w:tcPr>
          <w:p>
            <w:pPr>
              <w:spacing w:after="0"/>
              <w:rPr>
                <w:sz w:val="1"/>
                <w:szCs w:val="1"/>
                <w:color w:val="auto"/>
              </w:rPr>
            </w:pPr>
          </w:p>
        </w:tc>
      </w:tr>
      <w:tr>
        <w:trPr>
          <w:trHeight w:val="210"/>
        </w:trPr>
        <w:tc>
          <w:tcPr>
            <w:tcW w:w="12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XOL 2020-1</w:t>
            </w:r>
          </w:p>
        </w:tc>
        <w:tc>
          <w:tcPr>
            <w:tcW w:w="18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7"/>
              </w:rPr>
              <w:t>Jan. 2019 - Dec. 2019</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5"/>
              <w:spacing w:after="0"/>
              <w:rPr>
                <w:sz w:val="20"/>
                <w:szCs w:val="20"/>
                <w:color w:val="auto"/>
              </w:rPr>
            </w:pPr>
            <w:r>
              <w:rPr>
                <w:rFonts w:ascii="Arial" w:cs="Arial" w:eastAsia="Arial" w:hAnsi="Arial"/>
                <w:sz w:val="16"/>
                <w:szCs w:val="16"/>
                <w:color w:val="auto"/>
              </w:rPr>
              <w:t>7,496,071</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1,939,751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41,162</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214,221</w:t>
            </w:r>
          </w:p>
        </w:tc>
        <w:tc>
          <w:tcPr>
            <w:tcW w:w="300" w:type="dxa"/>
            <w:vAlign w:val="bottom"/>
            <w:shd w:val="clear" w:color="auto" w:fill="CCEEFF"/>
          </w:tcPr>
          <w:p>
            <w:pPr>
              <w:jc w:val="right"/>
              <w:ind w:right="2"/>
              <w:spacing w:after="0"/>
              <w:rPr>
                <w:sz w:val="20"/>
                <w:szCs w:val="20"/>
                <w:color w:val="auto"/>
              </w:rPr>
            </w:pPr>
            <w:r>
              <w:rPr>
                <w:rFonts w:ascii="Arial" w:cs="Arial" w:eastAsia="Arial" w:hAnsi="Arial"/>
                <w:sz w:val="16"/>
                <w:szCs w:val="16"/>
                <w:b w:val="1"/>
                <w:bCs w:val="1"/>
                <w:color w:val="auto"/>
              </w:rPr>
              <w:t>(1)</w:t>
            </w:r>
          </w:p>
        </w:tc>
        <w:tc>
          <w:tcPr>
            <w:tcW w:w="1660" w:type="dxa"/>
            <w:vAlign w:val="bottom"/>
            <w:shd w:val="clear" w:color="auto" w:fill="CCEEFF"/>
          </w:tcPr>
          <w:p>
            <w:pPr>
              <w:jc w:val="center"/>
              <w:ind w:left="44"/>
              <w:spacing w:after="0"/>
              <w:rPr>
                <w:sz w:val="20"/>
                <w:szCs w:val="20"/>
                <w:color w:val="auto"/>
              </w:rPr>
            </w:pPr>
            <w:r>
              <w:rPr>
                <w:rFonts w:ascii="Arial" w:cs="Arial" w:eastAsia="Arial" w:hAnsi="Arial"/>
                <w:sz w:val="16"/>
                <w:szCs w:val="16"/>
                <w:color w:val="auto"/>
                <w:w w:val="85"/>
              </w:rPr>
              <w:t>January 25, 2027</w:t>
            </w:r>
          </w:p>
        </w:tc>
        <w:tc>
          <w:tcPr>
            <w:tcW w:w="0" w:type="dxa"/>
            <w:vAlign w:val="bottom"/>
          </w:tcPr>
          <w:p>
            <w:pPr>
              <w:spacing w:after="0"/>
              <w:rPr>
                <w:sz w:val="1"/>
                <w:szCs w:val="1"/>
                <w:color w:val="auto"/>
              </w:rPr>
            </w:pPr>
          </w:p>
        </w:tc>
      </w:tr>
      <w:tr>
        <w:trPr>
          <w:trHeight w:val="205"/>
        </w:trPr>
        <w:tc>
          <w:tcPr>
            <w:tcW w:w="1240" w:type="dxa"/>
            <w:vAlign w:val="bottom"/>
            <w:tcBorders>
              <w:bottom w:val="single" w:sz="8" w:color="CCEEFF"/>
            </w:tcBorders>
          </w:tcPr>
          <w:p>
            <w:pPr>
              <w:jc w:val="center"/>
              <w:spacing w:after="0"/>
              <w:rPr>
                <w:sz w:val="20"/>
                <w:szCs w:val="20"/>
                <w:color w:val="auto"/>
              </w:rPr>
            </w:pPr>
            <w:r>
              <w:rPr>
                <w:rFonts w:ascii="Arial" w:cs="Arial" w:eastAsia="Arial" w:hAnsi="Arial"/>
                <w:sz w:val="16"/>
                <w:szCs w:val="16"/>
                <w:color w:val="auto"/>
                <w:w w:val="92"/>
              </w:rPr>
              <w:t>XOL 2022-1</w:t>
            </w:r>
          </w:p>
        </w:tc>
        <w:tc>
          <w:tcPr>
            <w:tcW w:w="1820" w:type="dxa"/>
            <w:vAlign w:val="bottom"/>
            <w:tcBorders>
              <w:bottom w:val="single" w:sz="8" w:color="CCEEFF"/>
            </w:tcBorders>
          </w:tcPr>
          <w:p>
            <w:pPr>
              <w:jc w:val="center"/>
              <w:spacing w:after="0"/>
              <w:rPr>
                <w:sz w:val="20"/>
                <w:szCs w:val="20"/>
                <w:color w:val="auto"/>
              </w:rPr>
            </w:pPr>
            <w:r>
              <w:rPr>
                <w:rFonts w:ascii="Arial" w:cs="Arial" w:eastAsia="Arial" w:hAnsi="Arial"/>
                <w:sz w:val="16"/>
                <w:szCs w:val="16"/>
                <w:color w:val="auto"/>
                <w:w w:val="88"/>
              </w:rPr>
              <w:t>Oct. 2021 - Dec. 2022</w:t>
            </w:r>
          </w:p>
        </w:tc>
        <w:tc>
          <w:tcPr>
            <w:tcW w:w="12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5"/>
              <w:spacing w:after="0"/>
              <w:rPr>
                <w:sz w:val="20"/>
                <w:szCs w:val="20"/>
                <w:color w:val="auto"/>
              </w:rPr>
            </w:pPr>
            <w:r>
              <w:rPr>
                <w:rFonts w:ascii="Arial" w:cs="Arial" w:eastAsia="Arial" w:hAnsi="Arial"/>
                <w:sz w:val="16"/>
                <w:szCs w:val="16"/>
                <w:color w:val="auto"/>
              </w:rPr>
              <w:t>72,971,240</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19,674,482</w:t>
            </w:r>
          </w:p>
        </w:tc>
        <w:tc>
          <w:tcPr>
            <w:tcW w:w="1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141,992</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507,114</w:t>
            </w:r>
          </w:p>
        </w:tc>
        <w:tc>
          <w:tcPr>
            <w:tcW w:w="300" w:type="dxa"/>
            <w:vAlign w:val="bottom"/>
            <w:tcBorders>
              <w:bottom w:val="single" w:sz="8" w:color="CCEEFF"/>
            </w:tcBorders>
          </w:tcPr>
          <w:p>
            <w:pPr>
              <w:spacing w:after="0"/>
              <w:rPr>
                <w:sz w:val="17"/>
                <w:szCs w:val="17"/>
                <w:color w:val="auto"/>
              </w:rPr>
            </w:pPr>
          </w:p>
        </w:tc>
        <w:tc>
          <w:tcPr>
            <w:tcW w:w="1660" w:type="dxa"/>
            <w:vAlign w:val="bottom"/>
            <w:tcBorders>
              <w:bottom w:val="single" w:sz="8" w:color="CCEEFF"/>
            </w:tcBorders>
          </w:tcPr>
          <w:p>
            <w:pPr>
              <w:jc w:val="center"/>
              <w:ind w:left="44"/>
              <w:spacing w:after="0"/>
              <w:rPr>
                <w:sz w:val="20"/>
                <w:szCs w:val="20"/>
                <w:color w:val="auto"/>
              </w:rPr>
            </w:pPr>
            <w:r>
              <w:rPr>
                <w:rFonts w:ascii="Arial" w:cs="Arial" w:eastAsia="Arial" w:hAnsi="Arial"/>
                <w:sz w:val="16"/>
                <w:szCs w:val="16"/>
                <w:color w:val="auto"/>
                <w:w w:val="85"/>
              </w:rPr>
              <w:t>January 1, 2030</w:t>
            </w:r>
          </w:p>
        </w:tc>
        <w:tc>
          <w:tcPr>
            <w:tcW w:w="0" w:type="dxa"/>
            <w:vAlign w:val="bottom"/>
          </w:tcPr>
          <w:p>
            <w:pPr>
              <w:spacing w:after="0"/>
              <w:rPr>
                <w:sz w:val="1"/>
                <w:szCs w:val="1"/>
                <w:color w:val="auto"/>
              </w:rPr>
            </w:pPr>
          </w:p>
        </w:tc>
      </w:tr>
      <w:tr>
        <w:trPr>
          <w:trHeight w:val="224"/>
        </w:trPr>
        <w:tc>
          <w:tcPr>
            <w:tcW w:w="12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Total</w:t>
            </w:r>
          </w:p>
        </w:tc>
        <w:tc>
          <w:tcPr>
            <w:tcW w:w="1820" w:type="dxa"/>
            <w:vAlign w:val="bottom"/>
            <w:shd w:val="clear" w:color="auto" w:fill="CCEEFF"/>
          </w:tcPr>
          <w:p>
            <w:pPr>
              <w:spacing w:after="0"/>
              <w:rPr>
                <w:sz w:val="19"/>
                <w:szCs w:val="19"/>
                <w:color w:val="auto"/>
              </w:rPr>
            </w:pP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ind w:right="5"/>
              <w:spacing w:after="0"/>
              <w:rPr>
                <w:sz w:val="20"/>
                <w:szCs w:val="20"/>
                <w:color w:val="auto"/>
              </w:rPr>
            </w:pPr>
            <w:r>
              <w:rPr>
                <w:rFonts w:ascii="Arial" w:cs="Arial" w:eastAsia="Arial" w:hAnsi="Arial"/>
                <w:sz w:val="16"/>
                <w:szCs w:val="16"/>
                <w:color w:val="auto"/>
              </w:rPr>
              <w:t>91,699,119</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24,552,141</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325,281</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1,390,118</w:t>
            </w:r>
          </w:p>
        </w:tc>
        <w:tc>
          <w:tcPr>
            <w:tcW w:w="30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240" w:type="dxa"/>
            <w:vAlign w:val="bottom"/>
            <w:tcBorders>
              <w:top w:val="single" w:sz="8" w:color="CCEEFF"/>
            </w:tcBorders>
          </w:tcPr>
          <w:p>
            <w:pPr>
              <w:spacing w:after="0" w:line="20" w:lineRule="exact"/>
              <w:rPr>
                <w:sz w:val="1"/>
                <w:szCs w:val="1"/>
                <w:color w:val="auto"/>
              </w:rPr>
            </w:pPr>
          </w:p>
        </w:tc>
        <w:tc>
          <w:tcPr>
            <w:tcW w:w="18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6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4" w:lineRule="exact"/>
        <w:rPr>
          <w:sz w:val="20"/>
          <w:szCs w:val="20"/>
          <w:color w:val="auto"/>
        </w:rPr>
      </w:pPr>
    </w:p>
    <w:p>
      <w:pPr>
        <w:ind w:left="220" w:hanging="216"/>
        <w:spacing w:after="0"/>
        <w:tabs>
          <w:tab w:leader="none" w:pos="220" w:val="left"/>
        </w:tabs>
        <w:numPr>
          <w:ilvl w:val="0"/>
          <w:numId w:val="7"/>
        </w:numPr>
        <w:rPr>
          <w:rFonts w:ascii="Arial" w:cs="Arial" w:eastAsia="Arial" w:hAnsi="Arial"/>
          <w:sz w:val="16"/>
          <w:szCs w:val="16"/>
          <w:color w:val="auto"/>
        </w:rPr>
      </w:pPr>
      <w:r>
        <w:rPr>
          <w:rFonts w:ascii="Arial" w:cs="Arial" w:eastAsia="Arial" w:hAnsi="Arial"/>
          <w:sz w:val="16"/>
          <w:szCs w:val="16"/>
          <w:color w:val="auto"/>
        </w:rPr>
        <w:t>First layer retentions shown are ILN retention levels as a result of overlapping coverage within the vintage.</w:t>
      </w:r>
    </w:p>
    <w:p>
      <w:pPr>
        <w:spacing w:after="0" w:line="11" w:lineRule="exact"/>
        <w:rPr>
          <w:rFonts w:ascii="Arial" w:cs="Arial" w:eastAsia="Arial" w:hAnsi="Arial"/>
          <w:sz w:val="16"/>
          <w:szCs w:val="16"/>
          <w:color w:val="auto"/>
        </w:rPr>
      </w:pPr>
    </w:p>
    <w:p>
      <w:pPr>
        <w:ind w:left="220" w:hanging="216"/>
        <w:spacing w:after="0"/>
        <w:tabs>
          <w:tab w:leader="none" w:pos="220" w:val="left"/>
        </w:tabs>
        <w:numPr>
          <w:ilvl w:val="0"/>
          <w:numId w:val="7"/>
        </w:numPr>
        <w:rPr>
          <w:rFonts w:ascii="Arial" w:cs="Arial" w:eastAsia="Arial" w:hAnsi="Arial"/>
          <w:sz w:val="16"/>
          <w:szCs w:val="16"/>
          <w:color w:val="auto"/>
        </w:rPr>
      </w:pPr>
      <w:r>
        <w:rPr>
          <w:rFonts w:ascii="Arial" w:cs="Arial" w:eastAsia="Arial" w:hAnsi="Arial"/>
          <w:sz w:val="16"/>
          <w:szCs w:val="16"/>
          <w:color w:val="auto"/>
        </w:rPr>
        <w:t>If the reinsurance agreement is not terminated at the optional termination date, the reinsurance premium increases by 50%.</w:t>
      </w:r>
    </w:p>
    <w:p>
      <w:pPr>
        <w:spacing w:after="0" w:line="215" w:lineRule="exact"/>
        <w:rPr>
          <w:sz w:val="20"/>
          <w:szCs w:val="20"/>
          <w:color w:val="auto"/>
        </w:rPr>
      </w:pPr>
    </w:p>
    <w:p>
      <w:pPr>
        <w:ind w:right="120" w:firstLine="173"/>
        <w:spacing w:after="0" w:line="265" w:lineRule="auto"/>
        <w:rPr>
          <w:sz w:val="20"/>
          <w:szCs w:val="20"/>
          <w:color w:val="auto"/>
        </w:rPr>
      </w:pPr>
      <w:r>
        <w:rPr>
          <w:rFonts w:ascii="Arial" w:cs="Arial" w:eastAsia="Arial" w:hAnsi="Arial"/>
          <w:sz w:val="17"/>
          <w:szCs w:val="17"/>
          <w:color w:val="auto"/>
        </w:rPr>
        <w:t>Based on the level of delinquencies reported to us, the ILN transactions entered into prior to March 31, 2020 became subject to a "trigger event" as of June 25, 2020. The amortization of principal of the notes issued by the unaffiliated special purpose insurers in connection with those ILN transactions is suspended and the aggregate excess of loss reinsurance coverage will not amortize during the continuation of a trigger event. Radnor Re 2020-1 was no longer subject to a trigger event as of</w:t>
      </w:r>
    </w:p>
    <w:p>
      <w:pPr>
        <w:spacing w:after="0" w:line="200" w:lineRule="exact"/>
        <w:rPr>
          <w:sz w:val="20"/>
          <w:szCs w:val="20"/>
          <w:color w:val="auto"/>
        </w:rPr>
      </w:pPr>
    </w:p>
    <w:p>
      <w:pPr>
        <w:spacing w:after="0" w:line="338"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68580</wp:posOffset>
            </wp:positionV>
            <wp:extent cx="7162800" cy="419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340"/>
          </w:cols>
          <w:pgMar w:left="320" w:top="127" w:right="239" w:bottom="1440" w:gutter="0" w:footer="0" w:header="0"/>
        </w:sectPr>
      </w:pPr>
    </w:p>
    <w:bookmarkStart w:id="16" w:name="page17"/>
    <w:bookmarkEnd w:id="16"/>
    <w:p>
      <w:pPr>
        <w:spacing w:after="0"/>
        <w:rPr>
          <w:sz w:val="20"/>
          <w:szCs w:val="20"/>
          <w:color w:val="auto"/>
        </w:rPr>
      </w:pPr>
      <w:r>
        <w:rPr>
          <w:rFonts w:ascii="Arial" w:cs="Arial" w:eastAsia="Arial" w:hAnsi="Arial"/>
          <w:sz w:val="17"/>
          <w:szCs w:val="17"/>
          <w:u w:val="single" w:color="auto"/>
          <w:color w:val="0000FF"/>
        </w:rPr>
        <w:t>Table of Contents</w:t>
      </w:r>
    </w:p>
    <w:p>
      <w:pPr>
        <w:spacing w:after="0" w:line="25"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Essent Group Ltd. and Subsidiaries</w:t>
      </w:r>
    </w:p>
    <w:p>
      <w:pPr>
        <w:spacing w:after="0" w:line="201"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Notes to Condensed Consolidated Financial Statements (Unaudited)</w:t>
      </w:r>
    </w:p>
    <w:p>
      <w:pPr>
        <w:spacing w:after="0" w:line="200" w:lineRule="exact"/>
        <w:rPr>
          <w:sz w:val="20"/>
          <w:szCs w:val="20"/>
          <w:color w:val="auto"/>
        </w:rPr>
      </w:pPr>
    </w:p>
    <w:p>
      <w:pPr>
        <w:spacing w:after="0" w:line="234" w:lineRule="exact"/>
        <w:rPr>
          <w:sz w:val="20"/>
          <w:szCs w:val="20"/>
          <w:color w:val="auto"/>
        </w:rPr>
      </w:pPr>
    </w:p>
    <w:p>
      <w:pPr>
        <w:spacing w:after="0" w:line="285" w:lineRule="auto"/>
        <w:rPr>
          <w:sz w:val="20"/>
          <w:szCs w:val="20"/>
          <w:color w:val="auto"/>
        </w:rPr>
      </w:pPr>
      <w:r>
        <w:rPr>
          <w:rFonts w:ascii="Arial" w:cs="Arial" w:eastAsia="Arial" w:hAnsi="Arial"/>
          <w:sz w:val="17"/>
          <w:szCs w:val="17"/>
          <w:color w:val="auto"/>
        </w:rPr>
        <w:t>July 25, 2022. During the second quarter of 2023, Radnor Re 2019-1 and Radnor Re 2020-1 retired approximately 90% of their outstanding notes though a tender offer made by these special purpose insurers.</w:t>
      </w:r>
    </w:p>
    <w:p>
      <w:pPr>
        <w:spacing w:after="0" w:line="185" w:lineRule="exact"/>
        <w:rPr>
          <w:sz w:val="20"/>
          <w:szCs w:val="20"/>
          <w:color w:val="auto"/>
        </w:rPr>
      </w:pPr>
    </w:p>
    <w:p>
      <w:pPr>
        <w:ind w:right="20" w:firstLine="623"/>
        <w:spacing w:after="0" w:line="286" w:lineRule="auto"/>
        <w:rPr>
          <w:sz w:val="20"/>
          <w:szCs w:val="20"/>
          <w:color w:val="auto"/>
        </w:rPr>
      </w:pPr>
      <w:r>
        <w:rPr>
          <w:rFonts w:ascii="Arial" w:cs="Arial" w:eastAsia="Arial" w:hAnsi="Arial"/>
          <w:sz w:val="16"/>
          <w:szCs w:val="16"/>
          <w:color w:val="auto"/>
        </w:rPr>
        <w:t>The amount of monthly reinsurance premiums ceded to the Radnor Re entities will fluctuate due to changes in one-month LIBOR or SOFR and changes in money market rates that affect investment income collected on the assets in the reinsurance trusts. As the reinsurance premium will vary based on changes in these rates, we concluded that the Radnor Re Transactions contain embedded derivatives that will be accounted for separately like freestanding derivatives. The change in the fair value of the embedded derivatives is reported in earnings and included in other income.</w:t>
      </w:r>
    </w:p>
    <w:p>
      <w:pPr>
        <w:spacing w:after="0" w:line="187" w:lineRule="exact"/>
        <w:rPr>
          <w:sz w:val="20"/>
          <w:szCs w:val="20"/>
          <w:color w:val="auto"/>
        </w:rPr>
      </w:pPr>
    </w:p>
    <w:p>
      <w:pPr>
        <w:ind w:firstLine="623"/>
        <w:spacing w:after="0" w:line="295" w:lineRule="auto"/>
        <w:rPr>
          <w:sz w:val="20"/>
          <w:szCs w:val="20"/>
          <w:color w:val="auto"/>
        </w:rPr>
      </w:pPr>
      <w:r>
        <w:rPr>
          <w:rFonts w:ascii="Arial" w:cs="Arial" w:eastAsia="Arial" w:hAnsi="Arial"/>
          <w:sz w:val="15"/>
          <w:szCs w:val="15"/>
          <w:color w:val="auto"/>
        </w:rPr>
        <w:t>In connection with the Radnor Re Transactions, we concluded that the risk transfer requirements for reinsurance accounting were met as each Radnor Re entity is assuming significant insurance risk and a reasonable possibility of a significant loss. In addition, we assessed whether each Radnor Re entity was a variable interest entity ("VIE") and the appropriate accounting for the Radnor Re entities if they were VIEs. A VIE is a legal entity that does not have sufficient equity at risk to finance its activities without additional subordinated financial support or is structured such that equity investors lack the ability to make significant decisions relating to the entity’s operations through voting rights or do not substantively participate in the gains and losses of the entity. A VIE is consolidated by its primary beneficiary. The primary beneficiary is the entity that has both (1) the power to direct the activities of the VIE that most significantly affect the entity’s economic performance and (2) the obligation to absorb losses or the right to receive benefits that could be potentially significant to the VIE. While also considering these factors, the consolidation conclusion depends on the breadth of the decision-making ability and ability to influence activities that significantly affect the economic performance of the VIE. We concluded that the Radnor Re entities are VIEs. However, given that Essent Guaranty (1) does not have the unilateral power to direct the activities that most significantly affect their economic performance and (2) does not have the obligation to absorb losses or the right to receive benefits that could be potentially significant to these entities, the Radnor Re entities are not consolidated in these financial statements.</w:t>
      </w:r>
    </w:p>
    <w:p>
      <w:pPr>
        <w:spacing w:after="0" w:line="186" w:lineRule="exact"/>
        <w:rPr>
          <w:sz w:val="20"/>
          <w:szCs w:val="20"/>
          <w:color w:val="auto"/>
        </w:rPr>
      </w:pPr>
    </w:p>
    <w:p>
      <w:pPr>
        <w:ind w:right="20" w:firstLine="623"/>
        <w:spacing w:after="0" w:line="263" w:lineRule="auto"/>
        <w:rPr>
          <w:sz w:val="20"/>
          <w:szCs w:val="20"/>
          <w:color w:val="auto"/>
        </w:rPr>
      </w:pPr>
      <w:r>
        <w:rPr>
          <w:rFonts w:ascii="Arial" w:cs="Arial" w:eastAsia="Arial" w:hAnsi="Arial"/>
          <w:sz w:val="17"/>
          <w:szCs w:val="17"/>
          <w:color w:val="auto"/>
        </w:rPr>
        <w:t>The following table presents total assets of each Radnor Re special purpose insurer as well as our maximum exposure to loss associated with each Radnor Re entity, representing the fair value of the embedded derivatives, using observable inputs in active markets (Level 2), included in other assets (other accrued liabilities) on our condensed consolidated balance sheet and the estimated net present value of investment earnings on the assets in the reinsurance trusts, each as of June 30, 2023:</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4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880" w:type="dxa"/>
            <w:vAlign w:val="bottom"/>
            <w:gridSpan w:val="4"/>
          </w:tcPr>
          <w:p>
            <w:pPr>
              <w:ind w:left="100"/>
              <w:spacing w:after="0"/>
              <w:rPr>
                <w:sz w:val="20"/>
                <w:szCs w:val="20"/>
                <w:color w:val="auto"/>
              </w:rPr>
            </w:pPr>
            <w:r>
              <w:rPr>
                <w:rFonts w:ascii="Arial" w:cs="Arial" w:eastAsia="Arial" w:hAnsi="Arial"/>
                <w:sz w:val="14"/>
                <w:szCs w:val="14"/>
                <w:b w:val="1"/>
                <w:bCs w:val="1"/>
                <w:color w:val="auto"/>
                <w:w w:val="94"/>
              </w:rPr>
              <w:t>Maximum Exposure to Loss</w:t>
            </w:r>
          </w:p>
        </w:tc>
        <w:tc>
          <w:tcPr>
            <w:tcW w:w="3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
        </w:trPr>
        <w:tc>
          <w:tcPr>
            <w:tcW w:w="41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20" w:type="dxa"/>
            <w:vAlign w:val="bottom"/>
            <w:vMerge w:val="restart"/>
          </w:tcPr>
          <w:p>
            <w:pPr>
              <w:jc w:val="right"/>
              <w:ind w:right="256"/>
              <w:spacing w:after="0"/>
              <w:rPr>
                <w:sz w:val="20"/>
                <w:szCs w:val="20"/>
                <w:color w:val="auto"/>
              </w:rPr>
            </w:pPr>
            <w:r>
              <w:rPr>
                <w:rFonts w:ascii="Arial" w:cs="Arial" w:eastAsia="Arial" w:hAnsi="Arial"/>
                <w:sz w:val="14"/>
                <w:szCs w:val="14"/>
                <w:b w:val="1"/>
                <w:bCs w:val="1"/>
                <w:color w:val="auto"/>
                <w:w w:val="96"/>
              </w:rPr>
              <w:t>Total VIE Assets</w:t>
            </w:r>
          </w:p>
        </w:tc>
        <w:tc>
          <w:tcPr>
            <w:tcW w:w="120" w:type="dxa"/>
            <w:vAlign w:val="bottom"/>
            <w:vMerge w:val="restart"/>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3"/>
        </w:trPr>
        <w:tc>
          <w:tcPr>
            <w:tcW w:w="414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vMerge w:val="continue"/>
          </w:tcPr>
          <w:p>
            <w:pPr>
              <w:spacing w:after="0"/>
              <w:rPr>
                <w:sz w:val="15"/>
                <w:szCs w:val="15"/>
                <w:color w:val="auto"/>
              </w:rPr>
            </w:pPr>
          </w:p>
        </w:tc>
        <w:tc>
          <w:tcPr>
            <w:tcW w:w="120" w:type="dxa"/>
            <w:vAlign w:val="bottom"/>
            <w:vMerge w:val="continue"/>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tcPr>
          <w:p>
            <w:pPr>
              <w:jc w:val="right"/>
              <w:ind w:right="176"/>
              <w:spacing w:after="0"/>
              <w:rPr>
                <w:sz w:val="20"/>
                <w:szCs w:val="20"/>
                <w:color w:val="auto"/>
              </w:rPr>
            </w:pPr>
            <w:r>
              <w:rPr>
                <w:rFonts w:ascii="Arial" w:cs="Arial" w:eastAsia="Arial" w:hAnsi="Arial"/>
                <w:sz w:val="14"/>
                <w:szCs w:val="14"/>
                <w:b w:val="1"/>
                <w:bCs w:val="1"/>
                <w:color w:val="auto"/>
                <w:w w:val="92"/>
              </w:rPr>
              <w:t>On - Balance Sheet</w:t>
            </w:r>
          </w:p>
        </w:tc>
        <w:tc>
          <w:tcPr>
            <w:tcW w:w="1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tcPr>
          <w:p>
            <w:pPr>
              <w:jc w:val="right"/>
              <w:ind w:right="176"/>
              <w:spacing w:after="0"/>
              <w:rPr>
                <w:sz w:val="20"/>
                <w:szCs w:val="20"/>
                <w:color w:val="auto"/>
              </w:rPr>
            </w:pPr>
            <w:r>
              <w:rPr>
                <w:rFonts w:ascii="Arial" w:cs="Arial" w:eastAsia="Arial" w:hAnsi="Arial"/>
                <w:sz w:val="14"/>
                <w:szCs w:val="14"/>
                <w:b w:val="1"/>
                <w:bCs w:val="1"/>
                <w:color w:val="auto"/>
                <w:w w:val="91"/>
              </w:rPr>
              <w:t>Off - Balance Sheet</w:t>
            </w:r>
          </w:p>
        </w:tc>
        <w:tc>
          <w:tcPr>
            <w:tcW w:w="12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596"/>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28"/>
        </w:trPr>
        <w:tc>
          <w:tcPr>
            <w:tcW w:w="4140" w:type="dxa"/>
            <w:vAlign w:val="bottom"/>
            <w:shd w:val="clear" w:color="auto" w:fill="CCEEFF"/>
          </w:tcPr>
          <w:p>
            <w:pPr>
              <w:ind w:left="20"/>
              <w:spacing w:after="0"/>
              <w:rPr>
                <w:sz w:val="20"/>
                <w:szCs w:val="20"/>
                <w:color w:val="auto"/>
              </w:rPr>
            </w:pPr>
            <w:r>
              <w:rPr>
                <w:rFonts w:ascii="Arial" w:cs="Arial" w:eastAsia="Arial" w:hAnsi="Arial"/>
                <w:sz w:val="17"/>
                <w:szCs w:val="17"/>
                <w:color w:val="auto"/>
              </w:rPr>
              <w:t>Radnor Re 2019-1 Ltd.</w:t>
            </w:r>
          </w:p>
        </w:tc>
        <w:tc>
          <w:tcPr>
            <w:tcW w:w="34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21,467</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77</w:t>
            </w: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3"/>
              <w:spacing w:after="0"/>
              <w:rPr>
                <w:sz w:val="20"/>
                <w:szCs w:val="20"/>
                <w:color w:val="auto"/>
              </w:rPr>
            </w:pPr>
            <w:r>
              <w:rPr>
                <w:rFonts w:ascii="Arial" w:cs="Arial" w:eastAsia="Arial" w:hAnsi="Arial"/>
                <w:sz w:val="17"/>
                <w:szCs w:val="17"/>
                <w:color w:val="auto"/>
                <w:w w:val="84"/>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80</w:t>
            </w:r>
          </w:p>
        </w:tc>
        <w:tc>
          <w:tcPr>
            <w:tcW w:w="0" w:type="dxa"/>
            <w:vAlign w:val="bottom"/>
          </w:tcPr>
          <w:p>
            <w:pPr>
              <w:spacing w:after="0"/>
              <w:rPr>
                <w:sz w:val="1"/>
                <w:szCs w:val="1"/>
                <w:color w:val="auto"/>
              </w:rPr>
            </w:pPr>
          </w:p>
        </w:tc>
      </w:tr>
      <w:tr>
        <w:trPr>
          <w:trHeight w:val="221"/>
        </w:trPr>
        <w:tc>
          <w:tcPr>
            <w:tcW w:w="4140" w:type="dxa"/>
            <w:vAlign w:val="bottom"/>
          </w:tcPr>
          <w:p>
            <w:pPr>
              <w:ind w:left="20"/>
              <w:spacing w:after="0"/>
              <w:rPr>
                <w:sz w:val="20"/>
                <w:szCs w:val="20"/>
                <w:color w:val="auto"/>
              </w:rPr>
            </w:pPr>
            <w:r>
              <w:rPr>
                <w:rFonts w:ascii="Arial" w:cs="Arial" w:eastAsia="Arial" w:hAnsi="Arial"/>
                <w:sz w:val="17"/>
                <w:szCs w:val="17"/>
                <w:color w:val="auto"/>
              </w:rPr>
              <w:t>Radnor Re 2020-1 Ltd.</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7"/>
                <w:szCs w:val="17"/>
                <w:color w:val="auto"/>
              </w:rPr>
              <w:t>52,691</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7"/>
                <w:szCs w:val="17"/>
                <w:color w:val="auto"/>
              </w:rPr>
              <w:t>(238)</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7"/>
                <w:szCs w:val="17"/>
                <w:color w:val="auto"/>
              </w:rPr>
              <w:t>13</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(225)</w:t>
            </w:r>
          </w:p>
        </w:tc>
        <w:tc>
          <w:tcPr>
            <w:tcW w:w="0" w:type="dxa"/>
            <w:vAlign w:val="bottom"/>
          </w:tcPr>
          <w:p>
            <w:pPr>
              <w:spacing w:after="0"/>
              <w:rPr>
                <w:sz w:val="1"/>
                <w:szCs w:val="1"/>
                <w:color w:val="auto"/>
              </w:rPr>
            </w:pPr>
          </w:p>
        </w:tc>
      </w:tr>
      <w:tr>
        <w:trPr>
          <w:trHeight w:val="221"/>
        </w:trPr>
        <w:tc>
          <w:tcPr>
            <w:tcW w:w="4140" w:type="dxa"/>
            <w:vAlign w:val="bottom"/>
            <w:shd w:val="clear" w:color="auto" w:fill="CCEEFF"/>
          </w:tcPr>
          <w:p>
            <w:pPr>
              <w:ind w:left="20"/>
              <w:spacing w:after="0"/>
              <w:rPr>
                <w:sz w:val="20"/>
                <w:szCs w:val="20"/>
                <w:color w:val="auto"/>
              </w:rPr>
            </w:pPr>
            <w:r>
              <w:rPr>
                <w:rFonts w:ascii="Arial" w:cs="Arial" w:eastAsia="Arial" w:hAnsi="Arial"/>
                <w:sz w:val="17"/>
                <w:szCs w:val="17"/>
                <w:color w:val="auto"/>
              </w:rPr>
              <w:t>Radnor Re 2021-1 Ltd.</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374,172</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(4,631)</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71</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(4,560)</w:t>
            </w:r>
          </w:p>
        </w:tc>
        <w:tc>
          <w:tcPr>
            <w:tcW w:w="0" w:type="dxa"/>
            <w:vAlign w:val="bottom"/>
          </w:tcPr>
          <w:p>
            <w:pPr>
              <w:spacing w:after="0"/>
              <w:rPr>
                <w:sz w:val="1"/>
                <w:szCs w:val="1"/>
                <w:color w:val="auto"/>
              </w:rPr>
            </w:pPr>
          </w:p>
        </w:tc>
      </w:tr>
      <w:tr>
        <w:trPr>
          <w:trHeight w:val="227"/>
        </w:trPr>
        <w:tc>
          <w:tcPr>
            <w:tcW w:w="4140" w:type="dxa"/>
            <w:vAlign w:val="bottom"/>
          </w:tcPr>
          <w:p>
            <w:pPr>
              <w:ind w:left="20"/>
              <w:spacing w:after="0"/>
              <w:rPr>
                <w:sz w:val="20"/>
                <w:szCs w:val="20"/>
                <w:color w:val="auto"/>
              </w:rPr>
            </w:pPr>
            <w:r>
              <w:rPr>
                <w:rFonts w:ascii="Arial" w:cs="Arial" w:eastAsia="Arial" w:hAnsi="Arial"/>
                <w:sz w:val="17"/>
                <w:szCs w:val="17"/>
                <w:color w:val="auto"/>
              </w:rPr>
              <w:t>Radnor Re 2021-2 Ltd.</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7"/>
                <w:szCs w:val="17"/>
                <w:color w:val="auto"/>
              </w:rPr>
              <w:t>384,452</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7"/>
                <w:szCs w:val="17"/>
                <w:color w:val="auto"/>
              </w:rPr>
              <w:t>(4,660)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7"/>
                <w:szCs w:val="17"/>
                <w:color w:val="auto"/>
              </w:rPr>
              <w:t>116</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(4,544)</w:t>
            </w:r>
          </w:p>
        </w:tc>
        <w:tc>
          <w:tcPr>
            <w:tcW w:w="0" w:type="dxa"/>
            <w:vAlign w:val="bottom"/>
          </w:tcPr>
          <w:p>
            <w:pPr>
              <w:spacing w:after="0"/>
              <w:rPr>
                <w:sz w:val="1"/>
                <w:szCs w:val="1"/>
                <w:color w:val="auto"/>
              </w:rPr>
            </w:pPr>
          </w:p>
        </w:tc>
      </w:tr>
      <w:tr>
        <w:trPr>
          <w:trHeight w:val="227"/>
        </w:trPr>
        <w:tc>
          <w:tcPr>
            <w:tcW w:w="4140" w:type="dxa"/>
            <w:vAlign w:val="bottom"/>
            <w:shd w:val="clear" w:color="auto" w:fill="CCEEFF"/>
          </w:tcPr>
          <w:p>
            <w:pPr>
              <w:ind w:left="20"/>
              <w:spacing w:after="0"/>
              <w:rPr>
                <w:sz w:val="20"/>
                <w:szCs w:val="20"/>
                <w:color w:val="auto"/>
              </w:rPr>
            </w:pPr>
            <w:r>
              <w:rPr>
                <w:rFonts w:ascii="Arial" w:cs="Arial" w:eastAsia="Arial" w:hAnsi="Arial"/>
                <w:sz w:val="17"/>
                <w:szCs w:val="17"/>
                <w:color w:val="auto"/>
              </w:rPr>
              <w:t>Radnor Re 2022-1 Ltd.</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237,868</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862</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81</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943</w:t>
            </w:r>
          </w:p>
        </w:tc>
        <w:tc>
          <w:tcPr>
            <w:tcW w:w="0" w:type="dxa"/>
            <w:vAlign w:val="bottom"/>
          </w:tcPr>
          <w:p>
            <w:pPr>
              <w:spacing w:after="0"/>
              <w:rPr>
                <w:sz w:val="1"/>
                <w:szCs w:val="1"/>
                <w:color w:val="auto"/>
              </w:rPr>
            </w:pPr>
          </w:p>
        </w:tc>
      </w:tr>
      <w:tr>
        <w:trPr>
          <w:trHeight w:val="214"/>
        </w:trPr>
        <w:tc>
          <w:tcPr>
            <w:tcW w:w="4140" w:type="dxa"/>
            <w:vAlign w:val="bottom"/>
          </w:tcPr>
          <w:p>
            <w:pPr>
              <w:ind w:left="20"/>
              <w:spacing w:after="0"/>
              <w:rPr>
                <w:sz w:val="20"/>
                <w:szCs w:val="20"/>
                <w:color w:val="auto"/>
              </w:rPr>
            </w:pPr>
            <w:r>
              <w:rPr>
                <w:rFonts w:ascii="Arial" w:cs="Arial" w:eastAsia="Arial" w:hAnsi="Arial"/>
                <w:sz w:val="17"/>
                <w:szCs w:val="17"/>
                <w:color w:val="auto"/>
              </w:rPr>
              <w:t>Total</w:t>
            </w:r>
          </w:p>
        </w:tc>
        <w:tc>
          <w:tcPr>
            <w:tcW w:w="34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1420" w:type="dxa"/>
            <w:vAlign w:val="bottom"/>
          </w:tcPr>
          <w:p>
            <w:pPr>
              <w:jc w:val="right"/>
              <w:spacing w:after="0"/>
              <w:rPr>
                <w:sz w:val="20"/>
                <w:szCs w:val="20"/>
                <w:color w:val="auto"/>
              </w:rPr>
            </w:pPr>
            <w:r>
              <w:rPr>
                <w:rFonts w:ascii="Arial" w:cs="Arial" w:eastAsia="Arial" w:hAnsi="Arial"/>
                <w:sz w:val="17"/>
                <w:szCs w:val="17"/>
                <w:color w:val="auto"/>
              </w:rPr>
              <w:t>1,070,650</w:t>
            </w:r>
          </w:p>
        </w:tc>
        <w:tc>
          <w:tcPr>
            <w:tcW w:w="1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460" w:type="dxa"/>
            <w:vAlign w:val="bottom"/>
          </w:tcPr>
          <w:p>
            <w:pPr>
              <w:jc w:val="right"/>
              <w:spacing w:after="0"/>
              <w:rPr>
                <w:sz w:val="20"/>
                <w:szCs w:val="20"/>
                <w:color w:val="auto"/>
              </w:rPr>
            </w:pPr>
            <w:r>
              <w:rPr>
                <w:rFonts w:ascii="Arial" w:cs="Arial" w:eastAsia="Arial" w:hAnsi="Arial"/>
                <w:sz w:val="17"/>
                <w:szCs w:val="17"/>
                <w:color w:val="auto"/>
              </w:rPr>
              <w:t>(8,590)</w:t>
            </w:r>
          </w:p>
        </w:tc>
        <w:tc>
          <w:tcPr>
            <w:tcW w:w="30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1460" w:type="dxa"/>
            <w:vAlign w:val="bottom"/>
          </w:tcPr>
          <w:p>
            <w:pPr>
              <w:jc w:val="right"/>
              <w:spacing w:after="0"/>
              <w:rPr>
                <w:sz w:val="20"/>
                <w:szCs w:val="20"/>
                <w:color w:val="auto"/>
              </w:rPr>
            </w:pPr>
            <w:r>
              <w:rPr>
                <w:rFonts w:ascii="Arial" w:cs="Arial" w:eastAsia="Arial" w:hAnsi="Arial"/>
                <w:sz w:val="17"/>
                <w:szCs w:val="17"/>
                <w:color w:val="auto"/>
              </w:rPr>
              <w:t>284</w:t>
            </w:r>
          </w:p>
        </w:tc>
        <w:tc>
          <w:tcPr>
            <w:tcW w:w="120" w:type="dxa"/>
            <w:vAlign w:val="bottom"/>
          </w:tcPr>
          <w:p>
            <w:pPr>
              <w:spacing w:after="0"/>
              <w:rPr>
                <w:sz w:val="18"/>
                <w:szCs w:val="18"/>
                <w:color w:val="auto"/>
              </w:rPr>
            </w:pPr>
          </w:p>
        </w:tc>
        <w:tc>
          <w:tcPr>
            <w:tcW w:w="380" w:type="dxa"/>
            <w:vAlign w:val="bottom"/>
          </w:tcPr>
          <w:p>
            <w:pPr>
              <w:jc w:val="right"/>
              <w:ind w:right="193"/>
              <w:spacing w:after="0"/>
              <w:rPr>
                <w:sz w:val="20"/>
                <w:szCs w:val="20"/>
                <w:color w:val="auto"/>
              </w:rPr>
            </w:pPr>
            <w:r>
              <w:rPr>
                <w:rFonts w:ascii="Arial" w:cs="Arial" w:eastAsia="Arial" w:hAnsi="Arial"/>
                <w:sz w:val="17"/>
                <w:szCs w:val="17"/>
                <w:color w:val="auto"/>
                <w:w w:val="84"/>
              </w:rPr>
              <w:t>$</w:t>
            </w:r>
          </w:p>
        </w:tc>
        <w:tc>
          <w:tcPr>
            <w:tcW w:w="1260" w:type="dxa"/>
            <w:vAlign w:val="bottom"/>
          </w:tcPr>
          <w:p>
            <w:pPr>
              <w:jc w:val="right"/>
              <w:spacing w:after="0"/>
              <w:rPr>
                <w:sz w:val="20"/>
                <w:szCs w:val="20"/>
                <w:color w:val="auto"/>
              </w:rPr>
            </w:pPr>
            <w:r>
              <w:rPr>
                <w:rFonts w:ascii="Arial" w:cs="Arial" w:eastAsia="Arial" w:hAnsi="Arial"/>
                <w:sz w:val="17"/>
                <w:szCs w:val="17"/>
                <w:color w:val="auto"/>
              </w:rPr>
              <w:t>(8,306)</w:t>
            </w:r>
          </w:p>
        </w:tc>
        <w:tc>
          <w:tcPr>
            <w:tcW w:w="0" w:type="dxa"/>
            <w:vAlign w:val="bottom"/>
          </w:tcPr>
          <w:p>
            <w:pPr>
              <w:spacing w:after="0"/>
              <w:rPr>
                <w:sz w:val="1"/>
                <w:szCs w:val="1"/>
                <w:color w:val="auto"/>
              </w:rPr>
            </w:pPr>
          </w:p>
        </w:tc>
      </w:tr>
      <w:tr>
        <w:trPr>
          <w:trHeight w:val="20"/>
        </w:trPr>
        <w:tc>
          <w:tcPr>
            <w:tcW w:w="4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68580</wp:posOffset>
            </wp:positionV>
            <wp:extent cx="7162800" cy="419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00"/>
          </w:cols>
          <w:pgMar w:left="320" w:top="127" w:right="379" w:bottom="1440" w:gutter="0" w:footer="0" w:header="0"/>
        </w:sectPr>
      </w:pPr>
    </w:p>
    <w:bookmarkStart w:id="17" w:name="page18"/>
    <w:bookmarkEnd w:id="17"/>
    <w:p>
      <w:pPr>
        <w:spacing w:after="0"/>
        <w:rPr>
          <w:sz w:val="20"/>
          <w:szCs w:val="20"/>
          <w:color w:val="auto"/>
        </w:rPr>
      </w:pPr>
      <w:r>
        <w:rPr>
          <w:rFonts w:ascii="Arial" w:cs="Arial" w:eastAsia="Arial" w:hAnsi="Arial"/>
          <w:sz w:val="17"/>
          <w:szCs w:val="17"/>
          <w:u w:val="single" w:color="auto"/>
          <w:color w:val="0000FF"/>
        </w:rPr>
        <w:t>Table of Contents</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Essent Group Ltd. and Subsidiaries</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Condensed Consolidated Financial Statements (Unaudited)</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5. Reserve for Losses and Loss Adjustment Expenses</w:t>
      </w:r>
    </w:p>
    <w:p>
      <w:pPr>
        <w:spacing w:after="0" w:line="226" w:lineRule="exact"/>
        <w:rPr>
          <w:sz w:val="20"/>
          <w:szCs w:val="20"/>
          <w:color w:val="auto"/>
        </w:rPr>
      </w:pPr>
    </w:p>
    <w:p>
      <w:pPr>
        <w:ind w:right="160" w:firstLine="623"/>
        <w:spacing w:after="0" w:line="285" w:lineRule="auto"/>
        <w:rPr>
          <w:sz w:val="20"/>
          <w:szCs w:val="20"/>
          <w:color w:val="auto"/>
        </w:rPr>
      </w:pPr>
      <w:r>
        <w:rPr>
          <w:rFonts w:ascii="Arial" w:cs="Arial" w:eastAsia="Arial" w:hAnsi="Arial"/>
          <w:sz w:val="17"/>
          <w:szCs w:val="17"/>
          <w:color w:val="auto"/>
        </w:rPr>
        <w:t>The following table provides a reconciliation of the beginning and ending reserve balances for losses and loss adjustment expenses (“LAE”) for the six months ended June 30:</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7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95"/>
              <w:spacing w:after="0"/>
              <w:rPr>
                <w:sz w:val="20"/>
                <w:szCs w:val="20"/>
                <w:color w:val="auto"/>
              </w:rPr>
            </w:pPr>
            <w:r>
              <w:rPr>
                <w:rFonts w:ascii="Arial" w:cs="Arial" w:eastAsia="Arial" w:hAnsi="Arial"/>
                <w:sz w:val="14"/>
                <w:szCs w:val="14"/>
                <w:b w:val="1"/>
                <w:bCs w:val="1"/>
                <w:color w:val="auto"/>
              </w:rPr>
              <w:t>2023</w:t>
            </w:r>
          </w:p>
        </w:tc>
        <w:tc>
          <w:tcPr>
            <w:tcW w:w="12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95"/>
              <w:spacing w:after="0"/>
              <w:rPr>
                <w:sz w:val="20"/>
                <w:szCs w:val="20"/>
                <w:color w:val="auto"/>
              </w:rPr>
            </w:pPr>
            <w:r>
              <w:rPr>
                <w:rFonts w:ascii="Arial" w:cs="Arial" w:eastAsia="Arial" w:hAnsi="Arial"/>
                <w:sz w:val="14"/>
                <w:szCs w:val="14"/>
                <w:b w:val="1"/>
                <w:bCs w:val="1"/>
                <w:color w:val="auto"/>
              </w:rPr>
              <w:t>2022</w:t>
            </w:r>
          </w:p>
        </w:tc>
      </w:tr>
      <w:tr>
        <w:trPr>
          <w:trHeight w:val="233"/>
        </w:trPr>
        <w:tc>
          <w:tcPr>
            <w:tcW w:w="774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Reserve for losses and LAE at beginning of period</w:t>
            </w:r>
          </w:p>
        </w:tc>
        <w:tc>
          <w:tcPr>
            <w:tcW w:w="50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216,464</w:t>
            </w:r>
          </w:p>
        </w:tc>
        <w:tc>
          <w:tcPr>
            <w:tcW w:w="50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407,445</w:t>
            </w:r>
          </w:p>
        </w:tc>
      </w:tr>
      <w:tr>
        <w:trPr>
          <w:trHeight w:val="221"/>
        </w:trPr>
        <w:tc>
          <w:tcPr>
            <w:tcW w:w="774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Less: Reinsurance recoverables</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14,618</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25,940</w:t>
            </w:r>
          </w:p>
        </w:tc>
      </w:tr>
      <w:tr>
        <w:trPr>
          <w:trHeight w:val="214"/>
        </w:trPr>
        <w:tc>
          <w:tcPr>
            <w:tcW w:w="7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Net reserve for losses and LAE at beginning of period</w:t>
            </w:r>
          </w:p>
        </w:tc>
        <w:tc>
          <w:tcPr>
            <w:tcW w:w="12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201,846</w:t>
            </w:r>
          </w:p>
        </w:tc>
        <w:tc>
          <w:tcPr>
            <w:tcW w:w="12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381,505</w:t>
            </w:r>
          </w:p>
        </w:tc>
      </w:tr>
      <w:tr>
        <w:trPr>
          <w:trHeight w:val="214"/>
        </w:trPr>
        <w:tc>
          <w:tcPr>
            <w:tcW w:w="7740" w:type="dxa"/>
            <w:vAlign w:val="bottom"/>
          </w:tcPr>
          <w:p>
            <w:pPr>
              <w:ind w:left="20"/>
              <w:spacing w:after="0"/>
              <w:rPr>
                <w:sz w:val="20"/>
                <w:szCs w:val="20"/>
                <w:color w:val="auto"/>
              </w:rPr>
            </w:pPr>
            <w:r>
              <w:rPr>
                <w:rFonts w:ascii="Arial" w:cs="Arial" w:eastAsia="Arial" w:hAnsi="Arial"/>
                <w:sz w:val="17"/>
                <w:szCs w:val="17"/>
                <w:color w:val="auto"/>
              </w:rPr>
              <w:t>Add provision for losses and LAE, net of reinsurance, occurring in:</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21"/>
        </w:trPr>
        <w:tc>
          <w:tcPr>
            <w:tcW w:w="7740" w:type="dxa"/>
            <w:vAlign w:val="bottom"/>
            <w:shd w:val="clear" w:color="auto" w:fill="CCEEFF"/>
          </w:tcPr>
          <w:p>
            <w:pPr>
              <w:ind w:left="220"/>
              <w:spacing w:after="0"/>
              <w:rPr>
                <w:sz w:val="20"/>
                <w:szCs w:val="20"/>
                <w:color w:val="auto"/>
              </w:rPr>
            </w:pPr>
            <w:r>
              <w:rPr>
                <w:rFonts w:ascii="Arial" w:cs="Arial" w:eastAsia="Arial" w:hAnsi="Arial"/>
                <w:sz w:val="17"/>
                <w:szCs w:val="17"/>
                <w:color w:val="auto"/>
              </w:rPr>
              <w:t>Current period</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64,070</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43,095</w:t>
            </w:r>
          </w:p>
        </w:tc>
      </w:tr>
      <w:tr>
        <w:trPr>
          <w:trHeight w:val="227"/>
        </w:trPr>
        <w:tc>
          <w:tcPr>
            <w:tcW w:w="7740" w:type="dxa"/>
            <w:vAlign w:val="bottom"/>
            <w:tcBorders>
              <w:bottom w:val="single" w:sz="8" w:color="CCEEFF"/>
            </w:tcBorders>
          </w:tcPr>
          <w:p>
            <w:pPr>
              <w:ind w:left="220"/>
              <w:spacing w:after="0"/>
              <w:rPr>
                <w:sz w:val="20"/>
                <w:szCs w:val="20"/>
                <w:color w:val="auto"/>
              </w:rPr>
            </w:pPr>
            <w:r>
              <w:rPr>
                <w:rFonts w:ascii="Arial" w:cs="Arial" w:eastAsia="Arial" w:hAnsi="Arial"/>
                <w:sz w:val="17"/>
                <w:szCs w:val="17"/>
                <w:color w:val="auto"/>
              </w:rPr>
              <w:t>Prior years</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(62,990)</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(226,152)</w:t>
            </w:r>
          </w:p>
        </w:tc>
      </w:tr>
      <w:tr>
        <w:trPr>
          <w:trHeight w:val="220"/>
        </w:trPr>
        <w:tc>
          <w:tcPr>
            <w:tcW w:w="7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Net incurred losses and LAE during the current period</w:t>
            </w:r>
          </w:p>
        </w:tc>
        <w:tc>
          <w:tcPr>
            <w:tcW w:w="12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1,080</w:t>
            </w:r>
          </w:p>
        </w:tc>
        <w:tc>
          <w:tcPr>
            <w:tcW w:w="12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(183,057)</w:t>
            </w:r>
          </w:p>
        </w:tc>
      </w:tr>
      <w:tr>
        <w:trPr>
          <w:trHeight w:val="214"/>
        </w:trPr>
        <w:tc>
          <w:tcPr>
            <w:tcW w:w="7740" w:type="dxa"/>
            <w:vAlign w:val="bottom"/>
          </w:tcPr>
          <w:p>
            <w:pPr>
              <w:ind w:left="20"/>
              <w:spacing w:after="0"/>
              <w:rPr>
                <w:sz w:val="20"/>
                <w:szCs w:val="20"/>
                <w:color w:val="auto"/>
              </w:rPr>
            </w:pPr>
            <w:r>
              <w:rPr>
                <w:rFonts w:ascii="Arial" w:cs="Arial" w:eastAsia="Arial" w:hAnsi="Arial"/>
                <w:sz w:val="17"/>
                <w:szCs w:val="17"/>
                <w:color w:val="auto"/>
              </w:rPr>
              <w:t>Deduct payments for losses and LAE, net of reinsurance, occurring in:</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21"/>
        </w:trPr>
        <w:tc>
          <w:tcPr>
            <w:tcW w:w="7740" w:type="dxa"/>
            <w:vAlign w:val="bottom"/>
            <w:shd w:val="clear" w:color="auto" w:fill="CCEEFF"/>
          </w:tcPr>
          <w:p>
            <w:pPr>
              <w:ind w:left="220"/>
              <w:spacing w:after="0"/>
              <w:rPr>
                <w:sz w:val="20"/>
                <w:szCs w:val="20"/>
                <w:color w:val="auto"/>
              </w:rPr>
            </w:pPr>
            <w:r>
              <w:rPr>
                <w:rFonts w:ascii="Arial" w:cs="Arial" w:eastAsia="Arial" w:hAnsi="Arial"/>
                <w:sz w:val="17"/>
                <w:szCs w:val="17"/>
                <w:color w:val="auto"/>
              </w:rPr>
              <w:t>Current period</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81</w:t>
            </w:r>
          </w:p>
        </w:tc>
      </w:tr>
      <w:tr>
        <w:trPr>
          <w:trHeight w:val="227"/>
        </w:trPr>
        <w:tc>
          <w:tcPr>
            <w:tcW w:w="7740" w:type="dxa"/>
            <w:vAlign w:val="bottom"/>
            <w:tcBorders>
              <w:bottom w:val="single" w:sz="8" w:color="CCEEFF"/>
            </w:tcBorders>
          </w:tcPr>
          <w:p>
            <w:pPr>
              <w:ind w:left="220"/>
              <w:spacing w:after="0"/>
              <w:rPr>
                <w:sz w:val="20"/>
                <w:szCs w:val="20"/>
                <w:color w:val="auto"/>
              </w:rPr>
            </w:pPr>
            <w:r>
              <w:rPr>
                <w:rFonts w:ascii="Arial" w:cs="Arial" w:eastAsia="Arial" w:hAnsi="Arial"/>
                <w:sz w:val="17"/>
                <w:szCs w:val="17"/>
                <w:color w:val="auto"/>
              </w:rPr>
              <w:t>Prior years</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3,910</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2,051</w:t>
            </w:r>
          </w:p>
        </w:tc>
      </w:tr>
      <w:tr>
        <w:trPr>
          <w:trHeight w:val="220"/>
        </w:trPr>
        <w:tc>
          <w:tcPr>
            <w:tcW w:w="774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loss and LAE payments during the current period</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3,941</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2,132</w:t>
            </w:r>
          </w:p>
        </w:tc>
      </w:tr>
      <w:tr>
        <w:trPr>
          <w:trHeight w:val="214"/>
        </w:trPr>
        <w:tc>
          <w:tcPr>
            <w:tcW w:w="7740" w:type="dxa"/>
            <w:vAlign w:val="bottom"/>
          </w:tcPr>
          <w:p>
            <w:pPr>
              <w:ind w:left="20"/>
              <w:spacing w:after="0"/>
              <w:rPr>
                <w:sz w:val="20"/>
                <w:szCs w:val="20"/>
                <w:color w:val="auto"/>
              </w:rPr>
            </w:pPr>
            <w:r>
              <w:rPr>
                <w:rFonts w:ascii="Arial" w:cs="Arial" w:eastAsia="Arial" w:hAnsi="Arial"/>
                <w:sz w:val="17"/>
                <w:szCs w:val="17"/>
                <w:color w:val="auto"/>
              </w:rPr>
              <w:t>Net reserve for losses and LAE at end of period</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198,985</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196,316</w:t>
            </w:r>
          </w:p>
        </w:tc>
      </w:tr>
      <w:tr>
        <w:trPr>
          <w:trHeight w:val="234"/>
        </w:trPr>
        <w:tc>
          <w:tcPr>
            <w:tcW w:w="7740" w:type="dxa"/>
            <w:vAlign w:val="bottom"/>
            <w:shd w:val="clear" w:color="auto" w:fill="CCEEFF"/>
          </w:tcPr>
          <w:p>
            <w:pPr>
              <w:ind w:left="20"/>
              <w:spacing w:after="0"/>
              <w:rPr>
                <w:sz w:val="20"/>
                <w:szCs w:val="20"/>
                <w:color w:val="auto"/>
              </w:rPr>
            </w:pPr>
            <w:r>
              <w:rPr>
                <w:rFonts w:ascii="Arial" w:cs="Arial" w:eastAsia="Arial" w:hAnsi="Arial"/>
                <w:sz w:val="17"/>
                <w:szCs w:val="17"/>
                <w:color w:val="auto"/>
              </w:rPr>
              <w:t>Plus: Reinsurance recoverables</w:t>
            </w:r>
          </w:p>
        </w:tc>
        <w:tc>
          <w:tcPr>
            <w:tcW w:w="120" w:type="dxa"/>
            <w:vAlign w:val="bottom"/>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spacing w:after="0"/>
              <w:rPr>
                <w:sz w:val="20"/>
                <w:szCs w:val="20"/>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17,958</w:t>
            </w:r>
          </w:p>
        </w:tc>
        <w:tc>
          <w:tcPr>
            <w:tcW w:w="120" w:type="dxa"/>
            <w:vAlign w:val="bottom"/>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spacing w:after="0"/>
              <w:rPr>
                <w:sz w:val="20"/>
                <w:szCs w:val="20"/>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13,657</w:t>
            </w:r>
          </w:p>
        </w:tc>
      </w:tr>
      <w:tr>
        <w:trPr>
          <w:trHeight w:val="214"/>
        </w:trPr>
        <w:tc>
          <w:tcPr>
            <w:tcW w:w="7740" w:type="dxa"/>
            <w:vAlign w:val="bottom"/>
          </w:tcPr>
          <w:p>
            <w:pPr>
              <w:ind w:left="20"/>
              <w:spacing w:after="0"/>
              <w:rPr>
                <w:sz w:val="20"/>
                <w:szCs w:val="20"/>
                <w:color w:val="auto"/>
              </w:rPr>
            </w:pPr>
            <w:r>
              <w:rPr>
                <w:rFonts w:ascii="Arial" w:cs="Arial" w:eastAsia="Arial" w:hAnsi="Arial"/>
                <w:sz w:val="17"/>
                <w:szCs w:val="17"/>
                <w:color w:val="auto"/>
              </w:rPr>
              <w:t>Reserve for losses and LAE at end of period</w:t>
            </w:r>
          </w:p>
        </w:tc>
        <w:tc>
          <w:tcPr>
            <w:tcW w:w="500" w:type="dxa"/>
            <w:vAlign w:val="bottom"/>
            <w:gridSpan w:val="2"/>
          </w:tcPr>
          <w:p>
            <w:pPr>
              <w:jc w:val="right"/>
              <w:ind w:right="280"/>
              <w:spacing w:after="0"/>
              <w:rPr>
                <w:sz w:val="20"/>
                <w:szCs w:val="20"/>
                <w:color w:val="auto"/>
              </w:rPr>
            </w:pPr>
            <w:r>
              <w:rPr>
                <w:rFonts w:ascii="Arial" w:cs="Arial" w:eastAsia="Arial" w:hAnsi="Arial"/>
                <w:sz w:val="17"/>
                <w:szCs w:val="17"/>
                <w:color w:val="auto"/>
              </w:rPr>
              <w:t>$</w:t>
            </w:r>
          </w:p>
        </w:tc>
        <w:tc>
          <w:tcPr>
            <w:tcW w:w="1240" w:type="dxa"/>
            <w:vAlign w:val="bottom"/>
          </w:tcPr>
          <w:p>
            <w:pPr>
              <w:jc w:val="right"/>
              <w:spacing w:after="0"/>
              <w:rPr>
                <w:sz w:val="20"/>
                <w:szCs w:val="20"/>
                <w:color w:val="auto"/>
              </w:rPr>
            </w:pPr>
            <w:r>
              <w:rPr>
                <w:rFonts w:ascii="Arial" w:cs="Arial" w:eastAsia="Arial" w:hAnsi="Arial"/>
                <w:sz w:val="17"/>
                <w:szCs w:val="17"/>
                <w:color w:val="auto"/>
              </w:rPr>
              <w:t>216,943</w:t>
            </w:r>
          </w:p>
        </w:tc>
        <w:tc>
          <w:tcPr>
            <w:tcW w:w="500" w:type="dxa"/>
            <w:vAlign w:val="bottom"/>
            <w:gridSpan w:val="2"/>
          </w:tcPr>
          <w:p>
            <w:pPr>
              <w:jc w:val="right"/>
              <w:ind w:right="280"/>
              <w:spacing w:after="0"/>
              <w:rPr>
                <w:sz w:val="20"/>
                <w:szCs w:val="20"/>
                <w:color w:val="auto"/>
              </w:rPr>
            </w:pPr>
            <w:r>
              <w:rPr>
                <w:rFonts w:ascii="Arial" w:cs="Arial" w:eastAsia="Arial" w:hAnsi="Arial"/>
                <w:sz w:val="17"/>
                <w:szCs w:val="17"/>
                <w:color w:val="auto"/>
              </w:rPr>
              <w:t>$</w:t>
            </w:r>
          </w:p>
        </w:tc>
        <w:tc>
          <w:tcPr>
            <w:tcW w:w="1260" w:type="dxa"/>
            <w:vAlign w:val="bottom"/>
          </w:tcPr>
          <w:p>
            <w:pPr>
              <w:jc w:val="right"/>
              <w:spacing w:after="0"/>
              <w:rPr>
                <w:sz w:val="20"/>
                <w:szCs w:val="20"/>
                <w:color w:val="auto"/>
              </w:rPr>
            </w:pPr>
            <w:r>
              <w:rPr>
                <w:rFonts w:ascii="Arial" w:cs="Arial" w:eastAsia="Arial" w:hAnsi="Arial"/>
                <w:sz w:val="17"/>
                <w:szCs w:val="17"/>
                <w:color w:val="auto"/>
              </w:rPr>
              <w:t>209,973</w:t>
            </w:r>
          </w:p>
        </w:tc>
      </w:tr>
      <w:tr>
        <w:trPr>
          <w:trHeight w:val="20"/>
        </w:trPr>
        <w:tc>
          <w:tcPr>
            <w:tcW w:w="7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r>
    </w:tbl>
    <w:p>
      <w:pPr>
        <w:spacing w:after="0" w:line="260" w:lineRule="exact"/>
        <w:rPr>
          <w:sz w:val="20"/>
          <w:szCs w:val="20"/>
          <w:color w:val="auto"/>
        </w:rPr>
      </w:pPr>
    </w:p>
    <w:p>
      <w:pPr>
        <w:ind w:right="40" w:firstLine="623"/>
        <w:spacing w:after="0" w:line="277" w:lineRule="auto"/>
        <w:rPr>
          <w:sz w:val="20"/>
          <w:szCs w:val="20"/>
          <w:color w:val="auto"/>
        </w:rPr>
      </w:pPr>
      <w:r>
        <w:rPr>
          <w:rFonts w:ascii="Arial" w:cs="Arial" w:eastAsia="Arial" w:hAnsi="Arial"/>
          <w:sz w:val="16"/>
          <w:szCs w:val="16"/>
          <w:color w:val="auto"/>
        </w:rPr>
        <w:t>For the six months ended June 30, 2023, $3.9 million was paid for incurred claims and claim adjustment expenses attributable to insured events of prior years. There has been a $63.0 million favorable prior year development during the six months ended June 30, 2023. Reserves remaining as of June 30, 2023 for prior years are $134.9 million as a result of re-estimation of unpaid losses and loss adjustment expenses. For the six months ended June 30, 2022, $2.1 million was paid for incurred claims and claim adjustment expenses attributable to insured events of prior years. There was a $226.2 million favorable prior year development during the six months ended June 30, 2022. Reserves remaining as of June 30, 2022 for prior years were $153.3 million as a result of re-estimation of unpaid losses and loss adjustment expenses. In both periods, the favorable prior years' loss development was the result of a re-estimation of amounts ultimately to be paid on prior year defaults in the default inventory, including the impact of previously identified defaults that cured. Original estimates are increased or decreased as additional information becomes known regarding individual claims.</w:t>
      </w:r>
    </w:p>
    <w:p>
      <w:pPr>
        <w:spacing w:after="0" w:line="196" w:lineRule="exact"/>
        <w:rPr>
          <w:sz w:val="20"/>
          <w:szCs w:val="20"/>
          <w:color w:val="auto"/>
        </w:rPr>
      </w:pPr>
    </w:p>
    <w:p>
      <w:pPr>
        <w:ind w:right="40" w:firstLine="623"/>
        <w:spacing w:after="0" w:line="265" w:lineRule="auto"/>
        <w:rPr>
          <w:sz w:val="20"/>
          <w:szCs w:val="20"/>
          <w:color w:val="auto"/>
        </w:rPr>
      </w:pPr>
      <w:r>
        <w:rPr>
          <w:rFonts w:ascii="Arial" w:cs="Arial" w:eastAsia="Arial" w:hAnsi="Arial"/>
          <w:sz w:val="17"/>
          <w:szCs w:val="17"/>
          <w:color w:val="auto"/>
        </w:rPr>
        <w:t>Due to business restrictions, stay-at-home orders and travel restrictions initially implemented in March 2020 as a result of COVID-19, unemployment in the United States increased significantly in the second quarter of 2020, declining during the second half of 2020 through 2022. As unemployment is one of the most common reasons for borrowers to default on their mortgage, the increase in unemployment has increased the number of delinquencies on the mortgages that we insure and has the potential to increase claim frequencies on defaults.</w:t>
      </w:r>
    </w:p>
    <w:p>
      <w:pPr>
        <w:spacing w:after="0" w:line="201" w:lineRule="exact"/>
        <w:rPr>
          <w:sz w:val="20"/>
          <w:szCs w:val="20"/>
          <w:color w:val="auto"/>
        </w:rPr>
      </w:pPr>
    </w:p>
    <w:p>
      <w:pPr>
        <w:ind w:right="80" w:firstLine="428"/>
        <w:spacing w:after="0" w:line="300" w:lineRule="auto"/>
        <w:rPr>
          <w:sz w:val="20"/>
          <w:szCs w:val="20"/>
          <w:color w:val="auto"/>
        </w:rPr>
      </w:pPr>
      <w:r>
        <w:rPr>
          <w:rFonts w:ascii="Arial" w:cs="Arial" w:eastAsia="Arial" w:hAnsi="Arial"/>
          <w:sz w:val="15"/>
          <w:szCs w:val="15"/>
          <w:color w:val="auto"/>
        </w:rPr>
        <w:t>In response to the COVID-19 pandemic, the United States government enacted a number of policies to provide fiscal stimulus to the economy and relief to those affected by this global disaster. Specifically, mortgage forbearance programs and foreclosure moratoriums were instituted by Federal legislation along with actions taken by the Federal Housing Finance Agency (“FHFA”), Fannie Mae and Freddie Mac (collectively the “GSEs”). The mortgage forbearance plans provide for eligible homeowners who were adversely impacted by COVID-19 to temporarily reduce or suspend their mortgage payments for up to 18 months for loans in an active COVID-19-related forbearance program as of February 28, 2021. For borrowers that have the ability to begin to pay their mortgage at the end of the forbearance period, we expect that mortgage servicers will work with them to modify their loans at which time the mortgage will be removed from delinquency status. We believe that the forbearance process could have a favorable effect on the frequency of claims that we ultimately pay.</w:t>
      </w:r>
    </w:p>
    <w:p>
      <w:pPr>
        <w:spacing w:after="0" w:line="178" w:lineRule="exact"/>
        <w:rPr>
          <w:sz w:val="20"/>
          <w:szCs w:val="20"/>
          <w:color w:val="auto"/>
        </w:rPr>
      </w:pPr>
    </w:p>
    <w:p>
      <w:pPr>
        <w:ind w:right="180" w:firstLine="428"/>
        <w:spacing w:after="0" w:line="286" w:lineRule="auto"/>
        <w:rPr>
          <w:sz w:val="20"/>
          <w:szCs w:val="20"/>
          <w:color w:val="auto"/>
        </w:rPr>
      </w:pPr>
      <w:r>
        <w:rPr>
          <w:rFonts w:ascii="Arial" w:cs="Arial" w:eastAsia="Arial" w:hAnsi="Arial"/>
          <w:sz w:val="16"/>
          <w:szCs w:val="16"/>
          <w:color w:val="auto"/>
        </w:rPr>
        <w:t>The defaulted loans reported to us in the second and third quarters of 2020 (“Early COVID Defaults”) had reached the end of their forbearance periods as of March 31, 2022. During the first quarter of 2022, the Early COVID Defaults cured at elevated levels, and the cumulative cure rate for the Early COVID Defaults at March 31, 2022 exceeded our initial estimated cure rate implied by our estimate of ultimate loss for these defaults established at the onset of the pandemic. Based on cure activity through March 31, 2022 and our expectations for future cure activity, as of March 31, 2022, we lowered our estimate of</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68580</wp:posOffset>
            </wp:positionV>
            <wp:extent cx="7162800" cy="419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8" w:name="page19"/>
    <w:bookmarkEnd w:id="18"/>
    <w:p>
      <w:pPr>
        <w:spacing w:after="0"/>
        <w:rPr>
          <w:sz w:val="20"/>
          <w:szCs w:val="20"/>
          <w:color w:val="auto"/>
        </w:rPr>
      </w:pPr>
      <w:r>
        <w:rPr>
          <w:rFonts w:ascii="Arial" w:cs="Arial" w:eastAsia="Arial" w:hAnsi="Arial"/>
          <w:sz w:val="17"/>
          <w:szCs w:val="17"/>
          <w:u w:val="single" w:color="auto"/>
          <w:color w:val="0000FF"/>
        </w:rPr>
        <w:t>Table of Contents</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Essent Group Ltd. and Subsidiaries</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Condensed Consolidated Financial Statements (Unaudited)</w:t>
      </w:r>
    </w:p>
    <w:p>
      <w:pPr>
        <w:spacing w:after="0" w:line="200" w:lineRule="exact"/>
        <w:rPr>
          <w:sz w:val="20"/>
          <w:szCs w:val="20"/>
          <w:color w:val="auto"/>
        </w:rPr>
      </w:pPr>
    </w:p>
    <w:p>
      <w:pPr>
        <w:spacing w:after="0" w:line="234" w:lineRule="exact"/>
        <w:rPr>
          <w:sz w:val="20"/>
          <w:szCs w:val="20"/>
          <w:color w:val="auto"/>
        </w:rPr>
      </w:pPr>
    </w:p>
    <w:p>
      <w:pPr>
        <w:spacing w:after="0" w:line="276" w:lineRule="auto"/>
        <w:rPr>
          <w:sz w:val="20"/>
          <w:szCs w:val="20"/>
          <w:color w:val="auto"/>
        </w:rPr>
      </w:pPr>
      <w:r>
        <w:rPr>
          <w:rFonts w:ascii="Arial" w:cs="Arial" w:eastAsia="Arial" w:hAnsi="Arial"/>
          <w:sz w:val="16"/>
          <w:szCs w:val="16"/>
          <w:color w:val="auto"/>
        </w:rPr>
        <w:t>ultimate loss for the Early COVID Defaults from 7% to 4% of the initial risk in force. During the three months ended June 30, 2022, Early COVID Defaults cured at levels that exceeded our estimate as of March 31, 2022, and we further lowered our estimate of loss for these defaults as of June 30, 2022 to 2% of the initial risk in force. These revisions to our estimate of ultimate loss for the Early COVID Defaults resulted in a benefit recorded to the provision for losses of</w:t>
      </w:r>
    </w:p>
    <w:p>
      <w:pPr>
        <w:spacing w:after="0" w:line="1" w:lineRule="exact"/>
        <w:rPr>
          <w:sz w:val="20"/>
          <w:szCs w:val="20"/>
          <w:color w:val="auto"/>
        </w:rPr>
      </w:pPr>
    </w:p>
    <w:p>
      <w:pPr>
        <w:ind w:right="60"/>
        <w:spacing w:after="0" w:line="259" w:lineRule="auto"/>
        <w:rPr>
          <w:sz w:val="20"/>
          <w:szCs w:val="20"/>
          <w:color w:val="auto"/>
        </w:rPr>
      </w:pPr>
      <w:r>
        <w:rPr>
          <w:rFonts w:ascii="Arial" w:cs="Arial" w:eastAsia="Arial" w:hAnsi="Arial"/>
          <w:sz w:val="17"/>
          <w:szCs w:val="17"/>
          <w:color w:val="auto"/>
        </w:rPr>
        <w:t>$62.9 million and $164.1 million for the three and six months ended June 30, 2022. Due to the level of Early COVID Defaults remaining in the default inventory, beginning in the third quarter of 2022, we resumed reserving for the Early COVID Defaults using our normal reserve methodology. The transition of defaults to foreclosure or claim has not returned to pre-pandemic levels. As a result, the level of defaults in the default inventory that have missed twelve or more payments is above pre-pandemic levels.</w:t>
      </w:r>
    </w:p>
    <w:p>
      <w:pPr>
        <w:spacing w:after="0" w:line="208" w:lineRule="exact"/>
        <w:rPr>
          <w:sz w:val="20"/>
          <w:szCs w:val="20"/>
          <w:color w:val="auto"/>
        </w:rPr>
      </w:pPr>
    </w:p>
    <w:p>
      <w:pPr>
        <w:ind w:right="20" w:firstLine="428"/>
        <w:spacing w:after="0" w:line="261" w:lineRule="auto"/>
        <w:rPr>
          <w:sz w:val="20"/>
          <w:szCs w:val="20"/>
          <w:color w:val="auto"/>
        </w:rPr>
      </w:pPr>
      <w:r>
        <w:rPr>
          <w:rFonts w:ascii="Arial" w:cs="Arial" w:eastAsia="Arial" w:hAnsi="Arial"/>
          <w:sz w:val="17"/>
          <w:szCs w:val="17"/>
          <w:color w:val="auto"/>
        </w:rPr>
        <w:t>The economy in the United States is currently experiencing elevated levels of consumer price inflation. The Federal Reserve has increased the target federal funds rate several times during 2022 and 2023 in an effort to reduce consumer price inflation. These rate increases have resulted in higher mortgage interest rates which may lower home sale activity and affect the options available to delinquent borrowers. It is reasonably possible that our estimate of losses could change in the near term as a result of changes in the economic environment, the impact of elevated levels of consumer price inflation on home sale activity, housing inventory, and home prices. The impact on our reserves in future periods will be dependent upon the amount of delinquent notices received from loan servicers and our expectations for the amount of ultimate losses on these delinquencies.</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6. Debt Obligations</w:t>
      </w:r>
    </w:p>
    <w:p>
      <w:pPr>
        <w:spacing w:after="0" w:line="22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Credit Facility</w:t>
      </w:r>
    </w:p>
    <w:p>
      <w:pPr>
        <w:spacing w:after="0" w:line="239" w:lineRule="exact"/>
        <w:rPr>
          <w:sz w:val="20"/>
          <w:szCs w:val="20"/>
          <w:color w:val="auto"/>
        </w:rPr>
      </w:pPr>
    </w:p>
    <w:p>
      <w:pPr>
        <w:ind w:firstLine="389"/>
        <w:spacing w:after="0" w:line="256" w:lineRule="auto"/>
        <w:rPr>
          <w:sz w:val="20"/>
          <w:szCs w:val="20"/>
          <w:color w:val="auto"/>
        </w:rPr>
      </w:pPr>
      <w:r>
        <w:rPr>
          <w:rFonts w:ascii="Arial" w:cs="Arial" w:eastAsia="Arial" w:hAnsi="Arial"/>
          <w:sz w:val="16"/>
          <w:szCs w:val="16"/>
          <w:color w:val="auto"/>
        </w:rPr>
        <w:t>Essent Group and its subsidiaries, Essent Irish Intermediate Holdings Limited and Essent US Holdings, Inc. (collectively, the "Borrowers"), are parties to a five-year secured credit facility with a committed capacity of $825 million (the Credit Facility"). The Credit Facility also provides for up to $175 million aggregate principal amount of uncommitted incremental term loan and/or revolving credit facilities that may be exercised at the Borrowers’ option so long as the Borrowers receive commitments from the lenders. Borrowings under the Credit Facility may be used for working capital and general corporate purposes, including, without limitation, capital contributions to Essent’s insurance and reinsurance subsidiaries. Borrowings accrue interest at a floating rate tied to a standard short-term borrowing index, selected at the Company’s option, plus an applicable margin. A commitment fee is due quarterly on the average daily amount of the undrawn revolving commitment. The applicable margin and the commitment fee are based on the senior unsecured debt rating or long-term issuer rating of Essent Group to the extent available, or the insurer financial strength rating of Essent Guaranty. The annual commitment fee rate at June 30, 2023 was 0.25%. The obligations under the Credit Facility are secured by certain assets of the Borrowers, excluding the stock and assets of its insurance and reinsurance subsidiaries. The Credit Facility contains several covenants, including financial covenants relating to minimum net worth, capital and liquidity levels, maximum debt to capitalization level and Essent Guaranty's compliance with the PMIERs (see Note 14). The borrowings under the Credit Facility contractually mature on December 10, 2026. As of June 30, 2023, the Company was in compliance with the covenants and $425 million had been borrowed under the term loan portion of the Credit Facility with a weighted average interest rate of 6.87%. As of December 31, 2022, $425 million had been borrowed with a weighted average interest rate of 6.02%.</w:t>
      </w:r>
    </w:p>
    <w:p>
      <w:pPr>
        <w:spacing w:after="0" w:line="20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7. Commitments and Contingencies</w:t>
      </w:r>
    </w:p>
    <w:p>
      <w:pPr>
        <w:spacing w:after="0" w:line="22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Obligations under Guarantees</w:t>
      </w:r>
    </w:p>
    <w:p>
      <w:pPr>
        <w:spacing w:after="0" w:line="226" w:lineRule="exact"/>
        <w:rPr>
          <w:sz w:val="20"/>
          <w:szCs w:val="20"/>
          <w:color w:val="auto"/>
        </w:rPr>
      </w:pPr>
    </w:p>
    <w:p>
      <w:pPr>
        <w:ind w:right="100" w:firstLine="623"/>
        <w:spacing w:after="0" w:line="260" w:lineRule="auto"/>
        <w:rPr>
          <w:sz w:val="20"/>
          <w:szCs w:val="20"/>
          <w:color w:val="auto"/>
        </w:rPr>
      </w:pPr>
      <w:r>
        <w:rPr>
          <w:rFonts w:ascii="Arial" w:cs="Arial" w:eastAsia="Arial" w:hAnsi="Arial"/>
          <w:sz w:val="17"/>
          <w:szCs w:val="17"/>
          <w:color w:val="auto"/>
        </w:rPr>
        <w:t>Under the terms of CUW Solutions' contract underwriting agreements with lenders and subject to contractual limitations on liability, we agree to indemnify certain lenders against losses incurred in the event that we make an error in determining whether loans processed meet specified underwriting criteria, to the extent that such error materially restricts or impairs the salability of such loan, results in a material reduction in the value of such loan or results in the lender repurchasing the loan. The indemnification may be in the form of monetary or other remedies. No remedy payments were made in the six months ended June 30, 2023, and we paid less than $0.1 million related to remedies in the six months ended June 30, 2022. As of June 30, 2023, management believes any potential claims for indemnification related to contract underwriting services through June 30, 2023 are not material to our consolidated financial position or results of operations.</w:t>
      </w:r>
    </w:p>
    <w:p>
      <w:pPr>
        <w:spacing w:after="0" w:line="179" w:lineRule="exact"/>
        <w:rPr>
          <w:sz w:val="20"/>
          <w:szCs w:val="20"/>
          <w:color w:val="auto"/>
        </w:rPr>
      </w:pPr>
    </w:p>
    <w:p>
      <w:pPr>
        <w:ind w:right="160" w:firstLine="623"/>
        <w:spacing w:after="0" w:line="265" w:lineRule="auto"/>
        <w:rPr>
          <w:sz w:val="20"/>
          <w:szCs w:val="20"/>
          <w:color w:val="auto"/>
        </w:rPr>
      </w:pPr>
      <w:r>
        <w:rPr>
          <w:rFonts w:ascii="Arial" w:cs="Arial" w:eastAsia="Arial" w:hAnsi="Arial"/>
          <w:sz w:val="17"/>
          <w:szCs w:val="17"/>
          <w:color w:val="auto"/>
        </w:rPr>
        <w:t>In addition to the indemnifications discussed above, in the normal course of business, we enter into agreements or other relationships with third parties pursuant to which we may be obligated under specified circumstances to indemnify the counterparties with respect to certain matters. Our contractual indemnification obligations typically arise in the context of agreements entered into by us to, among other things, purchase or sell services, finance our business and business transactions,</w:t>
      </w: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68580</wp:posOffset>
            </wp:positionV>
            <wp:extent cx="7162800" cy="419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9" w:name="page20"/>
    <w:bookmarkEnd w:id="19"/>
    <w:p>
      <w:pPr>
        <w:spacing w:after="0"/>
        <w:rPr>
          <w:sz w:val="20"/>
          <w:szCs w:val="20"/>
          <w:color w:val="auto"/>
        </w:rPr>
      </w:pPr>
      <w:r>
        <w:rPr>
          <w:rFonts w:ascii="Arial" w:cs="Arial" w:eastAsia="Arial" w:hAnsi="Arial"/>
          <w:sz w:val="17"/>
          <w:szCs w:val="17"/>
          <w:u w:val="single" w:color="auto"/>
          <w:color w:val="0000FF"/>
        </w:rPr>
        <w:t>Table of Contents</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Essent Group Ltd. and Subsidiaries</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Condensed Consolidated Financial Statements (Unaudited)</w:t>
      </w:r>
    </w:p>
    <w:p>
      <w:pPr>
        <w:spacing w:after="0" w:line="200" w:lineRule="exact"/>
        <w:rPr>
          <w:sz w:val="20"/>
          <w:szCs w:val="20"/>
          <w:color w:val="auto"/>
        </w:rPr>
      </w:pPr>
    </w:p>
    <w:p>
      <w:pPr>
        <w:spacing w:after="0" w:line="234" w:lineRule="exact"/>
        <w:rPr>
          <w:sz w:val="20"/>
          <w:szCs w:val="20"/>
          <w:color w:val="auto"/>
        </w:rPr>
      </w:pPr>
    </w:p>
    <w:p>
      <w:pPr>
        <w:ind w:right="60"/>
        <w:spacing w:after="0" w:line="296" w:lineRule="auto"/>
        <w:rPr>
          <w:sz w:val="20"/>
          <w:szCs w:val="20"/>
          <w:color w:val="auto"/>
        </w:rPr>
      </w:pPr>
      <w:r>
        <w:rPr>
          <w:rFonts w:ascii="Arial" w:cs="Arial" w:eastAsia="Arial" w:hAnsi="Arial"/>
          <w:sz w:val="15"/>
          <w:szCs w:val="15"/>
          <w:color w:val="auto"/>
        </w:rPr>
        <w:t>lease real property and license intellectual property. The agreements we enter into in the normal course of business generally require us to pay certain amounts to the other party associated with claims or losses if they result from our breach of the agreement, including the inaccuracy of representations or warranties. The agreements we enter into may also contain other indemnification provisions that obligate us to pay amounts upon the occurrence of certain events, such as the negligence or willful misconduct of our employees, infringement of third-party intellectual property rights or claims that performance of the agreement constitutes a violation of law. Generally, payment by us under an indemnification provision is conditioned upon the other party making a claim, and typically we can challenge the other party’s claims. Further, our indemnification obligations may be limited in time and/or amount, and in some instances, we may have recourse against third parties for certain payments made by us under an indemnification agreement or obligation. As of June 30, 2023, contingencies triggering material indemnification obligations or payments have not occurred historically and are not expected to occur. The nature of the indemnification provisions in the various types of agreements and relationships described above are believed to be low risk and pervasive, and we consider them to have a remote risk of loss or payment. We have not recorded any provisions on the condensed consolidated balance sheets related to indemnifications.</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8. Capital Stock</w:t>
      </w:r>
    </w:p>
    <w:p>
      <w:pPr>
        <w:spacing w:after="0" w:line="226" w:lineRule="exact"/>
        <w:rPr>
          <w:sz w:val="20"/>
          <w:szCs w:val="20"/>
          <w:color w:val="auto"/>
        </w:rPr>
      </w:pPr>
    </w:p>
    <w:p>
      <w:pPr>
        <w:ind w:right="60" w:firstLine="623"/>
        <w:spacing w:after="0" w:line="298" w:lineRule="auto"/>
        <w:rPr>
          <w:sz w:val="20"/>
          <w:szCs w:val="20"/>
          <w:color w:val="auto"/>
        </w:rPr>
      </w:pPr>
      <w:r>
        <w:rPr>
          <w:rFonts w:ascii="Arial" w:cs="Arial" w:eastAsia="Arial" w:hAnsi="Arial"/>
          <w:sz w:val="15"/>
          <w:szCs w:val="15"/>
          <w:color w:val="auto"/>
        </w:rPr>
        <w:t>Our authorized share capital consists of 233.3 million shares of a single class of common shares. The common shares have no preemptive rights or other rights to subscribe for additional shares, and no rights of redemption, conversion or exchange. Under certain circumstances and subject to the provisions of Bermuda law and our bye-laws, we may be required to make an offer to repurchase shares held by members. The common shares rank pari passu with one another in all respects as to rights of payment and distribution. In general, holders of common shares will have one vote for each common share held by them and will be entitled to vote, on a non-cumulative basis, at all meetings of shareholders. In the event that a shareholder is considered a 9.5% Shareholder under our bye-laws, such shareholder's votes will be reduced by whatever amount is necessary so that after any such reduction the votes of such shareholder will not result in any other person being treated as a 9.5% Shareholder with respect to the vote on such matter. Under these provisions certain shareholders may have their voting rights limited to less than one vote per share, while other shareholders may have voting rights in excess of one vote per share.</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Dividends</w:t>
      </w:r>
    </w:p>
    <w:p>
      <w:pPr>
        <w:spacing w:after="0" w:line="226" w:lineRule="exact"/>
        <w:rPr>
          <w:sz w:val="20"/>
          <w:szCs w:val="20"/>
          <w:color w:val="auto"/>
        </w:rPr>
      </w:pPr>
    </w:p>
    <w:p>
      <w:pPr>
        <w:ind w:left="400"/>
        <w:spacing w:after="0"/>
        <w:rPr>
          <w:sz w:val="20"/>
          <w:szCs w:val="20"/>
          <w:color w:val="auto"/>
        </w:rPr>
      </w:pPr>
      <w:r>
        <w:rPr>
          <w:rFonts w:ascii="Arial" w:cs="Arial" w:eastAsia="Arial" w:hAnsi="Arial"/>
          <w:sz w:val="17"/>
          <w:szCs w:val="17"/>
          <w:color w:val="auto"/>
        </w:rPr>
        <w:t>The following table presents the amounts declared and paid per common share each quarter:</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7640" w:type="dxa"/>
            <w:vAlign w:val="bottom"/>
            <w:gridSpan w:val="3"/>
          </w:tcPr>
          <w:p>
            <w:pPr>
              <w:ind w:left="20"/>
              <w:spacing w:after="0"/>
              <w:rPr>
                <w:sz w:val="20"/>
                <w:szCs w:val="20"/>
                <w:color w:val="auto"/>
              </w:rPr>
            </w:pPr>
            <w:r>
              <w:rPr>
                <w:rFonts w:ascii="Arial" w:cs="Arial" w:eastAsia="Arial" w:hAnsi="Arial"/>
                <w:sz w:val="14"/>
                <w:szCs w:val="14"/>
                <w:b w:val="1"/>
                <w:bCs w:val="1"/>
                <w:color w:val="auto"/>
              </w:rPr>
              <w:t>Quarter Ended</w:t>
            </w:r>
          </w:p>
        </w:tc>
        <w:tc>
          <w:tcPr>
            <w:tcW w:w="420" w:type="dxa"/>
            <w:vAlign w:val="bottom"/>
          </w:tcPr>
          <w:p>
            <w:pPr>
              <w:spacing w:after="0"/>
              <w:rPr>
                <w:sz w:val="14"/>
                <w:szCs w:val="14"/>
                <w:color w:val="auto"/>
              </w:rPr>
            </w:pPr>
          </w:p>
        </w:tc>
        <w:tc>
          <w:tcPr>
            <w:tcW w:w="1320" w:type="dxa"/>
            <w:vAlign w:val="bottom"/>
          </w:tcPr>
          <w:p>
            <w:pPr>
              <w:jc w:val="right"/>
              <w:ind w:right="656"/>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340" w:type="dxa"/>
            <w:vAlign w:val="bottom"/>
          </w:tcPr>
          <w:p>
            <w:pPr>
              <w:jc w:val="right"/>
              <w:ind w:right="656"/>
              <w:spacing w:after="0"/>
              <w:rPr>
                <w:sz w:val="20"/>
                <w:szCs w:val="20"/>
                <w:color w:val="auto"/>
              </w:rPr>
            </w:pPr>
            <w:r>
              <w:rPr>
                <w:rFonts w:ascii="Arial" w:cs="Arial" w:eastAsia="Arial" w:hAnsi="Arial"/>
                <w:sz w:val="14"/>
                <w:szCs w:val="14"/>
                <w:b w:val="1"/>
                <w:bCs w:val="1"/>
                <w:color w:val="auto"/>
              </w:rPr>
              <w:t>2022</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900" w:type="dxa"/>
            <w:vAlign w:val="bottom"/>
            <w:tcBorders>
              <w:top w:val="single" w:sz="8" w:color="auto"/>
              <w:bottom w:val="single" w:sz="8" w:color="CCEEFF"/>
            </w:tcBorders>
          </w:tcPr>
          <w:p>
            <w:pPr>
              <w:spacing w:after="0" w:line="20" w:lineRule="exact"/>
              <w:rPr>
                <w:sz w:val="1"/>
                <w:szCs w:val="1"/>
                <w:color w:val="auto"/>
              </w:rPr>
            </w:pPr>
          </w:p>
        </w:tc>
        <w:tc>
          <w:tcPr>
            <w:tcW w:w="672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r>
        <w:trPr>
          <w:trHeight w:val="213"/>
        </w:trPr>
        <w:tc>
          <w:tcPr>
            <w:tcW w:w="7640" w:type="dxa"/>
            <w:vAlign w:val="bottom"/>
            <w:gridSpan w:val="3"/>
            <w:shd w:val="clear" w:color="auto" w:fill="CCEEFF"/>
          </w:tcPr>
          <w:p>
            <w:pPr>
              <w:ind w:left="20"/>
              <w:spacing w:after="0"/>
              <w:rPr>
                <w:sz w:val="20"/>
                <w:szCs w:val="20"/>
                <w:color w:val="auto"/>
              </w:rPr>
            </w:pPr>
            <w:r>
              <w:rPr>
                <w:rFonts w:ascii="Arial" w:cs="Arial" w:eastAsia="Arial" w:hAnsi="Arial"/>
                <w:sz w:val="17"/>
                <w:szCs w:val="17"/>
                <w:color w:val="auto"/>
              </w:rPr>
              <w:t>March 31</w:t>
            </w:r>
          </w:p>
        </w:tc>
        <w:tc>
          <w:tcPr>
            <w:tcW w:w="420" w:type="dxa"/>
            <w:vAlign w:val="bottom"/>
            <w:shd w:val="clear" w:color="auto" w:fill="CCEEFF"/>
          </w:tcPr>
          <w:p>
            <w:pPr>
              <w:jc w:val="right"/>
              <w:ind w:right="233"/>
              <w:spacing w:after="0"/>
              <w:rPr>
                <w:sz w:val="20"/>
                <w:szCs w:val="20"/>
                <w:color w:val="auto"/>
              </w:rPr>
            </w:pPr>
            <w:r>
              <w:rPr>
                <w:rFonts w:ascii="Arial" w:cs="Arial" w:eastAsia="Arial" w:hAnsi="Arial"/>
                <w:sz w:val="17"/>
                <w:szCs w:val="17"/>
                <w:color w:val="auto"/>
                <w:w w:val="84"/>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0.25</w:t>
            </w:r>
          </w:p>
        </w:tc>
        <w:tc>
          <w:tcPr>
            <w:tcW w:w="520" w:type="dxa"/>
            <w:vAlign w:val="bottom"/>
            <w:gridSpan w:val="2"/>
            <w:shd w:val="clear" w:color="auto" w:fill="CCEEFF"/>
          </w:tcPr>
          <w:p>
            <w:pPr>
              <w:jc w:val="right"/>
              <w:ind w:right="233"/>
              <w:spacing w:after="0"/>
              <w:rPr>
                <w:sz w:val="20"/>
                <w:szCs w:val="20"/>
                <w:color w:val="auto"/>
              </w:rPr>
            </w:pPr>
            <w:r>
              <w:rPr>
                <w:rFonts w:ascii="Arial" w:cs="Arial" w:eastAsia="Arial" w:hAnsi="Arial"/>
                <w:sz w:val="17"/>
                <w:szCs w:val="17"/>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0.20</w:t>
            </w:r>
          </w:p>
        </w:tc>
      </w:tr>
      <w:tr>
        <w:trPr>
          <w:trHeight w:val="221"/>
        </w:trPr>
        <w:tc>
          <w:tcPr>
            <w:tcW w:w="7640" w:type="dxa"/>
            <w:vAlign w:val="bottom"/>
            <w:gridSpan w:val="3"/>
          </w:tcPr>
          <w:p>
            <w:pPr>
              <w:ind w:left="20"/>
              <w:spacing w:after="0"/>
              <w:rPr>
                <w:sz w:val="20"/>
                <w:szCs w:val="20"/>
                <w:color w:val="auto"/>
              </w:rPr>
            </w:pPr>
            <w:r>
              <w:rPr>
                <w:rFonts w:ascii="Arial" w:cs="Arial" w:eastAsia="Arial" w:hAnsi="Arial"/>
                <w:sz w:val="17"/>
                <w:szCs w:val="17"/>
                <w:color w:val="auto"/>
              </w:rPr>
              <w:t>June 30</w:t>
            </w:r>
          </w:p>
        </w:tc>
        <w:tc>
          <w:tcPr>
            <w:tcW w:w="4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0.25</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0.21</w:t>
            </w:r>
          </w:p>
        </w:tc>
      </w:tr>
      <w:tr>
        <w:trPr>
          <w:trHeight w:val="234"/>
        </w:trPr>
        <w:tc>
          <w:tcPr>
            <w:tcW w:w="7640" w:type="dxa"/>
            <w:vAlign w:val="bottom"/>
            <w:gridSpan w:val="3"/>
            <w:shd w:val="clear" w:color="auto" w:fill="CCEEFF"/>
          </w:tcPr>
          <w:p>
            <w:pPr>
              <w:ind w:left="20"/>
              <w:spacing w:after="0"/>
              <w:rPr>
                <w:sz w:val="20"/>
                <w:szCs w:val="20"/>
                <w:color w:val="auto"/>
              </w:rPr>
            </w:pPr>
            <w:r>
              <w:rPr>
                <w:rFonts w:ascii="Arial" w:cs="Arial" w:eastAsia="Arial" w:hAnsi="Arial"/>
                <w:sz w:val="17"/>
                <w:szCs w:val="17"/>
                <w:color w:val="auto"/>
              </w:rPr>
              <w:t>September 30</w:t>
            </w:r>
          </w:p>
        </w:tc>
        <w:tc>
          <w:tcPr>
            <w:tcW w:w="420" w:type="dxa"/>
            <w:vAlign w:val="bottom"/>
            <w:shd w:val="clear" w:color="auto" w:fill="CCEEFF"/>
          </w:tcPr>
          <w:p>
            <w:pPr>
              <w:spacing w:after="0"/>
              <w:rPr>
                <w:sz w:val="20"/>
                <w:szCs w:val="20"/>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0.22</w:t>
            </w:r>
          </w:p>
        </w:tc>
      </w:tr>
      <w:tr>
        <w:trPr>
          <w:trHeight w:val="265"/>
        </w:trPr>
        <w:tc>
          <w:tcPr>
            <w:tcW w:w="7640" w:type="dxa"/>
            <w:vAlign w:val="bottom"/>
            <w:tcBorders>
              <w:bottom w:val="single" w:sz="8" w:color="CCEEFF"/>
            </w:tcBorders>
            <w:gridSpan w:val="3"/>
          </w:tcPr>
          <w:p>
            <w:pPr>
              <w:ind w:left="20"/>
              <w:spacing w:after="0"/>
              <w:rPr>
                <w:sz w:val="20"/>
                <w:szCs w:val="20"/>
                <w:color w:val="auto"/>
              </w:rPr>
            </w:pPr>
            <w:r>
              <w:rPr>
                <w:rFonts w:ascii="Arial" w:cs="Arial" w:eastAsia="Arial" w:hAnsi="Arial"/>
                <w:sz w:val="17"/>
                <w:szCs w:val="17"/>
                <w:color w:val="auto"/>
              </w:rPr>
              <w:t>December 31</w:t>
            </w:r>
          </w:p>
        </w:tc>
        <w:tc>
          <w:tcPr>
            <w:tcW w:w="420" w:type="dxa"/>
            <w:vAlign w:val="bottom"/>
            <w:tcBorders>
              <w:bottom w:val="single" w:sz="8" w:color="CCEEFF"/>
            </w:tcBorders>
          </w:tcPr>
          <w:p>
            <w:pPr>
              <w:spacing w:after="0"/>
              <w:rPr>
                <w:sz w:val="22"/>
                <w:szCs w:val="22"/>
                <w:color w:val="auto"/>
              </w:rPr>
            </w:pPr>
          </w:p>
        </w:tc>
        <w:tc>
          <w:tcPr>
            <w:tcW w:w="1320" w:type="dxa"/>
            <w:vAlign w:val="bottom"/>
            <w:tcBorders>
              <w:bottom w:val="single" w:sz="8" w:color="CCEEFF"/>
            </w:tcBorders>
          </w:tcPr>
          <w:p>
            <w:pPr>
              <w:jc w:val="right"/>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tcPr>
          <w:p>
            <w:pPr>
              <w:spacing w:after="0"/>
              <w:rPr>
                <w:sz w:val="22"/>
                <w:szCs w:val="22"/>
                <w:color w:val="auto"/>
              </w:rPr>
            </w:pPr>
          </w:p>
        </w:tc>
        <w:tc>
          <w:tcPr>
            <w:tcW w:w="420" w:type="dxa"/>
            <w:vAlign w:val="bottom"/>
            <w:tcBorders>
              <w:bottom w:val="single" w:sz="8" w:color="CCEEFF"/>
            </w:tcBorders>
          </w:tcPr>
          <w:p>
            <w:pPr>
              <w:spacing w:after="0"/>
              <w:rPr>
                <w:sz w:val="22"/>
                <w:szCs w:val="22"/>
                <w:color w:val="auto"/>
              </w:rPr>
            </w:pPr>
          </w:p>
        </w:tc>
        <w:tc>
          <w:tcPr>
            <w:tcW w:w="1340" w:type="dxa"/>
            <w:vAlign w:val="bottom"/>
            <w:tcBorders>
              <w:bottom w:val="single" w:sz="8" w:color="CCEEFF"/>
            </w:tcBorders>
          </w:tcPr>
          <w:p>
            <w:pPr>
              <w:jc w:val="right"/>
              <w:spacing w:after="0"/>
              <w:rPr>
                <w:sz w:val="20"/>
                <w:szCs w:val="20"/>
                <w:color w:val="auto"/>
              </w:rPr>
            </w:pPr>
            <w:r>
              <w:rPr>
                <w:rFonts w:ascii="Arial" w:cs="Arial" w:eastAsia="Arial" w:hAnsi="Arial"/>
                <w:sz w:val="17"/>
                <w:szCs w:val="17"/>
                <w:color w:val="auto"/>
              </w:rPr>
              <w:t>0.23</w:t>
            </w:r>
          </w:p>
        </w:tc>
      </w:tr>
      <w:tr>
        <w:trPr>
          <w:trHeight w:val="227"/>
        </w:trPr>
        <w:tc>
          <w:tcPr>
            <w:tcW w:w="7640" w:type="dxa"/>
            <w:vAlign w:val="bottom"/>
            <w:tcBorders>
              <w:top w:val="single" w:sz="8" w:color="CCEEFF"/>
            </w:tcBorders>
            <w:gridSpan w:val="3"/>
          </w:tcPr>
          <w:p>
            <w:pPr>
              <w:ind w:left="20"/>
              <w:spacing w:after="0"/>
              <w:rPr>
                <w:sz w:val="20"/>
                <w:szCs w:val="20"/>
                <w:color w:val="auto"/>
              </w:rPr>
            </w:pPr>
            <w:r>
              <w:rPr>
                <w:rFonts w:ascii="Arial" w:cs="Arial" w:eastAsia="Arial" w:hAnsi="Arial"/>
                <w:sz w:val="17"/>
                <w:szCs w:val="17"/>
                <w:color w:val="auto"/>
              </w:rPr>
              <w:t>Total dividends per common share declared and paid</w:t>
            </w:r>
          </w:p>
        </w:tc>
        <w:tc>
          <w:tcPr>
            <w:tcW w:w="420" w:type="dxa"/>
            <w:vAlign w:val="bottom"/>
            <w:tcBorders>
              <w:top w:val="single" w:sz="8" w:color="auto"/>
              <w:bottom w:val="single" w:sz="8" w:color="auto"/>
            </w:tcBorders>
          </w:tcPr>
          <w:p>
            <w:pPr>
              <w:jc w:val="right"/>
              <w:ind w:right="233"/>
              <w:spacing w:after="0"/>
              <w:rPr>
                <w:sz w:val="20"/>
                <w:szCs w:val="20"/>
                <w:color w:val="auto"/>
              </w:rPr>
            </w:pPr>
            <w:r>
              <w:rPr>
                <w:rFonts w:ascii="Arial" w:cs="Arial" w:eastAsia="Arial" w:hAnsi="Arial"/>
                <w:sz w:val="17"/>
                <w:szCs w:val="17"/>
                <w:color w:val="auto"/>
                <w:w w:val="84"/>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0.50</w:t>
            </w:r>
          </w:p>
        </w:tc>
        <w:tc>
          <w:tcPr>
            <w:tcW w:w="100" w:type="dxa"/>
            <w:vAlign w:val="bottom"/>
            <w:tcBorders>
              <w:top w:val="single" w:sz="8" w:color="CCEEFF"/>
            </w:tcBorders>
          </w:tcPr>
          <w:p>
            <w:pPr>
              <w:spacing w:after="0"/>
              <w:rPr>
                <w:sz w:val="19"/>
                <w:szCs w:val="19"/>
                <w:color w:val="auto"/>
              </w:rPr>
            </w:pPr>
          </w:p>
        </w:tc>
        <w:tc>
          <w:tcPr>
            <w:tcW w:w="420" w:type="dxa"/>
            <w:vAlign w:val="bottom"/>
            <w:tcBorders>
              <w:top w:val="single" w:sz="8" w:color="auto"/>
              <w:bottom w:val="single" w:sz="8" w:color="auto"/>
            </w:tcBorders>
          </w:tcPr>
          <w:p>
            <w:pPr>
              <w:jc w:val="right"/>
              <w:ind w:right="233"/>
              <w:spacing w:after="0"/>
              <w:rPr>
                <w:sz w:val="20"/>
                <w:szCs w:val="20"/>
                <w:color w:val="auto"/>
              </w:rPr>
            </w:pPr>
            <w:r>
              <w:rPr>
                <w:rFonts w:ascii="Arial" w:cs="Arial" w:eastAsia="Arial" w:hAnsi="Arial"/>
                <w:sz w:val="17"/>
                <w:szCs w:val="17"/>
                <w:color w:val="auto"/>
                <w:w w:val="84"/>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0.86</w:t>
            </w:r>
          </w:p>
        </w:tc>
      </w:tr>
      <w:tr>
        <w:trPr>
          <w:trHeight w:val="20"/>
        </w:trPr>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7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299" w:lineRule="exact"/>
        <w:rPr>
          <w:sz w:val="20"/>
          <w:szCs w:val="20"/>
          <w:color w:val="auto"/>
        </w:rPr>
      </w:pPr>
    </w:p>
    <w:p>
      <w:pPr>
        <w:jc w:val="both"/>
        <w:ind w:right="40" w:firstLine="623"/>
        <w:spacing w:after="0" w:line="285" w:lineRule="auto"/>
        <w:rPr>
          <w:sz w:val="20"/>
          <w:szCs w:val="20"/>
          <w:color w:val="auto"/>
        </w:rPr>
      </w:pPr>
      <w:r>
        <w:rPr>
          <w:rFonts w:ascii="Arial" w:cs="Arial" w:eastAsia="Arial" w:hAnsi="Arial"/>
          <w:sz w:val="17"/>
          <w:szCs w:val="17"/>
          <w:color w:val="auto"/>
        </w:rPr>
        <w:t>In August 2023, the Board of Directors declared a quarterly cash dividend of $0.25 per common share payable on September 11, 2023 to shareholders of record on September 1, 2023.</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Share Repurchase Plan</w:t>
      </w:r>
    </w:p>
    <w:p>
      <w:pPr>
        <w:spacing w:after="0" w:line="252" w:lineRule="exact"/>
        <w:rPr>
          <w:sz w:val="20"/>
          <w:szCs w:val="20"/>
          <w:color w:val="auto"/>
        </w:rPr>
      </w:pPr>
    </w:p>
    <w:p>
      <w:pPr>
        <w:ind w:right="220" w:firstLine="623"/>
        <w:spacing w:after="0" w:line="270" w:lineRule="auto"/>
        <w:rPr>
          <w:sz w:val="20"/>
          <w:szCs w:val="20"/>
          <w:color w:val="auto"/>
        </w:rPr>
      </w:pPr>
      <w:r>
        <w:rPr>
          <w:rFonts w:ascii="Arial" w:cs="Arial" w:eastAsia="Arial" w:hAnsi="Arial"/>
          <w:sz w:val="17"/>
          <w:szCs w:val="17"/>
          <w:color w:val="auto"/>
        </w:rPr>
        <w:t>In May 2022, the Board of Directors approved a share repurchase plan that authorizes the Company to repurchase up to $250 million of its common shares in the open market by the end of 2023. Through June 30, 2023, the Company repurchased 1,131,896 common shares at a cost of $46.0 million under the 2022 plan, leaving $204.0 million remaining unused under the authorized repurchase plan as of June 30, 2023.</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68580</wp:posOffset>
            </wp:positionV>
            <wp:extent cx="7162800" cy="419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0" w:name="page21"/>
    <w:bookmarkEnd w:id="20"/>
    <w:p>
      <w:pPr>
        <w:spacing w:after="0"/>
        <w:rPr>
          <w:sz w:val="20"/>
          <w:szCs w:val="20"/>
          <w:color w:val="auto"/>
        </w:rPr>
      </w:pPr>
      <w:r>
        <w:rPr>
          <w:rFonts w:ascii="Arial" w:cs="Arial" w:eastAsia="Arial" w:hAnsi="Arial"/>
          <w:sz w:val="17"/>
          <w:szCs w:val="17"/>
          <w:u w:val="single" w:color="auto"/>
          <w:color w:val="0000FF"/>
        </w:rPr>
        <w:t>Table of Contents</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Essent Group Ltd. and Subsidiaries</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Condensed Consolidated Financial Statements (Unaudited)</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9. Stock-Based Compensation</w:t>
      </w:r>
    </w:p>
    <w:p>
      <w:pPr>
        <w:spacing w:after="0" w:line="226" w:lineRule="exact"/>
        <w:rPr>
          <w:sz w:val="20"/>
          <w:szCs w:val="20"/>
          <w:color w:val="auto"/>
        </w:rPr>
      </w:pPr>
    </w:p>
    <w:p>
      <w:pPr>
        <w:ind w:right="40" w:firstLine="623"/>
        <w:spacing w:after="0" w:line="290" w:lineRule="auto"/>
        <w:rPr>
          <w:sz w:val="20"/>
          <w:szCs w:val="20"/>
          <w:color w:val="auto"/>
        </w:rPr>
      </w:pPr>
      <w:r>
        <w:rPr>
          <w:rFonts w:ascii="Arial" w:cs="Arial" w:eastAsia="Arial" w:hAnsi="Arial"/>
          <w:sz w:val="15"/>
          <w:szCs w:val="15"/>
          <w:color w:val="auto"/>
        </w:rPr>
        <w:t xml:space="preserve">In 2013, Essent Group's Board of Directors adopted, and Essent Group's shareholders </w:t>
      </w:r>
      <w:r>
        <w:rPr>
          <w:rFonts w:ascii="Arial" w:cs="Arial" w:eastAsia="Arial" w:hAnsi="Arial"/>
          <w:sz w:val="15"/>
          <w:szCs w:val="15"/>
          <w:color w:val="242021"/>
        </w:rPr>
        <w:t>approved, the Essent Group Ltd. 2013 Long-Term Incentive Plan</w:t>
      </w:r>
      <w:r>
        <w:rPr>
          <w:rFonts w:ascii="Arial" w:cs="Arial" w:eastAsia="Arial" w:hAnsi="Arial"/>
          <w:sz w:val="15"/>
          <w:szCs w:val="15"/>
          <w:color w:val="auto"/>
        </w:rPr>
        <w:t xml:space="preserve"> </w:t>
      </w:r>
      <w:r>
        <w:rPr>
          <w:rFonts w:ascii="Arial" w:cs="Arial" w:eastAsia="Arial" w:hAnsi="Arial"/>
          <w:sz w:val="15"/>
          <w:szCs w:val="15"/>
          <w:color w:val="242021"/>
        </w:rPr>
        <w:t>(the "2013 Plan"), which was effective upon completion of the initial public offering. The 2013 Plan was most recently amended effective upon shareholder approval in May 2023 to increase the number of shares available for issuance under the 2013 Plan by 2 million shares. The types of awards available under the 2013 Plan include nonvested shares, nonvested share units, non-</w:t>
      </w:r>
      <w:r>
        <w:rPr>
          <w:rFonts w:ascii="Arial" w:cs="Arial" w:eastAsia="Arial" w:hAnsi="Arial"/>
          <w:sz w:val="15"/>
          <w:szCs w:val="15"/>
          <w:color w:val="000000"/>
        </w:rPr>
        <w:t>qualified share options, incentive stock options, share appreciation rights, and other share-based</w:t>
      </w:r>
      <w:r>
        <w:rPr>
          <w:rFonts w:ascii="Arial" w:cs="Arial" w:eastAsia="Arial" w:hAnsi="Arial"/>
          <w:sz w:val="15"/>
          <w:szCs w:val="15"/>
          <w:color w:val="242021"/>
        </w:rPr>
        <w:t xml:space="preserve"> </w:t>
      </w:r>
      <w:r>
        <w:rPr>
          <w:rFonts w:ascii="Arial" w:cs="Arial" w:eastAsia="Arial" w:hAnsi="Arial"/>
          <w:sz w:val="15"/>
          <w:szCs w:val="15"/>
          <w:color w:val="000000"/>
        </w:rPr>
        <w:t>or cash-based awards. Nonvested shares and nonvested share units granted under the 2013 Plan have rights to dividends, which entitle holders to the same dividend value per share as holders of common shares in the form of dividend equivalent units ("DEUs"). DEUs are subject to the same vesting and other terms and conditions as the corresponding nonvested shares and nonvested share units. DEUs vest when the underlying shares or share units vest and are forfeited if the underlying share or share units forfeit prior to vesting. The maximum number of shares and share units available for issuance is 5.6 million under the 2013 Plan, as amended. As of June 30, 2023, there were 3.9 million common shares available for future grant under the 2013 Plan.</w:t>
      </w:r>
    </w:p>
    <w:p>
      <w:pPr>
        <w:spacing w:after="0" w:line="6" w:lineRule="exact"/>
        <w:rPr>
          <w:sz w:val="20"/>
          <w:szCs w:val="20"/>
          <w:color w:val="auto"/>
        </w:rPr>
      </w:pPr>
    </w:p>
    <w:p>
      <w:pPr>
        <w:ind w:left="620"/>
        <w:spacing w:after="0"/>
        <w:rPr>
          <w:sz w:val="20"/>
          <w:szCs w:val="20"/>
          <w:color w:val="auto"/>
        </w:rPr>
      </w:pPr>
      <w:r>
        <w:rPr>
          <w:rFonts w:ascii="Arial" w:cs="Arial" w:eastAsia="Arial" w:hAnsi="Arial"/>
          <w:sz w:val="16"/>
          <w:szCs w:val="16"/>
          <w:color w:val="auto"/>
        </w:rPr>
        <w:t>The following table summarizes nonvested common share, nonvested common share unit and DEU activity for the six months ended June 30, 2023:</w:t>
      </w:r>
    </w:p>
    <w:p>
      <w:pPr>
        <w:spacing w:after="0" w:line="317"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20" w:type="dxa"/>
            <w:vAlign w:val="bottom"/>
            <w:gridSpan w:val="4"/>
          </w:tcPr>
          <w:p>
            <w:pPr>
              <w:jc w:val="right"/>
              <w:ind w:right="221"/>
              <w:spacing w:after="0"/>
              <w:rPr>
                <w:sz w:val="20"/>
                <w:szCs w:val="20"/>
                <w:color w:val="auto"/>
              </w:rPr>
            </w:pPr>
            <w:r>
              <w:rPr>
                <w:rFonts w:ascii="Arial" w:cs="Arial" w:eastAsia="Arial" w:hAnsi="Arial"/>
                <w:sz w:val="14"/>
                <w:szCs w:val="14"/>
                <w:b w:val="1"/>
                <w:bCs w:val="1"/>
                <w:color w:val="auto"/>
              </w:rPr>
              <w:t>Time and Performance-</w:t>
            </w:r>
          </w:p>
        </w:tc>
        <w:tc>
          <w:tcPr>
            <w:tcW w:w="100" w:type="dxa"/>
            <w:vAlign w:val="bottom"/>
          </w:tcPr>
          <w:p>
            <w:pPr>
              <w:spacing w:after="0"/>
              <w:rPr>
                <w:sz w:val="14"/>
                <w:szCs w:val="14"/>
                <w:color w:val="auto"/>
              </w:rPr>
            </w:pPr>
          </w:p>
        </w:tc>
        <w:tc>
          <w:tcPr>
            <w:tcW w:w="2000" w:type="dxa"/>
            <w:vAlign w:val="bottom"/>
            <w:gridSpan w:val="4"/>
          </w:tcPr>
          <w:p>
            <w:pPr>
              <w:jc w:val="right"/>
              <w:ind w:right="561"/>
              <w:spacing w:after="0"/>
              <w:rPr>
                <w:sz w:val="20"/>
                <w:szCs w:val="20"/>
                <w:color w:val="auto"/>
              </w:rPr>
            </w:pPr>
            <w:r>
              <w:rPr>
                <w:rFonts w:ascii="Arial" w:cs="Arial" w:eastAsia="Arial" w:hAnsi="Arial"/>
                <w:sz w:val="14"/>
                <w:szCs w:val="14"/>
                <w:b w:val="1"/>
                <w:bCs w:val="1"/>
                <w:color w:val="auto"/>
              </w:rPr>
              <w:t>Time-Based</w:t>
            </w:r>
          </w:p>
        </w:tc>
        <w:tc>
          <w:tcPr>
            <w:tcW w:w="120" w:type="dxa"/>
            <w:vAlign w:val="bottom"/>
          </w:tcPr>
          <w:p>
            <w:pPr>
              <w:spacing w:after="0"/>
              <w:rPr>
                <w:sz w:val="14"/>
                <w:szCs w:val="14"/>
                <w:color w:val="auto"/>
              </w:rPr>
            </w:pPr>
          </w:p>
        </w:tc>
        <w:tc>
          <w:tcPr>
            <w:tcW w:w="1980" w:type="dxa"/>
            <w:vAlign w:val="bottom"/>
            <w:gridSpan w:val="4"/>
            <w:vMerge w:val="restart"/>
          </w:tcPr>
          <w:p>
            <w:pPr>
              <w:jc w:val="right"/>
              <w:ind w:right="561"/>
              <w:spacing w:after="0"/>
              <w:rPr>
                <w:sz w:val="20"/>
                <w:szCs w:val="20"/>
                <w:color w:val="auto"/>
              </w:rPr>
            </w:pPr>
            <w:r>
              <w:rPr>
                <w:rFonts w:ascii="Arial" w:cs="Arial" w:eastAsia="Arial" w:hAnsi="Arial"/>
                <w:sz w:val="14"/>
                <w:szCs w:val="14"/>
                <w:b w:val="1"/>
                <w:bCs w:val="1"/>
                <w:color w:val="auto"/>
              </w:rPr>
              <w:t>Share Units</w:t>
            </w:r>
          </w:p>
        </w:tc>
        <w:tc>
          <w:tcPr>
            <w:tcW w:w="120" w:type="dxa"/>
            <w:vAlign w:val="bottom"/>
          </w:tcPr>
          <w:p>
            <w:pPr>
              <w:spacing w:after="0"/>
              <w:rPr>
                <w:sz w:val="14"/>
                <w:szCs w:val="14"/>
                <w:color w:val="auto"/>
              </w:rPr>
            </w:pPr>
          </w:p>
        </w:tc>
        <w:tc>
          <w:tcPr>
            <w:tcW w:w="1200" w:type="dxa"/>
            <w:vAlign w:val="bottom"/>
            <w:gridSpan w:val="3"/>
            <w:vMerge w:val="restart"/>
          </w:tcPr>
          <w:p>
            <w:pPr>
              <w:jc w:val="right"/>
              <w:ind w:right="20"/>
              <w:spacing w:after="0"/>
              <w:rPr>
                <w:sz w:val="20"/>
                <w:szCs w:val="20"/>
                <w:color w:val="auto"/>
              </w:rPr>
            </w:pPr>
            <w:r>
              <w:rPr>
                <w:rFonts w:ascii="Arial" w:cs="Arial" w:eastAsia="Arial" w:hAnsi="Arial"/>
                <w:sz w:val="14"/>
                <w:szCs w:val="14"/>
                <w:b w:val="1"/>
                <w:bCs w:val="1"/>
                <w:color w:val="auto"/>
              </w:rPr>
              <w:t>DEUs</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2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20" w:type="dxa"/>
            <w:vAlign w:val="bottom"/>
            <w:tcBorders>
              <w:bottom w:val="single" w:sz="8" w:color="auto"/>
            </w:tcBorders>
            <w:gridSpan w:val="4"/>
          </w:tcPr>
          <w:p>
            <w:pPr>
              <w:jc w:val="right"/>
              <w:ind w:right="321"/>
              <w:spacing w:after="0"/>
              <w:rPr>
                <w:sz w:val="20"/>
                <w:szCs w:val="20"/>
                <w:color w:val="auto"/>
              </w:rPr>
            </w:pPr>
            <w:r>
              <w:rPr>
                <w:rFonts w:ascii="Arial" w:cs="Arial" w:eastAsia="Arial" w:hAnsi="Arial"/>
                <w:sz w:val="14"/>
                <w:szCs w:val="14"/>
                <w:b w:val="1"/>
                <w:bCs w:val="1"/>
                <w:color w:val="auto"/>
              </w:rPr>
              <w:t>Based Share Awards</w:t>
            </w:r>
          </w:p>
        </w:tc>
        <w:tc>
          <w:tcPr>
            <w:tcW w:w="100" w:type="dxa"/>
            <w:vAlign w:val="bottom"/>
          </w:tcPr>
          <w:p>
            <w:pPr>
              <w:spacing w:after="0"/>
              <w:rPr>
                <w:sz w:val="16"/>
                <w:szCs w:val="16"/>
                <w:color w:val="auto"/>
              </w:rPr>
            </w:pPr>
          </w:p>
        </w:tc>
        <w:tc>
          <w:tcPr>
            <w:tcW w:w="2000" w:type="dxa"/>
            <w:vAlign w:val="bottom"/>
            <w:tcBorders>
              <w:bottom w:val="single" w:sz="8" w:color="auto"/>
            </w:tcBorders>
            <w:gridSpan w:val="4"/>
          </w:tcPr>
          <w:p>
            <w:pPr>
              <w:jc w:val="right"/>
              <w:ind w:right="501"/>
              <w:spacing w:after="0"/>
              <w:rPr>
                <w:sz w:val="20"/>
                <w:szCs w:val="20"/>
                <w:color w:val="auto"/>
              </w:rPr>
            </w:pPr>
            <w:r>
              <w:rPr>
                <w:rFonts w:ascii="Arial" w:cs="Arial" w:eastAsia="Arial" w:hAnsi="Arial"/>
                <w:sz w:val="14"/>
                <w:szCs w:val="14"/>
                <w:b w:val="1"/>
                <w:bCs w:val="1"/>
                <w:color w:val="auto"/>
              </w:rPr>
              <w:t>Share Awards</w:t>
            </w:r>
          </w:p>
        </w:tc>
        <w:tc>
          <w:tcPr>
            <w:tcW w:w="120" w:type="dxa"/>
            <w:vAlign w:val="bottom"/>
          </w:tcPr>
          <w:p>
            <w:pPr>
              <w:spacing w:after="0"/>
              <w:rPr>
                <w:sz w:val="16"/>
                <w:szCs w:val="16"/>
                <w:color w:val="auto"/>
              </w:rPr>
            </w:pPr>
          </w:p>
        </w:tc>
        <w:tc>
          <w:tcPr>
            <w:tcW w:w="1980" w:type="dxa"/>
            <w:vAlign w:val="bottom"/>
            <w:tcBorders>
              <w:bottom w:val="single" w:sz="8" w:color="auto"/>
            </w:tcBorders>
            <w:gridSpan w:val="4"/>
            <w:vMerge w:val="continue"/>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tcBorders>
              <w:bottom w:val="single" w:sz="8" w:color="auto"/>
            </w:tcBorders>
            <w:gridSpan w:val="3"/>
            <w:vMerge w:val="continue"/>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2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jc w:val="center"/>
              <w:ind w:right="21"/>
              <w:spacing w:after="0" w:line="133" w:lineRule="exact"/>
              <w:rPr>
                <w:sz w:val="20"/>
                <w:szCs w:val="20"/>
                <w:color w:val="auto"/>
              </w:rPr>
            </w:pPr>
            <w:r>
              <w:rPr>
                <w:rFonts w:ascii="Arial" w:cs="Arial" w:eastAsia="Arial" w:hAnsi="Arial"/>
                <w:sz w:val="14"/>
                <w:szCs w:val="14"/>
                <w:b w:val="1"/>
                <w:bCs w:val="1"/>
                <w:color w:val="auto"/>
                <w:w w:val="88"/>
              </w:rPr>
              <w:t>Weighted</w:t>
            </w:r>
          </w:p>
        </w:tc>
        <w:tc>
          <w:tcPr>
            <w:tcW w:w="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jc w:val="center"/>
              <w:ind w:right="1"/>
              <w:spacing w:after="0" w:line="133" w:lineRule="exact"/>
              <w:rPr>
                <w:sz w:val="20"/>
                <w:szCs w:val="20"/>
                <w:color w:val="auto"/>
              </w:rPr>
            </w:pPr>
            <w:r>
              <w:rPr>
                <w:rFonts w:ascii="Arial" w:cs="Arial" w:eastAsia="Arial" w:hAnsi="Arial"/>
                <w:sz w:val="14"/>
                <w:szCs w:val="14"/>
                <w:b w:val="1"/>
                <w:bCs w:val="1"/>
                <w:color w:val="auto"/>
                <w:w w:val="88"/>
              </w:rPr>
              <w:t>Weighted</w:t>
            </w:r>
          </w:p>
        </w:tc>
        <w:tc>
          <w:tcPr>
            <w:tcW w:w="1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jc w:val="center"/>
              <w:ind w:right="1"/>
              <w:spacing w:after="0" w:line="133" w:lineRule="exact"/>
              <w:rPr>
                <w:sz w:val="20"/>
                <w:szCs w:val="20"/>
                <w:color w:val="auto"/>
              </w:rPr>
            </w:pPr>
            <w:r>
              <w:rPr>
                <w:rFonts w:ascii="Arial" w:cs="Arial" w:eastAsia="Arial" w:hAnsi="Arial"/>
                <w:sz w:val="14"/>
                <w:szCs w:val="14"/>
                <w:b w:val="1"/>
                <w:bCs w:val="1"/>
                <w:color w:val="auto"/>
                <w:w w:val="88"/>
              </w:rPr>
              <w:t>Weighted</w:t>
            </w:r>
          </w:p>
        </w:tc>
        <w:tc>
          <w:tcPr>
            <w:tcW w:w="120" w:type="dxa"/>
            <w:vAlign w:val="bottom"/>
          </w:tcPr>
          <w:p>
            <w:pPr>
              <w:spacing w:after="0"/>
              <w:rPr>
                <w:sz w:val="11"/>
                <w:szCs w:val="11"/>
                <w:color w:val="auto"/>
              </w:rPr>
            </w:pPr>
          </w:p>
        </w:tc>
        <w:tc>
          <w:tcPr>
            <w:tcW w:w="9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Dividend</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jc w:val="center"/>
              <w:ind w:right="41"/>
              <w:spacing w:after="0" w:line="133" w:lineRule="exact"/>
              <w:rPr>
                <w:sz w:val="20"/>
                <w:szCs w:val="20"/>
                <w:color w:val="auto"/>
              </w:rPr>
            </w:pPr>
            <w:r>
              <w:rPr>
                <w:rFonts w:ascii="Arial" w:cs="Arial" w:eastAsia="Arial" w:hAnsi="Arial"/>
                <w:sz w:val="14"/>
                <w:szCs w:val="14"/>
                <w:b w:val="1"/>
                <w:bCs w:val="1"/>
                <w:color w:val="auto"/>
                <w:w w:val="88"/>
              </w:rPr>
              <w:t>Weighted</w:t>
            </w:r>
          </w:p>
        </w:tc>
        <w:tc>
          <w:tcPr>
            <w:tcW w:w="0" w:type="dxa"/>
            <w:vAlign w:val="bottom"/>
          </w:tcPr>
          <w:p>
            <w:pPr>
              <w:spacing w:after="0"/>
              <w:rPr>
                <w:sz w:val="1"/>
                <w:szCs w:val="1"/>
                <w:color w:val="auto"/>
              </w:rPr>
            </w:pPr>
          </w:p>
        </w:tc>
      </w:tr>
      <w:tr>
        <w:trPr>
          <w:trHeight w:val="139"/>
        </w:trPr>
        <w:tc>
          <w:tcPr>
            <w:tcW w:w="2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vMerge w:val="restart"/>
          </w:tcPr>
          <w:p>
            <w:pPr>
              <w:jc w:val="right"/>
              <w:ind w:right="81"/>
              <w:spacing w:after="0"/>
              <w:rPr>
                <w:sz w:val="20"/>
                <w:szCs w:val="20"/>
                <w:color w:val="auto"/>
              </w:rPr>
            </w:pPr>
            <w:r>
              <w:rPr>
                <w:rFonts w:ascii="Arial" w:cs="Arial" w:eastAsia="Arial" w:hAnsi="Arial"/>
                <w:sz w:val="14"/>
                <w:szCs w:val="14"/>
                <w:b w:val="1"/>
                <w:bCs w:val="1"/>
                <w:color w:val="auto"/>
              </w:rPr>
              <w:t>Number of</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jc w:val="center"/>
              <w:ind w:right="21"/>
              <w:spacing w:after="0" w:line="139" w:lineRule="exact"/>
              <w:rPr>
                <w:sz w:val="20"/>
                <w:szCs w:val="20"/>
                <w:color w:val="auto"/>
              </w:rPr>
            </w:pPr>
            <w:r>
              <w:rPr>
                <w:rFonts w:ascii="Arial" w:cs="Arial" w:eastAsia="Arial" w:hAnsi="Arial"/>
                <w:sz w:val="14"/>
                <w:szCs w:val="14"/>
                <w:b w:val="1"/>
                <w:bCs w:val="1"/>
                <w:color w:val="auto"/>
                <w:w w:val="86"/>
              </w:rPr>
              <w:t>Average</w:t>
            </w:r>
          </w:p>
        </w:tc>
        <w:tc>
          <w:tcPr>
            <w:tcW w:w="100" w:type="dxa"/>
            <w:vAlign w:val="bottom"/>
          </w:tcPr>
          <w:p>
            <w:pPr>
              <w:spacing w:after="0"/>
              <w:rPr>
                <w:sz w:val="12"/>
                <w:szCs w:val="12"/>
                <w:color w:val="auto"/>
              </w:rPr>
            </w:pPr>
          </w:p>
        </w:tc>
        <w:tc>
          <w:tcPr>
            <w:tcW w:w="980" w:type="dxa"/>
            <w:vAlign w:val="bottom"/>
            <w:vMerge w:val="restart"/>
          </w:tcPr>
          <w:p>
            <w:pPr>
              <w:jc w:val="right"/>
              <w:ind w:right="87"/>
              <w:spacing w:after="0"/>
              <w:rPr>
                <w:sz w:val="20"/>
                <w:szCs w:val="20"/>
                <w:color w:val="auto"/>
              </w:rPr>
            </w:pPr>
            <w:r>
              <w:rPr>
                <w:rFonts w:ascii="Arial" w:cs="Arial" w:eastAsia="Arial" w:hAnsi="Arial"/>
                <w:sz w:val="14"/>
                <w:szCs w:val="14"/>
                <w:b w:val="1"/>
                <w:bCs w:val="1"/>
                <w:color w:val="auto"/>
              </w:rPr>
              <w:t>Number of</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jc w:val="center"/>
              <w:ind w:right="1"/>
              <w:spacing w:after="0" w:line="139" w:lineRule="exact"/>
              <w:rPr>
                <w:sz w:val="20"/>
                <w:szCs w:val="20"/>
                <w:color w:val="auto"/>
              </w:rPr>
            </w:pPr>
            <w:r>
              <w:rPr>
                <w:rFonts w:ascii="Arial" w:cs="Arial" w:eastAsia="Arial" w:hAnsi="Arial"/>
                <w:sz w:val="14"/>
                <w:szCs w:val="14"/>
                <w:b w:val="1"/>
                <w:bCs w:val="1"/>
                <w:color w:val="auto"/>
                <w:w w:val="86"/>
              </w:rPr>
              <w:t>Average</w:t>
            </w:r>
          </w:p>
        </w:tc>
        <w:tc>
          <w:tcPr>
            <w:tcW w:w="120" w:type="dxa"/>
            <w:vAlign w:val="bottom"/>
          </w:tcPr>
          <w:p>
            <w:pPr>
              <w:spacing w:after="0"/>
              <w:rPr>
                <w:sz w:val="12"/>
                <w:szCs w:val="12"/>
                <w:color w:val="auto"/>
              </w:rPr>
            </w:pPr>
          </w:p>
        </w:tc>
        <w:tc>
          <w:tcPr>
            <w:tcW w:w="960" w:type="dxa"/>
            <w:vAlign w:val="bottom"/>
            <w:vMerge w:val="restart"/>
          </w:tcPr>
          <w:p>
            <w:pPr>
              <w:jc w:val="right"/>
              <w:ind w:right="86"/>
              <w:spacing w:after="0"/>
              <w:rPr>
                <w:sz w:val="20"/>
                <w:szCs w:val="20"/>
                <w:color w:val="auto"/>
              </w:rPr>
            </w:pPr>
            <w:r>
              <w:rPr>
                <w:rFonts w:ascii="Arial" w:cs="Arial" w:eastAsia="Arial" w:hAnsi="Arial"/>
                <w:sz w:val="14"/>
                <w:szCs w:val="14"/>
                <w:b w:val="1"/>
                <w:bCs w:val="1"/>
                <w:color w:val="auto"/>
              </w:rPr>
              <w:t>Number of</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jc w:val="center"/>
              <w:ind w:right="1"/>
              <w:spacing w:after="0" w:line="139" w:lineRule="exact"/>
              <w:rPr>
                <w:sz w:val="20"/>
                <w:szCs w:val="20"/>
                <w:color w:val="auto"/>
              </w:rPr>
            </w:pPr>
            <w:r>
              <w:rPr>
                <w:rFonts w:ascii="Arial" w:cs="Arial" w:eastAsia="Arial" w:hAnsi="Arial"/>
                <w:sz w:val="14"/>
                <w:szCs w:val="14"/>
                <w:b w:val="1"/>
                <w:bCs w:val="1"/>
                <w:color w:val="auto"/>
                <w:w w:val="86"/>
              </w:rPr>
              <w:t>Average</w:t>
            </w:r>
          </w:p>
        </w:tc>
        <w:tc>
          <w:tcPr>
            <w:tcW w:w="120" w:type="dxa"/>
            <w:vAlign w:val="bottom"/>
          </w:tcPr>
          <w:p>
            <w:pPr>
              <w:spacing w:after="0"/>
              <w:rPr>
                <w:sz w:val="12"/>
                <w:szCs w:val="12"/>
                <w:color w:val="auto"/>
              </w:rPr>
            </w:pPr>
          </w:p>
        </w:tc>
        <w:tc>
          <w:tcPr>
            <w:tcW w:w="9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jc w:val="center"/>
              <w:ind w:right="41"/>
              <w:spacing w:after="0" w:line="139" w:lineRule="exact"/>
              <w:rPr>
                <w:sz w:val="20"/>
                <w:szCs w:val="20"/>
                <w:color w:val="auto"/>
              </w:rPr>
            </w:pPr>
            <w:r>
              <w:rPr>
                <w:rFonts w:ascii="Arial" w:cs="Arial" w:eastAsia="Arial" w:hAnsi="Arial"/>
                <w:sz w:val="14"/>
                <w:szCs w:val="14"/>
                <w:b w:val="1"/>
                <w:bCs w:val="1"/>
                <w:color w:val="auto"/>
                <w:w w:val="86"/>
              </w:rPr>
              <w:t>Average</w:t>
            </w:r>
          </w:p>
        </w:tc>
        <w:tc>
          <w:tcPr>
            <w:tcW w:w="0" w:type="dxa"/>
            <w:vAlign w:val="bottom"/>
          </w:tcPr>
          <w:p>
            <w:pPr>
              <w:spacing w:after="0"/>
              <w:rPr>
                <w:sz w:val="1"/>
                <w:szCs w:val="1"/>
                <w:color w:val="auto"/>
              </w:rPr>
            </w:pPr>
          </w:p>
        </w:tc>
      </w:tr>
      <w:tr>
        <w:trPr>
          <w:trHeight w:val="133"/>
        </w:trPr>
        <w:tc>
          <w:tcPr>
            <w:tcW w:w="28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(Shares in thousands)</w:t>
            </w:r>
          </w:p>
        </w:tc>
        <w:tc>
          <w:tcPr>
            <w:tcW w:w="98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jc w:val="center"/>
              <w:ind w:right="41"/>
              <w:spacing w:after="0" w:line="133" w:lineRule="exact"/>
              <w:rPr>
                <w:sz w:val="20"/>
                <w:szCs w:val="20"/>
                <w:color w:val="auto"/>
              </w:rPr>
            </w:pPr>
            <w:r>
              <w:rPr>
                <w:rFonts w:ascii="Arial" w:cs="Arial" w:eastAsia="Arial" w:hAnsi="Arial"/>
                <w:sz w:val="14"/>
                <w:szCs w:val="14"/>
                <w:b w:val="1"/>
                <w:bCs w:val="1"/>
                <w:color w:val="auto"/>
                <w:w w:val="92"/>
              </w:rPr>
              <w:t>Grant Date</w:t>
            </w:r>
          </w:p>
        </w:tc>
        <w:tc>
          <w:tcPr>
            <w:tcW w:w="100" w:type="dxa"/>
            <w:vAlign w:val="bottom"/>
          </w:tcPr>
          <w:p>
            <w:pPr>
              <w:spacing w:after="0"/>
              <w:rPr>
                <w:sz w:val="11"/>
                <w:szCs w:val="11"/>
                <w:color w:val="auto"/>
              </w:rPr>
            </w:pPr>
          </w:p>
        </w:tc>
        <w:tc>
          <w:tcPr>
            <w:tcW w:w="98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jc w:val="center"/>
              <w:ind w:right="21"/>
              <w:spacing w:after="0" w:line="133" w:lineRule="exact"/>
              <w:rPr>
                <w:sz w:val="20"/>
                <w:szCs w:val="20"/>
                <w:color w:val="auto"/>
              </w:rPr>
            </w:pPr>
            <w:r>
              <w:rPr>
                <w:rFonts w:ascii="Arial" w:cs="Arial" w:eastAsia="Arial" w:hAnsi="Arial"/>
                <w:sz w:val="14"/>
                <w:szCs w:val="14"/>
                <w:b w:val="1"/>
                <w:bCs w:val="1"/>
                <w:color w:val="auto"/>
                <w:w w:val="92"/>
              </w:rPr>
              <w:t>Grant Date</w:t>
            </w:r>
          </w:p>
        </w:tc>
        <w:tc>
          <w:tcPr>
            <w:tcW w:w="120" w:type="dxa"/>
            <w:vAlign w:val="bottom"/>
          </w:tcPr>
          <w:p>
            <w:pPr>
              <w:spacing w:after="0"/>
              <w:rPr>
                <w:sz w:val="11"/>
                <w:szCs w:val="11"/>
                <w:color w:val="auto"/>
              </w:rPr>
            </w:pPr>
          </w:p>
        </w:tc>
        <w:tc>
          <w:tcPr>
            <w:tcW w:w="96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jc w:val="center"/>
              <w:ind w:right="21"/>
              <w:spacing w:after="0" w:line="133" w:lineRule="exact"/>
              <w:rPr>
                <w:sz w:val="20"/>
                <w:szCs w:val="20"/>
                <w:color w:val="auto"/>
              </w:rPr>
            </w:pPr>
            <w:r>
              <w:rPr>
                <w:rFonts w:ascii="Arial" w:cs="Arial" w:eastAsia="Arial" w:hAnsi="Arial"/>
                <w:sz w:val="14"/>
                <w:szCs w:val="14"/>
                <w:b w:val="1"/>
                <w:bCs w:val="1"/>
                <w:color w:val="auto"/>
                <w:w w:val="92"/>
              </w:rPr>
              <w:t>Grant Date</w:t>
            </w:r>
          </w:p>
        </w:tc>
        <w:tc>
          <w:tcPr>
            <w:tcW w:w="120" w:type="dxa"/>
            <w:vAlign w:val="bottom"/>
          </w:tcPr>
          <w:p>
            <w:pPr>
              <w:spacing w:after="0"/>
              <w:rPr>
                <w:sz w:val="11"/>
                <w:szCs w:val="11"/>
                <w:color w:val="auto"/>
              </w:rPr>
            </w:pPr>
          </w:p>
        </w:tc>
        <w:tc>
          <w:tcPr>
            <w:tcW w:w="98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93"/>
              </w:rPr>
              <w:t>Equivalent</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jc w:val="center"/>
              <w:ind w:right="21"/>
              <w:spacing w:after="0" w:line="133" w:lineRule="exact"/>
              <w:rPr>
                <w:sz w:val="20"/>
                <w:szCs w:val="20"/>
                <w:color w:val="auto"/>
              </w:rPr>
            </w:pPr>
            <w:r>
              <w:rPr>
                <w:rFonts w:ascii="Arial" w:cs="Arial" w:eastAsia="Arial" w:hAnsi="Arial"/>
                <w:sz w:val="14"/>
                <w:szCs w:val="14"/>
                <w:b w:val="1"/>
                <w:bCs w:val="1"/>
                <w:color w:val="auto"/>
                <w:w w:val="92"/>
              </w:rPr>
              <w:t>Grant Date</w:t>
            </w:r>
          </w:p>
        </w:tc>
        <w:tc>
          <w:tcPr>
            <w:tcW w:w="0" w:type="dxa"/>
            <w:vAlign w:val="bottom"/>
          </w:tcPr>
          <w:p>
            <w:pPr>
              <w:spacing w:after="0"/>
              <w:rPr>
                <w:sz w:val="1"/>
                <w:szCs w:val="1"/>
                <w:color w:val="auto"/>
              </w:rPr>
            </w:pPr>
          </w:p>
        </w:tc>
      </w:tr>
      <w:tr>
        <w:trPr>
          <w:trHeight w:val="179"/>
        </w:trPr>
        <w:tc>
          <w:tcPr>
            <w:tcW w:w="2820" w:type="dxa"/>
            <w:vAlign w:val="bottom"/>
            <w:gridSpan w:val="2"/>
            <w:vMerge w:val="continue"/>
          </w:tcPr>
          <w:p>
            <w:pPr>
              <w:spacing w:after="0"/>
              <w:rPr>
                <w:sz w:val="15"/>
                <w:szCs w:val="15"/>
                <w:color w:val="auto"/>
              </w:rPr>
            </w:pPr>
          </w:p>
        </w:tc>
        <w:tc>
          <w:tcPr>
            <w:tcW w:w="980" w:type="dxa"/>
            <w:vAlign w:val="bottom"/>
          </w:tcPr>
          <w:p>
            <w:pPr>
              <w:jc w:val="right"/>
              <w:ind w:right="221"/>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jc w:val="center"/>
              <w:ind w:right="41"/>
              <w:spacing w:after="0"/>
              <w:rPr>
                <w:sz w:val="20"/>
                <w:szCs w:val="20"/>
                <w:color w:val="auto"/>
              </w:rPr>
            </w:pPr>
            <w:r>
              <w:rPr>
                <w:rFonts w:ascii="Arial" w:cs="Arial" w:eastAsia="Arial" w:hAnsi="Arial"/>
                <w:sz w:val="14"/>
                <w:szCs w:val="14"/>
                <w:b w:val="1"/>
                <w:bCs w:val="1"/>
                <w:color w:val="auto"/>
                <w:w w:val="92"/>
              </w:rPr>
              <w:t>Fair Value</w:t>
            </w:r>
          </w:p>
        </w:tc>
        <w:tc>
          <w:tcPr>
            <w:tcW w:w="100" w:type="dxa"/>
            <w:vAlign w:val="bottom"/>
          </w:tcPr>
          <w:p>
            <w:pPr>
              <w:spacing w:after="0"/>
              <w:rPr>
                <w:sz w:val="15"/>
                <w:szCs w:val="15"/>
                <w:color w:val="auto"/>
              </w:rPr>
            </w:pPr>
          </w:p>
        </w:tc>
        <w:tc>
          <w:tcPr>
            <w:tcW w:w="980" w:type="dxa"/>
            <w:vAlign w:val="bottom"/>
          </w:tcPr>
          <w:p>
            <w:pPr>
              <w:jc w:val="right"/>
              <w:ind w:right="207"/>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jc w:val="center"/>
              <w:ind w:right="21"/>
              <w:spacing w:after="0"/>
              <w:rPr>
                <w:sz w:val="20"/>
                <w:szCs w:val="20"/>
                <w:color w:val="auto"/>
              </w:rPr>
            </w:pPr>
            <w:r>
              <w:rPr>
                <w:rFonts w:ascii="Arial" w:cs="Arial" w:eastAsia="Arial" w:hAnsi="Arial"/>
                <w:sz w:val="14"/>
                <w:szCs w:val="14"/>
                <w:b w:val="1"/>
                <w:bCs w:val="1"/>
                <w:color w:val="auto"/>
                <w:w w:val="92"/>
              </w:rPr>
              <w:t>Fair Value</w:t>
            </w:r>
          </w:p>
        </w:tc>
        <w:tc>
          <w:tcPr>
            <w:tcW w:w="120" w:type="dxa"/>
            <w:vAlign w:val="bottom"/>
          </w:tcPr>
          <w:p>
            <w:pPr>
              <w:spacing w:after="0"/>
              <w:rPr>
                <w:sz w:val="15"/>
                <w:szCs w:val="15"/>
                <w:color w:val="auto"/>
              </w:rPr>
            </w:pPr>
          </w:p>
        </w:tc>
        <w:tc>
          <w:tcPr>
            <w:tcW w:w="960" w:type="dxa"/>
            <w:vAlign w:val="bottom"/>
          </w:tcPr>
          <w:p>
            <w:pPr>
              <w:jc w:val="right"/>
              <w:ind w:right="66"/>
              <w:spacing w:after="0"/>
              <w:rPr>
                <w:sz w:val="20"/>
                <w:szCs w:val="20"/>
                <w:color w:val="auto"/>
              </w:rPr>
            </w:pPr>
            <w:r>
              <w:rPr>
                <w:rFonts w:ascii="Arial" w:cs="Arial" w:eastAsia="Arial" w:hAnsi="Arial"/>
                <w:sz w:val="14"/>
                <w:szCs w:val="14"/>
                <w:b w:val="1"/>
                <w:bCs w:val="1"/>
                <w:color w:val="auto"/>
              </w:rPr>
              <w:t>Share Units</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jc w:val="center"/>
              <w:ind w:right="21"/>
              <w:spacing w:after="0"/>
              <w:rPr>
                <w:sz w:val="20"/>
                <w:szCs w:val="20"/>
                <w:color w:val="auto"/>
              </w:rPr>
            </w:pPr>
            <w:r>
              <w:rPr>
                <w:rFonts w:ascii="Arial" w:cs="Arial" w:eastAsia="Arial" w:hAnsi="Arial"/>
                <w:sz w:val="14"/>
                <w:szCs w:val="14"/>
                <w:b w:val="1"/>
                <w:bCs w:val="1"/>
                <w:color w:val="auto"/>
                <w:w w:val="92"/>
              </w:rPr>
              <w:t>Fair Value</w:t>
            </w:r>
          </w:p>
        </w:tc>
        <w:tc>
          <w:tcPr>
            <w:tcW w:w="120" w:type="dxa"/>
            <w:vAlign w:val="bottom"/>
          </w:tcPr>
          <w:p>
            <w:pPr>
              <w:spacing w:after="0"/>
              <w:rPr>
                <w:sz w:val="15"/>
                <w:szCs w:val="15"/>
                <w:color w:val="auto"/>
              </w:rPr>
            </w:pP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w w:val="85"/>
              </w:rPr>
              <w:t>Units</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jc w:val="center"/>
              <w:ind w:right="21"/>
              <w:spacing w:after="0"/>
              <w:rPr>
                <w:sz w:val="20"/>
                <w:szCs w:val="20"/>
                <w:color w:val="auto"/>
              </w:rPr>
            </w:pPr>
            <w:r>
              <w:rPr>
                <w:rFonts w:ascii="Arial" w:cs="Arial" w:eastAsia="Arial" w:hAnsi="Arial"/>
                <w:sz w:val="14"/>
                <w:szCs w:val="14"/>
                <w:b w:val="1"/>
                <w:bCs w:val="1"/>
                <w:color w:val="auto"/>
                <w:w w:val="92"/>
              </w:rPr>
              <w:t>Fair Value</w:t>
            </w:r>
          </w:p>
        </w:tc>
        <w:tc>
          <w:tcPr>
            <w:tcW w:w="0" w:type="dxa"/>
            <w:vAlign w:val="bottom"/>
          </w:tcPr>
          <w:p>
            <w:pPr>
              <w:spacing w:after="0"/>
              <w:rPr>
                <w:sz w:val="1"/>
                <w:szCs w:val="1"/>
                <w:color w:val="auto"/>
              </w:rPr>
            </w:pPr>
          </w:p>
        </w:tc>
      </w:tr>
      <w:tr>
        <w:trPr>
          <w:trHeight w:val="25"/>
        </w:trPr>
        <w:tc>
          <w:tcPr>
            <w:tcW w:w="2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4"/>
        </w:trPr>
        <w:tc>
          <w:tcPr>
            <w:tcW w:w="282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Outstanding at beginning of year</w:t>
            </w:r>
          </w:p>
        </w:tc>
        <w:tc>
          <w:tcPr>
            <w:tcW w:w="980" w:type="dxa"/>
            <w:vAlign w:val="bottom"/>
            <w:shd w:val="clear" w:color="auto" w:fill="CCEEFF"/>
          </w:tcPr>
          <w:p>
            <w:pPr>
              <w:jc w:val="right"/>
              <w:ind w:right="1"/>
              <w:spacing w:after="0"/>
              <w:rPr>
                <w:sz w:val="20"/>
                <w:szCs w:val="20"/>
                <w:color w:val="auto"/>
              </w:rPr>
            </w:pPr>
            <w:r>
              <w:rPr>
                <w:rFonts w:ascii="Arial" w:cs="Arial" w:eastAsia="Arial" w:hAnsi="Arial"/>
                <w:sz w:val="17"/>
                <w:szCs w:val="17"/>
                <w:color w:val="auto"/>
              </w:rPr>
              <w:t>647</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20" w:type="dxa"/>
            <w:vAlign w:val="bottom"/>
            <w:shd w:val="clear" w:color="auto" w:fill="CCEEFF"/>
          </w:tcPr>
          <w:p>
            <w:pPr>
              <w:jc w:val="right"/>
              <w:ind w:right="1"/>
              <w:spacing w:after="0"/>
              <w:rPr>
                <w:sz w:val="20"/>
                <w:szCs w:val="20"/>
                <w:color w:val="auto"/>
              </w:rPr>
            </w:pPr>
            <w:r>
              <w:rPr>
                <w:rFonts w:ascii="Arial" w:cs="Arial" w:eastAsia="Arial" w:hAnsi="Arial"/>
                <w:sz w:val="17"/>
                <w:szCs w:val="17"/>
                <w:color w:val="auto"/>
              </w:rPr>
              <w:t>20.99</w:t>
            </w:r>
          </w:p>
        </w:tc>
        <w:tc>
          <w:tcPr>
            <w:tcW w:w="1080" w:type="dxa"/>
            <w:vAlign w:val="bottom"/>
            <w:gridSpan w:val="2"/>
            <w:shd w:val="clear" w:color="auto" w:fill="CCEEFF"/>
          </w:tcPr>
          <w:p>
            <w:pPr>
              <w:jc w:val="right"/>
              <w:ind w:right="7"/>
              <w:spacing w:after="0"/>
              <w:rPr>
                <w:sz w:val="20"/>
                <w:szCs w:val="20"/>
                <w:color w:val="auto"/>
              </w:rPr>
            </w:pPr>
            <w:r>
              <w:rPr>
                <w:rFonts w:ascii="Arial" w:cs="Arial" w:eastAsia="Arial" w:hAnsi="Arial"/>
                <w:sz w:val="17"/>
                <w:szCs w:val="17"/>
                <w:color w:val="auto"/>
              </w:rPr>
              <w:t>138</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45.94</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350</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45.51</w:t>
            </w:r>
          </w:p>
        </w:tc>
        <w:tc>
          <w:tcPr>
            <w:tcW w:w="1100" w:type="dxa"/>
            <w:vAlign w:val="bottom"/>
            <w:gridSpan w:val="2"/>
            <w:shd w:val="clear" w:color="auto" w:fill="CCEEFF"/>
          </w:tcPr>
          <w:p>
            <w:pPr>
              <w:jc w:val="center"/>
              <w:ind w:left="693"/>
              <w:spacing w:after="0"/>
              <w:rPr>
                <w:sz w:val="20"/>
                <w:szCs w:val="20"/>
                <w:color w:val="auto"/>
              </w:rPr>
            </w:pPr>
            <w:r>
              <w:rPr>
                <w:rFonts w:ascii="Arial" w:cs="Arial" w:eastAsia="Arial" w:hAnsi="Arial"/>
                <w:sz w:val="17"/>
                <w:szCs w:val="17"/>
                <w:color w:val="auto"/>
                <w:w w:val="84"/>
              </w:rPr>
              <w:t>37</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40.86</w:t>
            </w:r>
          </w:p>
        </w:tc>
        <w:tc>
          <w:tcPr>
            <w:tcW w:w="0" w:type="dxa"/>
            <w:vAlign w:val="bottom"/>
          </w:tcPr>
          <w:p>
            <w:pPr>
              <w:spacing w:after="0"/>
              <w:rPr>
                <w:sz w:val="1"/>
                <w:szCs w:val="1"/>
                <w:color w:val="auto"/>
              </w:rPr>
            </w:pPr>
          </w:p>
        </w:tc>
      </w:tr>
      <w:tr>
        <w:trPr>
          <w:trHeight w:val="221"/>
        </w:trPr>
        <w:tc>
          <w:tcPr>
            <w:tcW w:w="2820" w:type="dxa"/>
            <w:vAlign w:val="bottom"/>
            <w:gridSpan w:val="2"/>
          </w:tcPr>
          <w:p>
            <w:pPr>
              <w:ind w:left="20"/>
              <w:spacing w:after="0"/>
              <w:rPr>
                <w:sz w:val="20"/>
                <w:szCs w:val="20"/>
                <w:color w:val="auto"/>
              </w:rPr>
            </w:pPr>
            <w:r>
              <w:rPr>
                <w:rFonts w:ascii="Arial" w:cs="Arial" w:eastAsia="Arial" w:hAnsi="Arial"/>
                <w:sz w:val="17"/>
                <w:szCs w:val="17"/>
                <w:color w:val="auto"/>
              </w:rPr>
              <w:t>Granted</w:t>
            </w:r>
          </w:p>
        </w:tc>
        <w:tc>
          <w:tcPr>
            <w:tcW w:w="980" w:type="dxa"/>
            <w:vAlign w:val="bottom"/>
          </w:tcPr>
          <w:p>
            <w:pPr>
              <w:jc w:val="right"/>
              <w:ind w:right="1"/>
              <w:spacing w:after="0"/>
              <w:rPr>
                <w:sz w:val="20"/>
                <w:szCs w:val="20"/>
                <w:color w:val="auto"/>
              </w:rPr>
            </w:pPr>
            <w:r>
              <w:rPr>
                <w:rFonts w:ascii="Arial" w:cs="Arial" w:eastAsia="Arial" w:hAnsi="Arial"/>
                <w:sz w:val="17"/>
                <w:szCs w:val="17"/>
                <w:color w:val="auto"/>
              </w:rPr>
              <w:t>300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jc w:val="right"/>
              <w:ind w:right="1"/>
              <w:spacing w:after="0"/>
              <w:rPr>
                <w:sz w:val="20"/>
                <w:szCs w:val="20"/>
                <w:color w:val="auto"/>
              </w:rPr>
            </w:pPr>
            <w:r>
              <w:rPr>
                <w:rFonts w:ascii="Arial" w:cs="Arial" w:eastAsia="Arial" w:hAnsi="Arial"/>
                <w:sz w:val="17"/>
                <w:szCs w:val="17"/>
                <w:color w:val="auto"/>
              </w:rPr>
              <w:t>12.66</w:t>
            </w:r>
          </w:p>
        </w:tc>
        <w:tc>
          <w:tcPr>
            <w:tcW w:w="1080" w:type="dxa"/>
            <w:vAlign w:val="bottom"/>
            <w:gridSpan w:val="2"/>
          </w:tcPr>
          <w:p>
            <w:pPr>
              <w:jc w:val="right"/>
              <w:ind w:right="7"/>
              <w:spacing w:after="0"/>
              <w:rPr>
                <w:sz w:val="20"/>
                <w:szCs w:val="20"/>
                <w:color w:val="auto"/>
              </w:rPr>
            </w:pPr>
            <w:r>
              <w:rPr>
                <w:rFonts w:ascii="Arial" w:cs="Arial" w:eastAsia="Arial" w:hAnsi="Arial"/>
                <w:sz w:val="17"/>
                <w:szCs w:val="17"/>
                <w:color w:val="auto"/>
              </w:rPr>
              <w:t>75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43.51</w:t>
            </w:r>
          </w:p>
        </w:tc>
        <w:tc>
          <w:tcPr>
            <w:tcW w:w="1080" w:type="dxa"/>
            <w:vAlign w:val="bottom"/>
            <w:gridSpan w:val="2"/>
          </w:tcPr>
          <w:p>
            <w:pPr>
              <w:jc w:val="right"/>
              <w:spacing w:after="0"/>
              <w:rPr>
                <w:sz w:val="20"/>
                <w:szCs w:val="20"/>
                <w:color w:val="auto"/>
              </w:rPr>
            </w:pPr>
            <w:r>
              <w:rPr>
                <w:rFonts w:ascii="Arial" w:cs="Arial" w:eastAsia="Arial" w:hAnsi="Arial"/>
                <w:sz w:val="17"/>
                <w:szCs w:val="17"/>
                <w:color w:val="auto"/>
              </w:rPr>
              <w:t>461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38.59</w:t>
            </w:r>
          </w:p>
        </w:tc>
        <w:tc>
          <w:tcPr>
            <w:tcW w:w="1100" w:type="dxa"/>
            <w:vAlign w:val="bottom"/>
            <w:gridSpan w:val="2"/>
          </w:tcPr>
          <w:p>
            <w:pPr>
              <w:jc w:val="center"/>
              <w:ind w:left="693"/>
              <w:spacing w:after="0"/>
              <w:rPr>
                <w:sz w:val="20"/>
                <w:szCs w:val="20"/>
                <w:color w:val="auto"/>
              </w:rPr>
            </w:pPr>
            <w:r>
              <w:rPr>
                <w:rFonts w:ascii="Arial" w:cs="Arial" w:eastAsia="Arial" w:hAnsi="Arial"/>
                <w:sz w:val="17"/>
                <w:szCs w:val="17"/>
                <w:color w:val="auto"/>
                <w:w w:val="84"/>
              </w:rPr>
              <w:t>19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41.74</w:t>
            </w:r>
          </w:p>
        </w:tc>
        <w:tc>
          <w:tcPr>
            <w:tcW w:w="0" w:type="dxa"/>
            <w:vAlign w:val="bottom"/>
          </w:tcPr>
          <w:p>
            <w:pPr>
              <w:spacing w:after="0"/>
              <w:rPr>
                <w:sz w:val="1"/>
                <w:szCs w:val="1"/>
                <w:color w:val="auto"/>
              </w:rPr>
            </w:pPr>
          </w:p>
        </w:tc>
      </w:tr>
      <w:tr>
        <w:trPr>
          <w:trHeight w:val="234"/>
        </w:trPr>
        <w:tc>
          <w:tcPr>
            <w:tcW w:w="282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Vested</w:t>
            </w: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(103)</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20" w:type="dxa"/>
            <w:vAlign w:val="bottom"/>
            <w:shd w:val="clear" w:color="auto" w:fill="CCEEFF"/>
          </w:tcPr>
          <w:p>
            <w:pPr>
              <w:jc w:val="right"/>
              <w:ind w:right="1"/>
              <w:spacing w:after="0"/>
              <w:rPr>
                <w:sz w:val="20"/>
                <w:szCs w:val="20"/>
                <w:color w:val="auto"/>
              </w:rPr>
            </w:pPr>
            <w:r>
              <w:rPr>
                <w:rFonts w:ascii="Arial" w:cs="Arial" w:eastAsia="Arial" w:hAnsi="Arial"/>
                <w:sz w:val="17"/>
                <w:szCs w:val="17"/>
                <w:color w:val="auto"/>
              </w:rPr>
              <w:t>51.52</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(64)</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46.65</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(160)</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47.82</w:t>
            </w:r>
          </w:p>
        </w:tc>
        <w:tc>
          <w:tcPr>
            <w:tcW w:w="1100" w:type="dxa"/>
            <w:vAlign w:val="bottom"/>
            <w:gridSpan w:val="2"/>
            <w:shd w:val="clear" w:color="auto" w:fill="CCEEFF"/>
          </w:tcPr>
          <w:p>
            <w:pPr>
              <w:jc w:val="center"/>
              <w:ind w:left="653"/>
              <w:spacing w:after="0"/>
              <w:rPr>
                <w:sz w:val="20"/>
                <w:szCs w:val="20"/>
                <w:color w:val="auto"/>
              </w:rPr>
            </w:pPr>
            <w:r>
              <w:rPr>
                <w:rFonts w:ascii="Arial" w:cs="Arial" w:eastAsia="Arial" w:hAnsi="Arial"/>
                <w:sz w:val="17"/>
                <w:szCs w:val="17"/>
                <w:color w:val="auto"/>
                <w:w w:val="92"/>
              </w:rPr>
              <w:t>(15)</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40.28</w:t>
            </w:r>
          </w:p>
        </w:tc>
        <w:tc>
          <w:tcPr>
            <w:tcW w:w="0" w:type="dxa"/>
            <w:vAlign w:val="bottom"/>
          </w:tcPr>
          <w:p>
            <w:pPr>
              <w:spacing w:after="0"/>
              <w:rPr>
                <w:sz w:val="1"/>
                <w:szCs w:val="1"/>
                <w:color w:val="auto"/>
              </w:rPr>
            </w:pPr>
          </w:p>
        </w:tc>
      </w:tr>
      <w:tr>
        <w:trPr>
          <w:trHeight w:val="221"/>
        </w:trPr>
        <w:tc>
          <w:tcPr>
            <w:tcW w:w="2820" w:type="dxa"/>
            <w:vAlign w:val="bottom"/>
            <w:tcBorders>
              <w:bottom w:val="single" w:sz="8" w:color="CCEEFF"/>
            </w:tcBorders>
            <w:gridSpan w:val="2"/>
          </w:tcPr>
          <w:p>
            <w:pPr>
              <w:ind w:left="20"/>
              <w:spacing w:after="0"/>
              <w:rPr>
                <w:sz w:val="20"/>
                <w:szCs w:val="20"/>
                <w:color w:val="auto"/>
              </w:rPr>
            </w:pPr>
            <w:r>
              <w:rPr>
                <w:rFonts w:ascii="Arial" w:cs="Arial" w:eastAsia="Arial" w:hAnsi="Arial"/>
                <w:sz w:val="17"/>
                <w:szCs w:val="17"/>
                <w:color w:val="auto"/>
              </w:rPr>
              <w:t>Forfeited</w:t>
            </w:r>
          </w:p>
        </w:tc>
        <w:tc>
          <w:tcPr>
            <w:tcW w:w="980" w:type="dxa"/>
            <w:vAlign w:val="bottom"/>
            <w:tcBorders>
              <w:bottom w:val="single" w:sz="8" w:color="auto"/>
            </w:tcBorders>
          </w:tcPr>
          <w:p>
            <w:pPr>
              <w:jc w:val="right"/>
              <w:ind w:right="1"/>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820" w:type="dxa"/>
            <w:vAlign w:val="bottom"/>
            <w:tcBorders>
              <w:bottom w:val="single" w:sz="8" w:color="CCEEFF"/>
            </w:tcBorders>
          </w:tcPr>
          <w:p>
            <w:pPr>
              <w:jc w:val="right"/>
              <w:ind w:right="1"/>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tcPr>
          <w:p>
            <w:pPr>
              <w:spacing w:after="0"/>
              <w:rPr>
                <w:sz w:val="19"/>
                <w:szCs w:val="19"/>
                <w:color w:val="auto"/>
              </w:rPr>
            </w:pPr>
          </w:p>
        </w:tc>
        <w:tc>
          <w:tcPr>
            <w:tcW w:w="980" w:type="dxa"/>
            <w:vAlign w:val="bottom"/>
            <w:tcBorders>
              <w:bottom w:val="single" w:sz="8" w:color="auto"/>
            </w:tcBorders>
          </w:tcPr>
          <w:p>
            <w:pPr>
              <w:jc w:val="right"/>
              <w:ind w:right="7"/>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800" w:type="dxa"/>
            <w:vAlign w:val="bottom"/>
            <w:tcBorders>
              <w:bottom w:val="single" w:sz="8" w:color="CCEEFF"/>
            </w:tcBorders>
          </w:tcPr>
          <w:p>
            <w:pPr>
              <w:jc w:val="right"/>
              <w:spacing w:after="0"/>
              <w:rPr>
                <w:sz w:val="20"/>
                <w:szCs w:val="20"/>
                <w:color w:val="auto"/>
              </w:rPr>
            </w:pPr>
            <w:r>
              <w:rPr>
                <w:rFonts w:ascii="Arial" w:cs="Arial" w:eastAsia="Arial" w:hAnsi="Arial"/>
                <w:sz w:val="17"/>
                <w:szCs w:val="17"/>
                <w:color w:val="auto"/>
              </w:rPr>
              <w:t>—</w:t>
            </w:r>
          </w:p>
        </w:tc>
        <w:tc>
          <w:tcPr>
            <w:tcW w:w="120" w:type="dxa"/>
            <w:vAlign w:val="bottom"/>
            <w:tcBorders>
              <w:bottom w:val="single" w:sz="8" w:color="CCEEFF"/>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800" w:type="dxa"/>
            <w:vAlign w:val="bottom"/>
            <w:tcBorders>
              <w:bottom w:val="single" w:sz="8" w:color="CCEEFF"/>
            </w:tcBorders>
          </w:tcPr>
          <w:p>
            <w:pPr>
              <w:jc w:val="right"/>
              <w:spacing w:after="0"/>
              <w:rPr>
                <w:sz w:val="20"/>
                <w:szCs w:val="20"/>
                <w:color w:val="auto"/>
              </w:rPr>
            </w:pPr>
            <w:r>
              <w:rPr>
                <w:rFonts w:ascii="Arial" w:cs="Arial" w:eastAsia="Arial" w:hAnsi="Arial"/>
                <w:sz w:val="17"/>
                <w:szCs w:val="17"/>
                <w:color w:val="auto"/>
              </w:rPr>
              <w:t>39.21</w:t>
            </w:r>
          </w:p>
        </w:tc>
        <w:tc>
          <w:tcPr>
            <w:tcW w:w="120" w:type="dxa"/>
            <w:vAlign w:val="bottom"/>
            <w:tcBorders>
              <w:bottom w:val="single" w:sz="8" w:color="CCEEFF"/>
            </w:tcBorders>
          </w:tcPr>
          <w:p>
            <w:pPr>
              <w:spacing w:after="0"/>
              <w:rPr>
                <w:sz w:val="19"/>
                <w:szCs w:val="19"/>
                <w:color w:val="auto"/>
              </w:rPr>
            </w:pPr>
          </w:p>
        </w:tc>
        <w:tc>
          <w:tcPr>
            <w:tcW w:w="980" w:type="dxa"/>
            <w:vAlign w:val="bottom"/>
            <w:tcBorders>
              <w:bottom w:val="single" w:sz="8" w:color="auto"/>
            </w:tcBorders>
          </w:tcPr>
          <w:p>
            <w:pPr>
              <w:jc w:val="center"/>
              <w:ind w:left="587"/>
              <w:spacing w:after="0"/>
              <w:rPr>
                <w:sz w:val="20"/>
                <w:szCs w:val="20"/>
                <w:color w:val="auto"/>
              </w:rPr>
            </w:pPr>
            <w:r>
              <w:rPr>
                <w:rFonts w:ascii="Arial" w:cs="Arial" w:eastAsia="Arial" w:hAnsi="Arial"/>
                <w:sz w:val="17"/>
                <w:szCs w:val="17"/>
                <w:color w:val="auto"/>
                <w:w w:val="93"/>
              </w:rPr>
              <w:t>—</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800" w:type="dxa"/>
            <w:vAlign w:val="bottom"/>
            <w:tcBorders>
              <w:bottom w:val="single" w:sz="8" w:color="CCEEFF"/>
            </w:tcBorders>
          </w:tcPr>
          <w:p>
            <w:pPr>
              <w:jc w:val="right"/>
              <w:spacing w:after="0"/>
              <w:rPr>
                <w:sz w:val="20"/>
                <w:szCs w:val="20"/>
                <w:color w:val="auto"/>
              </w:rPr>
            </w:pPr>
            <w:r>
              <w:rPr>
                <w:rFonts w:ascii="Arial" w:cs="Arial" w:eastAsia="Arial" w:hAnsi="Arial"/>
                <w:sz w:val="17"/>
                <w:szCs w:val="17"/>
                <w:color w:val="auto"/>
              </w:rPr>
              <w:t>40.76</w:t>
            </w:r>
          </w:p>
        </w:tc>
        <w:tc>
          <w:tcPr>
            <w:tcW w:w="0" w:type="dxa"/>
            <w:vAlign w:val="bottom"/>
          </w:tcPr>
          <w:p>
            <w:pPr>
              <w:spacing w:after="0"/>
              <w:rPr>
                <w:sz w:val="1"/>
                <w:szCs w:val="1"/>
                <w:color w:val="auto"/>
              </w:rPr>
            </w:pPr>
          </w:p>
        </w:tc>
      </w:tr>
      <w:tr>
        <w:trPr>
          <w:trHeight w:val="234"/>
        </w:trPr>
        <w:tc>
          <w:tcPr>
            <w:tcW w:w="282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Outstanding at June 30, 2023</w:t>
            </w:r>
          </w:p>
        </w:tc>
        <w:tc>
          <w:tcPr>
            <w:tcW w:w="980" w:type="dxa"/>
            <w:vAlign w:val="bottom"/>
            <w:shd w:val="clear" w:color="auto" w:fill="CCEEFF"/>
          </w:tcPr>
          <w:p>
            <w:pPr>
              <w:jc w:val="right"/>
              <w:ind w:right="1"/>
              <w:spacing w:after="0"/>
              <w:rPr>
                <w:sz w:val="20"/>
                <w:szCs w:val="20"/>
                <w:color w:val="auto"/>
              </w:rPr>
            </w:pPr>
            <w:r>
              <w:rPr>
                <w:rFonts w:ascii="Arial" w:cs="Arial" w:eastAsia="Arial" w:hAnsi="Arial"/>
                <w:sz w:val="17"/>
                <w:szCs w:val="17"/>
                <w:color w:val="auto"/>
              </w:rPr>
              <w:t>844</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20" w:type="dxa"/>
            <w:vAlign w:val="bottom"/>
            <w:shd w:val="clear" w:color="auto" w:fill="CCEEFF"/>
          </w:tcPr>
          <w:p>
            <w:pPr>
              <w:jc w:val="right"/>
              <w:ind w:right="1"/>
              <w:spacing w:after="0"/>
              <w:rPr>
                <w:sz w:val="20"/>
                <w:szCs w:val="20"/>
                <w:color w:val="auto"/>
              </w:rPr>
            </w:pPr>
            <w:r>
              <w:rPr>
                <w:rFonts w:ascii="Arial" w:cs="Arial" w:eastAsia="Arial" w:hAnsi="Arial"/>
                <w:sz w:val="17"/>
                <w:szCs w:val="17"/>
                <w:color w:val="auto"/>
              </w:rPr>
              <w:t>14.29</w:t>
            </w:r>
          </w:p>
        </w:tc>
        <w:tc>
          <w:tcPr>
            <w:tcW w:w="1080" w:type="dxa"/>
            <w:vAlign w:val="bottom"/>
            <w:gridSpan w:val="2"/>
            <w:shd w:val="clear" w:color="auto" w:fill="CCEEFF"/>
          </w:tcPr>
          <w:p>
            <w:pPr>
              <w:jc w:val="right"/>
              <w:ind w:right="7"/>
              <w:spacing w:after="0"/>
              <w:rPr>
                <w:sz w:val="20"/>
                <w:szCs w:val="20"/>
                <w:color w:val="auto"/>
              </w:rPr>
            </w:pPr>
            <w:r>
              <w:rPr>
                <w:rFonts w:ascii="Arial" w:cs="Arial" w:eastAsia="Arial" w:hAnsi="Arial"/>
                <w:sz w:val="17"/>
                <w:szCs w:val="17"/>
                <w:color w:val="auto"/>
              </w:rPr>
              <w:t>149</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44.40</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638</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40.04</w:t>
            </w:r>
          </w:p>
        </w:tc>
        <w:tc>
          <w:tcPr>
            <w:tcW w:w="1100" w:type="dxa"/>
            <w:vAlign w:val="bottom"/>
            <w:gridSpan w:val="2"/>
            <w:shd w:val="clear" w:color="auto" w:fill="CCEEFF"/>
          </w:tcPr>
          <w:p>
            <w:pPr>
              <w:jc w:val="center"/>
              <w:ind w:left="693"/>
              <w:spacing w:after="0"/>
              <w:rPr>
                <w:sz w:val="20"/>
                <w:szCs w:val="20"/>
                <w:color w:val="auto"/>
              </w:rPr>
            </w:pPr>
            <w:r>
              <w:rPr>
                <w:rFonts w:ascii="Arial" w:cs="Arial" w:eastAsia="Arial" w:hAnsi="Arial"/>
                <w:sz w:val="17"/>
                <w:szCs w:val="17"/>
                <w:color w:val="auto"/>
                <w:w w:val="84"/>
              </w:rPr>
              <w:t>41</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41.48</w:t>
            </w:r>
          </w:p>
        </w:tc>
        <w:tc>
          <w:tcPr>
            <w:tcW w:w="0" w:type="dxa"/>
            <w:vAlign w:val="bottom"/>
          </w:tcPr>
          <w:p>
            <w:pPr>
              <w:spacing w:after="0"/>
              <w:rPr>
                <w:sz w:val="1"/>
                <w:szCs w:val="1"/>
                <w:color w:val="auto"/>
              </w:rPr>
            </w:pPr>
          </w:p>
        </w:tc>
      </w:tr>
      <w:tr>
        <w:trPr>
          <w:trHeight w:val="20"/>
        </w:trPr>
        <w:tc>
          <w:tcPr>
            <w:tcW w:w="27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46" w:lineRule="exact"/>
        <w:rPr>
          <w:sz w:val="20"/>
          <w:szCs w:val="20"/>
          <w:color w:val="auto"/>
        </w:rPr>
      </w:pPr>
    </w:p>
    <w:p>
      <w:pPr>
        <w:ind w:firstLine="428"/>
        <w:spacing w:after="0" w:line="305" w:lineRule="auto"/>
        <w:rPr>
          <w:sz w:val="20"/>
          <w:szCs w:val="20"/>
          <w:color w:val="auto"/>
        </w:rPr>
      </w:pPr>
      <w:r>
        <w:rPr>
          <w:rFonts w:ascii="Arial" w:cs="Arial" w:eastAsia="Arial" w:hAnsi="Arial"/>
          <w:sz w:val="15"/>
          <w:szCs w:val="15"/>
          <w:color w:val="auto"/>
        </w:rPr>
        <w:t>In February 2023, certain members of senior management were granted nonvested common shares under the 2013 Plan that were subject to time-based and performance-based vesting. The time-based share awards granted in February 2023 vest in three equal installments commencing on March 1 of the year following the grant year. The performance-based share awards granted in February 2023 vest based upon our compounded annual book value per share growth percentage and relative total shareholder return during a three-year performance period that commenced on January 1, 2023 and vest on March 1, 2026. Shares were issued at the maximum 200% of target. The portion of these nonvested performance-based share awards that will be earned is as follows:</w:t>
      </w:r>
    </w:p>
    <w:p>
      <w:pPr>
        <w:spacing w:after="0" w:line="202" w:lineRule="exact"/>
        <w:rPr>
          <w:sz w:val="20"/>
          <w:szCs w:val="20"/>
          <w:color w:val="auto"/>
        </w:rPr>
      </w:pPr>
    </w:p>
    <w:p>
      <w:pPr>
        <w:jc w:val="center"/>
        <w:ind w:left="4260"/>
        <w:spacing w:after="0"/>
        <w:rPr>
          <w:sz w:val="20"/>
          <w:szCs w:val="20"/>
          <w:color w:val="auto"/>
        </w:rPr>
      </w:pPr>
      <w:r>
        <w:rPr>
          <w:rFonts w:ascii="Arial" w:cs="Arial" w:eastAsia="Arial" w:hAnsi="Arial"/>
          <w:sz w:val="17"/>
          <w:szCs w:val="17"/>
          <w:b w:val="1"/>
          <w:bCs w:val="1"/>
          <w:color w:val="auto"/>
        </w:rPr>
        <w:t>Relative Total Shareholder Return</w:t>
      </w:r>
    </w:p>
    <w:p>
      <w:pPr>
        <w:jc w:val="center"/>
        <w:ind w:left="4260"/>
        <w:spacing w:after="0"/>
        <w:rPr>
          <w:sz w:val="20"/>
          <w:szCs w:val="20"/>
          <w:color w:val="auto"/>
        </w:rPr>
      </w:pPr>
      <w:r>
        <w:rPr>
          <w:rFonts w:ascii="Arial" w:cs="Arial" w:eastAsia="Arial" w:hAnsi="Arial"/>
          <w:sz w:val="17"/>
          <w:szCs w:val="17"/>
          <w:b w:val="1"/>
          <w:bCs w:val="1"/>
          <w:color w:val="auto"/>
        </w:rPr>
        <w:t>vs. S&amp;P 1500 Financial Services Index</w:t>
      </w:r>
    </w:p>
    <w:p>
      <w:pPr>
        <w:spacing w:after="0" w:line="11" w:lineRule="exact"/>
        <w:rPr>
          <w:sz w:val="20"/>
          <w:szCs w:val="20"/>
          <w:color w:val="auto"/>
        </w:rPr>
      </w:pPr>
    </w:p>
    <w:tbl>
      <w:tblPr>
        <w:tblLayout w:type="fixed"/>
        <w:tblInd w:w="680" w:type="dxa"/>
        <w:tblCellMar>
          <w:top w:w="0" w:type="dxa"/>
          <w:left w:w="0" w:type="dxa"/>
          <w:bottom w:w="0" w:type="dxa"/>
          <w:right w:w="0" w:type="dxa"/>
        </w:tblCellMar>
      </w:tblPr>
      <w:tr>
        <w:trPr>
          <w:trHeight w:val="175"/>
        </w:trPr>
        <w:tc>
          <w:tcPr>
            <w:tcW w:w="194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2280" w:type="dxa"/>
            <w:vAlign w:val="bottom"/>
            <w:tcBorders>
              <w:top w:val="single" w:sz="8" w:color="auto"/>
            </w:tcBorders>
            <w:vMerge w:val="restart"/>
          </w:tcPr>
          <w:p>
            <w:pPr>
              <w:jc w:val="right"/>
              <w:ind w:right="453"/>
              <w:spacing w:after="0"/>
              <w:rPr>
                <w:sz w:val="20"/>
                <w:szCs w:val="20"/>
                <w:color w:val="auto"/>
              </w:rPr>
            </w:pPr>
            <w:r>
              <w:rPr>
                <w:rFonts w:ascii="Arial" w:cs="Arial" w:eastAsia="Arial" w:hAnsi="Arial"/>
                <w:sz w:val="17"/>
                <w:szCs w:val="17"/>
                <w:b w:val="1"/>
                <w:bCs w:val="1"/>
                <w:color w:val="auto"/>
              </w:rPr>
              <w:t>≤25th percentile</w:t>
            </w:r>
          </w:p>
        </w:tc>
        <w:tc>
          <w:tcPr>
            <w:tcW w:w="80" w:type="dxa"/>
            <w:vAlign w:val="bottom"/>
            <w:tcBorders>
              <w:top w:val="single" w:sz="8" w:color="auto"/>
            </w:tcBorders>
          </w:tcPr>
          <w:p>
            <w:pPr>
              <w:spacing w:after="0"/>
              <w:rPr>
                <w:sz w:val="15"/>
                <w:szCs w:val="15"/>
                <w:color w:val="auto"/>
              </w:rPr>
            </w:pPr>
          </w:p>
        </w:tc>
        <w:tc>
          <w:tcPr>
            <w:tcW w:w="2260" w:type="dxa"/>
            <w:vAlign w:val="bottom"/>
            <w:tcBorders>
              <w:top w:val="single" w:sz="8" w:color="auto"/>
            </w:tcBorders>
          </w:tcPr>
          <w:p>
            <w:pPr>
              <w:jc w:val="right"/>
              <w:ind w:right="493"/>
              <w:spacing w:after="0" w:line="175" w:lineRule="exact"/>
              <w:rPr>
                <w:sz w:val="20"/>
                <w:szCs w:val="20"/>
                <w:color w:val="auto"/>
              </w:rPr>
            </w:pPr>
            <w:r>
              <w:rPr>
                <w:rFonts w:ascii="Arial" w:cs="Arial" w:eastAsia="Arial" w:hAnsi="Arial"/>
                <w:sz w:val="17"/>
                <w:szCs w:val="17"/>
                <w:b w:val="1"/>
                <w:bCs w:val="1"/>
                <w:color w:val="auto"/>
              </w:rPr>
              <w:t>50th percentile</w:t>
            </w:r>
          </w:p>
        </w:tc>
        <w:tc>
          <w:tcPr>
            <w:tcW w:w="100" w:type="dxa"/>
            <w:vAlign w:val="bottom"/>
            <w:tcBorders>
              <w:top w:val="single" w:sz="8" w:color="auto"/>
            </w:tcBorders>
          </w:tcPr>
          <w:p>
            <w:pPr>
              <w:spacing w:after="0"/>
              <w:rPr>
                <w:sz w:val="15"/>
                <w:szCs w:val="15"/>
                <w:color w:val="auto"/>
              </w:rPr>
            </w:pPr>
          </w:p>
        </w:tc>
        <w:tc>
          <w:tcPr>
            <w:tcW w:w="2260" w:type="dxa"/>
            <w:vAlign w:val="bottom"/>
            <w:tcBorders>
              <w:top w:val="single" w:sz="8" w:color="auto"/>
            </w:tcBorders>
            <w:vMerge w:val="restart"/>
          </w:tcPr>
          <w:p>
            <w:pPr>
              <w:jc w:val="right"/>
              <w:ind w:right="453"/>
              <w:spacing w:after="0"/>
              <w:rPr>
                <w:sz w:val="20"/>
                <w:szCs w:val="20"/>
                <w:color w:val="auto"/>
              </w:rPr>
            </w:pPr>
            <w:r>
              <w:rPr>
                <w:rFonts w:ascii="Arial" w:cs="Arial" w:eastAsia="Arial" w:hAnsi="Arial"/>
                <w:sz w:val="17"/>
                <w:szCs w:val="17"/>
                <w:b w:val="1"/>
                <w:bCs w:val="1"/>
                <w:color w:val="auto"/>
              </w:rPr>
              <w:t>≥75th percentile</w:t>
            </w:r>
          </w:p>
        </w:tc>
        <w:tc>
          <w:tcPr>
            <w:tcW w:w="0" w:type="dxa"/>
            <w:vAlign w:val="bottom"/>
          </w:tcPr>
          <w:p>
            <w:pPr>
              <w:spacing w:after="0"/>
              <w:rPr>
                <w:sz w:val="1"/>
                <w:szCs w:val="1"/>
                <w:color w:val="auto"/>
              </w:rPr>
            </w:pPr>
          </w:p>
        </w:tc>
      </w:tr>
      <w:tr>
        <w:trPr>
          <w:trHeight w:val="130"/>
        </w:trPr>
        <w:tc>
          <w:tcPr>
            <w:tcW w:w="1940" w:type="dxa"/>
            <w:vAlign w:val="bottom"/>
          </w:tcPr>
          <w:p>
            <w:pPr>
              <w:spacing w:after="0"/>
              <w:rPr>
                <w:sz w:val="11"/>
                <w:szCs w:val="11"/>
                <w:color w:val="auto"/>
              </w:rPr>
            </w:pPr>
          </w:p>
        </w:tc>
        <w:tc>
          <w:tcPr>
            <w:tcW w:w="1640" w:type="dxa"/>
            <w:vAlign w:val="bottom"/>
          </w:tcPr>
          <w:p>
            <w:pPr>
              <w:spacing w:after="0"/>
              <w:rPr>
                <w:sz w:val="11"/>
                <w:szCs w:val="11"/>
                <w:color w:val="auto"/>
              </w:rPr>
            </w:pPr>
          </w:p>
        </w:tc>
        <w:tc>
          <w:tcPr>
            <w:tcW w:w="228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2260" w:type="dxa"/>
            <w:vAlign w:val="bottom"/>
            <w:vMerge w:val="restart"/>
          </w:tcPr>
          <w:p>
            <w:pPr>
              <w:jc w:val="right"/>
              <w:ind w:right="693"/>
              <w:spacing w:after="0"/>
              <w:rPr>
                <w:sz w:val="20"/>
                <w:szCs w:val="20"/>
                <w:color w:val="auto"/>
              </w:rPr>
            </w:pPr>
            <w:r>
              <w:rPr>
                <w:rFonts w:ascii="Arial" w:cs="Arial" w:eastAsia="Arial" w:hAnsi="Arial"/>
                <w:sz w:val="17"/>
                <w:szCs w:val="17"/>
                <w:b w:val="1"/>
                <w:bCs w:val="1"/>
                <w:color w:val="auto"/>
              </w:rPr>
              <w:t>"Target"</w:t>
            </w:r>
          </w:p>
        </w:tc>
        <w:tc>
          <w:tcPr>
            <w:tcW w:w="100" w:type="dxa"/>
            <w:vAlign w:val="bottom"/>
          </w:tcPr>
          <w:p>
            <w:pPr>
              <w:spacing w:after="0"/>
              <w:rPr>
                <w:sz w:val="11"/>
                <w:szCs w:val="11"/>
                <w:color w:val="auto"/>
              </w:rPr>
            </w:pPr>
          </w:p>
        </w:tc>
        <w:tc>
          <w:tcPr>
            <w:tcW w:w="22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1"/>
        </w:trPr>
        <w:tc>
          <w:tcPr>
            <w:tcW w:w="1940" w:type="dxa"/>
            <w:vAlign w:val="bottom"/>
          </w:tcPr>
          <w:p>
            <w:pPr>
              <w:spacing w:after="0"/>
              <w:rPr>
                <w:sz w:val="7"/>
                <w:szCs w:val="7"/>
                <w:color w:val="auto"/>
              </w:rPr>
            </w:pPr>
          </w:p>
        </w:tc>
        <w:tc>
          <w:tcPr>
            <w:tcW w:w="1640" w:type="dxa"/>
            <w:vAlign w:val="bottom"/>
          </w:tcPr>
          <w:p>
            <w:pPr>
              <w:spacing w:after="0"/>
              <w:rPr>
                <w:sz w:val="7"/>
                <w:szCs w:val="7"/>
                <w:color w:val="auto"/>
              </w:rPr>
            </w:pPr>
          </w:p>
        </w:tc>
        <w:tc>
          <w:tcPr>
            <w:tcW w:w="2280" w:type="dxa"/>
            <w:vAlign w:val="bottom"/>
            <w:tcBorders>
              <w:bottom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2260" w:type="dxa"/>
            <w:vAlign w:val="bottom"/>
            <w:tcBorders>
              <w:bottom w:val="single" w:sz="8" w:color="auto"/>
            </w:tcBorders>
            <w:vMerge w:val="continue"/>
          </w:tcPr>
          <w:p>
            <w:pPr>
              <w:spacing w:after="0"/>
              <w:rPr>
                <w:sz w:val="7"/>
                <w:szCs w:val="7"/>
                <w:color w:val="auto"/>
              </w:rPr>
            </w:pPr>
          </w:p>
        </w:tc>
        <w:tc>
          <w:tcPr>
            <w:tcW w:w="100" w:type="dxa"/>
            <w:vAlign w:val="bottom"/>
          </w:tcPr>
          <w:p>
            <w:pPr>
              <w:spacing w:after="0"/>
              <w:rPr>
                <w:sz w:val="7"/>
                <w:szCs w:val="7"/>
                <w:color w:val="auto"/>
              </w:rPr>
            </w:pPr>
          </w:p>
        </w:tc>
        <w:tc>
          <w:tcPr>
            <w:tcW w:w="226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940" w:type="dxa"/>
            <w:vAlign w:val="bottom"/>
          </w:tcPr>
          <w:p>
            <w:pPr>
              <w:spacing w:after="0"/>
              <w:rPr>
                <w:sz w:val="21"/>
                <w:szCs w:val="21"/>
                <w:color w:val="auto"/>
              </w:rPr>
            </w:pPr>
          </w:p>
        </w:tc>
        <w:tc>
          <w:tcPr>
            <w:tcW w:w="1640" w:type="dxa"/>
            <w:vAlign w:val="bottom"/>
            <w:shd w:val="clear" w:color="auto" w:fill="CCEEFF"/>
          </w:tcPr>
          <w:p>
            <w:pPr>
              <w:jc w:val="center"/>
              <w:spacing w:after="0"/>
              <w:rPr>
                <w:sz w:val="20"/>
                <w:szCs w:val="20"/>
                <w:color w:val="auto"/>
              </w:rPr>
            </w:pPr>
            <w:r>
              <w:rPr>
                <w:rFonts w:ascii="Arial" w:cs="Arial" w:eastAsia="Arial" w:hAnsi="Arial"/>
                <w:sz w:val="17"/>
                <w:szCs w:val="17"/>
                <w:b w:val="1"/>
                <w:bCs w:val="1"/>
                <w:color w:val="auto"/>
                <w:w w:val="99"/>
              </w:rPr>
              <w:t>10% "Target"</w:t>
            </w:r>
          </w:p>
        </w:tc>
        <w:tc>
          <w:tcPr>
            <w:tcW w:w="2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100 %</w:t>
            </w:r>
          </w:p>
        </w:tc>
        <w:tc>
          <w:tcPr>
            <w:tcW w:w="23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150 %</w:t>
            </w:r>
          </w:p>
        </w:tc>
        <w:tc>
          <w:tcPr>
            <w:tcW w:w="23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200 %</w:t>
            </w:r>
          </w:p>
        </w:tc>
        <w:tc>
          <w:tcPr>
            <w:tcW w:w="0" w:type="dxa"/>
            <w:vAlign w:val="bottom"/>
          </w:tcPr>
          <w:p>
            <w:pPr>
              <w:spacing w:after="0"/>
              <w:rPr>
                <w:sz w:val="1"/>
                <w:szCs w:val="1"/>
                <w:color w:val="auto"/>
              </w:rPr>
            </w:pPr>
          </w:p>
        </w:tc>
      </w:tr>
      <w:tr>
        <w:trPr>
          <w:trHeight w:val="260"/>
        </w:trPr>
        <w:tc>
          <w:tcPr>
            <w:tcW w:w="1940" w:type="dxa"/>
            <w:vAlign w:val="bottom"/>
          </w:tcPr>
          <w:p>
            <w:pPr>
              <w:jc w:val="center"/>
              <w:ind w:right="593"/>
              <w:spacing w:after="0"/>
              <w:rPr>
                <w:sz w:val="20"/>
                <w:szCs w:val="20"/>
                <w:color w:val="auto"/>
              </w:rPr>
            </w:pPr>
            <w:r>
              <w:rPr>
                <w:rFonts w:ascii="Arial" w:cs="Arial" w:eastAsia="Arial" w:hAnsi="Arial"/>
                <w:sz w:val="17"/>
                <w:szCs w:val="17"/>
                <w:b w:val="1"/>
                <w:bCs w:val="1"/>
                <w:color w:val="auto"/>
                <w:w w:val="92"/>
              </w:rPr>
              <w:t>Three-Year Book</w:t>
            </w:r>
          </w:p>
        </w:tc>
        <w:tc>
          <w:tcPr>
            <w:tcW w:w="1640" w:type="dxa"/>
            <w:vAlign w:val="bottom"/>
          </w:tcPr>
          <w:p>
            <w:pPr>
              <w:jc w:val="center"/>
              <w:spacing w:after="0"/>
              <w:rPr>
                <w:sz w:val="20"/>
                <w:szCs w:val="20"/>
                <w:color w:val="auto"/>
              </w:rPr>
            </w:pPr>
            <w:r>
              <w:rPr>
                <w:rFonts w:ascii="Arial" w:cs="Arial" w:eastAsia="Arial" w:hAnsi="Arial"/>
                <w:sz w:val="17"/>
                <w:szCs w:val="17"/>
                <w:b w:val="1"/>
                <w:bCs w:val="1"/>
                <w:color w:val="auto"/>
              </w:rPr>
              <w:t>9%</w:t>
            </w:r>
          </w:p>
        </w:tc>
        <w:tc>
          <w:tcPr>
            <w:tcW w:w="2280" w:type="dxa"/>
            <w:vAlign w:val="bottom"/>
          </w:tcPr>
          <w:p>
            <w:pPr>
              <w:jc w:val="right"/>
              <w:spacing w:after="0"/>
              <w:rPr>
                <w:sz w:val="20"/>
                <w:szCs w:val="20"/>
                <w:color w:val="auto"/>
              </w:rPr>
            </w:pPr>
            <w:r>
              <w:rPr>
                <w:rFonts w:ascii="Arial" w:cs="Arial" w:eastAsia="Arial" w:hAnsi="Arial"/>
                <w:sz w:val="17"/>
                <w:szCs w:val="17"/>
                <w:color w:val="auto"/>
              </w:rPr>
              <w:t>75 %</w:t>
            </w:r>
          </w:p>
        </w:tc>
        <w:tc>
          <w:tcPr>
            <w:tcW w:w="2340" w:type="dxa"/>
            <w:vAlign w:val="bottom"/>
            <w:gridSpan w:val="2"/>
          </w:tcPr>
          <w:p>
            <w:pPr>
              <w:jc w:val="right"/>
              <w:spacing w:after="0"/>
              <w:rPr>
                <w:sz w:val="20"/>
                <w:szCs w:val="20"/>
                <w:color w:val="auto"/>
              </w:rPr>
            </w:pPr>
            <w:r>
              <w:rPr>
                <w:rFonts w:ascii="Arial" w:cs="Arial" w:eastAsia="Arial" w:hAnsi="Arial"/>
                <w:sz w:val="17"/>
                <w:szCs w:val="17"/>
                <w:color w:val="auto"/>
              </w:rPr>
              <w:t>125 %</w:t>
            </w:r>
          </w:p>
        </w:tc>
        <w:tc>
          <w:tcPr>
            <w:tcW w:w="2360" w:type="dxa"/>
            <w:vAlign w:val="bottom"/>
            <w:gridSpan w:val="2"/>
          </w:tcPr>
          <w:p>
            <w:pPr>
              <w:jc w:val="right"/>
              <w:spacing w:after="0"/>
              <w:rPr>
                <w:sz w:val="20"/>
                <w:szCs w:val="20"/>
                <w:color w:val="auto"/>
              </w:rPr>
            </w:pPr>
            <w:r>
              <w:rPr>
                <w:rFonts w:ascii="Arial" w:cs="Arial" w:eastAsia="Arial" w:hAnsi="Arial"/>
                <w:sz w:val="17"/>
                <w:szCs w:val="17"/>
                <w:color w:val="auto"/>
              </w:rPr>
              <w:t>175 %</w:t>
            </w:r>
          </w:p>
        </w:tc>
        <w:tc>
          <w:tcPr>
            <w:tcW w:w="0" w:type="dxa"/>
            <w:vAlign w:val="bottom"/>
          </w:tcPr>
          <w:p>
            <w:pPr>
              <w:spacing w:after="0"/>
              <w:rPr>
                <w:sz w:val="1"/>
                <w:szCs w:val="1"/>
                <w:color w:val="auto"/>
              </w:rPr>
            </w:pPr>
          </w:p>
        </w:tc>
      </w:tr>
      <w:tr>
        <w:trPr>
          <w:trHeight w:val="195"/>
        </w:trPr>
        <w:tc>
          <w:tcPr>
            <w:tcW w:w="1940" w:type="dxa"/>
            <w:vAlign w:val="bottom"/>
          </w:tcPr>
          <w:p>
            <w:pPr>
              <w:jc w:val="center"/>
              <w:ind w:right="593"/>
              <w:spacing w:after="0"/>
              <w:rPr>
                <w:sz w:val="20"/>
                <w:szCs w:val="20"/>
                <w:color w:val="auto"/>
              </w:rPr>
            </w:pPr>
            <w:r>
              <w:rPr>
                <w:rFonts w:ascii="Arial" w:cs="Arial" w:eastAsia="Arial" w:hAnsi="Arial"/>
                <w:sz w:val="17"/>
                <w:szCs w:val="17"/>
                <w:b w:val="1"/>
                <w:bCs w:val="1"/>
                <w:color w:val="auto"/>
                <w:w w:val="91"/>
              </w:rPr>
              <w:t>Value Per Share</w:t>
            </w:r>
          </w:p>
        </w:tc>
        <w:tc>
          <w:tcPr>
            <w:tcW w:w="1640" w:type="dxa"/>
            <w:vAlign w:val="bottom"/>
            <w:shd w:val="clear" w:color="auto" w:fill="CCEEFF"/>
          </w:tcPr>
          <w:p>
            <w:pPr>
              <w:jc w:val="center"/>
              <w:spacing w:after="0"/>
              <w:rPr>
                <w:sz w:val="20"/>
                <w:szCs w:val="20"/>
                <w:color w:val="auto"/>
              </w:rPr>
            </w:pPr>
            <w:r>
              <w:rPr>
                <w:rFonts w:ascii="Arial" w:cs="Arial" w:eastAsia="Arial" w:hAnsi="Arial"/>
                <w:sz w:val="17"/>
                <w:szCs w:val="17"/>
                <w:b w:val="1"/>
                <w:bCs w:val="1"/>
                <w:color w:val="auto"/>
              </w:rPr>
              <w:t>8%</w:t>
            </w:r>
          </w:p>
        </w:tc>
        <w:tc>
          <w:tcPr>
            <w:tcW w:w="2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50 %</w:t>
            </w:r>
          </w:p>
        </w:tc>
        <w:tc>
          <w:tcPr>
            <w:tcW w:w="23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100 %</w:t>
            </w:r>
          </w:p>
        </w:tc>
        <w:tc>
          <w:tcPr>
            <w:tcW w:w="23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150 %</w:t>
            </w:r>
          </w:p>
        </w:tc>
        <w:tc>
          <w:tcPr>
            <w:tcW w:w="0" w:type="dxa"/>
            <w:vAlign w:val="bottom"/>
          </w:tcPr>
          <w:p>
            <w:pPr>
              <w:spacing w:after="0"/>
              <w:rPr>
                <w:sz w:val="1"/>
                <w:szCs w:val="1"/>
                <w:color w:val="auto"/>
              </w:rPr>
            </w:pPr>
          </w:p>
        </w:tc>
      </w:tr>
      <w:tr>
        <w:trPr>
          <w:trHeight w:val="65"/>
        </w:trPr>
        <w:tc>
          <w:tcPr>
            <w:tcW w:w="1940" w:type="dxa"/>
            <w:vAlign w:val="bottom"/>
            <w:vMerge w:val="restart"/>
          </w:tcPr>
          <w:p>
            <w:pPr>
              <w:jc w:val="center"/>
              <w:ind w:right="593"/>
              <w:spacing w:after="0"/>
              <w:rPr>
                <w:sz w:val="20"/>
                <w:szCs w:val="20"/>
                <w:color w:val="auto"/>
              </w:rPr>
            </w:pPr>
            <w:r>
              <w:rPr>
                <w:rFonts w:ascii="Arial" w:cs="Arial" w:eastAsia="Arial" w:hAnsi="Arial"/>
                <w:sz w:val="17"/>
                <w:szCs w:val="17"/>
                <w:b w:val="1"/>
                <w:bCs w:val="1"/>
                <w:color w:val="auto"/>
                <w:w w:val="99"/>
              </w:rPr>
              <w:t>CAGR</w:t>
            </w:r>
          </w:p>
        </w:tc>
        <w:tc>
          <w:tcPr>
            <w:tcW w:w="1640" w:type="dxa"/>
            <w:vAlign w:val="bottom"/>
            <w:shd w:val="clear" w:color="auto" w:fill="CCEEFF"/>
          </w:tcPr>
          <w:p>
            <w:pPr>
              <w:spacing w:after="0"/>
              <w:rPr>
                <w:sz w:val="5"/>
                <w:szCs w:val="5"/>
                <w:color w:val="auto"/>
              </w:rPr>
            </w:pPr>
          </w:p>
        </w:tc>
        <w:tc>
          <w:tcPr>
            <w:tcW w:w="228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226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26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61"/>
        </w:trPr>
        <w:tc>
          <w:tcPr>
            <w:tcW w:w="1940" w:type="dxa"/>
            <w:vAlign w:val="bottom"/>
            <w:vMerge w:val="continue"/>
          </w:tcPr>
          <w:p>
            <w:pPr>
              <w:spacing w:after="0"/>
              <w:rPr>
                <w:sz w:val="14"/>
                <w:szCs w:val="14"/>
                <w:color w:val="auto"/>
              </w:rPr>
            </w:pPr>
          </w:p>
        </w:tc>
        <w:tc>
          <w:tcPr>
            <w:tcW w:w="1640" w:type="dxa"/>
            <w:vAlign w:val="bottom"/>
            <w:vMerge w:val="restart"/>
          </w:tcPr>
          <w:p>
            <w:pPr>
              <w:jc w:val="center"/>
              <w:spacing w:after="0"/>
              <w:rPr>
                <w:sz w:val="20"/>
                <w:szCs w:val="20"/>
                <w:color w:val="auto"/>
              </w:rPr>
            </w:pPr>
            <w:r>
              <w:rPr>
                <w:rFonts w:ascii="Arial" w:cs="Arial" w:eastAsia="Arial" w:hAnsi="Arial"/>
                <w:sz w:val="17"/>
                <w:szCs w:val="17"/>
                <w:b w:val="1"/>
                <w:bCs w:val="1"/>
                <w:color w:val="auto"/>
              </w:rPr>
              <w:t>6%</w:t>
            </w:r>
          </w:p>
        </w:tc>
        <w:tc>
          <w:tcPr>
            <w:tcW w:w="2280" w:type="dxa"/>
            <w:vAlign w:val="bottom"/>
            <w:vMerge w:val="restart"/>
          </w:tcPr>
          <w:p>
            <w:pPr>
              <w:jc w:val="right"/>
              <w:spacing w:after="0"/>
              <w:rPr>
                <w:sz w:val="20"/>
                <w:szCs w:val="20"/>
                <w:color w:val="auto"/>
              </w:rPr>
            </w:pPr>
            <w:r>
              <w:rPr>
                <w:rFonts w:ascii="Arial" w:cs="Arial" w:eastAsia="Arial" w:hAnsi="Arial"/>
                <w:sz w:val="17"/>
                <w:szCs w:val="17"/>
                <w:color w:val="auto"/>
              </w:rPr>
              <w:t>25 %</w:t>
            </w:r>
          </w:p>
        </w:tc>
        <w:tc>
          <w:tcPr>
            <w:tcW w:w="2340" w:type="dxa"/>
            <w:vAlign w:val="bottom"/>
            <w:gridSpan w:val="2"/>
            <w:vMerge w:val="restart"/>
          </w:tcPr>
          <w:p>
            <w:pPr>
              <w:jc w:val="right"/>
              <w:spacing w:after="0"/>
              <w:rPr>
                <w:sz w:val="20"/>
                <w:szCs w:val="20"/>
                <w:color w:val="auto"/>
              </w:rPr>
            </w:pPr>
            <w:r>
              <w:rPr>
                <w:rFonts w:ascii="Arial" w:cs="Arial" w:eastAsia="Arial" w:hAnsi="Arial"/>
                <w:sz w:val="17"/>
                <w:szCs w:val="17"/>
                <w:color w:val="auto"/>
              </w:rPr>
              <w:t>75 %</w:t>
            </w:r>
          </w:p>
        </w:tc>
        <w:tc>
          <w:tcPr>
            <w:tcW w:w="2360" w:type="dxa"/>
            <w:vAlign w:val="bottom"/>
            <w:gridSpan w:val="2"/>
            <w:vMerge w:val="restart"/>
          </w:tcPr>
          <w:p>
            <w:pPr>
              <w:jc w:val="right"/>
              <w:spacing w:after="0"/>
              <w:rPr>
                <w:sz w:val="20"/>
                <w:szCs w:val="20"/>
                <w:color w:val="auto"/>
              </w:rPr>
            </w:pPr>
            <w:r>
              <w:rPr>
                <w:rFonts w:ascii="Arial" w:cs="Arial" w:eastAsia="Arial" w:hAnsi="Arial"/>
                <w:sz w:val="17"/>
                <w:szCs w:val="17"/>
                <w:color w:val="auto"/>
              </w:rPr>
              <w:t>125 %</w:t>
            </w:r>
          </w:p>
        </w:tc>
        <w:tc>
          <w:tcPr>
            <w:tcW w:w="0" w:type="dxa"/>
            <w:vAlign w:val="bottom"/>
          </w:tcPr>
          <w:p>
            <w:pPr>
              <w:spacing w:after="0"/>
              <w:rPr>
                <w:sz w:val="1"/>
                <w:szCs w:val="1"/>
                <w:color w:val="auto"/>
              </w:rPr>
            </w:pPr>
          </w:p>
        </w:tc>
      </w:tr>
      <w:tr>
        <w:trPr>
          <w:trHeight w:val="92"/>
        </w:trPr>
        <w:tc>
          <w:tcPr>
            <w:tcW w:w="1940" w:type="dxa"/>
            <w:vAlign w:val="bottom"/>
          </w:tcPr>
          <w:p>
            <w:pPr>
              <w:spacing w:after="0"/>
              <w:rPr>
                <w:sz w:val="7"/>
                <w:szCs w:val="7"/>
                <w:color w:val="auto"/>
              </w:rPr>
            </w:pPr>
          </w:p>
        </w:tc>
        <w:tc>
          <w:tcPr>
            <w:tcW w:w="1640" w:type="dxa"/>
            <w:vAlign w:val="bottom"/>
            <w:vMerge w:val="continue"/>
          </w:tcPr>
          <w:p>
            <w:pPr>
              <w:spacing w:after="0"/>
              <w:rPr>
                <w:sz w:val="7"/>
                <w:szCs w:val="7"/>
                <w:color w:val="auto"/>
              </w:rPr>
            </w:pPr>
          </w:p>
        </w:tc>
        <w:tc>
          <w:tcPr>
            <w:tcW w:w="2280" w:type="dxa"/>
            <w:vAlign w:val="bottom"/>
            <w:vMerge w:val="continue"/>
          </w:tcPr>
          <w:p>
            <w:pPr>
              <w:spacing w:after="0"/>
              <w:rPr>
                <w:sz w:val="7"/>
                <w:szCs w:val="7"/>
                <w:color w:val="auto"/>
              </w:rPr>
            </w:pPr>
          </w:p>
        </w:tc>
        <w:tc>
          <w:tcPr>
            <w:tcW w:w="2340" w:type="dxa"/>
            <w:vAlign w:val="bottom"/>
            <w:gridSpan w:val="2"/>
            <w:vMerge w:val="continue"/>
          </w:tcPr>
          <w:p>
            <w:pPr>
              <w:spacing w:after="0"/>
              <w:rPr>
                <w:sz w:val="7"/>
                <w:szCs w:val="7"/>
                <w:color w:val="auto"/>
              </w:rPr>
            </w:pPr>
          </w:p>
        </w:tc>
        <w:tc>
          <w:tcPr>
            <w:tcW w:w="23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66"/>
        </w:trPr>
        <w:tc>
          <w:tcPr>
            <w:tcW w:w="1940" w:type="dxa"/>
            <w:vAlign w:val="bottom"/>
          </w:tcPr>
          <w:p>
            <w:pPr>
              <w:spacing w:after="0"/>
              <w:rPr>
                <w:sz w:val="23"/>
                <w:szCs w:val="23"/>
                <w:color w:val="auto"/>
              </w:rPr>
            </w:pPr>
          </w:p>
        </w:tc>
        <w:tc>
          <w:tcPr>
            <w:tcW w:w="1640" w:type="dxa"/>
            <w:vAlign w:val="bottom"/>
            <w:shd w:val="clear" w:color="auto" w:fill="CCEEFF"/>
          </w:tcPr>
          <w:p>
            <w:pPr>
              <w:jc w:val="center"/>
              <w:spacing w:after="0"/>
              <w:rPr>
                <w:sz w:val="20"/>
                <w:szCs w:val="20"/>
                <w:color w:val="auto"/>
              </w:rPr>
            </w:pPr>
            <w:r>
              <w:rPr>
                <w:rFonts w:ascii="Arial" w:cs="Arial" w:eastAsia="Arial" w:hAnsi="Arial"/>
                <w:sz w:val="17"/>
                <w:szCs w:val="17"/>
                <w:b w:val="1"/>
                <w:bCs w:val="1"/>
                <w:color w:val="auto"/>
              </w:rPr>
              <w:t>5%</w:t>
            </w:r>
          </w:p>
        </w:tc>
        <w:tc>
          <w:tcPr>
            <w:tcW w:w="2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0 %</w:t>
            </w:r>
          </w:p>
        </w:tc>
        <w:tc>
          <w:tcPr>
            <w:tcW w:w="23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50 %</w:t>
            </w:r>
          </w:p>
        </w:tc>
        <w:tc>
          <w:tcPr>
            <w:tcW w:w="23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100 %</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68580</wp:posOffset>
            </wp:positionV>
            <wp:extent cx="7162800" cy="419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1" w:name="page22"/>
    <w:bookmarkEnd w:id="21"/>
    <w:p>
      <w:pPr>
        <w:spacing w:after="0"/>
        <w:rPr>
          <w:sz w:val="20"/>
          <w:szCs w:val="20"/>
          <w:color w:val="auto"/>
        </w:rPr>
      </w:pPr>
      <w:r>
        <w:rPr>
          <w:rFonts w:ascii="Arial" w:cs="Arial" w:eastAsia="Arial" w:hAnsi="Arial"/>
          <w:sz w:val="17"/>
          <w:szCs w:val="17"/>
          <w:u w:val="single" w:color="auto"/>
          <w:color w:val="0000FF"/>
        </w:rPr>
        <w:t>Table of Contents</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Essent Group Ltd. and Subsidiaries</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Condensed Consolidated Financial Statements (Unaudited)</w:t>
      </w:r>
    </w:p>
    <w:p>
      <w:pPr>
        <w:spacing w:after="0" w:line="200" w:lineRule="exact"/>
        <w:rPr>
          <w:sz w:val="20"/>
          <w:szCs w:val="20"/>
          <w:color w:val="auto"/>
        </w:rPr>
      </w:pPr>
    </w:p>
    <w:p>
      <w:pPr>
        <w:spacing w:after="0" w:line="234" w:lineRule="exact"/>
        <w:rPr>
          <w:sz w:val="20"/>
          <w:szCs w:val="20"/>
          <w:color w:val="auto"/>
        </w:rPr>
      </w:pPr>
    </w:p>
    <w:p>
      <w:pPr>
        <w:ind w:right="40" w:firstLine="623"/>
        <w:spacing w:after="0" w:line="285" w:lineRule="auto"/>
        <w:rPr>
          <w:sz w:val="20"/>
          <w:szCs w:val="20"/>
          <w:color w:val="auto"/>
        </w:rPr>
      </w:pPr>
      <w:r>
        <w:rPr>
          <w:rFonts w:ascii="Arial" w:cs="Arial" w:eastAsia="Arial" w:hAnsi="Arial"/>
          <w:sz w:val="17"/>
          <w:szCs w:val="17"/>
          <w:color w:val="auto"/>
        </w:rPr>
        <w:t>In the event that the compounded annual book value per share growth or the relative total shareholder return falls between the performance levels shown above, the nonvested common shares earned will be determined on a straight-line basis between the respective levels shown.</w:t>
      </w:r>
    </w:p>
    <w:p>
      <w:pPr>
        <w:spacing w:after="0" w:line="159" w:lineRule="exact"/>
        <w:rPr>
          <w:sz w:val="20"/>
          <w:szCs w:val="20"/>
          <w:color w:val="auto"/>
        </w:rPr>
      </w:pPr>
    </w:p>
    <w:p>
      <w:pPr>
        <w:ind w:right="240" w:firstLine="428"/>
        <w:spacing w:after="0" w:line="294" w:lineRule="auto"/>
        <w:rPr>
          <w:sz w:val="20"/>
          <w:szCs w:val="20"/>
          <w:color w:val="auto"/>
        </w:rPr>
      </w:pPr>
      <w:r>
        <w:rPr>
          <w:rFonts w:ascii="Arial" w:cs="Arial" w:eastAsia="Arial" w:hAnsi="Arial"/>
          <w:sz w:val="16"/>
          <w:szCs w:val="16"/>
          <w:color w:val="auto"/>
        </w:rPr>
        <w:t>In January 2023, nonvested common share units were issued to all vice president and staff level employees and are subject to time-based vesting in three equal installments on January 6, 2024, 2025 and 2026. In connection with our incentive program covering bonus awards for performance year 2022, in February 2023, time-based share units were issued to certain employees that vest in three equal installments on March 1, 2024, 2025 and 2026.</w:t>
      </w:r>
    </w:p>
    <w:p>
      <w:pPr>
        <w:spacing w:after="0" w:line="181" w:lineRule="exact"/>
        <w:rPr>
          <w:sz w:val="20"/>
          <w:szCs w:val="20"/>
          <w:color w:val="auto"/>
        </w:rPr>
      </w:pPr>
    </w:p>
    <w:p>
      <w:pPr>
        <w:ind w:right="200" w:firstLine="623"/>
        <w:spacing w:after="0" w:line="270" w:lineRule="auto"/>
        <w:rPr>
          <w:sz w:val="20"/>
          <w:szCs w:val="20"/>
          <w:color w:val="auto"/>
        </w:rPr>
      </w:pPr>
      <w:r>
        <w:rPr>
          <w:rFonts w:ascii="Arial" w:cs="Arial" w:eastAsia="Arial" w:hAnsi="Arial"/>
          <w:sz w:val="17"/>
          <w:szCs w:val="17"/>
          <w:color w:val="auto"/>
        </w:rPr>
        <w:t>Quoted market prices are used for the valuation of common shares granted that do not contain a market condition under ASC 718. The performance-based share awards granted in February 2021, 2022 and 2023 contain a market condition and were valued based on analysis provided by a third-party valuation firm using a risk neutral simulation taking into effect the vesting conditions of the grant.</w:t>
      </w:r>
    </w:p>
    <w:p>
      <w:pPr>
        <w:spacing w:after="0" w:line="197" w:lineRule="exact"/>
        <w:rPr>
          <w:sz w:val="20"/>
          <w:szCs w:val="20"/>
          <w:color w:val="auto"/>
        </w:rPr>
      </w:pPr>
    </w:p>
    <w:p>
      <w:pPr>
        <w:ind w:right="60" w:firstLine="623"/>
        <w:spacing w:after="0" w:line="294" w:lineRule="auto"/>
        <w:rPr>
          <w:sz w:val="20"/>
          <w:szCs w:val="20"/>
          <w:color w:val="auto"/>
        </w:rPr>
      </w:pPr>
      <w:r>
        <w:rPr>
          <w:rFonts w:ascii="Arial" w:cs="Arial" w:eastAsia="Arial" w:hAnsi="Arial"/>
          <w:sz w:val="16"/>
          <w:szCs w:val="16"/>
          <w:color w:val="auto"/>
        </w:rPr>
        <w:t>In February 2021, the performance-based share awards granted in 2019 and 2020 to certain members of senior management were amended to provide that such awards will no longer be subject to the achievement of the compounded annual book value per share growth metrics and will be subject to only service-based vesting. As a result, the shares subject to the amended 2019 and 2020 awards vested on March 1, 2022 and March 1, 2023, respectively.</w:t>
      </w:r>
    </w:p>
    <w:p>
      <w:pPr>
        <w:spacing w:after="0" w:line="181" w:lineRule="exact"/>
        <w:rPr>
          <w:sz w:val="20"/>
          <w:szCs w:val="20"/>
          <w:color w:val="auto"/>
        </w:rPr>
      </w:pPr>
    </w:p>
    <w:p>
      <w:pPr>
        <w:ind w:firstLine="623"/>
        <w:spacing w:after="0" w:line="294" w:lineRule="auto"/>
        <w:rPr>
          <w:sz w:val="20"/>
          <w:szCs w:val="20"/>
          <w:color w:val="auto"/>
        </w:rPr>
      </w:pPr>
      <w:r>
        <w:rPr>
          <w:rFonts w:ascii="Arial" w:cs="Arial" w:eastAsia="Arial" w:hAnsi="Arial"/>
          <w:sz w:val="16"/>
          <w:szCs w:val="16"/>
          <w:color w:val="auto"/>
        </w:rPr>
        <w:t>The total fair value on the vesting date of nonvested shares, share units or DEUs that vested was $14.5 million and $17.2 million for the six months ended June 30, 2023 and 2022, respectively. As of June 30, 2023, there was $30.7 million of total unrecognized compensation expense related to nonvested shares or share units outstanding at June 30, 2023 and we expect to recognize the expense over a weighted average period of 2.28 years.</w:t>
      </w:r>
    </w:p>
    <w:p>
      <w:pPr>
        <w:spacing w:after="0" w:line="181" w:lineRule="exact"/>
        <w:rPr>
          <w:sz w:val="20"/>
          <w:szCs w:val="20"/>
          <w:color w:val="auto"/>
        </w:rPr>
      </w:pPr>
    </w:p>
    <w:p>
      <w:pPr>
        <w:ind w:right="160" w:firstLine="623"/>
        <w:spacing w:after="0" w:line="270" w:lineRule="auto"/>
        <w:rPr>
          <w:sz w:val="20"/>
          <w:szCs w:val="20"/>
          <w:color w:val="auto"/>
        </w:rPr>
      </w:pPr>
      <w:r>
        <w:rPr>
          <w:rFonts w:ascii="Arial" w:cs="Arial" w:eastAsia="Arial" w:hAnsi="Arial"/>
          <w:sz w:val="17"/>
          <w:szCs w:val="17"/>
          <w:color w:val="auto"/>
        </w:rPr>
        <w:t>Employees have the option to tender shares to Essent Group to pay the minimum employee statutory withholding taxes associated with shares upon vesting. Common shares tendered by employees to pay employee withholding taxes totaled 113,980 in the six months ended June 30, 2023. The tendered shares were recorded at cost and included in treasury stock. All treasury stock has been cancelled as of June 30, 2023.</w:t>
      </w:r>
    </w:p>
    <w:p>
      <w:pPr>
        <w:spacing w:after="0" w:line="171" w:lineRule="exact"/>
        <w:rPr>
          <w:sz w:val="20"/>
          <w:szCs w:val="20"/>
          <w:color w:val="auto"/>
        </w:rPr>
      </w:pPr>
    </w:p>
    <w:p>
      <w:pPr>
        <w:ind w:left="620"/>
        <w:spacing w:after="0"/>
        <w:rPr>
          <w:sz w:val="20"/>
          <w:szCs w:val="20"/>
          <w:color w:val="auto"/>
        </w:rPr>
      </w:pPr>
      <w:r>
        <w:rPr>
          <w:rFonts w:ascii="Arial" w:cs="Arial" w:eastAsia="Arial" w:hAnsi="Arial"/>
          <w:sz w:val="17"/>
          <w:szCs w:val="17"/>
          <w:color w:val="auto"/>
        </w:rPr>
        <w:t>Compensation expense, net of forfeitures, and related tax effects recognized in connection with nonvested shares was as follows: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5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40" w:type="dxa"/>
            <w:vAlign w:val="bottom"/>
            <w:gridSpan w:val="4"/>
          </w:tcPr>
          <w:p>
            <w:pPr>
              <w:ind w:left="580"/>
              <w:spacing w:after="0"/>
              <w:rPr>
                <w:sz w:val="20"/>
                <w:szCs w:val="20"/>
                <w:color w:val="auto"/>
              </w:rPr>
            </w:pPr>
            <w:r>
              <w:rPr>
                <w:rFonts w:ascii="Arial" w:cs="Arial" w:eastAsia="Arial" w:hAnsi="Arial"/>
                <w:sz w:val="14"/>
                <w:szCs w:val="14"/>
                <w:b w:val="1"/>
                <w:bCs w:val="1"/>
                <w:color w:val="auto"/>
                <w:w w:val="92"/>
              </w:rPr>
              <w:t>Three Months Ended June 30,</w:t>
            </w: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620" w:type="dxa"/>
            <w:vAlign w:val="bottom"/>
            <w:gridSpan w:val="4"/>
          </w:tcPr>
          <w:p>
            <w:pPr>
              <w:jc w:val="right"/>
              <w:ind w:right="579"/>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25"/>
        </w:trPr>
        <w:tc>
          <w:tcPr>
            <w:tcW w:w="51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vMerge w:val="restart"/>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3"/>
        </w:trPr>
        <w:tc>
          <w:tcPr>
            <w:tcW w:w="5100" w:type="dxa"/>
            <w:vAlign w:val="bottom"/>
            <w:tcBorders>
              <w:bottom w:val="single" w:sz="8" w:color="auto"/>
            </w:tcBorders>
            <w:vMerge w:val="continue"/>
          </w:tcPr>
          <w:p>
            <w:pPr>
              <w:spacing w:after="0"/>
              <w:rPr>
                <w:sz w:val="15"/>
                <w:szCs w:val="15"/>
                <w:color w:val="auto"/>
              </w:rPr>
            </w:pPr>
          </w:p>
        </w:tc>
        <w:tc>
          <w:tcPr>
            <w:tcW w:w="120" w:type="dxa"/>
            <w:vAlign w:val="bottom"/>
            <w:vMerge w:val="continue"/>
          </w:tcPr>
          <w:p>
            <w:pPr>
              <w:spacing w:after="0"/>
              <w:rPr>
                <w:sz w:val="15"/>
                <w:szCs w:val="15"/>
                <w:color w:val="auto"/>
              </w:rPr>
            </w:pPr>
          </w:p>
        </w:tc>
        <w:tc>
          <w:tcPr>
            <w:tcW w:w="900" w:type="dxa"/>
            <w:vAlign w:val="bottom"/>
            <w:tcBorders>
              <w:bottom w:val="single" w:sz="8" w:color="auto"/>
            </w:tcBorders>
          </w:tcPr>
          <w:p>
            <w:pPr>
              <w:ind w:left="580"/>
              <w:spacing w:after="0"/>
              <w:rPr>
                <w:sz w:val="20"/>
                <w:szCs w:val="20"/>
                <w:color w:val="auto"/>
              </w:rPr>
            </w:pPr>
            <w:r>
              <w:rPr>
                <w:rFonts w:ascii="Arial" w:cs="Arial" w:eastAsia="Arial" w:hAnsi="Arial"/>
                <w:sz w:val="14"/>
                <w:szCs w:val="14"/>
                <w:b w:val="1"/>
                <w:bCs w:val="1"/>
                <w:color w:val="auto"/>
                <w:w w:val="96"/>
              </w:rPr>
              <w:t>2023</w:t>
            </w:r>
          </w:p>
        </w:tc>
        <w:tc>
          <w:tcPr>
            <w:tcW w:w="5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5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502"/>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99"/>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228"/>
        </w:trPr>
        <w:tc>
          <w:tcPr>
            <w:tcW w:w="522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Compensation expense</w:t>
            </w:r>
          </w:p>
        </w:tc>
        <w:tc>
          <w:tcPr>
            <w:tcW w:w="900" w:type="dxa"/>
            <w:vAlign w:val="bottom"/>
            <w:shd w:val="clear" w:color="auto" w:fill="CCEEFF"/>
          </w:tcPr>
          <w:p>
            <w:pPr>
              <w:jc w:val="right"/>
              <w:ind w:right="725"/>
              <w:spacing w:after="0"/>
              <w:rPr>
                <w:sz w:val="20"/>
                <w:szCs w:val="20"/>
                <w:color w:val="auto"/>
              </w:rPr>
            </w:pPr>
            <w:r>
              <w:rPr>
                <w:rFonts w:ascii="Arial" w:cs="Arial" w:eastAsia="Arial" w:hAnsi="Arial"/>
                <w:sz w:val="17"/>
                <w:szCs w:val="17"/>
                <w:color w:val="auto"/>
                <w:w w:val="84"/>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4,354</w:t>
            </w:r>
          </w:p>
        </w:tc>
        <w:tc>
          <w:tcPr>
            <w:tcW w:w="1020" w:type="dxa"/>
            <w:vAlign w:val="bottom"/>
            <w:gridSpan w:val="2"/>
            <w:shd w:val="clear" w:color="auto" w:fill="CCEEFF"/>
          </w:tcPr>
          <w:p>
            <w:pPr>
              <w:jc w:val="right"/>
              <w:ind w:right="731"/>
              <w:spacing w:after="0"/>
              <w:rPr>
                <w:sz w:val="20"/>
                <w:szCs w:val="20"/>
                <w:color w:val="auto"/>
              </w:rPr>
            </w:pPr>
            <w:r>
              <w:rPr>
                <w:rFonts w:ascii="Arial" w:cs="Arial" w:eastAsia="Arial" w:hAnsi="Arial"/>
                <w:sz w:val="17"/>
                <w:szCs w:val="17"/>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8"/>
              </w:rPr>
              <w:t>4,198</w:t>
            </w:r>
          </w:p>
        </w:tc>
        <w:tc>
          <w:tcPr>
            <w:tcW w:w="4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100" w:type="dxa"/>
            <w:vAlign w:val="bottom"/>
            <w:shd w:val="clear" w:color="auto" w:fill="CCEEFF"/>
          </w:tcPr>
          <w:p>
            <w:pPr>
              <w:jc w:val="right"/>
              <w:ind w:right="2"/>
              <w:spacing w:after="0"/>
              <w:rPr>
                <w:sz w:val="20"/>
                <w:szCs w:val="20"/>
                <w:color w:val="auto"/>
              </w:rPr>
            </w:pPr>
            <w:r>
              <w:rPr>
                <w:rFonts w:ascii="Arial" w:cs="Arial" w:eastAsia="Arial" w:hAnsi="Arial"/>
                <w:sz w:val="17"/>
                <w:szCs w:val="17"/>
                <w:color w:val="auto"/>
              </w:rPr>
              <w:t>9,460</w:t>
            </w:r>
          </w:p>
        </w:tc>
        <w:tc>
          <w:tcPr>
            <w:tcW w:w="44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9,005</w:t>
            </w:r>
          </w:p>
        </w:tc>
        <w:tc>
          <w:tcPr>
            <w:tcW w:w="0" w:type="dxa"/>
            <w:vAlign w:val="bottom"/>
          </w:tcPr>
          <w:p>
            <w:pPr>
              <w:spacing w:after="0"/>
              <w:rPr>
                <w:sz w:val="1"/>
                <w:szCs w:val="1"/>
                <w:color w:val="auto"/>
              </w:rPr>
            </w:pPr>
          </w:p>
        </w:tc>
      </w:tr>
      <w:tr>
        <w:trPr>
          <w:trHeight w:val="221"/>
        </w:trPr>
        <w:tc>
          <w:tcPr>
            <w:tcW w:w="5220" w:type="dxa"/>
            <w:vAlign w:val="bottom"/>
            <w:gridSpan w:val="2"/>
          </w:tcPr>
          <w:p>
            <w:pPr>
              <w:ind w:left="20"/>
              <w:spacing w:after="0"/>
              <w:rPr>
                <w:sz w:val="20"/>
                <w:szCs w:val="20"/>
                <w:color w:val="auto"/>
              </w:rPr>
            </w:pPr>
            <w:r>
              <w:rPr>
                <w:rFonts w:ascii="Arial" w:cs="Arial" w:eastAsia="Arial" w:hAnsi="Arial"/>
                <w:sz w:val="17"/>
                <w:szCs w:val="17"/>
                <w:color w:val="auto"/>
              </w:rPr>
              <w:t>Income tax benefit</w:t>
            </w:r>
          </w:p>
        </w:tc>
        <w:tc>
          <w:tcPr>
            <w:tcW w:w="9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861</w:t>
            </w: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828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ind w:right="2"/>
              <w:spacing w:after="0"/>
              <w:rPr>
                <w:sz w:val="20"/>
                <w:szCs w:val="20"/>
                <w:color w:val="auto"/>
              </w:rPr>
            </w:pPr>
            <w:r>
              <w:rPr>
                <w:rFonts w:ascii="Arial" w:cs="Arial" w:eastAsia="Arial" w:hAnsi="Arial"/>
                <w:sz w:val="17"/>
                <w:szCs w:val="17"/>
                <w:color w:val="auto"/>
              </w:rPr>
              <w:t>1,879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1,785</w:t>
            </w:r>
          </w:p>
        </w:tc>
        <w:tc>
          <w:tcPr>
            <w:tcW w:w="0" w:type="dxa"/>
            <w:vAlign w:val="bottom"/>
          </w:tcPr>
          <w:p>
            <w:pPr>
              <w:spacing w:after="0"/>
              <w:rPr>
                <w:sz w:val="1"/>
                <w:szCs w:val="1"/>
                <w:color w:val="auto"/>
              </w:rPr>
            </w:pPr>
          </w:p>
        </w:tc>
      </w:tr>
    </w:tbl>
    <w:p>
      <w:pPr>
        <w:spacing w:after="0" w:line="28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10. Dividends Restrictions</w:t>
      </w:r>
    </w:p>
    <w:p>
      <w:pPr>
        <w:spacing w:after="0" w:line="252" w:lineRule="exact"/>
        <w:rPr>
          <w:sz w:val="20"/>
          <w:szCs w:val="20"/>
          <w:color w:val="auto"/>
        </w:rPr>
      </w:pPr>
    </w:p>
    <w:p>
      <w:pPr>
        <w:ind w:firstLine="623"/>
        <w:spacing w:after="0" w:line="276" w:lineRule="auto"/>
        <w:rPr>
          <w:sz w:val="20"/>
          <w:szCs w:val="20"/>
          <w:color w:val="auto"/>
        </w:rPr>
      </w:pPr>
      <w:r>
        <w:rPr>
          <w:rFonts w:ascii="Arial" w:cs="Arial" w:eastAsia="Arial" w:hAnsi="Arial"/>
          <w:sz w:val="16"/>
          <w:szCs w:val="16"/>
          <w:color w:val="auto"/>
        </w:rPr>
        <w:t>Our U.S. insurance subsidiaries are subject to certain capital and dividend rules and regulations as prescribed by jurisdictions in which they are authorized to operate. Under the insurance laws of the Commonwealth of Pennsylvania, Essent Guaranty and Essent PA may pay dividends during any 12-month period in an amount equal to the greater of (i) 10% of the preceding year-end statutory policyholders' surplus or (ii) the preceding year's statutory net income. The Pennsylvania statute also specifies that dividends and other distributions can be paid out of positive unassigned surplus without prior approval. At June 30, 2023, Essent Guaranty had unassigned surplus of approximately $273.2 million and Essent PA had unassigned surplus of approximately $11.7 million. In three and six months ended June 30, 2023, Essent Guaranty paid dividends of $90 million and $180 million, respectively, to its parent, Essent US Holdings, Inc. In three and six months ended June 30, 2022, Essent Guaranty paid dividends of $100 million and $200 million, respectively, to its parent, Essent US Holdings, Inc. Essent PA did not pay a dividend in the three and six months ended June 30, 2023 or 2022. As of June 30, 2023, Essent Guaranty and Essent PA could pay additional ordinary dividends in 2023 of $273.2 million and $5.3 million, respectively.</w:t>
      </w:r>
    </w:p>
    <w:p>
      <w:pPr>
        <w:spacing w:after="0" w:line="198" w:lineRule="exact"/>
        <w:rPr>
          <w:sz w:val="20"/>
          <w:szCs w:val="20"/>
          <w:color w:val="auto"/>
        </w:rPr>
      </w:pPr>
    </w:p>
    <w:p>
      <w:pPr>
        <w:jc w:val="both"/>
        <w:ind w:right="60" w:firstLine="623"/>
        <w:spacing w:after="0" w:line="270" w:lineRule="auto"/>
        <w:rPr>
          <w:sz w:val="20"/>
          <w:szCs w:val="20"/>
          <w:color w:val="auto"/>
        </w:rPr>
      </w:pPr>
      <w:r>
        <w:rPr>
          <w:rFonts w:ascii="Arial" w:cs="Arial" w:eastAsia="Arial" w:hAnsi="Arial"/>
          <w:sz w:val="17"/>
          <w:szCs w:val="17"/>
          <w:color w:val="auto"/>
        </w:rPr>
        <w:t>Essent Re is subject to certain dividend restrictions as prescribed by the Bermuda Monetary Authority and under certain agreements with counterparties. In connection with the quota share reinsurance agreement with Essent Guaranty, Essent Re has agreed to maintain a minimum total equity of $100 million. As of June 30, 2023, Essent Re had total equity of $1.6 billion.</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68580</wp:posOffset>
            </wp:positionV>
            <wp:extent cx="7162800" cy="419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2" w:name="page23"/>
    <w:bookmarkEnd w:id="22"/>
    <w:p>
      <w:pPr>
        <w:spacing w:after="0"/>
        <w:rPr>
          <w:sz w:val="20"/>
          <w:szCs w:val="20"/>
          <w:color w:val="auto"/>
        </w:rPr>
      </w:pPr>
      <w:r>
        <w:rPr>
          <w:rFonts w:ascii="Arial" w:cs="Arial" w:eastAsia="Arial" w:hAnsi="Arial"/>
          <w:sz w:val="17"/>
          <w:szCs w:val="17"/>
          <w:u w:val="single" w:color="auto"/>
          <w:color w:val="0000FF"/>
        </w:rPr>
        <w:t>Table of Contents</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Essent Group Ltd. and Subsidiaries</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Condensed Consolidated Financial Statements (Unaudited)</w:t>
      </w:r>
    </w:p>
    <w:p>
      <w:pPr>
        <w:spacing w:after="0" w:line="200" w:lineRule="exact"/>
        <w:rPr>
          <w:sz w:val="20"/>
          <w:szCs w:val="20"/>
          <w:color w:val="auto"/>
        </w:rPr>
      </w:pPr>
    </w:p>
    <w:p>
      <w:pPr>
        <w:spacing w:after="0" w:line="234" w:lineRule="exact"/>
        <w:rPr>
          <w:sz w:val="20"/>
          <w:szCs w:val="20"/>
          <w:color w:val="auto"/>
        </w:rPr>
      </w:pPr>
    </w:p>
    <w:p>
      <w:pPr>
        <w:ind w:left="620"/>
        <w:spacing w:after="0"/>
        <w:rPr>
          <w:sz w:val="20"/>
          <w:szCs w:val="20"/>
          <w:color w:val="auto"/>
        </w:rPr>
      </w:pPr>
      <w:r>
        <w:rPr>
          <w:rFonts w:ascii="Arial" w:cs="Arial" w:eastAsia="Arial" w:hAnsi="Arial"/>
          <w:sz w:val="17"/>
          <w:szCs w:val="17"/>
          <w:color w:val="auto"/>
        </w:rPr>
        <w:t>At June 30, 2023, our insurance subsidiaries were in compliance with these rules, regulations and agreements.</w:t>
      </w:r>
    </w:p>
    <w:p>
      <w:pPr>
        <w:spacing w:after="0" w:line="24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11. Earnings per Share (EPS)</w:t>
      </w:r>
    </w:p>
    <w:p>
      <w:pPr>
        <w:spacing w:after="0" w:line="226" w:lineRule="exact"/>
        <w:rPr>
          <w:sz w:val="20"/>
          <w:szCs w:val="20"/>
          <w:color w:val="auto"/>
        </w:rPr>
      </w:pPr>
    </w:p>
    <w:p>
      <w:pPr>
        <w:ind w:right="500" w:firstLine="623"/>
        <w:spacing w:after="0" w:line="285" w:lineRule="auto"/>
        <w:rPr>
          <w:sz w:val="20"/>
          <w:szCs w:val="20"/>
          <w:color w:val="auto"/>
        </w:rPr>
      </w:pPr>
      <w:r>
        <w:rPr>
          <w:rFonts w:ascii="Arial" w:cs="Arial" w:eastAsia="Arial" w:hAnsi="Arial"/>
          <w:sz w:val="17"/>
          <w:szCs w:val="17"/>
          <w:color w:val="auto"/>
        </w:rPr>
        <w:t>The following table reconciles the net income and the weighted average common shares outstanding used in the computations of basic and diluted earnings per common share:</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740" w:type="dxa"/>
            <w:vAlign w:val="bottom"/>
            <w:gridSpan w:val="3"/>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700" w:type="dxa"/>
            <w:vAlign w:val="bottom"/>
            <w:gridSpan w:val="3"/>
          </w:tcPr>
          <w:p>
            <w:pPr>
              <w:jc w:val="right"/>
              <w:ind w:right="40"/>
              <w:spacing w:after="0"/>
              <w:rPr>
                <w:sz w:val="20"/>
                <w:szCs w:val="20"/>
                <w:color w:val="auto"/>
              </w:rPr>
            </w:pPr>
            <w:r>
              <w:rPr>
                <w:rFonts w:ascii="Arial" w:cs="Arial" w:eastAsia="Arial" w:hAnsi="Arial"/>
                <w:sz w:val="14"/>
                <w:szCs w:val="14"/>
                <w:b w:val="1"/>
                <w:bCs w:val="1"/>
                <w:color w:val="auto"/>
              </w:rPr>
              <w:t>Six Months Ended</w:t>
            </w:r>
          </w:p>
        </w:tc>
        <w:tc>
          <w:tcPr>
            <w:tcW w:w="880" w:type="dxa"/>
            <w:vAlign w:val="bottom"/>
          </w:tcPr>
          <w:p>
            <w:pPr>
              <w:spacing w:after="0"/>
              <w:rPr>
                <w:sz w:val="14"/>
                <w:szCs w:val="14"/>
                <w:color w:val="auto"/>
              </w:rPr>
            </w:pPr>
          </w:p>
        </w:tc>
      </w:tr>
      <w:tr>
        <w:trPr>
          <w:trHeight w:val="188"/>
        </w:trPr>
        <w:tc>
          <w:tcPr>
            <w:tcW w:w="5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3"/>
          </w:tcPr>
          <w:p>
            <w:pPr>
              <w:jc w:val="right"/>
              <w:ind w:right="360"/>
              <w:spacing w:after="0"/>
              <w:rPr>
                <w:sz w:val="20"/>
                <w:szCs w:val="20"/>
                <w:color w:val="auto"/>
              </w:rPr>
            </w:pPr>
            <w:r>
              <w:rPr>
                <w:rFonts w:ascii="Arial" w:cs="Arial" w:eastAsia="Arial" w:hAnsi="Arial"/>
                <w:sz w:val="14"/>
                <w:szCs w:val="14"/>
                <w:b w:val="1"/>
                <w:bCs w:val="1"/>
                <w:color w:val="auto"/>
              </w:rPr>
              <w:t>June 30,</w:t>
            </w:r>
          </w:p>
        </w:tc>
        <w:tc>
          <w:tcPr>
            <w:tcW w:w="8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3"/>
          </w:tcPr>
          <w:p>
            <w:pPr>
              <w:jc w:val="right"/>
              <w:ind w:right="340"/>
              <w:spacing w:after="0"/>
              <w:rPr>
                <w:sz w:val="20"/>
                <w:szCs w:val="20"/>
                <w:color w:val="auto"/>
              </w:rPr>
            </w:pPr>
            <w:r>
              <w:rPr>
                <w:rFonts w:ascii="Arial" w:cs="Arial" w:eastAsia="Arial" w:hAnsi="Arial"/>
                <w:sz w:val="14"/>
                <w:szCs w:val="14"/>
                <w:b w:val="1"/>
                <w:bCs w:val="1"/>
                <w:color w:val="auto"/>
              </w:rPr>
              <w:t>June 30,</w:t>
            </w:r>
          </w:p>
        </w:tc>
        <w:tc>
          <w:tcPr>
            <w:tcW w:w="880" w:type="dxa"/>
            <w:vAlign w:val="bottom"/>
            <w:tcBorders>
              <w:bottom w:val="single" w:sz="8" w:color="auto"/>
            </w:tcBorders>
          </w:tcPr>
          <w:p>
            <w:pPr>
              <w:spacing w:after="0"/>
              <w:rPr>
                <w:sz w:val="16"/>
                <w:szCs w:val="16"/>
                <w:color w:val="auto"/>
              </w:rPr>
            </w:pPr>
          </w:p>
        </w:tc>
      </w:tr>
      <w:tr>
        <w:trPr>
          <w:trHeight w:val="188"/>
        </w:trPr>
        <w:tc>
          <w:tcPr>
            <w:tcW w:w="51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 except per share amounts)</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9"/>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476"/>
              <w:spacing w:after="0"/>
              <w:rPr>
                <w:sz w:val="20"/>
                <w:szCs w:val="20"/>
                <w:color w:val="auto"/>
              </w:rPr>
            </w:pPr>
            <w:r>
              <w:rPr>
                <w:rFonts w:ascii="Arial" w:cs="Arial" w:eastAsia="Arial" w:hAnsi="Arial"/>
                <w:sz w:val="14"/>
                <w:szCs w:val="14"/>
                <w:b w:val="1"/>
                <w:bCs w:val="1"/>
                <w:color w:val="auto"/>
                <w:w w:val="83"/>
              </w:rPr>
              <w:t>2022</w:t>
            </w:r>
          </w:p>
        </w:tc>
        <w:tc>
          <w:tcPr>
            <w:tcW w:w="1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79"/>
              <w:spacing w:after="0"/>
              <w:rPr>
                <w:sz w:val="20"/>
                <w:szCs w:val="20"/>
                <w:color w:val="auto"/>
              </w:rPr>
            </w:pPr>
            <w:r>
              <w:rPr>
                <w:rFonts w:ascii="Arial" w:cs="Arial" w:eastAsia="Arial" w:hAnsi="Arial"/>
                <w:sz w:val="14"/>
                <w:szCs w:val="14"/>
                <w:b w:val="1"/>
                <w:bCs w:val="1"/>
                <w:color w:val="auto"/>
              </w:rPr>
              <w:t>2023</w:t>
            </w:r>
          </w:p>
        </w:tc>
        <w:tc>
          <w:tcPr>
            <w:tcW w:w="120" w:type="dxa"/>
            <w:vAlign w:val="bottom"/>
            <w:tcBorders>
              <w:bottom w:val="single" w:sz="8" w:color="CCEEFF"/>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476"/>
              <w:spacing w:after="0"/>
              <w:rPr>
                <w:sz w:val="20"/>
                <w:szCs w:val="20"/>
                <w:color w:val="auto"/>
              </w:rPr>
            </w:pPr>
            <w:r>
              <w:rPr>
                <w:rFonts w:ascii="Arial" w:cs="Arial" w:eastAsia="Arial" w:hAnsi="Arial"/>
                <w:sz w:val="14"/>
                <w:szCs w:val="14"/>
                <w:b w:val="1"/>
                <w:bCs w:val="1"/>
                <w:color w:val="auto"/>
                <w:w w:val="96"/>
              </w:rPr>
              <w:t>2022</w:t>
            </w:r>
          </w:p>
        </w:tc>
      </w:tr>
      <w:tr>
        <w:trPr>
          <w:trHeight w:val="221"/>
        </w:trPr>
        <w:tc>
          <w:tcPr>
            <w:tcW w:w="528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Net income</w:t>
            </w:r>
          </w:p>
        </w:tc>
        <w:tc>
          <w:tcPr>
            <w:tcW w:w="340" w:type="dxa"/>
            <w:vAlign w:val="bottom"/>
            <w:shd w:val="clear" w:color="auto" w:fill="CCEEFF"/>
          </w:tcPr>
          <w:p>
            <w:pPr>
              <w:jc w:val="right"/>
              <w:ind w:right="133"/>
              <w:spacing w:after="0"/>
              <w:rPr>
                <w:sz w:val="20"/>
                <w:szCs w:val="20"/>
                <w:color w:val="auto"/>
              </w:rPr>
            </w:pPr>
            <w:r>
              <w:rPr>
                <w:rFonts w:ascii="Arial" w:cs="Arial" w:eastAsia="Arial" w:hAnsi="Arial"/>
                <w:sz w:val="17"/>
                <w:szCs w:val="17"/>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172,233</w:t>
            </w:r>
          </w:p>
        </w:tc>
        <w:tc>
          <w:tcPr>
            <w:tcW w:w="660" w:type="dxa"/>
            <w:vAlign w:val="bottom"/>
            <w:gridSpan w:val="2"/>
            <w:shd w:val="clear" w:color="auto" w:fill="CCEEFF"/>
          </w:tcPr>
          <w:p>
            <w:pPr>
              <w:jc w:val="right"/>
              <w:ind w:right="460"/>
              <w:spacing w:after="0"/>
              <w:rPr>
                <w:sz w:val="20"/>
                <w:szCs w:val="20"/>
                <w:color w:val="auto"/>
              </w:rPr>
            </w:pPr>
            <w:r>
              <w:rPr>
                <w:rFonts w:ascii="Arial" w:cs="Arial" w:eastAsia="Arial" w:hAnsi="Arial"/>
                <w:sz w:val="17"/>
                <w:szCs w:val="17"/>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231,769</w:t>
            </w:r>
          </w:p>
        </w:tc>
        <w:tc>
          <w:tcPr>
            <w:tcW w:w="46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343,060</w:t>
            </w:r>
          </w:p>
        </w:tc>
        <w:tc>
          <w:tcPr>
            <w:tcW w:w="640" w:type="dxa"/>
            <w:vAlign w:val="bottom"/>
            <w:gridSpan w:val="2"/>
            <w:shd w:val="clear" w:color="auto" w:fill="CCEEFF"/>
          </w:tcPr>
          <w:p>
            <w:pPr>
              <w:jc w:val="right"/>
              <w:ind w:right="420"/>
              <w:spacing w:after="0"/>
              <w:rPr>
                <w:sz w:val="20"/>
                <w:szCs w:val="20"/>
                <w:color w:val="auto"/>
              </w:rPr>
            </w:pPr>
            <w:r>
              <w:rPr>
                <w:rFonts w:ascii="Arial" w:cs="Arial" w:eastAsia="Arial" w:hAnsi="Arial"/>
                <w:sz w:val="17"/>
                <w:szCs w:val="17"/>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505,936</w:t>
            </w:r>
          </w:p>
        </w:tc>
      </w:tr>
      <w:tr>
        <w:trPr>
          <w:trHeight w:val="52"/>
        </w:trPr>
        <w:tc>
          <w:tcPr>
            <w:tcW w:w="5180" w:type="dxa"/>
            <w:vAlign w:val="bottom"/>
          </w:tcPr>
          <w:p>
            <w:pPr>
              <w:spacing w:after="0"/>
              <w:rPr>
                <w:sz w:val="4"/>
                <w:szCs w:val="4"/>
                <w:color w:val="auto"/>
              </w:rPr>
            </w:pPr>
          </w:p>
        </w:tc>
        <w:tc>
          <w:tcPr>
            <w:tcW w:w="1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00" w:type="dxa"/>
            <w:vAlign w:val="bottom"/>
          </w:tcPr>
          <w:p>
            <w:pPr>
              <w:spacing w:after="0"/>
              <w:rPr>
                <w:sz w:val="4"/>
                <w:szCs w:val="4"/>
                <w:color w:val="auto"/>
              </w:rPr>
            </w:pPr>
          </w:p>
        </w:tc>
        <w:tc>
          <w:tcPr>
            <w:tcW w:w="560" w:type="dxa"/>
            <w:vAlign w:val="bottom"/>
          </w:tcPr>
          <w:p>
            <w:pPr>
              <w:spacing w:after="0"/>
              <w:rPr>
                <w:sz w:val="4"/>
                <w:szCs w:val="4"/>
                <w:color w:val="auto"/>
              </w:rPr>
            </w:pPr>
          </w:p>
        </w:tc>
        <w:tc>
          <w:tcPr>
            <w:tcW w:w="840" w:type="dxa"/>
            <w:vAlign w:val="bottom"/>
          </w:tcPr>
          <w:p>
            <w:pPr>
              <w:spacing w:after="0"/>
              <w:rPr>
                <w:sz w:val="4"/>
                <w:szCs w:val="4"/>
                <w:color w:val="auto"/>
              </w:rPr>
            </w:pPr>
          </w:p>
        </w:tc>
        <w:tc>
          <w:tcPr>
            <w:tcW w:w="120" w:type="dxa"/>
            <w:vAlign w:val="bottom"/>
          </w:tcPr>
          <w:p>
            <w:pPr>
              <w:spacing w:after="0"/>
              <w:rPr>
                <w:sz w:val="4"/>
                <w:szCs w:val="4"/>
                <w:color w:val="auto"/>
              </w:rPr>
            </w:pPr>
          </w:p>
        </w:tc>
        <w:tc>
          <w:tcPr>
            <w:tcW w:w="34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20" w:type="dxa"/>
            <w:vAlign w:val="bottom"/>
          </w:tcPr>
          <w:p>
            <w:pPr>
              <w:spacing w:after="0"/>
              <w:rPr>
                <w:sz w:val="4"/>
                <w:szCs w:val="4"/>
                <w:color w:val="auto"/>
              </w:rPr>
            </w:pPr>
          </w:p>
        </w:tc>
        <w:tc>
          <w:tcPr>
            <w:tcW w:w="520" w:type="dxa"/>
            <w:vAlign w:val="bottom"/>
          </w:tcPr>
          <w:p>
            <w:pPr>
              <w:spacing w:after="0"/>
              <w:rPr>
                <w:sz w:val="4"/>
                <w:szCs w:val="4"/>
                <w:color w:val="auto"/>
              </w:rPr>
            </w:pPr>
          </w:p>
        </w:tc>
        <w:tc>
          <w:tcPr>
            <w:tcW w:w="880" w:type="dxa"/>
            <w:vAlign w:val="bottom"/>
          </w:tcPr>
          <w:p>
            <w:pPr>
              <w:spacing w:after="0"/>
              <w:rPr>
                <w:sz w:val="4"/>
                <w:szCs w:val="4"/>
                <w:color w:val="auto"/>
              </w:rPr>
            </w:pPr>
          </w:p>
        </w:tc>
      </w:tr>
      <w:tr>
        <w:trPr>
          <w:trHeight w:val="221"/>
        </w:trPr>
        <w:tc>
          <w:tcPr>
            <w:tcW w:w="528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Basic weighted average shares outstanding</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106,249</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106,921</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106,594</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107,540</w:t>
            </w:r>
          </w:p>
        </w:tc>
      </w:tr>
      <w:tr>
        <w:trPr>
          <w:trHeight w:val="227"/>
        </w:trPr>
        <w:tc>
          <w:tcPr>
            <w:tcW w:w="5280" w:type="dxa"/>
            <w:vAlign w:val="bottom"/>
            <w:gridSpan w:val="2"/>
          </w:tcPr>
          <w:p>
            <w:pPr>
              <w:ind w:left="20"/>
              <w:spacing w:after="0"/>
              <w:rPr>
                <w:sz w:val="20"/>
                <w:szCs w:val="20"/>
                <w:color w:val="auto"/>
              </w:rPr>
            </w:pPr>
            <w:r>
              <w:rPr>
                <w:rFonts w:ascii="Arial" w:cs="Arial" w:eastAsia="Arial" w:hAnsi="Arial"/>
                <w:sz w:val="17"/>
                <w:szCs w:val="17"/>
                <w:color w:val="auto"/>
              </w:rPr>
              <w:t>Dilutive effect of nonvested shares</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844</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362</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744</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393</w:t>
            </w:r>
          </w:p>
        </w:tc>
      </w:tr>
      <w:tr>
        <w:trPr>
          <w:trHeight w:val="227"/>
        </w:trPr>
        <w:tc>
          <w:tcPr>
            <w:tcW w:w="528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Diluted weighted average shares outstanding</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107,093</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107,283</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107,338</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107,933</w:t>
            </w:r>
          </w:p>
        </w:tc>
      </w:tr>
      <w:tr>
        <w:trPr>
          <w:trHeight w:val="52"/>
        </w:trPr>
        <w:tc>
          <w:tcPr>
            <w:tcW w:w="5180" w:type="dxa"/>
            <w:vAlign w:val="bottom"/>
          </w:tcPr>
          <w:p>
            <w:pPr>
              <w:spacing w:after="0"/>
              <w:rPr>
                <w:sz w:val="4"/>
                <w:szCs w:val="4"/>
                <w:color w:val="auto"/>
              </w:rPr>
            </w:pPr>
          </w:p>
        </w:tc>
        <w:tc>
          <w:tcPr>
            <w:tcW w:w="1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00" w:type="dxa"/>
            <w:vAlign w:val="bottom"/>
          </w:tcPr>
          <w:p>
            <w:pPr>
              <w:spacing w:after="0"/>
              <w:rPr>
                <w:sz w:val="4"/>
                <w:szCs w:val="4"/>
                <w:color w:val="auto"/>
              </w:rPr>
            </w:pPr>
          </w:p>
        </w:tc>
        <w:tc>
          <w:tcPr>
            <w:tcW w:w="560" w:type="dxa"/>
            <w:vAlign w:val="bottom"/>
          </w:tcPr>
          <w:p>
            <w:pPr>
              <w:spacing w:after="0"/>
              <w:rPr>
                <w:sz w:val="4"/>
                <w:szCs w:val="4"/>
                <w:color w:val="auto"/>
              </w:rPr>
            </w:pPr>
          </w:p>
        </w:tc>
        <w:tc>
          <w:tcPr>
            <w:tcW w:w="840" w:type="dxa"/>
            <w:vAlign w:val="bottom"/>
          </w:tcPr>
          <w:p>
            <w:pPr>
              <w:spacing w:after="0"/>
              <w:rPr>
                <w:sz w:val="4"/>
                <w:szCs w:val="4"/>
                <w:color w:val="auto"/>
              </w:rPr>
            </w:pPr>
          </w:p>
        </w:tc>
        <w:tc>
          <w:tcPr>
            <w:tcW w:w="120" w:type="dxa"/>
            <w:vAlign w:val="bottom"/>
          </w:tcPr>
          <w:p>
            <w:pPr>
              <w:spacing w:after="0"/>
              <w:rPr>
                <w:sz w:val="4"/>
                <w:szCs w:val="4"/>
                <w:color w:val="auto"/>
              </w:rPr>
            </w:pPr>
          </w:p>
        </w:tc>
        <w:tc>
          <w:tcPr>
            <w:tcW w:w="34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20" w:type="dxa"/>
            <w:vAlign w:val="bottom"/>
          </w:tcPr>
          <w:p>
            <w:pPr>
              <w:spacing w:after="0"/>
              <w:rPr>
                <w:sz w:val="4"/>
                <w:szCs w:val="4"/>
                <w:color w:val="auto"/>
              </w:rPr>
            </w:pPr>
          </w:p>
        </w:tc>
        <w:tc>
          <w:tcPr>
            <w:tcW w:w="520" w:type="dxa"/>
            <w:vAlign w:val="bottom"/>
          </w:tcPr>
          <w:p>
            <w:pPr>
              <w:spacing w:after="0"/>
              <w:rPr>
                <w:sz w:val="4"/>
                <w:szCs w:val="4"/>
                <w:color w:val="auto"/>
              </w:rPr>
            </w:pPr>
          </w:p>
        </w:tc>
        <w:tc>
          <w:tcPr>
            <w:tcW w:w="880" w:type="dxa"/>
            <w:vAlign w:val="bottom"/>
          </w:tcPr>
          <w:p>
            <w:pPr>
              <w:spacing w:after="0"/>
              <w:rPr>
                <w:sz w:val="4"/>
                <w:szCs w:val="4"/>
                <w:color w:val="auto"/>
              </w:rPr>
            </w:pPr>
          </w:p>
        </w:tc>
      </w:tr>
      <w:tr>
        <w:trPr>
          <w:trHeight w:val="221"/>
        </w:trPr>
        <w:tc>
          <w:tcPr>
            <w:tcW w:w="528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Basic earnings per share</w:t>
            </w:r>
          </w:p>
        </w:tc>
        <w:tc>
          <w:tcPr>
            <w:tcW w:w="340" w:type="dxa"/>
            <w:vAlign w:val="bottom"/>
            <w:shd w:val="clear" w:color="auto" w:fill="CCEEFF"/>
          </w:tcPr>
          <w:p>
            <w:pPr>
              <w:jc w:val="right"/>
              <w:ind w:right="133"/>
              <w:spacing w:after="0"/>
              <w:rPr>
                <w:sz w:val="20"/>
                <w:szCs w:val="20"/>
                <w:color w:val="auto"/>
              </w:rPr>
            </w:pPr>
            <w:r>
              <w:rPr>
                <w:rFonts w:ascii="Arial" w:cs="Arial" w:eastAsia="Arial" w:hAnsi="Arial"/>
                <w:sz w:val="17"/>
                <w:szCs w:val="17"/>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1.62</w:t>
            </w:r>
          </w:p>
        </w:tc>
        <w:tc>
          <w:tcPr>
            <w:tcW w:w="660" w:type="dxa"/>
            <w:vAlign w:val="bottom"/>
            <w:gridSpan w:val="2"/>
            <w:shd w:val="clear" w:color="auto" w:fill="CCEEFF"/>
          </w:tcPr>
          <w:p>
            <w:pPr>
              <w:jc w:val="right"/>
              <w:ind w:right="460"/>
              <w:spacing w:after="0"/>
              <w:rPr>
                <w:sz w:val="20"/>
                <w:szCs w:val="20"/>
                <w:color w:val="auto"/>
              </w:rPr>
            </w:pPr>
            <w:r>
              <w:rPr>
                <w:rFonts w:ascii="Arial" w:cs="Arial" w:eastAsia="Arial" w:hAnsi="Arial"/>
                <w:sz w:val="17"/>
                <w:szCs w:val="17"/>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2.17</w:t>
            </w:r>
          </w:p>
        </w:tc>
        <w:tc>
          <w:tcPr>
            <w:tcW w:w="46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3.22</w:t>
            </w:r>
          </w:p>
        </w:tc>
        <w:tc>
          <w:tcPr>
            <w:tcW w:w="640" w:type="dxa"/>
            <w:vAlign w:val="bottom"/>
            <w:gridSpan w:val="2"/>
            <w:shd w:val="clear" w:color="auto" w:fill="CCEEFF"/>
          </w:tcPr>
          <w:p>
            <w:pPr>
              <w:jc w:val="right"/>
              <w:ind w:right="420"/>
              <w:spacing w:after="0"/>
              <w:rPr>
                <w:sz w:val="20"/>
                <w:szCs w:val="20"/>
                <w:color w:val="auto"/>
              </w:rPr>
            </w:pPr>
            <w:r>
              <w:rPr>
                <w:rFonts w:ascii="Arial" w:cs="Arial" w:eastAsia="Arial" w:hAnsi="Arial"/>
                <w:sz w:val="17"/>
                <w:szCs w:val="17"/>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4.70</w:t>
            </w:r>
          </w:p>
        </w:tc>
      </w:tr>
      <w:tr>
        <w:trPr>
          <w:trHeight w:val="221"/>
        </w:trPr>
        <w:tc>
          <w:tcPr>
            <w:tcW w:w="5280" w:type="dxa"/>
            <w:vAlign w:val="bottom"/>
            <w:gridSpan w:val="2"/>
          </w:tcPr>
          <w:p>
            <w:pPr>
              <w:ind w:left="20"/>
              <w:spacing w:after="0"/>
              <w:rPr>
                <w:sz w:val="20"/>
                <w:szCs w:val="20"/>
                <w:color w:val="auto"/>
              </w:rPr>
            </w:pPr>
            <w:r>
              <w:rPr>
                <w:rFonts w:ascii="Arial" w:cs="Arial" w:eastAsia="Arial" w:hAnsi="Arial"/>
                <w:sz w:val="17"/>
                <w:szCs w:val="17"/>
                <w:color w:val="auto"/>
              </w:rPr>
              <w:t>Diluted earnings per share</w:t>
            </w:r>
          </w:p>
        </w:tc>
        <w:tc>
          <w:tcPr>
            <w:tcW w:w="340" w:type="dxa"/>
            <w:vAlign w:val="bottom"/>
          </w:tcPr>
          <w:p>
            <w:pPr>
              <w:jc w:val="right"/>
              <w:ind w:right="133"/>
              <w:spacing w:after="0"/>
              <w:rPr>
                <w:sz w:val="20"/>
                <w:szCs w:val="20"/>
                <w:color w:val="auto"/>
              </w:rPr>
            </w:pPr>
            <w:r>
              <w:rPr>
                <w:rFonts w:ascii="Arial" w:cs="Arial" w:eastAsia="Arial" w:hAnsi="Arial"/>
                <w:sz w:val="17"/>
                <w:szCs w:val="17"/>
                <w:color w:val="auto"/>
              </w:rPr>
              <w:t>$</w:t>
            </w:r>
          </w:p>
        </w:tc>
        <w:tc>
          <w:tcPr>
            <w:tcW w:w="1080" w:type="dxa"/>
            <w:vAlign w:val="bottom"/>
          </w:tcPr>
          <w:p>
            <w:pPr>
              <w:jc w:val="right"/>
              <w:spacing w:after="0"/>
              <w:rPr>
                <w:sz w:val="20"/>
                <w:szCs w:val="20"/>
                <w:color w:val="auto"/>
              </w:rPr>
            </w:pPr>
            <w:r>
              <w:rPr>
                <w:rFonts w:ascii="Arial" w:cs="Arial" w:eastAsia="Arial" w:hAnsi="Arial"/>
                <w:sz w:val="17"/>
                <w:szCs w:val="17"/>
                <w:color w:val="auto"/>
              </w:rPr>
              <w:t>1.61</w:t>
            </w:r>
          </w:p>
        </w:tc>
        <w:tc>
          <w:tcPr>
            <w:tcW w:w="660" w:type="dxa"/>
            <w:vAlign w:val="bottom"/>
            <w:gridSpan w:val="2"/>
          </w:tcPr>
          <w:p>
            <w:pPr>
              <w:jc w:val="right"/>
              <w:ind w:right="460"/>
              <w:spacing w:after="0"/>
              <w:rPr>
                <w:sz w:val="20"/>
                <w:szCs w:val="20"/>
                <w:color w:val="auto"/>
              </w:rPr>
            </w:pPr>
            <w:r>
              <w:rPr>
                <w:rFonts w:ascii="Arial" w:cs="Arial" w:eastAsia="Arial" w:hAnsi="Arial"/>
                <w:sz w:val="17"/>
                <w:szCs w:val="17"/>
                <w:color w:val="auto"/>
              </w:rPr>
              <w:t>$</w:t>
            </w:r>
          </w:p>
        </w:tc>
        <w:tc>
          <w:tcPr>
            <w:tcW w:w="840" w:type="dxa"/>
            <w:vAlign w:val="bottom"/>
          </w:tcPr>
          <w:p>
            <w:pPr>
              <w:jc w:val="right"/>
              <w:spacing w:after="0"/>
              <w:rPr>
                <w:sz w:val="20"/>
                <w:szCs w:val="20"/>
                <w:color w:val="auto"/>
              </w:rPr>
            </w:pPr>
            <w:r>
              <w:rPr>
                <w:rFonts w:ascii="Arial" w:cs="Arial" w:eastAsia="Arial" w:hAnsi="Arial"/>
                <w:sz w:val="17"/>
                <w:szCs w:val="17"/>
                <w:color w:val="auto"/>
              </w:rPr>
              <w:t>2.16</w:t>
            </w:r>
          </w:p>
        </w:tc>
        <w:tc>
          <w:tcPr>
            <w:tcW w:w="46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1060" w:type="dxa"/>
            <w:vAlign w:val="bottom"/>
          </w:tcPr>
          <w:p>
            <w:pPr>
              <w:jc w:val="right"/>
              <w:spacing w:after="0"/>
              <w:rPr>
                <w:sz w:val="20"/>
                <w:szCs w:val="20"/>
                <w:color w:val="auto"/>
              </w:rPr>
            </w:pPr>
            <w:r>
              <w:rPr>
                <w:rFonts w:ascii="Arial" w:cs="Arial" w:eastAsia="Arial" w:hAnsi="Arial"/>
                <w:sz w:val="17"/>
                <w:szCs w:val="17"/>
                <w:color w:val="auto"/>
              </w:rPr>
              <w:t>3.20</w:t>
            </w:r>
          </w:p>
        </w:tc>
        <w:tc>
          <w:tcPr>
            <w:tcW w:w="640" w:type="dxa"/>
            <w:vAlign w:val="bottom"/>
            <w:gridSpan w:val="2"/>
          </w:tcPr>
          <w:p>
            <w:pPr>
              <w:jc w:val="right"/>
              <w:ind w:right="420"/>
              <w:spacing w:after="0"/>
              <w:rPr>
                <w:sz w:val="20"/>
                <w:szCs w:val="20"/>
                <w:color w:val="auto"/>
              </w:rPr>
            </w:pPr>
            <w:r>
              <w:rPr>
                <w:rFonts w:ascii="Arial" w:cs="Arial" w:eastAsia="Arial" w:hAnsi="Arial"/>
                <w:sz w:val="17"/>
                <w:szCs w:val="17"/>
                <w:color w:val="auto"/>
              </w:rPr>
              <w:t>$</w:t>
            </w:r>
          </w:p>
        </w:tc>
        <w:tc>
          <w:tcPr>
            <w:tcW w:w="880" w:type="dxa"/>
            <w:vAlign w:val="bottom"/>
          </w:tcPr>
          <w:p>
            <w:pPr>
              <w:jc w:val="right"/>
              <w:spacing w:after="0"/>
              <w:rPr>
                <w:sz w:val="20"/>
                <w:szCs w:val="20"/>
                <w:color w:val="auto"/>
              </w:rPr>
            </w:pPr>
            <w:r>
              <w:rPr>
                <w:rFonts w:ascii="Arial" w:cs="Arial" w:eastAsia="Arial" w:hAnsi="Arial"/>
                <w:sz w:val="17"/>
                <w:szCs w:val="17"/>
                <w:color w:val="auto"/>
              </w:rPr>
              <w:t>4.69</w:t>
            </w:r>
          </w:p>
        </w:tc>
      </w:tr>
    </w:tbl>
    <w:p>
      <w:pPr>
        <w:spacing w:after="0" w:line="286" w:lineRule="exact"/>
        <w:rPr>
          <w:sz w:val="20"/>
          <w:szCs w:val="20"/>
          <w:color w:val="auto"/>
        </w:rPr>
      </w:pPr>
    </w:p>
    <w:p>
      <w:pPr>
        <w:jc w:val="both"/>
        <w:ind w:right="20" w:firstLine="623"/>
        <w:spacing w:after="0" w:line="285" w:lineRule="auto"/>
        <w:rPr>
          <w:sz w:val="20"/>
          <w:szCs w:val="20"/>
          <w:color w:val="auto"/>
        </w:rPr>
      </w:pPr>
      <w:r>
        <w:rPr>
          <w:rFonts w:ascii="Arial" w:cs="Arial" w:eastAsia="Arial" w:hAnsi="Arial"/>
          <w:sz w:val="17"/>
          <w:szCs w:val="17"/>
          <w:color w:val="auto"/>
        </w:rPr>
        <w:t>There were 15,528 and 180,561 antidilutive shares for the three months ended June 30, 2023 and 2022, respectively, and 63,433 and 131,073 antidilutive shares for the six months ended June 30, 2023 and 2022, respectively.</w:t>
      </w:r>
    </w:p>
    <w:p>
      <w:pPr>
        <w:spacing w:after="0" w:line="159" w:lineRule="exact"/>
        <w:rPr>
          <w:sz w:val="20"/>
          <w:szCs w:val="20"/>
          <w:color w:val="auto"/>
        </w:rPr>
      </w:pPr>
    </w:p>
    <w:p>
      <w:pPr>
        <w:ind w:right="100" w:firstLine="623"/>
        <w:spacing w:after="0" w:line="262" w:lineRule="auto"/>
        <w:rPr>
          <w:sz w:val="20"/>
          <w:szCs w:val="20"/>
          <w:color w:val="auto"/>
        </w:rPr>
      </w:pPr>
      <w:r>
        <w:rPr>
          <w:rFonts w:ascii="Arial" w:cs="Arial" w:eastAsia="Arial" w:hAnsi="Arial"/>
          <w:sz w:val="17"/>
          <w:szCs w:val="17"/>
          <w:color w:val="auto"/>
        </w:rPr>
        <w:t>Nonvested performance-based share awards are considered contingently issuable for purposes of the EPS calculation. The 2023, 2022 and 2021 performance-based share awards vest based upon our compounded annual book value per share growth percentage and relative total shareholder return during a three-year performance period. The performance-based share awards granted in years before 2021 vest based upon our compounded annual book value per share growth percentage during a three-year performance period. The following table summarizes the performance-based shares issuable if the reporting date was the end of the contingency period.</w:t>
      </w:r>
    </w:p>
    <w:p>
      <w:pPr>
        <w:spacing w:after="0" w:line="216" w:lineRule="exact"/>
        <w:rPr>
          <w:sz w:val="20"/>
          <w:szCs w:val="20"/>
          <w:color w:val="auto"/>
        </w:rPr>
      </w:pPr>
    </w:p>
    <w:tbl>
      <w:tblPr>
        <w:tblLayout w:type="fixed"/>
        <w:tblInd w:w="620" w:type="dxa"/>
        <w:tblCellMar>
          <w:top w:w="0" w:type="dxa"/>
          <w:left w:w="0" w:type="dxa"/>
          <w:bottom w:w="0" w:type="dxa"/>
          <w:right w:w="0" w:type="dxa"/>
        </w:tblCellMar>
      </w:tblPr>
      <w:tr>
        <w:trPr>
          <w:trHeight w:val="161"/>
        </w:trPr>
        <w:tc>
          <w:tcPr>
            <w:tcW w:w="2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0" w:type="dxa"/>
            <w:vAlign w:val="bottom"/>
            <w:gridSpan w:val="2"/>
          </w:tcPr>
          <w:p>
            <w:pPr>
              <w:jc w:val="right"/>
              <w:ind w:right="356"/>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43"/>
        </w:trPr>
        <w:tc>
          <w:tcPr>
            <w:tcW w:w="2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2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w w:val="90"/>
              </w:rPr>
              <w:t>2023 Performance-Based Grants</w:t>
            </w:r>
          </w:p>
        </w:tc>
        <w:tc>
          <w:tcPr>
            <w:tcW w:w="100" w:type="dxa"/>
            <w:vAlign w:val="bottom"/>
          </w:tcPr>
          <w:p>
            <w:pPr>
              <w:spacing w:after="0"/>
              <w:rPr>
                <w:sz w:val="12"/>
                <w:szCs w:val="12"/>
                <w:color w:val="auto"/>
              </w:rPr>
            </w:pPr>
          </w:p>
        </w:tc>
        <w:tc>
          <w:tcPr>
            <w:tcW w:w="2260" w:type="dxa"/>
            <w:vAlign w:val="bottom"/>
            <w:gridSpan w:val="3"/>
            <w:vMerge w:val="restart"/>
          </w:tcPr>
          <w:p>
            <w:pPr>
              <w:ind w:left="160"/>
              <w:spacing w:after="0"/>
              <w:rPr>
                <w:sz w:val="20"/>
                <w:szCs w:val="20"/>
                <w:color w:val="auto"/>
              </w:rPr>
            </w:pPr>
            <w:r>
              <w:rPr>
                <w:rFonts w:ascii="Arial" w:cs="Arial" w:eastAsia="Arial" w:hAnsi="Arial"/>
                <w:sz w:val="14"/>
                <w:szCs w:val="14"/>
                <w:b w:val="1"/>
                <w:bCs w:val="1"/>
                <w:color w:val="auto"/>
                <w:w w:val="96"/>
              </w:rPr>
              <w:t>2022 Performance-Based Grants</w:t>
            </w:r>
          </w:p>
        </w:tc>
        <w:tc>
          <w:tcPr>
            <w:tcW w:w="80" w:type="dxa"/>
            <w:vAlign w:val="bottom"/>
          </w:tcPr>
          <w:p>
            <w:pPr>
              <w:spacing w:after="0"/>
              <w:rPr>
                <w:sz w:val="12"/>
                <w:szCs w:val="12"/>
                <w:color w:val="auto"/>
              </w:rPr>
            </w:pPr>
          </w:p>
        </w:tc>
        <w:tc>
          <w:tcPr>
            <w:tcW w:w="2260" w:type="dxa"/>
            <w:vAlign w:val="bottom"/>
            <w:gridSpan w:val="3"/>
            <w:vMerge w:val="restart"/>
          </w:tcPr>
          <w:p>
            <w:pPr>
              <w:ind w:left="160"/>
              <w:spacing w:after="0"/>
              <w:rPr>
                <w:sz w:val="20"/>
                <w:szCs w:val="20"/>
                <w:color w:val="auto"/>
              </w:rPr>
            </w:pPr>
            <w:r>
              <w:rPr>
                <w:rFonts w:ascii="Arial" w:cs="Arial" w:eastAsia="Arial" w:hAnsi="Arial"/>
                <w:sz w:val="14"/>
                <w:szCs w:val="14"/>
                <w:b w:val="1"/>
                <w:bCs w:val="1"/>
                <w:color w:val="auto"/>
                <w:w w:val="96"/>
              </w:rPr>
              <w:t>2021 Performance-Based Grants</w:t>
            </w:r>
          </w:p>
        </w:tc>
        <w:tc>
          <w:tcPr>
            <w:tcW w:w="100" w:type="dxa"/>
            <w:vAlign w:val="bottom"/>
          </w:tcPr>
          <w:p>
            <w:pPr>
              <w:spacing w:after="0"/>
              <w:rPr>
                <w:sz w:val="12"/>
                <w:szCs w:val="12"/>
                <w:color w:val="auto"/>
              </w:rPr>
            </w:pPr>
          </w:p>
        </w:tc>
        <w:tc>
          <w:tcPr>
            <w:tcW w:w="1100" w:type="dxa"/>
            <w:vAlign w:val="bottom"/>
          </w:tcPr>
          <w:p>
            <w:pPr>
              <w:jc w:val="center"/>
              <w:spacing w:after="0" w:line="143" w:lineRule="exact"/>
              <w:rPr>
                <w:sz w:val="20"/>
                <w:szCs w:val="20"/>
                <w:color w:val="auto"/>
              </w:rPr>
            </w:pPr>
            <w:r>
              <w:rPr>
                <w:rFonts w:ascii="Arial" w:cs="Arial" w:eastAsia="Arial" w:hAnsi="Arial"/>
                <w:sz w:val="14"/>
                <w:szCs w:val="14"/>
                <w:b w:val="1"/>
                <w:bCs w:val="1"/>
                <w:color w:val="auto"/>
                <w:w w:val="90"/>
              </w:rPr>
              <w:t>Performance-</w:t>
            </w:r>
          </w:p>
        </w:tc>
        <w:tc>
          <w:tcPr>
            <w:tcW w:w="0" w:type="dxa"/>
            <w:vAlign w:val="bottom"/>
          </w:tcPr>
          <w:p>
            <w:pPr>
              <w:spacing w:after="0"/>
              <w:rPr>
                <w:sz w:val="1"/>
                <w:szCs w:val="1"/>
                <w:color w:val="auto"/>
              </w:rPr>
            </w:pPr>
          </w:p>
        </w:tc>
      </w:tr>
      <w:tr>
        <w:trPr>
          <w:trHeight w:val="185"/>
        </w:trPr>
        <w:tc>
          <w:tcPr>
            <w:tcW w:w="2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20" w:type="dxa"/>
            <w:vAlign w:val="bottom"/>
            <w:gridSpan w:val="3"/>
            <w:vMerge w:val="continue"/>
          </w:tcPr>
          <w:p>
            <w:pPr>
              <w:spacing w:after="0"/>
              <w:rPr>
                <w:sz w:val="16"/>
                <w:szCs w:val="16"/>
                <w:color w:val="auto"/>
              </w:rPr>
            </w:pPr>
          </w:p>
        </w:tc>
        <w:tc>
          <w:tcPr>
            <w:tcW w:w="100" w:type="dxa"/>
            <w:vAlign w:val="bottom"/>
          </w:tcPr>
          <w:p>
            <w:pPr>
              <w:spacing w:after="0"/>
              <w:rPr>
                <w:sz w:val="16"/>
                <w:szCs w:val="16"/>
                <w:color w:val="auto"/>
              </w:rPr>
            </w:pPr>
          </w:p>
        </w:tc>
        <w:tc>
          <w:tcPr>
            <w:tcW w:w="2260" w:type="dxa"/>
            <w:vAlign w:val="bottom"/>
            <w:gridSpan w:val="3"/>
            <w:vMerge w:val="continue"/>
          </w:tcPr>
          <w:p>
            <w:pPr>
              <w:spacing w:after="0"/>
              <w:rPr>
                <w:sz w:val="16"/>
                <w:szCs w:val="16"/>
                <w:color w:val="auto"/>
              </w:rPr>
            </w:pPr>
          </w:p>
        </w:tc>
        <w:tc>
          <w:tcPr>
            <w:tcW w:w="80" w:type="dxa"/>
            <w:vAlign w:val="bottom"/>
          </w:tcPr>
          <w:p>
            <w:pPr>
              <w:spacing w:after="0"/>
              <w:rPr>
                <w:sz w:val="16"/>
                <w:szCs w:val="16"/>
                <w:color w:val="auto"/>
              </w:rPr>
            </w:pPr>
          </w:p>
        </w:tc>
        <w:tc>
          <w:tcPr>
            <w:tcW w:w="2260" w:type="dxa"/>
            <w:vAlign w:val="bottom"/>
            <w:gridSpan w:val="3"/>
            <w:vMerge w:val="continue"/>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jc w:val="center"/>
              <w:spacing w:after="0"/>
              <w:rPr>
                <w:sz w:val="20"/>
                <w:szCs w:val="20"/>
                <w:color w:val="auto"/>
              </w:rPr>
            </w:pPr>
            <w:r>
              <w:rPr>
                <w:rFonts w:ascii="Arial" w:cs="Arial" w:eastAsia="Arial" w:hAnsi="Arial"/>
                <w:sz w:val="14"/>
                <w:szCs w:val="14"/>
                <w:b w:val="1"/>
                <w:bCs w:val="1"/>
                <w:color w:val="auto"/>
                <w:w w:val="90"/>
              </w:rPr>
              <w:t>Based Grants</w:t>
            </w:r>
          </w:p>
        </w:tc>
        <w:tc>
          <w:tcPr>
            <w:tcW w:w="0" w:type="dxa"/>
            <w:vAlign w:val="bottom"/>
          </w:tcPr>
          <w:p>
            <w:pPr>
              <w:spacing w:after="0"/>
              <w:rPr>
                <w:sz w:val="1"/>
                <w:szCs w:val="1"/>
                <w:color w:val="auto"/>
              </w:rPr>
            </w:pPr>
          </w:p>
        </w:tc>
      </w:tr>
      <w:tr>
        <w:trPr>
          <w:trHeight w:val="124"/>
        </w:trPr>
        <w:tc>
          <w:tcPr>
            <w:tcW w:w="2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8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94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08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08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108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08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100" w:type="dxa"/>
            <w:vAlign w:val="bottom"/>
            <w:tcBorders>
              <w:top w:val="single" w:sz="8" w:color="auto"/>
            </w:tcBorders>
          </w:tcPr>
          <w:p>
            <w:pPr>
              <w:jc w:val="center"/>
              <w:spacing w:after="0" w:line="124" w:lineRule="exact"/>
              <w:rPr>
                <w:sz w:val="20"/>
                <w:szCs w:val="20"/>
                <w:color w:val="auto"/>
              </w:rPr>
            </w:pPr>
            <w:r>
              <w:rPr>
                <w:rFonts w:ascii="Arial" w:cs="Arial" w:eastAsia="Arial" w:hAnsi="Arial"/>
                <w:sz w:val="12"/>
                <w:szCs w:val="12"/>
                <w:b w:val="1"/>
                <w:bCs w:val="1"/>
                <w:color w:val="auto"/>
                <w:w w:val="90"/>
              </w:rPr>
              <w:t>Percent Issuable</w:t>
            </w:r>
          </w:p>
        </w:tc>
        <w:tc>
          <w:tcPr>
            <w:tcW w:w="0" w:type="dxa"/>
            <w:vAlign w:val="bottom"/>
          </w:tcPr>
          <w:p>
            <w:pPr>
              <w:spacing w:after="0"/>
              <w:rPr>
                <w:sz w:val="1"/>
                <w:szCs w:val="1"/>
                <w:color w:val="auto"/>
              </w:rPr>
            </w:pPr>
          </w:p>
        </w:tc>
      </w:tr>
      <w:tr>
        <w:trPr>
          <w:trHeight w:val="122"/>
        </w:trPr>
        <w:tc>
          <w:tcPr>
            <w:tcW w:w="2220" w:type="dxa"/>
            <w:vAlign w:val="bottom"/>
            <w:vMerge w:val="restart"/>
          </w:tcPr>
          <w:p>
            <w:pPr>
              <w:ind w:left="660"/>
              <w:spacing w:after="0"/>
              <w:rPr>
                <w:sz w:val="20"/>
                <w:szCs w:val="20"/>
                <w:color w:val="auto"/>
              </w:rPr>
            </w:pPr>
            <w:r>
              <w:rPr>
                <w:rFonts w:ascii="Arial" w:cs="Arial" w:eastAsia="Arial" w:hAnsi="Arial"/>
                <w:sz w:val="14"/>
                <w:szCs w:val="14"/>
                <w:b w:val="1"/>
                <w:bCs w:val="1"/>
                <w:color w:val="auto"/>
              </w:rPr>
              <w:t>Reporting Date</w:t>
            </w:r>
          </w:p>
        </w:tc>
        <w:tc>
          <w:tcPr>
            <w:tcW w:w="100" w:type="dxa"/>
            <w:vAlign w:val="bottom"/>
            <w:vMerge w:val="restart"/>
          </w:tcPr>
          <w:p>
            <w:pPr>
              <w:spacing w:after="0"/>
              <w:rPr>
                <w:sz w:val="10"/>
                <w:szCs w:val="10"/>
                <w:color w:val="auto"/>
              </w:rPr>
            </w:pPr>
          </w:p>
        </w:tc>
        <w:tc>
          <w:tcPr>
            <w:tcW w:w="980" w:type="dxa"/>
            <w:vAlign w:val="bottom"/>
          </w:tcPr>
          <w:p>
            <w:pPr>
              <w:ind w:left="60"/>
              <w:spacing w:after="0" w:line="122" w:lineRule="exact"/>
              <w:rPr>
                <w:sz w:val="20"/>
                <w:szCs w:val="20"/>
                <w:color w:val="auto"/>
              </w:rPr>
            </w:pPr>
            <w:r>
              <w:rPr>
                <w:rFonts w:ascii="Arial" w:cs="Arial" w:eastAsia="Arial" w:hAnsi="Arial"/>
                <w:sz w:val="12"/>
                <w:szCs w:val="12"/>
                <w:b w:val="1"/>
                <w:bCs w:val="1"/>
                <w:color w:val="auto"/>
                <w:w w:val="94"/>
              </w:rPr>
              <w:t>Percent Issuable</w:t>
            </w:r>
          </w:p>
        </w:tc>
        <w:tc>
          <w:tcPr>
            <w:tcW w:w="100" w:type="dxa"/>
            <w:vAlign w:val="bottom"/>
          </w:tcPr>
          <w:p>
            <w:pPr>
              <w:spacing w:after="0"/>
              <w:rPr>
                <w:sz w:val="10"/>
                <w:szCs w:val="10"/>
                <w:color w:val="auto"/>
              </w:rPr>
            </w:pPr>
          </w:p>
        </w:tc>
        <w:tc>
          <w:tcPr>
            <w:tcW w:w="940" w:type="dxa"/>
            <w:vAlign w:val="bottom"/>
          </w:tcPr>
          <w:p>
            <w:pPr>
              <w:jc w:val="center"/>
              <w:spacing w:after="0" w:line="122" w:lineRule="exact"/>
              <w:rPr>
                <w:sz w:val="20"/>
                <w:szCs w:val="20"/>
                <w:color w:val="auto"/>
              </w:rPr>
            </w:pPr>
            <w:r>
              <w:rPr>
                <w:rFonts w:ascii="Arial" w:cs="Arial" w:eastAsia="Arial" w:hAnsi="Arial"/>
                <w:sz w:val="12"/>
                <w:szCs w:val="12"/>
                <w:b w:val="1"/>
                <w:bCs w:val="1"/>
                <w:color w:val="auto"/>
                <w:w w:val="89"/>
              </w:rPr>
              <w:t>As a Percent of</w:t>
            </w:r>
          </w:p>
        </w:tc>
        <w:tc>
          <w:tcPr>
            <w:tcW w:w="100" w:type="dxa"/>
            <w:vAlign w:val="bottom"/>
          </w:tcPr>
          <w:p>
            <w:pPr>
              <w:spacing w:after="0"/>
              <w:rPr>
                <w:sz w:val="10"/>
                <w:szCs w:val="10"/>
                <w:color w:val="auto"/>
              </w:rPr>
            </w:pPr>
          </w:p>
        </w:tc>
        <w:tc>
          <w:tcPr>
            <w:tcW w:w="1080" w:type="dxa"/>
            <w:vAlign w:val="bottom"/>
          </w:tcPr>
          <w:p>
            <w:pPr>
              <w:jc w:val="center"/>
              <w:spacing w:after="0" w:line="122" w:lineRule="exact"/>
              <w:rPr>
                <w:sz w:val="20"/>
                <w:szCs w:val="20"/>
                <w:color w:val="auto"/>
              </w:rPr>
            </w:pPr>
            <w:r>
              <w:rPr>
                <w:rFonts w:ascii="Arial" w:cs="Arial" w:eastAsia="Arial" w:hAnsi="Arial"/>
                <w:sz w:val="12"/>
                <w:szCs w:val="12"/>
                <w:b w:val="1"/>
                <w:bCs w:val="1"/>
                <w:color w:val="auto"/>
                <w:w w:val="88"/>
              </w:rPr>
              <w:t>Percent Issuable</w:t>
            </w:r>
          </w:p>
        </w:tc>
        <w:tc>
          <w:tcPr>
            <w:tcW w:w="100" w:type="dxa"/>
            <w:vAlign w:val="bottom"/>
          </w:tcPr>
          <w:p>
            <w:pPr>
              <w:spacing w:after="0"/>
              <w:rPr>
                <w:sz w:val="10"/>
                <w:szCs w:val="10"/>
                <w:color w:val="auto"/>
              </w:rPr>
            </w:pPr>
          </w:p>
        </w:tc>
        <w:tc>
          <w:tcPr>
            <w:tcW w:w="1080" w:type="dxa"/>
            <w:vAlign w:val="bottom"/>
          </w:tcPr>
          <w:p>
            <w:pPr>
              <w:jc w:val="center"/>
              <w:spacing w:after="0" w:line="122" w:lineRule="exact"/>
              <w:rPr>
                <w:sz w:val="20"/>
                <w:szCs w:val="20"/>
                <w:color w:val="auto"/>
              </w:rPr>
            </w:pPr>
            <w:r>
              <w:rPr>
                <w:rFonts w:ascii="Arial" w:cs="Arial" w:eastAsia="Arial" w:hAnsi="Arial"/>
                <w:sz w:val="12"/>
                <w:szCs w:val="12"/>
                <w:b w:val="1"/>
                <w:bCs w:val="1"/>
                <w:color w:val="auto"/>
                <w:w w:val="89"/>
              </w:rPr>
              <w:t>As a Percent of</w:t>
            </w:r>
          </w:p>
        </w:tc>
        <w:tc>
          <w:tcPr>
            <w:tcW w:w="80" w:type="dxa"/>
            <w:vAlign w:val="bottom"/>
          </w:tcPr>
          <w:p>
            <w:pPr>
              <w:spacing w:after="0"/>
              <w:rPr>
                <w:sz w:val="10"/>
                <w:szCs w:val="10"/>
                <w:color w:val="auto"/>
              </w:rPr>
            </w:pPr>
          </w:p>
        </w:tc>
        <w:tc>
          <w:tcPr>
            <w:tcW w:w="1080" w:type="dxa"/>
            <w:vAlign w:val="bottom"/>
          </w:tcPr>
          <w:p>
            <w:pPr>
              <w:jc w:val="center"/>
              <w:spacing w:after="0" w:line="122" w:lineRule="exact"/>
              <w:rPr>
                <w:sz w:val="20"/>
                <w:szCs w:val="20"/>
                <w:color w:val="auto"/>
              </w:rPr>
            </w:pPr>
            <w:r>
              <w:rPr>
                <w:rFonts w:ascii="Arial" w:cs="Arial" w:eastAsia="Arial" w:hAnsi="Arial"/>
                <w:sz w:val="12"/>
                <w:szCs w:val="12"/>
                <w:b w:val="1"/>
                <w:bCs w:val="1"/>
                <w:color w:val="auto"/>
                <w:w w:val="90"/>
              </w:rPr>
              <w:t>Percent Issuable</w:t>
            </w:r>
          </w:p>
        </w:tc>
        <w:tc>
          <w:tcPr>
            <w:tcW w:w="100" w:type="dxa"/>
            <w:vAlign w:val="bottom"/>
          </w:tcPr>
          <w:p>
            <w:pPr>
              <w:spacing w:after="0"/>
              <w:rPr>
                <w:sz w:val="10"/>
                <w:szCs w:val="10"/>
                <w:color w:val="auto"/>
              </w:rPr>
            </w:pPr>
          </w:p>
        </w:tc>
        <w:tc>
          <w:tcPr>
            <w:tcW w:w="1080" w:type="dxa"/>
            <w:vAlign w:val="bottom"/>
          </w:tcPr>
          <w:p>
            <w:pPr>
              <w:jc w:val="center"/>
              <w:spacing w:after="0" w:line="122" w:lineRule="exact"/>
              <w:rPr>
                <w:sz w:val="20"/>
                <w:szCs w:val="20"/>
                <w:color w:val="auto"/>
              </w:rPr>
            </w:pPr>
            <w:r>
              <w:rPr>
                <w:rFonts w:ascii="Arial" w:cs="Arial" w:eastAsia="Arial" w:hAnsi="Arial"/>
                <w:sz w:val="12"/>
                <w:szCs w:val="12"/>
                <w:b w:val="1"/>
                <w:bCs w:val="1"/>
                <w:color w:val="auto"/>
                <w:w w:val="91"/>
              </w:rPr>
              <w:t>As a Percent of</w:t>
            </w:r>
          </w:p>
        </w:tc>
        <w:tc>
          <w:tcPr>
            <w:tcW w:w="100" w:type="dxa"/>
            <w:vAlign w:val="bottom"/>
          </w:tcPr>
          <w:p>
            <w:pPr>
              <w:spacing w:after="0"/>
              <w:rPr>
                <w:sz w:val="10"/>
                <w:szCs w:val="10"/>
                <w:color w:val="auto"/>
              </w:rPr>
            </w:pPr>
          </w:p>
        </w:tc>
        <w:tc>
          <w:tcPr>
            <w:tcW w:w="1100" w:type="dxa"/>
            <w:vAlign w:val="bottom"/>
          </w:tcPr>
          <w:p>
            <w:pPr>
              <w:jc w:val="center"/>
              <w:spacing w:after="0" w:line="122" w:lineRule="exact"/>
              <w:rPr>
                <w:sz w:val="20"/>
                <w:szCs w:val="20"/>
                <w:color w:val="auto"/>
              </w:rPr>
            </w:pPr>
            <w:r>
              <w:rPr>
                <w:rFonts w:ascii="Arial" w:cs="Arial" w:eastAsia="Arial" w:hAnsi="Arial"/>
                <w:sz w:val="12"/>
                <w:szCs w:val="12"/>
                <w:b w:val="1"/>
                <w:bCs w:val="1"/>
                <w:color w:val="auto"/>
                <w:w w:val="93"/>
              </w:rPr>
              <w:t>Relative to Target</w:t>
            </w:r>
          </w:p>
        </w:tc>
        <w:tc>
          <w:tcPr>
            <w:tcW w:w="0" w:type="dxa"/>
            <w:vAlign w:val="bottom"/>
          </w:tcPr>
          <w:p>
            <w:pPr>
              <w:spacing w:after="0"/>
              <w:rPr>
                <w:sz w:val="1"/>
                <w:szCs w:val="1"/>
                <w:color w:val="auto"/>
              </w:rPr>
            </w:pPr>
          </w:p>
        </w:tc>
      </w:tr>
      <w:tr>
        <w:trPr>
          <w:trHeight w:val="163"/>
        </w:trPr>
        <w:tc>
          <w:tcPr>
            <w:tcW w:w="2220" w:type="dxa"/>
            <w:vAlign w:val="bottom"/>
            <w:tcBorders>
              <w:bottom w:val="single" w:sz="8" w:color="auto"/>
            </w:tcBorders>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980" w:type="dxa"/>
            <w:vAlign w:val="bottom"/>
            <w:tcBorders>
              <w:bottom w:val="single" w:sz="8" w:color="auto"/>
            </w:tcBorders>
          </w:tcPr>
          <w:p>
            <w:pPr>
              <w:ind w:left="20"/>
              <w:spacing w:after="0"/>
              <w:rPr>
                <w:sz w:val="20"/>
                <w:szCs w:val="20"/>
                <w:color w:val="auto"/>
              </w:rPr>
            </w:pPr>
            <w:r>
              <w:rPr>
                <w:rFonts w:ascii="Arial" w:cs="Arial" w:eastAsia="Arial" w:hAnsi="Arial"/>
                <w:sz w:val="12"/>
                <w:szCs w:val="12"/>
                <w:b w:val="1"/>
                <w:bCs w:val="1"/>
                <w:color w:val="auto"/>
                <w:w w:val="93"/>
              </w:rPr>
              <w:t>Relative to Target</w:t>
            </w:r>
          </w:p>
        </w:tc>
        <w:tc>
          <w:tcPr>
            <w:tcW w:w="100" w:type="dxa"/>
            <w:vAlign w:val="bottom"/>
          </w:tcPr>
          <w:p>
            <w:pPr>
              <w:spacing w:after="0"/>
              <w:rPr>
                <w:sz w:val="14"/>
                <w:szCs w:val="14"/>
                <w:color w:val="auto"/>
              </w:rPr>
            </w:pP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85"/>
              </w:rPr>
              <w:t>Shares Issued</w:t>
            </w:r>
          </w:p>
        </w:tc>
        <w:tc>
          <w:tcPr>
            <w:tcW w:w="100" w:type="dxa"/>
            <w:vAlign w:val="bottom"/>
          </w:tcPr>
          <w:p>
            <w:pPr>
              <w:spacing w:after="0"/>
              <w:rPr>
                <w:sz w:val="14"/>
                <w:szCs w:val="14"/>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1"/>
              </w:rPr>
              <w:t>Relative to Target</w:t>
            </w:r>
          </w:p>
        </w:tc>
        <w:tc>
          <w:tcPr>
            <w:tcW w:w="100" w:type="dxa"/>
            <w:vAlign w:val="bottom"/>
          </w:tcPr>
          <w:p>
            <w:pPr>
              <w:spacing w:after="0"/>
              <w:rPr>
                <w:sz w:val="14"/>
                <w:szCs w:val="14"/>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85"/>
              </w:rPr>
              <w:t>Shares Issued</w:t>
            </w:r>
          </w:p>
        </w:tc>
        <w:tc>
          <w:tcPr>
            <w:tcW w:w="80" w:type="dxa"/>
            <w:vAlign w:val="bottom"/>
          </w:tcPr>
          <w:p>
            <w:pPr>
              <w:spacing w:after="0"/>
              <w:rPr>
                <w:sz w:val="14"/>
                <w:szCs w:val="14"/>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1"/>
              </w:rPr>
              <w:t>Relative to Target</w:t>
            </w:r>
          </w:p>
        </w:tc>
        <w:tc>
          <w:tcPr>
            <w:tcW w:w="100" w:type="dxa"/>
            <w:vAlign w:val="bottom"/>
          </w:tcPr>
          <w:p>
            <w:pPr>
              <w:spacing w:after="0"/>
              <w:rPr>
                <w:sz w:val="14"/>
                <w:szCs w:val="14"/>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88"/>
              </w:rPr>
              <w:t>Shares Issued</w:t>
            </w:r>
          </w:p>
        </w:tc>
        <w:tc>
          <w:tcPr>
            <w:tcW w:w="100" w:type="dxa"/>
            <w:vAlign w:val="bottom"/>
          </w:tcPr>
          <w:p>
            <w:pPr>
              <w:spacing w:after="0"/>
              <w:rPr>
                <w:sz w:val="14"/>
                <w:szCs w:val="14"/>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88"/>
              </w:rPr>
              <w:t>and Shares Issued</w:t>
            </w:r>
          </w:p>
        </w:tc>
        <w:tc>
          <w:tcPr>
            <w:tcW w:w="0" w:type="dxa"/>
            <w:vAlign w:val="bottom"/>
          </w:tcPr>
          <w:p>
            <w:pPr>
              <w:spacing w:after="0"/>
              <w:rPr>
                <w:sz w:val="1"/>
                <w:szCs w:val="1"/>
                <w:color w:val="auto"/>
              </w:rPr>
            </w:pPr>
          </w:p>
        </w:tc>
      </w:tr>
      <w:tr>
        <w:trPr>
          <w:trHeight w:val="226"/>
        </w:trPr>
        <w:tc>
          <w:tcPr>
            <w:tcW w:w="2320" w:type="dxa"/>
            <w:vAlign w:val="bottom"/>
            <w:gridSpan w:val="2"/>
          </w:tcPr>
          <w:p>
            <w:pPr>
              <w:ind w:left="120"/>
              <w:spacing w:after="0"/>
              <w:rPr>
                <w:sz w:val="20"/>
                <w:szCs w:val="20"/>
                <w:color w:val="auto"/>
              </w:rPr>
            </w:pPr>
            <w:r>
              <w:rPr>
                <w:rFonts w:ascii="Arial" w:cs="Arial" w:eastAsia="Arial" w:hAnsi="Arial"/>
                <w:sz w:val="17"/>
                <w:szCs w:val="17"/>
                <w:color w:val="auto"/>
              </w:rPr>
              <w:t>June 30, 2023</w:t>
            </w:r>
          </w:p>
        </w:tc>
        <w:tc>
          <w:tcPr>
            <w:tcW w:w="980" w:type="dxa"/>
            <w:vAlign w:val="bottom"/>
          </w:tcPr>
          <w:p>
            <w:pPr>
              <w:jc w:val="right"/>
              <w:ind w:right="231"/>
              <w:spacing w:after="0"/>
              <w:rPr>
                <w:sz w:val="20"/>
                <w:szCs w:val="20"/>
                <w:color w:val="auto"/>
              </w:rPr>
            </w:pPr>
            <w:r>
              <w:rPr>
                <w:rFonts w:ascii="Arial" w:cs="Arial" w:eastAsia="Arial" w:hAnsi="Arial"/>
                <w:sz w:val="17"/>
                <w:szCs w:val="17"/>
                <w:color w:val="auto"/>
              </w:rPr>
              <w:t>200%</w:t>
            </w:r>
          </w:p>
        </w:tc>
        <w:tc>
          <w:tcPr>
            <w:tcW w:w="1040" w:type="dxa"/>
            <w:vAlign w:val="bottom"/>
            <w:gridSpan w:val="2"/>
          </w:tcPr>
          <w:p>
            <w:pPr>
              <w:jc w:val="center"/>
              <w:ind w:left="13"/>
              <w:spacing w:after="0"/>
              <w:rPr>
                <w:sz w:val="20"/>
                <w:szCs w:val="20"/>
                <w:color w:val="auto"/>
              </w:rPr>
            </w:pPr>
            <w:r>
              <w:rPr>
                <w:rFonts w:ascii="Arial" w:cs="Arial" w:eastAsia="Arial" w:hAnsi="Arial"/>
                <w:sz w:val="17"/>
                <w:szCs w:val="17"/>
                <w:color w:val="auto"/>
                <w:w w:val="96"/>
              </w:rPr>
              <w:t>100%</w:t>
            </w:r>
          </w:p>
        </w:tc>
        <w:tc>
          <w:tcPr>
            <w:tcW w:w="1180" w:type="dxa"/>
            <w:vAlign w:val="bottom"/>
            <w:gridSpan w:val="2"/>
          </w:tcPr>
          <w:p>
            <w:pPr>
              <w:jc w:val="center"/>
              <w:ind w:left="13"/>
              <w:spacing w:after="0"/>
              <w:rPr>
                <w:sz w:val="20"/>
                <w:szCs w:val="20"/>
                <w:color w:val="auto"/>
              </w:rPr>
            </w:pPr>
            <w:r>
              <w:rPr>
                <w:rFonts w:ascii="Arial" w:cs="Arial" w:eastAsia="Arial" w:hAnsi="Arial"/>
                <w:sz w:val="17"/>
                <w:szCs w:val="17"/>
                <w:color w:val="auto"/>
                <w:w w:val="91"/>
              </w:rPr>
              <w:t>200%</w:t>
            </w:r>
          </w:p>
        </w:tc>
        <w:tc>
          <w:tcPr>
            <w:tcW w:w="1180" w:type="dxa"/>
            <w:vAlign w:val="bottom"/>
            <w:gridSpan w:val="2"/>
          </w:tcPr>
          <w:p>
            <w:pPr>
              <w:jc w:val="right"/>
              <w:ind w:right="279"/>
              <w:spacing w:after="0"/>
              <w:rPr>
                <w:sz w:val="20"/>
                <w:szCs w:val="20"/>
                <w:color w:val="auto"/>
              </w:rPr>
            </w:pPr>
            <w:r>
              <w:rPr>
                <w:rFonts w:ascii="Arial" w:cs="Arial" w:eastAsia="Arial" w:hAnsi="Arial"/>
                <w:sz w:val="17"/>
                <w:szCs w:val="17"/>
                <w:color w:val="auto"/>
              </w:rPr>
              <w:t>100%</w:t>
            </w:r>
          </w:p>
        </w:tc>
        <w:tc>
          <w:tcPr>
            <w:tcW w:w="1160" w:type="dxa"/>
            <w:vAlign w:val="bottom"/>
            <w:gridSpan w:val="2"/>
          </w:tcPr>
          <w:p>
            <w:pPr>
              <w:jc w:val="center"/>
              <w:spacing w:after="0"/>
              <w:rPr>
                <w:sz w:val="20"/>
                <w:szCs w:val="20"/>
                <w:color w:val="auto"/>
              </w:rPr>
            </w:pPr>
            <w:r>
              <w:rPr>
                <w:rFonts w:ascii="Arial" w:cs="Arial" w:eastAsia="Arial" w:hAnsi="Arial"/>
                <w:sz w:val="17"/>
                <w:szCs w:val="17"/>
                <w:color w:val="auto"/>
                <w:w w:val="91"/>
              </w:rPr>
              <w:t>139%</w:t>
            </w:r>
          </w:p>
        </w:tc>
        <w:tc>
          <w:tcPr>
            <w:tcW w:w="1180" w:type="dxa"/>
            <w:vAlign w:val="bottom"/>
            <w:gridSpan w:val="2"/>
          </w:tcPr>
          <w:p>
            <w:pPr>
              <w:jc w:val="right"/>
              <w:ind w:right="259"/>
              <w:spacing w:after="0"/>
              <w:rPr>
                <w:sz w:val="20"/>
                <w:szCs w:val="20"/>
                <w:color w:val="auto"/>
              </w:rPr>
            </w:pPr>
            <w:r>
              <w:rPr>
                <w:rFonts w:ascii="Arial" w:cs="Arial" w:eastAsia="Arial" w:hAnsi="Arial"/>
                <w:sz w:val="17"/>
                <w:szCs w:val="17"/>
                <w:color w:val="auto"/>
              </w:rPr>
              <w:t>69.5%</w:t>
            </w: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320" w:type="dxa"/>
            <w:vAlign w:val="bottom"/>
            <w:gridSpan w:val="2"/>
            <w:shd w:val="clear" w:color="auto" w:fill="CCEEFF"/>
          </w:tcPr>
          <w:p>
            <w:pPr>
              <w:ind w:left="120"/>
              <w:spacing w:after="0"/>
              <w:rPr>
                <w:sz w:val="20"/>
                <w:szCs w:val="20"/>
                <w:color w:val="auto"/>
              </w:rPr>
            </w:pPr>
            <w:r>
              <w:rPr>
                <w:rFonts w:ascii="Arial" w:cs="Arial" w:eastAsia="Arial" w:hAnsi="Arial"/>
                <w:sz w:val="17"/>
                <w:szCs w:val="17"/>
                <w:color w:val="auto"/>
              </w:rPr>
              <w:t>June 30, 2022</w:t>
            </w: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center"/>
              <w:ind w:left="13"/>
              <w:spacing w:after="0"/>
              <w:rPr>
                <w:sz w:val="20"/>
                <w:szCs w:val="20"/>
                <w:color w:val="auto"/>
              </w:rPr>
            </w:pPr>
            <w:r>
              <w:rPr>
                <w:rFonts w:ascii="Arial" w:cs="Arial" w:eastAsia="Arial" w:hAnsi="Arial"/>
                <w:sz w:val="17"/>
                <w:szCs w:val="17"/>
                <w:color w:val="auto"/>
                <w:w w:val="91"/>
              </w:rPr>
              <w:t>177%</w:t>
            </w:r>
          </w:p>
        </w:tc>
        <w:tc>
          <w:tcPr>
            <w:tcW w:w="1180" w:type="dxa"/>
            <w:vAlign w:val="bottom"/>
            <w:gridSpan w:val="2"/>
            <w:shd w:val="clear" w:color="auto" w:fill="CCEEFF"/>
          </w:tcPr>
          <w:p>
            <w:pPr>
              <w:jc w:val="right"/>
              <w:ind w:right="319"/>
              <w:spacing w:after="0"/>
              <w:rPr>
                <w:sz w:val="20"/>
                <w:szCs w:val="20"/>
                <w:color w:val="auto"/>
              </w:rPr>
            </w:pPr>
            <w:r>
              <w:rPr>
                <w:rFonts w:ascii="Arial" w:cs="Arial" w:eastAsia="Arial" w:hAnsi="Arial"/>
                <w:sz w:val="17"/>
                <w:szCs w:val="17"/>
                <w:color w:val="auto"/>
              </w:rPr>
              <w:t>89%</w:t>
            </w:r>
          </w:p>
        </w:tc>
        <w:tc>
          <w:tcPr>
            <w:tcW w:w="1160" w:type="dxa"/>
            <w:vAlign w:val="bottom"/>
            <w:gridSpan w:val="2"/>
            <w:shd w:val="clear" w:color="auto" w:fill="CCEEFF"/>
          </w:tcPr>
          <w:p>
            <w:pPr>
              <w:jc w:val="center"/>
              <w:spacing w:after="0"/>
              <w:rPr>
                <w:sz w:val="20"/>
                <w:szCs w:val="20"/>
                <w:color w:val="auto"/>
              </w:rPr>
            </w:pPr>
            <w:r>
              <w:rPr>
                <w:rFonts w:ascii="Arial" w:cs="Arial" w:eastAsia="Arial" w:hAnsi="Arial"/>
                <w:sz w:val="17"/>
                <w:szCs w:val="17"/>
                <w:color w:val="auto"/>
                <w:w w:val="91"/>
              </w:rPr>
              <w:t>100%</w:t>
            </w:r>
          </w:p>
        </w:tc>
        <w:tc>
          <w:tcPr>
            <w:tcW w:w="1180" w:type="dxa"/>
            <w:vAlign w:val="bottom"/>
            <w:gridSpan w:val="2"/>
            <w:shd w:val="clear" w:color="auto" w:fill="CCEEFF"/>
          </w:tcPr>
          <w:p>
            <w:pPr>
              <w:jc w:val="right"/>
              <w:ind w:right="319"/>
              <w:spacing w:after="0"/>
              <w:rPr>
                <w:sz w:val="20"/>
                <w:szCs w:val="20"/>
                <w:color w:val="auto"/>
              </w:rPr>
            </w:pPr>
            <w:r>
              <w:rPr>
                <w:rFonts w:ascii="Arial" w:cs="Arial" w:eastAsia="Arial" w:hAnsi="Arial"/>
                <w:sz w:val="17"/>
                <w:szCs w:val="17"/>
                <w:color w:val="auto"/>
              </w:rPr>
              <w:t>50%</w:t>
            </w:r>
          </w:p>
        </w:tc>
        <w:tc>
          <w:tcPr>
            <w:tcW w:w="1200" w:type="dxa"/>
            <w:vAlign w:val="bottom"/>
            <w:gridSpan w:val="2"/>
            <w:shd w:val="clear" w:color="auto" w:fill="CCEEFF"/>
          </w:tcPr>
          <w:p>
            <w:pPr>
              <w:jc w:val="right"/>
              <w:ind w:right="276"/>
              <w:spacing w:after="0"/>
              <w:rPr>
                <w:sz w:val="20"/>
                <w:szCs w:val="20"/>
                <w:color w:val="auto"/>
              </w:rPr>
            </w:pPr>
            <w:r>
              <w:rPr>
                <w:rFonts w:ascii="Arial" w:cs="Arial" w:eastAsia="Arial" w:hAnsi="Arial"/>
                <w:sz w:val="17"/>
                <w:szCs w:val="17"/>
                <w:color w:val="auto"/>
              </w:rPr>
              <w:t>100%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68580</wp:posOffset>
            </wp:positionV>
            <wp:extent cx="7162800" cy="419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3" w:name="page24"/>
    <w:bookmarkEnd w:id="23"/>
    <w:p>
      <w:pPr>
        <w:spacing w:after="0"/>
        <w:rPr>
          <w:sz w:val="20"/>
          <w:szCs w:val="20"/>
          <w:color w:val="auto"/>
        </w:rPr>
      </w:pPr>
      <w:r>
        <w:rPr>
          <w:rFonts w:ascii="Arial" w:cs="Arial" w:eastAsia="Arial" w:hAnsi="Arial"/>
          <w:sz w:val="17"/>
          <w:szCs w:val="17"/>
          <w:u w:val="single" w:color="auto"/>
          <w:color w:val="0000FF"/>
        </w:rPr>
        <w:t>Table of Contents</w:t>
      </w:r>
    </w:p>
    <w:p>
      <w:pPr>
        <w:spacing w:after="0" w:line="25"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Essent Group Ltd. and Subsidiaries</w:t>
      </w:r>
    </w:p>
    <w:p>
      <w:pPr>
        <w:spacing w:after="0" w:line="201"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Notes to Condensed Consolidated Financial Statements (Unaudited)</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12. Accumulated Other Comprehensive Income (Loss)</w:t>
      </w:r>
    </w:p>
    <w:p>
      <w:pPr>
        <w:spacing w:after="0" w:line="226" w:lineRule="exact"/>
        <w:rPr>
          <w:sz w:val="20"/>
          <w:szCs w:val="20"/>
          <w:color w:val="auto"/>
        </w:rPr>
      </w:pPr>
    </w:p>
    <w:p>
      <w:pPr>
        <w:ind w:left="620"/>
        <w:spacing w:after="0"/>
        <w:rPr>
          <w:sz w:val="20"/>
          <w:szCs w:val="20"/>
          <w:color w:val="auto"/>
        </w:rPr>
      </w:pPr>
      <w:r>
        <w:rPr>
          <w:rFonts w:ascii="Arial" w:cs="Arial" w:eastAsia="Arial" w:hAnsi="Arial"/>
          <w:sz w:val="16"/>
          <w:szCs w:val="16"/>
          <w:color w:val="auto"/>
        </w:rPr>
        <w:t>The following table presents the rollforward of accumulated other comprehensive loss for the three and six months ended June 30, 2023 and 2022:</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218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180" w:type="dxa"/>
            <w:vAlign w:val="bottom"/>
            <w:gridSpan w:val="4"/>
          </w:tcPr>
          <w:p>
            <w:pPr>
              <w:jc w:val="right"/>
              <w:ind w:right="196"/>
              <w:spacing w:after="0"/>
              <w:rPr>
                <w:sz w:val="20"/>
                <w:szCs w:val="20"/>
                <w:color w:val="auto"/>
              </w:rPr>
            </w:pPr>
            <w:r>
              <w:rPr>
                <w:rFonts w:ascii="Arial" w:cs="Arial" w:eastAsia="Arial" w:hAnsi="Arial"/>
                <w:sz w:val="14"/>
                <w:szCs w:val="14"/>
                <w:b w:val="1"/>
                <w:bCs w:val="1"/>
                <w:color w:val="auto"/>
                <w:w w:val="94"/>
              </w:rPr>
              <w:t>Three Months Ended June 30,</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18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tcPr>
          <w:p>
            <w:pPr>
              <w:jc w:val="center"/>
              <w:ind w:right="118"/>
              <w:spacing w:after="0"/>
              <w:rPr>
                <w:sz w:val="20"/>
                <w:szCs w:val="20"/>
                <w:color w:val="auto"/>
              </w:rPr>
            </w:pPr>
            <w:r>
              <w:rPr>
                <w:rFonts w:ascii="Arial" w:cs="Arial" w:eastAsia="Arial" w:hAnsi="Arial"/>
                <w:sz w:val="14"/>
                <w:szCs w:val="14"/>
                <w:b w:val="1"/>
                <w:bCs w:val="1"/>
                <w:color w:val="auto"/>
                <w:w w:val="83"/>
              </w:rPr>
              <w:t>2023</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jc w:val="center"/>
              <w:ind w:right="98"/>
              <w:spacing w:after="0"/>
              <w:rPr>
                <w:sz w:val="20"/>
                <w:szCs w:val="20"/>
                <w:color w:val="auto"/>
              </w:rPr>
            </w:pPr>
            <w:r>
              <w:rPr>
                <w:rFonts w:ascii="Arial" w:cs="Arial" w:eastAsia="Arial" w:hAnsi="Arial"/>
                <w:sz w:val="14"/>
                <w:szCs w:val="14"/>
                <w:b w:val="1"/>
                <w:bCs w:val="1"/>
                <w:color w:val="auto"/>
                <w:w w:val="89"/>
              </w:rPr>
              <w:t>2022</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
        </w:trPr>
        <w:tc>
          <w:tcPr>
            <w:tcW w:w="218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1"/>
        </w:trPr>
        <w:tc>
          <w:tcPr>
            <w:tcW w:w="376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156"/>
              <w:spacing w:after="0"/>
              <w:rPr>
                <w:sz w:val="20"/>
                <w:szCs w:val="20"/>
                <w:color w:val="auto"/>
              </w:rPr>
            </w:pPr>
            <w:r>
              <w:rPr>
                <w:rFonts w:ascii="Arial" w:cs="Arial" w:eastAsia="Arial" w:hAnsi="Arial"/>
                <w:sz w:val="14"/>
                <w:szCs w:val="14"/>
                <w:b w:val="1"/>
                <w:bCs w:val="1"/>
                <w:color w:val="auto"/>
                <w:w w:val="96"/>
              </w:rPr>
              <w:t>Before Tax</w:t>
            </w:r>
          </w:p>
        </w:tc>
        <w:tc>
          <w:tcPr>
            <w:tcW w:w="1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center"/>
              <w:ind w:right="118"/>
              <w:spacing w:after="0"/>
              <w:rPr>
                <w:sz w:val="20"/>
                <w:szCs w:val="20"/>
                <w:color w:val="auto"/>
              </w:rPr>
            </w:pPr>
            <w:r>
              <w:rPr>
                <w:rFonts w:ascii="Arial" w:cs="Arial" w:eastAsia="Arial" w:hAnsi="Arial"/>
                <w:sz w:val="14"/>
                <w:szCs w:val="14"/>
                <w:b w:val="1"/>
                <w:bCs w:val="1"/>
                <w:color w:val="auto"/>
                <w:w w:val="92"/>
              </w:rPr>
              <w:t>Tax Effect</w:t>
            </w:r>
          </w:p>
        </w:tc>
        <w:tc>
          <w:tcPr>
            <w:tcW w:w="1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178"/>
              <w:spacing w:after="0"/>
              <w:rPr>
                <w:sz w:val="20"/>
                <w:szCs w:val="20"/>
                <w:color w:val="auto"/>
              </w:rPr>
            </w:pPr>
            <w:r>
              <w:rPr>
                <w:rFonts w:ascii="Arial" w:cs="Arial" w:eastAsia="Arial" w:hAnsi="Arial"/>
                <w:sz w:val="14"/>
                <w:szCs w:val="14"/>
                <w:b w:val="1"/>
                <w:bCs w:val="1"/>
                <w:color w:val="auto"/>
                <w:w w:val="97"/>
              </w:rPr>
              <w:t>Net of Tax</w:t>
            </w:r>
          </w:p>
        </w:tc>
        <w:tc>
          <w:tcPr>
            <w:tcW w:w="1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156"/>
              <w:spacing w:after="0"/>
              <w:rPr>
                <w:sz w:val="20"/>
                <w:szCs w:val="20"/>
                <w:color w:val="auto"/>
              </w:rPr>
            </w:pPr>
            <w:r>
              <w:rPr>
                <w:rFonts w:ascii="Arial" w:cs="Arial" w:eastAsia="Arial" w:hAnsi="Arial"/>
                <w:sz w:val="14"/>
                <w:szCs w:val="14"/>
                <w:b w:val="1"/>
                <w:bCs w:val="1"/>
                <w:color w:val="auto"/>
                <w:w w:val="93"/>
              </w:rPr>
              <w:t>Before Tax</w:t>
            </w:r>
          </w:p>
        </w:tc>
        <w:tc>
          <w:tcPr>
            <w:tcW w:w="1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center"/>
              <w:ind w:right="98"/>
              <w:spacing w:after="0"/>
              <w:rPr>
                <w:sz w:val="20"/>
                <w:szCs w:val="20"/>
                <w:color w:val="auto"/>
              </w:rPr>
            </w:pPr>
            <w:r>
              <w:rPr>
                <w:rFonts w:ascii="Arial" w:cs="Arial" w:eastAsia="Arial" w:hAnsi="Arial"/>
                <w:sz w:val="14"/>
                <w:szCs w:val="14"/>
                <w:b w:val="1"/>
                <w:bCs w:val="1"/>
                <w:color w:val="auto"/>
                <w:w w:val="89"/>
              </w:rPr>
              <w:t>Tax Effect</w:t>
            </w:r>
          </w:p>
        </w:tc>
        <w:tc>
          <w:tcPr>
            <w:tcW w:w="1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176"/>
              <w:spacing w:after="0"/>
              <w:rPr>
                <w:sz w:val="20"/>
                <w:szCs w:val="20"/>
                <w:color w:val="auto"/>
              </w:rPr>
            </w:pPr>
            <w:r>
              <w:rPr>
                <w:rFonts w:ascii="Arial" w:cs="Arial" w:eastAsia="Arial" w:hAnsi="Arial"/>
                <w:sz w:val="14"/>
                <w:szCs w:val="14"/>
                <w:b w:val="1"/>
                <w:bCs w:val="1"/>
                <w:color w:val="auto"/>
              </w:rPr>
              <w:t>Net of Tax</w:t>
            </w:r>
          </w:p>
        </w:tc>
        <w:tc>
          <w:tcPr>
            <w:tcW w:w="0" w:type="dxa"/>
            <w:vAlign w:val="bottom"/>
          </w:tcPr>
          <w:p>
            <w:pPr>
              <w:spacing w:after="0"/>
              <w:rPr>
                <w:sz w:val="1"/>
                <w:szCs w:val="1"/>
                <w:color w:val="auto"/>
              </w:rPr>
            </w:pPr>
          </w:p>
        </w:tc>
      </w:tr>
      <w:tr>
        <w:trPr>
          <w:trHeight w:val="221"/>
        </w:trPr>
        <w:tc>
          <w:tcPr>
            <w:tcW w:w="3760" w:type="dxa"/>
            <w:vAlign w:val="bottom"/>
            <w:gridSpan w:val="2"/>
          </w:tcPr>
          <w:p>
            <w:pPr>
              <w:ind w:left="20"/>
              <w:spacing w:after="0"/>
              <w:rPr>
                <w:sz w:val="20"/>
                <w:szCs w:val="20"/>
                <w:color w:val="auto"/>
              </w:rPr>
            </w:pPr>
            <w:r>
              <w:rPr>
                <w:rFonts w:ascii="Arial" w:cs="Arial" w:eastAsia="Arial" w:hAnsi="Arial"/>
                <w:sz w:val="17"/>
                <w:szCs w:val="17"/>
                <w:color w:val="auto"/>
              </w:rPr>
              <w:t>Balance at beginning of period</w:t>
            </w:r>
          </w:p>
        </w:tc>
        <w:tc>
          <w:tcPr>
            <w:tcW w:w="28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960" w:type="dxa"/>
            <w:vAlign w:val="bottom"/>
          </w:tcPr>
          <w:p>
            <w:pPr>
              <w:jc w:val="right"/>
              <w:spacing w:after="0"/>
              <w:rPr>
                <w:sz w:val="20"/>
                <w:szCs w:val="20"/>
                <w:color w:val="auto"/>
              </w:rPr>
            </w:pPr>
            <w:r>
              <w:rPr>
                <w:rFonts w:ascii="Arial" w:cs="Arial" w:eastAsia="Arial" w:hAnsi="Arial"/>
                <w:sz w:val="17"/>
                <w:szCs w:val="17"/>
                <w:color w:val="auto"/>
              </w:rPr>
              <w:t>(375,049)</w:t>
            </w:r>
          </w:p>
        </w:tc>
        <w:tc>
          <w:tcPr>
            <w:tcW w:w="30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940" w:type="dxa"/>
            <w:vAlign w:val="bottom"/>
          </w:tcPr>
          <w:p>
            <w:pPr>
              <w:jc w:val="right"/>
              <w:spacing w:after="0"/>
              <w:rPr>
                <w:sz w:val="20"/>
                <w:szCs w:val="20"/>
                <w:color w:val="auto"/>
              </w:rPr>
            </w:pPr>
            <w:r>
              <w:rPr>
                <w:rFonts w:ascii="Arial" w:cs="Arial" w:eastAsia="Arial" w:hAnsi="Arial"/>
                <w:sz w:val="17"/>
                <w:szCs w:val="17"/>
                <w:color w:val="auto"/>
              </w:rPr>
              <w:t>51,012</w:t>
            </w:r>
          </w:p>
        </w:tc>
        <w:tc>
          <w:tcPr>
            <w:tcW w:w="28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940" w:type="dxa"/>
            <w:vAlign w:val="bottom"/>
          </w:tcPr>
          <w:p>
            <w:pPr>
              <w:jc w:val="right"/>
              <w:spacing w:after="0"/>
              <w:rPr>
                <w:sz w:val="20"/>
                <w:szCs w:val="20"/>
                <w:color w:val="auto"/>
              </w:rPr>
            </w:pPr>
            <w:r>
              <w:rPr>
                <w:rFonts w:ascii="Arial" w:cs="Arial" w:eastAsia="Arial" w:hAnsi="Arial"/>
                <w:sz w:val="17"/>
                <w:szCs w:val="17"/>
                <w:color w:val="auto"/>
              </w:rPr>
              <w:t>(324,037)</w:t>
            </w:r>
          </w:p>
        </w:tc>
        <w:tc>
          <w:tcPr>
            <w:tcW w:w="30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940" w:type="dxa"/>
            <w:vAlign w:val="bottom"/>
          </w:tcPr>
          <w:p>
            <w:pPr>
              <w:jc w:val="right"/>
              <w:spacing w:after="0"/>
              <w:rPr>
                <w:sz w:val="20"/>
                <w:szCs w:val="20"/>
                <w:color w:val="auto"/>
              </w:rPr>
            </w:pPr>
            <w:r>
              <w:rPr>
                <w:rFonts w:ascii="Arial" w:cs="Arial" w:eastAsia="Arial" w:hAnsi="Arial"/>
                <w:sz w:val="17"/>
                <w:szCs w:val="17"/>
                <w:color w:val="auto"/>
              </w:rPr>
              <w:t>(173,623)</w:t>
            </w:r>
          </w:p>
        </w:tc>
        <w:tc>
          <w:tcPr>
            <w:tcW w:w="30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940" w:type="dxa"/>
            <w:vAlign w:val="bottom"/>
          </w:tcPr>
          <w:p>
            <w:pPr>
              <w:jc w:val="right"/>
              <w:spacing w:after="0"/>
              <w:rPr>
                <w:sz w:val="20"/>
                <w:szCs w:val="20"/>
                <w:color w:val="auto"/>
              </w:rPr>
            </w:pPr>
            <w:r>
              <w:rPr>
                <w:rFonts w:ascii="Arial" w:cs="Arial" w:eastAsia="Arial" w:hAnsi="Arial"/>
                <w:sz w:val="17"/>
                <w:szCs w:val="17"/>
                <w:color w:val="auto"/>
              </w:rPr>
              <w:t>21,324</w:t>
            </w:r>
          </w:p>
        </w:tc>
        <w:tc>
          <w:tcPr>
            <w:tcW w:w="28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960" w:type="dxa"/>
            <w:vAlign w:val="bottom"/>
          </w:tcPr>
          <w:p>
            <w:pPr>
              <w:jc w:val="right"/>
              <w:spacing w:after="0"/>
              <w:rPr>
                <w:sz w:val="20"/>
                <w:szCs w:val="20"/>
                <w:color w:val="auto"/>
              </w:rPr>
            </w:pPr>
            <w:r>
              <w:rPr>
                <w:rFonts w:ascii="Arial" w:cs="Arial" w:eastAsia="Arial" w:hAnsi="Arial"/>
                <w:sz w:val="17"/>
                <w:szCs w:val="17"/>
                <w:color w:val="auto"/>
              </w:rPr>
              <w:t>(152,299)</w:t>
            </w:r>
          </w:p>
        </w:tc>
        <w:tc>
          <w:tcPr>
            <w:tcW w:w="0" w:type="dxa"/>
            <w:vAlign w:val="bottom"/>
          </w:tcPr>
          <w:p>
            <w:pPr>
              <w:spacing w:after="0"/>
              <w:rPr>
                <w:sz w:val="1"/>
                <w:szCs w:val="1"/>
                <w:color w:val="auto"/>
              </w:rPr>
            </w:pPr>
          </w:p>
        </w:tc>
      </w:tr>
      <w:tr>
        <w:trPr>
          <w:trHeight w:val="214"/>
        </w:trPr>
        <w:tc>
          <w:tcPr>
            <w:tcW w:w="376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Other comprehensive income (loss):</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3760" w:type="dxa"/>
            <w:vAlign w:val="bottom"/>
            <w:gridSpan w:val="2"/>
          </w:tcPr>
          <w:p>
            <w:pPr>
              <w:ind w:left="220"/>
              <w:spacing w:after="0"/>
              <w:rPr>
                <w:sz w:val="20"/>
                <w:szCs w:val="20"/>
                <w:color w:val="auto"/>
              </w:rPr>
            </w:pPr>
            <w:r>
              <w:rPr>
                <w:rFonts w:ascii="Arial" w:cs="Arial" w:eastAsia="Arial" w:hAnsi="Arial"/>
                <w:sz w:val="17"/>
                <w:szCs w:val="17"/>
                <w:color w:val="auto"/>
                <w:w w:val="94"/>
              </w:rPr>
              <w:t>Unrealized holding gains (losses) on investments:</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3760" w:type="dxa"/>
            <w:vAlign w:val="bottom"/>
            <w:gridSpan w:val="2"/>
            <w:shd w:val="clear" w:color="auto" w:fill="CCEEFF"/>
          </w:tcPr>
          <w:p>
            <w:pPr>
              <w:ind w:left="340"/>
              <w:spacing w:after="0" w:line="169" w:lineRule="exact"/>
              <w:rPr>
                <w:sz w:val="20"/>
                <w:szCs w:val="20"/>
                <w:color w:val="auto"/>
              </w:rPr>
            </w:pPr>
            <w:r>
              <w:rPr>
                <w:rFonts w:ascii="Arial" w:cs="Arial" w:eastAsia="Arial" w:hAnsi="Arial"/>
                <w:sz w:val="17"/>
                <w:szCs w:val="17"/>
                <w:color w:val="auto"/>
                <w:w w:val="95"/>
              </w:rPr>
              <w:t>Unrealized holding (losses) gains arising during</w:t>
            </w: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(42,733)</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5,385</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(37,348)</w:t>
            </w: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(158,974)</w:t>
            </w: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24,322</w:t>
            </w: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(134,652)</w:t>
            </w:r>
          </w:p>
        </w:tc>
        <w:tc>
          <w:tcPr>
            <w:tcW w:w="0" w:type="dxa"/>
            <w:vAlign w:val="bottom"/>
          </w:tcPr>
          <w:p>
            <w:pPr>
              <w:spacing w:after="0"/>
              <w:rPr>
                <w:sz w:val="1"/>
                <w:szCs w:val="1"/>
                <w:color w:val="auto"/>
              </w:rPr>
            </w:pPr>
          </w:p>
        </w:tc>
      </w:tr>
      <w:tr>
        <w:trPr>
          <w:trHeight w:val="233"/>
        </w:trPr>
        <w:tc>
          <w:tcPr>
            <w:tcW w:w="3760" w:type="dxa"/>
            <w:vAlign w:val="bottom"/>
            <w:gridSpan w:val="2"/>
            <w:shd w:val="clear" w:color="auto" w:fill="CCEEFF"/>
          </w:tcPr>
          <w:p>
            <w:pPr>
              <w:ind w:left="480"/>
              <w:spacing w:after="0"/>
              <w:rPr>
                <w:sz w:val="20"/>
                <w:szCs w:val="20"/>
                <w:color w:val="auto"/>
              </w:rPr>
            </w:pPr>
            <w:r>
              <w:rPr>
                <w:rFonts w:ascii="Arial" w:cs="Arial" w:eastAsia="Arial" w:hAnsi="Arial"/>
                <w:sz w:val="17"/>
                <w:szCs w:val="17"/>
                <w:color w:val="auto"/>
              </w:rPr>
              <w:t>the period</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6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4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40" w:type="dxa"/>
            <w:vAlign w:val="bottom"/>
            <w:vMerge w:val="continue"/>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40" w:type="dxa"/>
            <w:vAlign w:val="bottom"/>
            <w:vMerge w:val="continue"/>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40" w:type="dxa"/>
            <w:vAlign w:val="bottom"/>
            <w:vMerge w:val="continue"/>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60" w:type="dxa"/>
            <w:vAlign w:val="bottom"/>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3760" w:type="dxa"/>
            <w:vAlign w:val="bottom"/>
            <w:gridSpan w:val="2"/>
          </w:tcPr>
          <w:p>
            <w:pPr>
              <w:ind w:left="340"/>
              <w:spacing w:after="0" w:line="169" w:lineRule="exact"/>
              <w:rPr>
                <w:sz w:val="20"/>
                <w:szCs w:val="20"/>
                <w:color w:val="auto"/>
              </w:rPr>
            </w:pPr>
            <w:r>
              <w:rPr>
                <w:rFonts w:ascii="Arial" w:cs="Arial" w:eastAsia="Arial" w:hAnsi="Arial"/>
                <w:sz w:val="17"/>
                <w:szCs w:val="17"/>
                <w:color w:val="auto"/>
              </w:rPr>
              <w:t>Less: Reclassification adjustment for gains</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vMerge w:val="restart"/>
          </w:tcPr>
          <w:p>
            <w:pPr>
              <w:jc w:val="right"/>
              <w:spacing w:after="0"/>
              <w:rPr>
                <w:sz w:val="20"/>
                <w:szCs w:val="20"/>
                <w:color w:val="auto"/>
              </w:rPr>
            </w:pPr>
            <w:r>
              <w:rPr>
                <w:rFonts w:ascii="Arial" w:cs="Arial" w:eastAsia="Arial" w:hAnsi="Arial"/>
                <w:sz w:val="17"/>
                <w:szCs w:val="17"/>
                <w:color w:val="auto"/>
              </w:rPr>
              <w:t>1,589</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vMerge w:val="restart"/>
          </w:tcPr>
          <w:p>
            <w:pPr>
              <w:jc w:val="right"/>
              <w:spacing w:after="0"/>
              <w:rPr>
                <w:sz w:val="20"/>
                <w:szCs w:val="20"/>
                <w:color w:val="auto"/>
              </w:rPr>
            </w:pPr>
            <w:r>
              <w:rPr>
                <w:rFonts w:ascii="Arial" w:cs="Arial" w:eastAsia="Arial" w:hAnsi="Arial"/>
                <w:sz w:val="17"/>
                <w:szCs w:val="17"/>
                <w:color w:val="auto"/>
              </w:rPr>
              <w:t>(339)</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vMerge w:val="restart"/>
          </w:tcPr>
          <w:p>
            <w:pPr>
              <w:jc w:val="right"/>
              <w:spacing w:after="0"/>
              <w:rPr>
                <w:sz w:val="20"/>
                <w:szCs w:val="20"/>
                <w:color w:val="auto"/>
              </w:rPr>
            </w:pPr>
            <w:r>
              <w:rPr>
                <w:rFonts w:ascii="Arial" w:cs="Arial" w:eastAsia="Arial" w:hAnsi="Arial"/>
                <w:sz w:val="17"/>
                <w:szCs w:val="17"/>
                <w:color w:val="auto"/>
              </w:rPr>
              <w:t>1,250</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vMerge w:val="restart"/>
          </w:tcPr>
          <w:p>
            <w:pPr>
              <w:jc w:val="right"/>
              <w:spacing w:after="0"/>
              <w:rPr>
                <w:sz w:val="20"/>
                <w:szCs w:val="20"/>
                <w:color w:val="auto"/>
              </w:rPr>
            </w:pPr>
            <w:r>
              <w:rPr>
                <w:rFonts w:ascii="Arial" w:cs="Arial" w:eastAsia="Arial" w:hAnsi="Arial"/>
                <w:sz w:val="17"/>
                <w:szCs w:val="17"/>
                <w:color w:val="auto"/>
              </w:rPr>
              <w:t>471</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vMerge w:val="restart"/>
          </w:tcPr>
          <w:p>
            <w:pPr>
              <w:jc w:val="right"/>
              <w:spacing w:after="0"/>
              <w:rPr>
                <w:sz w:val="20"/>
                <w:szCs w:val="20"/>
                <w:color w:val="auto"/>
              </w:rPr>
            </w:pPr>
            <w:r>
              <w:rPr>
                <w:rFonts w:ascii="Arial" w:cs="Arial" w:eastAsia="Arial" w:hAnsi="Arial"/>
                <w:sz w:val="17"/>
                <w:szCs w:val="17"/>
                <w:color w:val="auto"/>
              </w:rPr>
              <w:t>(87)</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vMerge w:val="restart"/>
          </w:tcPr>
          <w:p>
            <w:pPr>
              <w:jc w:val="right"/>
              <w:spacing w:after="0"/>
              <w:rPr>
                <w:sz w:val="20"/>
                <w:szCs w:val="20"/>
                <w:color w:val="auto"/>
              </w:rPr>
            </w:pPr>
            <w:r>
              <w:rPr>
                <w:rFonts w:ascii="Arial" w:cs="Arial" w:eastAsia="Arial" w:hAnsi="Arial"/>
                <w:sz w:val="17"/>
                <w:szCs w:val="17"/>
                <w:color w:val="auto"/>
              </w:rPr>
              <w:t>384</w:t>
            </w:r>
          </w:p>
        </w:tc>
        <w:tc>
          <w:tcPr>
            <w:tcW w:w="0" w:type="dxa"/>
            <w:vAlign w:val="bottom"/>
          </w:tcPr>
          <w:p>
            <w:pPr>
              <w:spacing w:after="0"/>
              <w:rPr>
                <w:sz w:val="1"/>
                <w:szCs w:val="1"/>
                <w:color w:val="auto"/>
              </w:rPr>
            </w:pPr>
          </w:p>
        </w:tc>
      </w:tr>
      <w:tr>
        <w:trPr>
          <w:trHeight w:val="220"/>
        </w:trPr>
        <w:tc>
          <w:tcPr>
            <w:tcW w:w="3760" w:type="dxa"/>
            <w:vAlign w:val="bottom"/>
            <w:tcBorders>
              <w:bottom w:val="single" w:sz="8" w:color="CCEEFF"/>
            </w:tcBorders>
            <w:gridSpan w:val="2"/>
          </w:tcPr>
          <w:p>
            <w:pPr>
              <w:ind w:left="480"/>
              <w:spacing w:after="0"/>
              <w:rPr>
                <w:sz w:val="20"/>
                <w:szCs w:val="20"/>
                <w:color w:val="auto"/>
              </w:rPr>
            </w:pPr>
            <w:r>
              <w:rPr>
                <w:rFonts w:ascii="Arial" w:cs="Arial" w:eastAsia="Arial" w:hAnsi="Arial"/>
                <w:sz w:val="17"/>
                <w:szCs w:val="17"/>
                <w:color w:val="auto"/>
              </w:rPr>
              <w:t>included in net income (1)</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vMerge w:val="continue"/>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vMerge w:val="continue"/>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vMerge w:val="continue"/>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376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7"/>
                <w:szCs w:val="17"/>
                <w:color w:val="auto"/>
              </w:rPr>
              <w:t>Net unrealized (losses) gains on investments</w:t>
            </w: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(41,144)</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5,046</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(36,098)</w:t>
            </w:r>
          </w:p>
        </w:tc>
        <w:tc>
          <w:tcPr>
            <w:tcW w:w="1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(158,503)</w:t>
            </w:r>
          </w:p>
        </w:tc>
        <w:tc>
          <w:tcPr>
            <w:tcW w:w="1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24,235</w:t>
            </w: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(134,268)</w:t>
            </w:r>
          </w:p>
        </w:tc>
        <w:tc>
          <w:tcPr>
            <w:tcW w:w="0" w:type="dxa"/>
            <w:vAlign w:val="bottom"/>
          </w:tcPr>
          <w:p>
            <w:pPr>
              <w:spacing w:after="0"/>
              <w:rPr>
                <w:sz w:val="1"/>
                <w:szCs w:val="1"/>
                <w:color w:val="auto"/>
              </w:rPr>
            </w:pPr>
          </w:p>
        </w:tc>
      </w:tr>
      <w:tr>
        <w:trPr>
          <w:trHeight w:val="220"/>
        </w:trPr>
        <w:tc>
          <w:tcPr>
            <w:tcW w:w="3760" w:type="dxa"/>
            <w:vAlign w:val="bottom"/>
            <w:tcBorders>
              <w:bottom w:val="single" w:sz="8" w:color="CCEEFF"/>
            </w:tcBorders>
            <w:gridSpan w:val="2"/>
          </w:tcPr>
          <w:p>
            <w:pPr>
              <w:ind w:left="20"/>
              <w:spacing w:after="0"/>
              <w:rPr>
                <w:sz w:val="20"/>
                <w:szCs w:val="20"/>
                <w:color w:val="auto"/>
              </w:rPr>
            </w:pPr>
            <w:r>
              <w:rPr>
                <w:rFonts w:ascii="Arial" w:cs="Arial" w:eastAsia="Arial" w:hAnsi="Arial"/>
                <w:sz w:val="17"/>
                <w:szCs w:val="17"/>
                <w:color w:val="auto"/>
              </w:rPr>
              <w:t>Other comprehensive (loss) income</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(41,144)</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5,046</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(36,098)</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(158,503)</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24,235</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(134,268)</w:t>
            </w:r>
          </w:p>
        </w:tc>
        <w:tc>
          <w:tcPr>
            <w:tcW w:w="0" w:type="dxa"/>
            <w:vAlign w:val="bottom"/>
          </w:tcPr>
          <w:p>
            <w:pPr>
              <w:spacing w:after="0"/>
              <w:rPr>
                <w:sz w:val="1"/>
                <w:szCs w:val="1"/>
                <w:color w:val="auto"/>
              </w:rPr>
            </w:pPr>
          </w:p>
        </w:tc>
      </w:tr>
      <w:tr>
        <w:trPr>
          <w:trHeight w:val="240"/>
        </w:trPr>
        <w:tc>
          <w:tcPr>
            <w:tcW w:w="37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Balance at end of period</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(416,193)</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56,058</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(360,135)</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(332,126)</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45,559</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(286,567)</w:t>
            </w:r>
          </w:p>
        </w:tc>
        <w:tc>
          <w:tcPr>
            <w:tcW w:w="0" w:type="dxa"/>
            <w:vAlign w:val="bottom"/>
          </w:tcPr>
          <w:p>
            <w:pPr>
              <w:spacing w:after="0"/>
              <w:rPr>
                <w:sz w:val="1"/>
                <w:szCs w:val="1"/>
                <w:color w:val="auto"/>
              </w:rPr>
            </w:pPr>
          </w:p>
        </w:tc>
      </w:tr>
      <w:tr>
        <w:trPr>
          <w:trHeight w:val="20"/>
        </w:trPr>
        <w:tc>
          <w:tcPr>
            <w:tcW w:w="21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5"/>
        </w:trPr>
        <w:tc>
          <w:tcPr>
            <w:tcW w:w="21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180" w:type="dxa"/>
            <w:vAlign w:val="bottom"/>
            <w:gridSpan w:val="4"/>
          </w:tcPr>
          <w:p>
            <w:pPr>
              <w:jc w:val="right"/>
              <w:ind w:right="276"/>
              <w:spacing w:after="0"/>
              <w:rPr>
                <w:sz w:val="20"/>
                <w:szCs w:val="20"/>
                <w:color w:val="auto"/>
              </w:rPr>
            </w:pPr>
            <w:r>
              <w:rPr>
                <w:rFonts w:ascii="Arial" w:cs="Arial" w:eastAsia="Arial" w:hAnsi="Arial"/>
                <w:sz w:val="14"/>
                <w:szCs w:val="14"/>
                <w:b w:val="1"/>
                <w:bCs w:val="1"/>
                <w:color w:val="auto"/>
                <w:w w:val="99"/>
              </w:rPr>
              <w:t>Six Months Ended June 30,</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1"/>
        </w:trPr>
        <w:tc>
          <w:tcPr>
            <w:tcW w:w="218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center"/>
              <w:ind w:right="118"/>
              <w:spacing w:after="0"/>
              <w:rPr>
                <w:sz w:val="20"/>
                <w:szCs w:val="20"/>
                <w:color w:val="auto"/>
              </w:rPr>
            </w:pPr>
            <w:r>
              <w:rPr>
                <w:rFonts w:ascii="Arial" w:cs="Arial" w:eastAsia="Arial" w:hAnsi="Arial"/>
                <w:sz w:val="14"/>
                <w:szCs w:val="14"/>
                <w:b w:val="1"/>
                <w:bCs w:val="1"/>
                <w:color w:val="auto"/>
                <w:w w:val="83"/>
              </w:rPr>
              <w:t>2023</w:t>
            </w:r>
          </w:p>
        </w:tc>
        <w:tc>
          <w:tcPr>
            <w:tcW w:w="10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center"/>
              <w:ind w:right="98"/>
              <w:spacing w:after="0"/>
              <w:rPr>
                <w:sz w:val="20"/>
                <w:szCs w:val="20"/>
                <w:color w:val="auto"/>
              </w:rPr>
            </w:pPr>
            <w:r>
              <w:rPr>
                <w:rFonts w:ascii="Arial" w:cs="Arial" w:eastAsia="Arial" w:hAnsi="Arial"/>
                <w:sz w:val="14"/>
                <w:szCs w:val="14"/>
                <w:b w:val="1"/>
                <w:bCs w:val="1"/>
                <w:color w:val="auto"/>
                <w:w w:val="89"/>
              </w:rPr>
              <w:t>2022</w:t>
            </w:r>
          </w:p>
        </w:tc>
        <w:tc>
          <w:tcPr>
            <w:tcW w:w="1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87"/>
        </w:trPr>
        <w:tc>
          <w:tcPr>
            <w:tcW w:w="376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156"/>
              <w:spacing w:after="0"/>
              <w:rPr>
                <w:sz w:val="20"/>
                <w:szCs w:val="20"/>
                <w:color w:val="auto"/>
              </w:rPr>
            </w:pPr>
            <w:r>
              <w:rPr>
                <w:rFonts w:ascii="Arial" w:cs="Arial" w:eastAsia="Arial" w:hAnsi="Arial"/>
                <w:sz w:val="14"/>
                <w:szCs w:val="14"/>
                <w:b w:val="1"/>
                <w:bCs w:val="1"/>
                <w:color w:val="auto"/>
                <w:w w:val="96"/>
              </w:rPr>
              <w:t>Before Tax</w:t>
            </w: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center"/>
              <w:ind w:right="118"/>
              <w:spacing w:after="0"/>
              <w:rPr>
                <w:sz w:val="20"/>
                <w:szCs w:val="20"/>
                <w:color w:val="auto"/>
              </w:rPr>
            </w:pPr>
            <w:r>
              <w:rPr>
                <w:rFonts w:ascii="Arial" w:cs="Arial" w:eastAsia="Arial" w:hAnsi="Arial"/>
                <w:sz w:val="14"/>
                <w:szCs w:val="14"/>
                <w:b w:val="1"/>
                <w:bCs w:val="1"/>
                <w:color w:val="auto"/>
                <w:w w:val="92"/>
              </w:rPr>
              <w:t>Tax Effect</w:t>
            </w: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178"/>
              <w:spacing w:after="0"/>
              <w:rPr>
                <w:sz w:val="20"/>
                <w:szCs w:val="20"/>
                <w:color w:val="auto"/>
              </w:rPr>
            </w:pPr>
            <w:r>
              <w:rPr>
                <w:rFonts w:ascii="Arial" w:cs="Arial" w:eastAsia="Arial" w:hAnsi="Arial"/>
                <w:sz w:val="14"/>
                <w:szCs w:val="14"/>
                <w:b w:val="1"/>
                <w:bCs w:val="1"/>
                <w:color w:val="auto"/>
                <w:w w:val="97"/>
              </w:rPr>
              <w:t>Net of Tax</w:t>
            </w: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156"/>
              <w:spacing w:after="0"/>
              <w:rPr>
                <w:sz w:val="20"/>
                <w:szCs w:val="20"/>
                <w:color w:val="auto"/>
              </w:rPr>
            </w:pPr>
            <w:r>
              <w:rPr>
                <w:rFonts w:ascii="Arial" w:cs="Arial" w:eastAsia="Arial" w:hAnsi="Arial"/>
                <w:sz w:val="14"/>
                <w:szCs w:val="14"/>
                <w:b w:val="1"/>
                <w:bCs w:val="1"/>
                <w:color w:val="auto"/>
                <w:w w:val="93"/>
              </w:rPr>
              <w:t>Before Tax</w:t>
            </w: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center"/>
              <w:ind w:right="98"/>
              <w:spacing w:after="0"/>
              <w:rPr>
                <w:sz w:val="20"/>
                <w:szCs w:val="20"/>
                <w:color w:val="auto"/>
              </w:rPr>
            </w:pPr>
            <w:r>
              <w:rPr>
                <w:rFonts w:ascii="Arial" w:cs="Arial" w:eastAsia="Arial" w:hAnsi="Arial"/>
                <w:sz w:val="14"/>
                <w:szCs w:val="14"/>
                <w:b w:val="1"/>
                <w:bCs w:val="1"/>
                <w:color w:val="auto"/>
                <w:w w:val="89"/>
              </w:rPr>
              <w:t>Tax Effect</w:t>
            </w: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176"/>
              <w:spacing w:after="0"/>
              <w:rPr>
                <w:sz w:val="20"/>
                <w:szCs w:val="20"/>
                <w:color w:val="auto"/>
              </w:rPr>
            </w:pPr>
            <w:r>
              <w:rPr>
                <w:rFonts w:ascii="Arial" w:cs="Arial" w:eastAsia="Arial" w:hAnsi="Arial"/>
                <w:sz w:val="14"/>
                <w:szCs w:val="14"/>
                <w:b w:val="1"/>
                <w:bCs w:val="1"/>
                <w:color w:val="auto"/>
              </w:rPr>
              <w:t>Net of Tax</w:t>
            </w:r>
          </w:p>
        </w:tc>
        <w:tc>
          <w:tcPr>
            <w:tcW w:w="0" w:type="dxa"/>
            <w:vAlign w:val="bottom"/>
          </w:tcPr>
          <w:p>
            <w:pPr>
              <w:spacing w:after="0"/>
              <w:rPr>
                <w:sz w:val="1"/>
                <w:szCs w:val="1"/>
                <w:color w:val="auto"/>
              </w:rPr>
            </w:pPr>
          </w:p>
        </w:tc>
      </w:tr>
      <w:tr>
        <w:trPr>
          <w:trHeight w:val="221"/>
        </w:trPr>
        <w:tc>
          <w:tcPr>
            <w:tcW w:w="3760" w:type="dxa"/>
            <w:vAlign w:val="bottom"/>
            <w:gridSpan w:val="2"/>
          </w:tcPr>
          <w:p>
            <w:pPr>
              <w:ind w:left="20"/>
              <w:spacing w:after="0"/>
              <w:rPr>
                <w:sz w:val="20"/>
                <w:szCs w:val="20"/>
                <w:color w:val="auto"/>
              </w:rPr>
            </w:pPr>
            <w:r>
              <w:rPr>
                <w:rFonts w:ascii="Arial" w:cs="Arial" w:eastAsia="Arial" w:hAnsi="Arial"/>
                <w:sz w:val="17"/>
                <w:szCs w:val="17"/>
                <w:color w:val="auto"/>
              </w:rPr>
              <w:t>Balance at beginning of year</w:t>
            </w:r>
          </w:p>
        </w:tc>
        <w:tc>
          <w:tcPr>
            <w:tcW w:w="28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960" w:type="dxa"/>
            <w:vAlign w:val="bottom"/>
          </w:tcPr>
          <w:p>
            <w:pPr>
              <w:jc w:val="right"/>
              <w:spacing w:after="0"/>
              <w:rPr>
                <w:sz w:val="20"/>
                <w:szCs w:val="20"/>
                <w:color w:val="auto"/>
              </w:rPr>
            </w:pPr>
            <w:r>
              <w:rPr>
                <w:rFonts w:ascii="Arial" w:cs="Arial" w:eastAsia="Arial" w:hAnsi="Arial"/>
                <w:sz w:val="17"/>
                <w:szCs w:val="17"/>
                <w:color w:val="auto"/>
              </w:rPr>
              <w:t>(443,230)</w:t>
            </w:r>
          </w:p>
        </w:tc>
        <w:tc>
          <w:tcPr>
            <w:tcW w:w="30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940" w:type="dxa"/>
            <w:vAlign w:val="bottom"/>
          </w:tcPr>
          <w:p>
            <w:pPr>
              <w:jc w:val="right"/>
              <w:spacing w:after="0"/>
              <w:rPr>
                <w:sz w:val="20"/>
                <w:szCs w:val="20"/>
                <w:color w:val="auto"/>
              </w:rPr>
            </w:pPr>
            <w:r>
              <w:rPr>
                <w:rFonts w:ascii="Arial" w:cs="Arial" w:eastAsia="Arial" w:hAnsi="Arial"/>
                <w:sz w:val="17"/>
                <w:szCs w:val="17"/>
                <w:color w:val="auto"/>
              </w:rPr>
              <w:t>60,440</w:t>
            </w:r>
          </w:p>
        </w:tc>
        <w:tc>
          <w:tcPr>
            <w:tcW w:w="28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940" w:type="dxa"/>
            <w:vAlign w:val="bottom"/>
          </w:tcPr>
          <w:p>
            <w:pPr>
              <w:jc w:val="right"/>
              <w:spacing w:after="0"/>
              <w:rPr>
                <w:sz w:val="20"/>
                <w:szCs w:val="20"/>
                <w:color w:val="auto"/>
              </w:rPr>
            </w:pPr>
            <w:r>
              <w:rPr>
                <w:rFonts w:ascii="Arial" w:cs="Arial" w:eastAsia="Arial" w:hAnsi="Arial"/>
                <w:sz w:val="17"/>
                <w:szCs w:val="17"/>
                <w:color w:val="auto"/>
              </w:rPr>
              <w:t>(382,790)</w:t>
            </w:r>
          </w:p>
        </w:tc>
        <w:tc>
          <w:tcPr>
            <w:tcW w:w="30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940" w:type="dxa"/>
            <w:vAlign w:val="bottom"/>
          </w:tcPr>
          <w:p>
            <w:pPr>
              <w:jc w:val="right"/>
              <w:spacing w:after="0"/>
              <w:rPr>
                <w:sz w:val="20"/>
                <w:szCs w:val="20"/>
                <w:color w:val="auto"/>
              </w:rPr>
            </w:pPr>
            <w:r>
              <w:rPr>
                <w:rFonts w:ascii="Arial" w:cs="Arial" w:eastAsia="Arial" w:hAnsi="Arial"/>
                <w:sz w:val="17"/>
                <w:szCs w:val="17"/>
                <w:color w:val="auto"/>
              </w:rPr>
              <w:t>65,280</w:t>
            </w:r>
          </w:p>
        </w:tc>
        <w:tc>
          <w:tcPr>
            <w:tcW w:w="30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940" w:type="dxa"/>
            <w:vAlign w:val="bottom"/>
          </w:tcPr>
          <w:p>
            <w:pPr>
              <w:jc w:val="right"/>
              <w:spacing w:after="0"/>
              <w:rPr>
                <w:sz w:val="20"/>
                <w:szCs w:val="20"/>
                <w:color w:val="auto"/>
              </w:rPr>
            </w:pPr>
            <w:r>
              <w:rPr>
                <w:rFonts w:ascii="Arial" w:cs="Arial" w:eastAsia="Arial" w:hAnsi="Arial"/>
                <w:sz w:val="17"/>
                <w:szCs w:val="17"/>
                <w:color w:val="auto"/>
              </w:rPr>
              <w:t>(14,573)</w:t>
            </w:r>
          </w:p>
        </w:tc>
        <w:tc>
          <w:tcPr>
            <w:tcW w:w="28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960" w:type="dxa"/>
            <w:vAlign w:val="bottom"/>
          </w:tcPr>
          <w:p>
            <w:pPr>
              <w:jc w:val="right"/>
              <w:spacing w:after="0"/>
              <w:rPr>
                <w:sz w:val="20"/>
                <w:szCs w:val="20"/>
                <w:color w:val="auto"/>
              </w:rPr>
            </w:pPr>
            <w:r>
              <w:rPr>
                <w:rFonts w:ascii="Arial" w:cs="Arial" w:eastAsia="Arial" w:hAnsi="Arial"/>
                <w:sz w:val="17"/>
                <w:szCs w:val="17"/>
                <w:color w:val="auto"/>
              </w:rPr>
              <w:t>50,707</w:t>
            </w:r>
          </w:p>
        </w:tc>
        <w:tc>
          <w:tcPr>
            <w:tcW w:w="0" w:type="dxa"/>
            <w:vAlign w:val="bottom"/>
          </w:tcPr>
          <w:p>
            <w:pPr>
              <w:spacing w:after="0"/>
              <w:rPr>
                <w:sz w:val="1"/>
                <w:szCs w:val="1"/>
                <w:color w:val="auto"/>
              </w:rPr>
            </w:pPr>
          </w:p>
        </w:tc>
      </w:tr>
      <w:tr>
        <w:trPr>
          <w:trHeight w:val="214"/>
        </w:trPr>
        <w:tc>
          <w:tcPr>
            <w:tcW w:w="376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Other comprehensive income (loss):</w:t>
            </w:r>
          </w:p>
        </w:tc>
        <w:tc>
          <w:tcPr>
            <w:tcW w:w="1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3760" w:type="dxa"/>
            <w:vAlign w:val="bottom"/>
            <w:gridSpan w:val="2"/>
          </w:tcPr>
          <w:p>
            <w:pPr>
              <w:ind w:left="220"/>
              <w:spacing w:after="0"/>
              <w:rPr>
                <w:sz w:val="20"/>
                <w:szCs w:val="20"/>
                <w:color w:val="auto"/>
              </w:rPr>
            </w:pPr>
            <w:r>
              <w:rPr>
                <w:rFonts w:ascii="Arial" w:cs="Arial" w:eastAsia="Arial" w:hAnsi="Arial"/>
                <w:sz w:val="17"/>
                <w:szCs w:val="17"/>
                <w:color w:val="auto"/>
                <w:w w:val="94"/>
              </w:rPr>
              <w:t>Unrealized holding gains (losses) on investments:</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2"/>
        </w:trPr>
        <w:tc>
          <w:tcPr>
            <w:tcW w:w="3760" w:type="dxa"/>
            <w:vAlign w:val="bottom"/>
            <w:gridSpan w:val="2"/>
            <w:shd w:val="clear" w:color="auto" w:fill="CCEEFF"/>
          </w:tcPr>
          <w:p>
            <w:pPr>
              <w:ind w:left="340"/>
              <w:spacing w:after="0" w:line="182" w:lineRule="exact"/>
              <w:rPr>
                <w:sz w:val="20"/>
                <w:szCs w:val="20"/>
                <w:color w:val="auto"/>
              </w:rPr>
            </w:pPr>
            <w:r>
              <w:rPr>
                <w:rFonts w:ascii="Arial" w:cs="Arial" w:eastAsia="Arial" w:hAnsi="Arial"/>
                <w:sz w:val="17"/>
                <w:szCs w:val="17"/>
                <w:color w:val="auto"/>
                <w:w w:val="95"/>
              </w:rPr>
              <w:t>Unrealized holding gains (losses) arising during</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0"/>
        </w:trPr>
        <w:tc>
          <w:tcPr>
            <w:tcW w:w="3760" w:type="dxa"/>
            <w:vAlign w:val="bottom"/>
            <w:gridSpan w:val="2"/>
            <w:shd w:val="clear" w:color="auto" w:fill="CCEEFF"/>
          </w:tcPr>
          <w:p>
            <w:pPr>
              <w:ind w:left="480"/>
              <w:spacing w:after="0"/>
              <w:rPr>
                <w:sz w:val="20"/>
                <w:szCs w:val="20"/>
                <w:color w:val="auto"/>
              </w:rPr>
            </w:pPr>
            <w:r>
              <w:rPr>
                <w:rFonts w:ascii="Arial" w:cs="Arial" w:eastAsia="Arial" w:hAnsi="Arial"/>
                <w:sz w:val="17"/>
                <w:szCs w:val="17"/>
                <w:color w:val="auto"/>
              </w:rPr>
              <w:t>the period</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24,960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(4,091)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20,869</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(405,229)</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59,152</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(346,077)</w:t>
            </w:r>
          </w:p>
        </w:tc>
        <w:tc>
          <w:tcPr>
            <w:tcW w:w="0" w:type="dxa"/>
            <w:vAlign w:val="bottom"/>
          </w:tcPr>
          <w:p>
            <w:pPr>
              <w:spacing w:after="0"/>
              <w:rPr>
                <w:sz w:val="1"/>
                <w:szCs w:val="1"/>
                <w:color w:val="auto"/>
              </w:rPr>
            </w:pPr>
          </w:p>
        </w:tc>
      </w:tr>
      <w:tr>
        <w:trPr>
          <w:trHeight w:val="169"/>
        </w:trPr>
        <w:tc>
          <w:tcPr>
            <w:tcW w:w="3760" w:type="dxa"/>
            <w:vAlign w:val="bottom"/>
            <w:gridSpan w:val="2"/>
          </w:tcPr>
          <w:p>
            <w:pPr>
              <w:ind w:left="340"/>
              <w:spacing w:after="0" w:line="169" w:lineRule="exact"/>
              <w:rPr>
                <w:sz w:val="20"/>
                <w:szCs w:val="20"/>
                <w:color w:val="auto"/>
              </w:rPr>
            </w:pPr>
            <w:r>
              <w:rPr>
                <w:rFonts w:ascii="Arial" w:cs="Arial" w:eastAsia="Arial" w:hAnsi="Arial"/>
                <w:sz w:val="17"/>
                <w:szCs w:val="17"/>
                <w:color w:val="auto"/>
              </w:rPr>
              <w:t>Less: Reclassification adjustment for losses</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vMerge w:val="restart"/>
          </w:tcPr>
          <w:p>
            <w:pPr>
              <w:jc w:val="right"/>
              <w:spacing w:after="0"/>
              <w:rPr>
                <w:sz w:val="20"/>
                <w:szCs w:val="20"/>
                <w:color w:val="auto"/>
              </w:rPr>
            </w:pPr>
            <w:r>
              <w:rPr>
                <w:rFonts w:ascii="Arial" w:cs="Arial" w:eastAsia="Arial" w:hAnsi="Arial"/>
                <w:sz w:val="17"/>
                <w:szCs w:val="17"/>
                <w:color w:val="auto"/>
              </w:rPr>
              <w:t>2,077</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vMerge w:val="restart"/>
          </w:tcPr>
          <w:p>
            <w:pPr>
              <w:jc w:val="right"/>
              <w:spacing w:after="0"/>
              <w:rPr>
                <w:sz w:val="20"/>
                <w:szCs w:val="20"/>
                <w:color w:val="auto"/>
              </w:rPr>
            </w:pPr>
            <w:r>
              <w:rPr>
                <w:rFonts w:ascii="Arial" w:cs="Arial" w:eastAsia="Arial" w:hAnsi="Arial"/>
                <w:sz w:val="17"/>
                <w:szCs w:val="17"/>
                <w:color w:val="auto"/>
              </w:rPr>
              <w:t>(291)</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vMerge w:val="restart"/>
          </w:tcPr>
          <w:p>
            <w:pPr>
              <w:jc w:val="right"/>
              <w:spacing w:after="0"/>
              <w:rPr>
                <w:sz w:val="20"/>
                <w:szCs w:val="20"/>
                <w:color w:val="auto"/>
              </w:rPr>
            </w:pPr>
            <w:r>
              <w:rPr>
                <w:rFonts w:ascii="Arial" w:cs="Arial" w:eastAsia="Arial" w:hAnsi="Arial"/>
                <w:sz w:val="17"/>
                <w:szCs w:val="17"/>
                <w:color w:val="auto"/>
              </w:rPr>
              <w:t>1,786</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vMerge w:val="restart"/>
          </w:tcPr>
          <w:p>
            <w:pPr>
              <w:jc w:val="right"/>
              <w:spacing w:after="0"/>
              <w:rPr>
                <w:sz w:val="20"/>
                <w:szCs w:val="20"/>
                <w:color w:val="auto"/>
              </w:rPr>
            </w:pPr>
            <w:r>
              <w:rPr>
                <w:rFonts w:ascii="Arial" w:cs="Arial" w:eastAsia="Arial" w:hAnsi="Arial"/>
                <w:sz w:val="17"/>
                <w:szCs w:val="17"/>
                <w:color w:val="auto"/>
              </w:rPr>
              <w:t>7,823</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vMerge w:val="restart"/>
          </w:tcPr>
          <w:p>
            <w:pPr>
              <w:jc w:val="right"/>
              <w:spacing w:after="0"/>
              <w:rPr>
                <w:sz w:val="20"/>
                <w:szCs w:val="20"/>
                <w:color w:val="auto"/>
              </w:rPr>
            </w:pPr>
            <w:r>
              <w:rPr>
                <w:rFonts w:ascii="Arial" w:cs="Arial" w:eastAsia="Arial" w:hAnsi="Arial"/>
                <w:sz w:val="17"/>
                <w:szCs w:val="17"/>
                <w:color w:val="auto"/>
              </w:rPr>
              <w:t>980</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vMerge w:val="restart"/>
          </w:tcPr>
          <w:p>
            <w:pPr>
              <w:jc w:val="right"/>
              <w:spacing w:after="0"/>
              <w:rPr>
                <w:sz w:val="20"/>
                <w:szCs w:val="20"/>
                <w:color w:val="auto"/>
              </w:rPr>
            </w:pPr>
            <w:r>
              <w:rPr>
                <w:rFonts w:ascii="Arial" w:cs="Arial" w:eastAsia="Arial" w:hAnsi="Arial"/>
                <w:sz w:val="17"/>
                <w:szCs w:val="17"/>
                <w:color w:val="auto"/>
              </w:rPr>
              <w:t>8,803</w:t>
            </w:r>
          </w:p>
        </w:tc>
        <w:tc>
          <w:tcPr>
            <w:tcW w:w="0" w:type="dxa"/>
            <w:vAlign w:val="bottom"/>
          </w:tcPr>
          <w:p>
            <w:pPr>
              <w:spacing w:after="0"/>
              <w:rPr>
                <w:sz w:val="1"/>
                <w:szCs w:val="1"/>
                <w:color w:val="auto"/>
              </w:rPr>
            </w:pPr>
          </w:p>
        </w:tc>
      </w:tr>
      <w:tr>
        <w:trPr>
          <w:trHeight w:val="220"/>
        </w:trPr>
        <w:tc>
          <w:tcPr>
            <w:tcW w:w="3760" w:type="dxa"/>
            <w:vAlign w:val="bottom"/>
            <w:gridSpan w:val="2"/>
          </w:tcPr>
          <w:p>
            <w:pPr>
              <w:ind w:left="480"/>
              <w:spacing w:after="0"/>
              <w:rPr>
                <w:sz w:val="20"/>
                <w:szCs w:val="20"/>
                <w:color w:val="auto"/>
              </w:rPr>
            </w:pPr>
            <w:r>
              <w:rPr>
                <w:rFonts w:ascii="Arial" w:cs="Arial" w:eastAsia="Arial" w:hAnsi="Arial"/>
                <w:sz w:val="17"/>
                <w:szCs w:val="17"/>
                <w:color w:val="auto"/>
              </w:rPr>
              <w:t>included in net income (1)</w:t>
            </w:r>
          </w:p>
        </w:tc>
        <w:tc>
          <w:tcPr>
            <w:tcW w:w="1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vMerge w:val="continue"/>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vMerge w:val="continue"/>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vMerge w:val="continue"/>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3760" w:type="dxa"/>
            <w:vAlign w:val="bottom"/>
            <w:gridSpan w:val="2"/>
            <w:shd w:val="clear" w:color="auto" w:fill="CCEEFF"/>
          </w:tcPr>
          <w:p>
            <w:pPr>
              <w:ind w:left="340"/>
              <w:spacing w:after="0"/>
              <w:rPr>
                <w:sz w:val="20"/>
                <w:szCs w:val="20"/>
                <w:color w:val="auto"/>
              </w:rPr>
            </w:pPr>
            <w:r>
              <w:rPr>
                <w:rFonts w:ascii="Arial" w:cs="Arial" w:eastAsia="Arial" w:hAnsi="Arial"/>
                <w:sz w:val="17"/>
                <w:szCs w:val="17"/>
                <w:color w:val="auto"/>
              </w:rPr>
              <w:t>Net unrealized gains (losses) on investments</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27,037</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(4,382)</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22,655</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(397,406)</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60,132</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(337,274)</w:t>
            </w:r>
          </w:p>
        </w:tc>
        <w:tc>
          <w:tcPr>
            <w:tcW w:w="0" w:type="dxa"/>
            <w:vAlign w:val="bottom"/>
          </w:tcPr>
          <w:p>
            <w:pPr>
              <w:spacing w:after="0"/>
              <w:rPr>
                <w:sz w:val="1"/>
                <w:szCs w:val="1"/>
                <w:color w:val="auto"/>
              </w:rPr>
            </w:pPr>
          </w:p>
        </w:tc>
      </w:tr>
      <w:tr>
        <w:trPr>
          <w:trHeight w:val="214"/>
        </w:trPr>
        <w:tc>
          <w:tcPr>
            <w:tcW w:w="3760" w:type="dxa"/>
            <w:vAlign w:val="bottom"/>
            <w:tcBorders>
              <w:bottom w:val="single" w:sz="8" w:color="CCEEFF"/>
            </w:tcBorders>
            <w:gridSpan w:val="2"/>
          </w:tcPr>
          <w:p>
            <w:pPr>
              <w:ind w:left="20"/>
              <w:spacing w:after="0"/>
              <w:rPr>
                <w:sz w:val="20"/>
                <w:szCs w:val="20"/>
                <w:color w:val="auto"/>
              </w:rPr>
            </w:pPr>
            <w:r>
              <w:rPr>
                <w:rFonts w:ascii="Arial" w:cs="Arial" w:eastAsia="Arial" w:hAnsi="Arial"/>
                <w:sz w:val="17"/>
                <w:szCs w:val="17"/>
                <w:color w:val="auto"/>
              </w:rPr>
              <w:t>Other comprehensive income (loss)</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27,037</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(4,382)</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22,655</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(397,406)</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60,132</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(337,274)</w:t>
            </w:r>
          </w:p>
        </w:tc>
        <w:tc>
          <w:tcPr>
            <w:tcW w:w="0" w:type="dxa"/>
            <w:vAlign w:val="bottom"/>
          </w:tcPr>
          <w:p>
            <w:pPr>
              <w:spacing w:after="0"/>
              <w:rPr>
                <w:sz w:val="1"/>
                <w:szCs w:val="1"/>
                <w:color w:val="auto"/>
              </w:rPr>
            </w:pPr>
          </w:p>
        </w:tc>
      </w:tr>
      <w:tr>
        <w:trPr>
          <w:trHeight w:val="234"/>
        </w:trPr>
        <w:tc>
          <w:tcPr>
            <w:tcW w:w="376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Balance at end of period</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(416,193)</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56,058</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(360,135)</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(332,126)</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45,559</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(286,567)</w:t>
            </w:r>
          </w:p>
        </w:tc>
        <w:tc>
          <w:tcPr>
            <w:tcW w:w="0" w:type="dxa"/>
            <w:vAlign w:val="bottom"/>
          </w:tcPr>
          <w:p>
            <w:pPr>
              <w:spacing w:after="0"/>
              <w:rPr>
                <w:sz w:val="1"/>
                <w:szCs w:val="1"/>
                <w:color w:val="auto"/>
              </w:rPr>
            </w:pPr>
          </w:p>
        </w:tc>
      </w:tr>
      <w:tr>
        <w:trPr>
          <w:trHeight w:val="20"/>
        </w:trPr>
        <w:tc>
          <w:tcPr>
            <w:tcW w:w="218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8"/>
        </w:trPr>
        <w:tc>
          <w:tcPr>
            <w:tcW w:w="2180" w:type="dxa"/>
            <w:vAlign w:val="bottom"/>
            <w:tcBorders>
              <w:bottom w:val="single" w:sz="8" w:color="auto"/>
            </w:tcBorders>
          </w:tcPr>
          <w:p>
            <w:pPr>
              <w:spacing w:after="0"/>
              <w:rPr>
                <w:sz w:val="11"/>
                <w:szCs w:val="11"/>
                <w:color w:val="auto"/>
              </w:rPr>
            </w:pPr>
          </w:p>
        </w:tc>
        <w:tc>
          <w:tcPr>
            <w:tcW w:w="1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78" w:lineRule="exact"/>
        <w:rPr>
          <w:sz w:val="20"/>
          <w:szCs w:val="20"/>
          <w:color w:val="auto"/>
        </w:rPr>
      </w:pPr>
    </w:p>
    <w:p>
      <w:pPr>
        <w:ind w:left="320"/>
        <w:spacing w:after="0"/>
        <w:rPr>
          <w:sz w:val="20"/>
          <w:szCs w:val="20"/>
          <w:color w:val="auto"/>
        </w:rPr>
      </w:pPr>
      <w:r>
        <w:rPr>
          <w:rFonts w:ascii="Arial" w:cs="Arial" w:eastAsia="Arial" w:hAnsi="Arial"/>
          <w:sz w:val="17"/>
          <w:szCs w:val="17"/>
          <w:color w:val="auto"/>
        </w:rPr>
        <w:t>(1) Included in net realized investment losses on our condensed consolidated statements of comprehensive income.</w:t>
      </w:r>
    </w:p>
    <w:p>
      <w:pPr>
        <w:spacing w:after="0" w:line="24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13. Fair Value of Financial Instruments</w:t>
      </w:r>
    </w:p>
    <w:p>
      <w:pPr>
        <w:spacing w:after="0" w:line="226" w:lineRule="exact"/>
        <w:rPr>
          <w:sz w:val="20"/>
          <w:szCs w:val="20"/>
          <w:color w:val="auto"/>
        </w:rPr>
      </w:pPr>
    </w:p>
    <w:p>
      <w:pPr>
        <w:jc w:val="both"/>
        <w:ind w:right="20" w:firstLine="623"/>
        <w:spacing w:after="0" w:line="285" w:lineRule="auto"/>
        <w:rPr>
          <w:sz w:val="20"/>
          <w:szCs w:val="20"/>
          <w:color w:val="auto"/>
        </w:rPr>
      </w:pPr>
      <w:r>
        <w:rPr>
          <w:rFonts w:ascii="Arial" w:cs="Arial" w:eastAsia="Arial" w:hAnsi="Arial"/>
          <w:sz w:val="17"/>
          <w:szCs w:val="17"/>
          <w:color w:val="auto"/>
        </w:rPr>
        <w:t>We carry certain of our financial instruments at fair value. We define fair value as the current amount that would be exchanged to sell an asset or transfer a liability, other than in a forced liquidation.</w:t>
      </w:r>
    </w:p>
    <w:p>
      <w:pPr>
        <w:spacing w:after="0" w:line="15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Fair Value Hierarchy</w:t>
      </w:r>
    </w:p>
    <w:p>
      <w:pPr>
        <w:spacing w:after="0" w:line="226" w:lineRule="exact"/>
        <w:rPr>
          <w:sz w:val="20"/>
          <w:szCs w:val="20"/>
          <w:color w:val="auto"/>
        </w:rPr>
      </w:pPr>
    </w:p>
    <w:p>
      <w:pPr>
        <w:ind w:firstLine="623"/>
        <w:spacing w:after="0" w:line="265" w:lineRule="auto"/>
        <w:rPr>
          <w:sz w:val="20"/>
          <w:szCs w:val="20"/>
          <w:color w:val="auto"/>
        </w:rPr>
      </w:pPr>
      <w:r>
        <w:rPr>
          <w:rFonts w:ascii="Arial" w:cs="Arial" w:eastAsia="Arial" w:hAnsi="Arial"/>
          <w:sz w:val="17"/>
          <w:szCs w:val="17"/>
          <w:color w:val="auto"/>
        </w:rPr>
        <w:t>ASC No. 820 specifies a hierarchy of valuation techniques based on whether the inputs to those valuation techniques are observable or unobservable. Observable inputs reflect market data obtained from independent sources, while unobservable inputs reflect our market assumptions. The level within the fair value hierarchy to measure the financial instrument shall be determined based on the lowest level input that is significant to the fair value measurement. The three levels of the fair value hierarchy are as follows:</w:t>
      </w:r>
    </w:p>
    <w:p>
      <w:pPr>
        <w:spacing w:after="0" w:line="201" w:lineRule="exact"/>
        <w:rPr>
          <w:sz w:val="20"/>
          <w:szCs w:val="20"/>
          <w:color w:val="auto"/>
        </w:rPr>
      </w:pPr>
    </w:p>
    <w:p>
      <w:pPr>
        <w:ind w:left="620" w:hanging="305"/>
        <w:spacing w:after="0"/>
        <w:tabs>
          <w:tab w:leader="none" w:pos="620" w:val="left"/>
        </w:tabs>
        <w:numPr>
          <w:ilvl w:val="0"/>
          <w:numId w:val="8"/>
        </w:numPr>
        <w:rPr>
          <w:rFonts w:ascii="Arial" w:cs="Arial" w:eastAsia="Arial" w:hAnsi="Arial"/>
          <w:sz w:val="17"/>
          <w:szCs w:val="17"/>
          <w:color w:val="auto"/>
        </w:rPr>
      </w:pPr>
      <w:r>
        <w:rPr>
          <w:rFonts w:ascii="Arial" w:cs="Arial" w:eastAsia="Arial" w:hAnsi="Arial"/>
          <w:sz w:val="17"/>
          <w:szCs w:val="17"/>
          <w:color w:val="auto"/>
        </w:rPr>
        <w:t>Level 1 — Quoted prices for identical instruments in active markets accessible at the measurement date.</w:t>
      </w: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390" w:lineRule="exact"/>
        <w:rPr>
          <w:rFonts w:ascii="Arial" w:cs="Arial" w:eastAsia="Arial" w:hAnsi="Arial"/>
          <w:sz w:val="17"/>
          <w:szCs w:val="17"/>
          <w:color w:val="auto"/>
        </w:rPr>
      </w:pPr>
    </w:p>
    <w:p>
      <w:pPr>
        <w:ind w:left="5540"/>
        <w:spacing w:after="0"/>
        <w:rPr>
          <w:rFonts w:ascii="Arial" w:cs="Arial" w:eastAsia="Arial" w:hAnsi="Arial"/>
          <w:sz w:val="17"/>
          <w:szCs w:val="17"/>
          <w:color w:val="auto"/>
        </w:rPr>
      </w:pPr>
      <w:r>
        <w:rPr>
          <w:rFonts w:ascii="Arial" w:cs="Arial" w:eastAsia="Arial" w:hAnsi="Arial"/>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68580</wp:posOffset>
            </wp:positionV>
            <wp:extent cx="7162800" cy="419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24" w:name="page25"/>
    <w:bookmarkEnd w:id="24"/>
    <w:p>
      <w:pPr>
        <w:spacing w:after="0"/>
        <w:rPr>
          <w:sz w:val="20"/>
          <w:szCs w:val="20"/>
          <w:color w:val="auto"/>
        </w:rPr>
      </w:pPr>
      <w:r>
        <w:rPr>
          <w:rFonts w:ascii="Arial" w:cs="Arial" w:eastAsia="Arial" w:hAnsi="Arial"/>
          <w:sz w:val="17"/>
          <w:szCs w:val="17"/>
          <w:u w:val="single" w:color="auto"/>
          <w:color w:val="0000FF"/>
        </w:rPr>
        <w:t>Table of Contents</w:t>
      </w:r>
    </w:p>
    <w:p>
      <w:pPr>
        <w:spacing w:after="0" w:line="25"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Essent Group Ltd. and Subsidiaries</w:t>
      </w:r>
    </w:p>
    <w:p>
      <w:pPr>
        <w:spacing w:after="0" w:line="201"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Notes to Condensed Consolidated Financial Statements (Unaudited)</w:t>
      </w:r>
    </w:p>
    <w:p>
      <w:pPr>
        <w:spacing w:after="0" w:line="200" w:lineRule="exact"/>
        <w:rPr>
          <w:sz w:val="20"/>
          <w:szCs w:val="20"/>
          <w:color w:val="auto"/>
        </w:rPr>
      </w:pPr>
    </w:p>
    <w:p>
      <w:pPr>
        <w:spacing w:after="0" w:line="234" w:lineRule="exact"/>
        <w:rPr>
          <w:sz w:val="20"/>
          <w:szCs w:val="20"/>
          <w:color w:val="auto"/>
        </w:rPr>
      </w:pPr>
    </w:p>
    <w:p>
      <w:pPr>
        <w:ind w:left="620" w:right="120" w:hanging="305"/>
        <w:spacing w:after="0" w:line="270" w:lineRule="auto"/>
        <w:tabs>
          <w:tab w:leader="none" w:pos="620" w:val="left"/>
        </w:tabs>
        <w:numPr>
          <w:ilvl w:val="0"/>
          <w:numId w:val="9"/>
        </w:numPr>
        <w:rPr>
          <w:rFonts w:ascii="Arial" w:cs="Arial" w:eastAsia="Arial" w:hAnsi="Arial"/>
          <w:sz w:val="17"/>
          <w:szCs w:val="17"/>
          <w:color w:val="auto"/>
        </w:rPr>
      </w:pPr>
      <w:r>
        <w:rPr>
          <w:rFonts w:ascii="Arial" w:cs="Arial" w:eastAsia="Arial" w:hAnsi="Arial"/>
          <w:sz w:val="17"/>
          <w:szCs w:val="17"/>
          <w:color w:val="auto"/>
        </w:rPr>
        <w:t>Level 2 — Quoted prices for similar instruments in active markets; quoted prices for identical or similar instruments in markets that are not active; and valuations in which all significant inputs are observable in active markets. Inputs are observable for substantially the full term of the financial instrument.</w:t>
      </w:r>
    </w:p>
    <w:p>
      <w:pPr>
        <w:spacing w:after="0" w:line="196" w:lineRule="exact"/>
        <w:rPr>
          <w:rFonts w:ascii="Arial" w:cs="Arial" w:eastAsia="Arial" w:hAnsi="Arial"/>
          <w:sz w:val="17"/>
          <w:szCs w:val="17"/>
          <w:color w:val="auto"/>
        </w:rPr>
      </w:pPr>
    </w:p>
    <w:p>
      <w:pPr>
        <w:ind w:left="620" w:hanging="305"/>
        <w:spacing w:after="0"/>
        <w:tabs>
          <w:tab w:leader="none" w:pos="620" w:val="left"/>
        </w:tabs>
        <w:numPr>
          <w:ilvl w:val="0"/>
          <w:numId w:val="9"/>
        </w:numPr>
        <w:rPr>
          <w:rFonts w:ascii="Arial" w:cs="Arial" w:eastAsia="Arial" w:hAnsi="Arial"/>
          <w:sz w:val="17"/>
          <w:szCs w:val="17"/>
          <w:color w:val="auto"/>
        </w:rPr>
      </w:pPr>
      <w:r>
        <w:rPr>
          <w:rFonts w:ascii="Arial" w:cs="Arial" w:eastAsia="Arial" w:hAnsi="Arial"/>
          <w:sz w:val="17"/>
          <w:szCs w:val="17"/>
          <w:color w:val="auto"/>
        </w:rPr>
        <w:t>Level 3 — Valuations derived from one or more significant inputs that are unobservable.</w:t>
      </w:r>
    </w:p>
    <w:p>
      <w:pPr>
        <w:spacing w:after="0" w:line="21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Determination of Fair Value</w:t>
      </w:r>
    </w:p>
    <w:p>
      <w:pPr>
        <w:spacing w:after="0" w:line="226" w:lineRule="exact"/>
        <w:rPr>
          <w:sz w:val="20"/>
          <w:szCs w:val="20"/>
          <w:color w:val="auto"/>
        </w:rPr>
      </w:pPr>
    </w:p>
    <w:p>
      <w:pPr>
        <w:jc w:val="both"/>
        <w:ind w:right="180" w:firstLine="623"/>
        <w:spacing w:after="0" w:line="294" w:lineRule="auto"/>
        <w:rPr>
          <w:sz w:val="20"/>
          <w:szCs w:val="20"/>
          <w:color w:val="auto"/>
        </w:rPr>
      </w:pPr>
      <w:r>
        <w:rPr>
          <w:rFonts w:ascii="Arial" w:cs="Arial" w:eastAsia="Arial" w:hAnsi="Arial"/>
          <w:sz w:val="15"/>
          <w:szCs w:val="15"/>
          <w:color w:val="auto"/>
        </w:rPr>
        <w:t>When available, we generally use quoted market prices to determine fair value and classify the financial instrument in Level 1. In cases where quoted market prices for similar financial instruments are available, we utilize these inputs for valuation techniques and classify the financial instrument in Level 2. In cases where quoted market prices are not available, fair values are based on estimates using discounted cash flows, present value or other valuation techniques.</w:t>
      </w:r>
    </w:p>
    <w:p>
      <w:pPr>
        <w:spacing w:after="0" w:line="2" w:lineRule="exact"/>
        <w:rPr>
          <w:sz w:val="20"/>
          <w:szCs w:val="20"/>
          <w:color w:val="auto"/>
        </w:rPr>
      </w:pPr>
    </w:p>
    <w:p>
      <w:pPr>
        <w:ind w:right="100"/>
        <w:spacing w:after="0" w:line="269" w:lineRule="auto"/>
        <w:rPr>
          <w:sz w:val="20"/>
          <w:szCs w:val="20"/>
          <w:color w:val="auto"/>
        </w:rPr>
      </w:pPr>
      <w:r>
        <w:rPr>
          <w:rFonts w:ascii="Arial" w:cs="Arial" w:eastAsia="Arial" w:hAnsi="Arial"/>
          <w:sz w:val="17"/>
          <w:szCs w:val="17"/>
          <w:color w:val="auto"/>
        </w:rPr>
        <w:t>Those techniques are significantly affected by the assumptions used, including the discount rates and estimates of future cash flows and we classify the financial instrument in Level 3. Accordingly, the fair value estimates may not be realized in an immediate settlement of the instrument.</w:t>
      </w:r>
    </w:p>
    <w:p>
      <w:pPr>
        <w:spacing w:after="0" w:line="172" w:lineRule="exact"/>
        <w:rPr>
          <w:sz w:val="20"/>
          <w:szCs w:val="20"/>
          <w:color w:val="auto"/>
        </w:rPr>
      </w:pPr>
    </w:p>
    <w:p>
      <w:pPr>
        <w:ind w:left="620"/>
        <w:spacing w:after="0"/>
        <w:rPr>
          <w:sz w:val="20"/>
          <w:szCs w:val="20"/>
          <w:color w:val="auto"/>
        </w:rPr>
      </w:pPr>
      <w:r>
        <w:rPr>
          <w:rFonts w:ascii="Arial" w:cs="Arial" w:eastAsia="Arial" w:hAnsi="Arial"/>
          <w:sz w:val="17"/>
          <w:szCs w:val="17"/>
          <w:color w:val="auto"/>
        </w:rPr>
        <w:t>We used the following methods and assumptions in estimating fair values of financial instruments:</w:t>
      </w:r>
    </w:p>
    <w:p>
      <w:pPr>
        <w:spacing w:after="0" w:line="246" w:lineRule="exact"/>
        <w:rPr>
          <w:sz w:val="20"/>
          <w:szCs w:val="20"/>
          <w:color w:val="auto"/>
        </w:rPr>
      </w:pPr>
    </w:p>
    <w:p>
      <w:pPr>
        <w:ind w:left="620" w:right="80" w:hanging="305"/>
        <w:spacing w:after="0" w:line="280" w:lineRule="auto"/>
        <w:tabs>
          <w:tab w:leader="none" w:pos="620" w:val="left"/>
        </w:tabs>
        <w:numPr>
          <w:ilvl w:val="0"/>
          <w:numId w:val="10"/>
        </w:numPr>
        <w:rPr>
          <w:rFonts w:ascii="Arial" w:cs="Arial" w:eastAsia="Arial" w:hAnsi="Arial"/>
          <w:sz w:val="16"/>
          <w:szCs w:val="16"/>
          <w:color w:val="auto"/>
        </w:rPr>
      </w:pPr>
      <w:r>
        <w:rPr>
          <w:rFonts w:ascii="Arial" w:cs="Arial" w:eastAsia="Arial" w:hAnsi="Arial"/>
          <w:sz w:val="16"/>
          <w:szCs w:val="16"/>
          <w:color w:val="auto"/>
        </w:rPr>
        <w:t>Investments available for sale — Investments available for sale are valued using quoted market prices in active markets, when available, and those investments are classified as Level 1 of the fair value hierarchy. Level 1 investments available for sale include investments such as U.S. Treasury securities and money market funds. Investments available for sale are classified as Level 2 of the fair value hierarchy if quoted market prices are not available and fair values are estimated using quoted prices of similar securities or recently executed transactions for the securities. U.S. agency securities, U.S. agency mortgage-backed securities, municipal debt securities, non-U.S. government securities, corporate debt securities, residential and commercial mortgage securities and asset-backed securities are classified as Level 2 investments.</w:t>
      </w:r>
    </w:p>
    <w:p>
      <w:pPr>
        <w:spacing w:after="0" w:line="165" w:lineRule="exact"/>
        <w:rPr>
          <w:rFonts w:ascii="Arial" w:cs="Arial" w:eastAsia="Arial" w:hAnsi="Arial"/>
          <w:sz w:val="16"/>
          <w:szCs w:val="16"/>
          <w:color w:val="auto"/>
        </w:rPr>
      </w:pPr>
    </w:p>
    <w:p>
      <w:pPr>
        <w:ind w:left="620"/>
        <w:spacing w:after="0" w:line="275" w:lineRule="auto"/>
        <w:rPr>
          <w:rFonts w:ascii="Arial" w:cs="Arial" w:eastAsia="Arial" w:hAnsi="Arial"/>
          <w:sz w:val="16"/>
          <w:szCs w:val="16"/>
          <w:color w:val="auto"/>
        </w:rPr>
      </w:pPr>
      <w:r>
        <w:rPr>
          <w:rFonts w:ascii="Arial" w:cs="Arial" w:eastAsia="Arial" w:hAnsi="Arial"/>
          <w:sz w:val="16"/>
          <w:szCs w:val="16"/>
          <w:color w:val="auto"/>
        </w:rPr>
        <w:t>We use independent pricing sources to determine the fair value of securities available for sale in Level 1 and Level 2 of the fair value hierarchy. We use one primary pricing service to provide individual security pricing based on observable market data and receive one quote per security. To ensure securities are appropriately classified in the fair value hierarchy, we review the pricing techniques and methodologies of the independent pricing service and believe that their policies adequately consider market activity, either based on specific transactions for the issue valued or based on modeling of securities with similar credit quality, duration, yield and structure that were recently traded. U.S. agency securities, U.S. agency mortgage-backed securities, municipal debt securities, non-U.S. government securities and corporate debt securities are valued by our primary vendor using recently executed transactions and proprietary models based on observable inputs, such as interest rate spreads, yield curves and credit risk. Residential and commercial mortgage securities and asset-backed securities are valued by our primary vendor using proprietary models based on observable inputs, such as interest rate spreads, prepayment speeds and credit risk. As part of our evaluation of investment prices provided by our primary pricing service, we obtained and reviewed their pricing methodologies which include a description of how each security type is evaluated and priced. We review the reasonableness of prices received from our primary pricing service by comparison to prices obtained from additional pricing sources. We have not made any adjustments to the prices obtained from our primary pricing service.</w:t>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68580</wp:posOffset>
            </wp:positionV>
            <wp:extent cx="7162800" cy="419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00"/>
          </w:cols>
          <w:pgMar w:left="320" w:top="127" w:right="379" w:bottom="1440" w:gutter="0" w:footer="0" w:header="0"/>
        </w:sectPr>
      </w:pPr>
    </w:p>
    <w:bookmarkStart w:id="25" w:name="page26"/>
    <w:bookmarkEnd w:id="25"/>
    <w:p>
      <w:pPr>
        <w:spacing w:after="0"/>
        <w:rPr>
          <w:sz w:val="20"/>
          <w:szCs w:val="20"/>
          <w:color w:val="auto"/>
        </w:rPr>
      </w:pPr>
      <w:r>
        <w:rPr>
          <w:rFonts w:ascii="Arial" w:cs="Arial" w:eastAsia="Arial" w:hAnsi="Arial"/>
          <w:sz w:val="17"/>
          <w:szCs w:val="17"/>
          <w:u w:val="single" w:color="auto"/>
          <w:color w:val="0000FF"/>
        </w:rPr>
        <w:t>Table of Contents</w:t>
      </w:r>
    </w:p>
    <w:p>
      <w:pPr>
        <w:spacing w:after="0" w:line="25"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Essent Group Ltd. and Subsidiaries</w:t>
      </w:r>
    </w:p>
    <w:p>
      <w:pPr>
        <w:spacing w:after="0" w:line="201"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Notes to Condensed Consolidated Financial Statements (Unaudited)</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Assets and Liabilities Measured at Fair Value</w:t>
      </w:r>
    </w:p>
    <w:p>
      <w:pPr>
        <w:spacing w:after="0" w:line="226" w:lineRule="exact"/>
        <w:rPr>
          <w:sz w:val="20"/>
          <w:szCs w:val="20"/>
          <w:color w:val="auto"/>
        </w:rPr>
      </w:pPr>
    </w:p>
    <w:p>
      <w:pPr>
        <w:ind w:right="460" w:firstLine="623"/>
        <w:spacing w:after="0" w:line="285" w:lineRule="auto"/>
        <w:rPr>
          <w:sz w:val="20"/>
          <w:szCs w:val="20"/>
          <w:color w:val="auto"/>
        </w:rPr>
      </w:pPr>
      <w:r>
        <w:rPr>
          <w:rFonts w:ascii="Arial" w:cs="Arial" w:eastAsia="Arial" w:hAnsi="Arial"/>
          <w:sz w:val="17"/>
          <w:szCs w:val="17"/>
          <w:color w:val="auto"/>
        </w:rPr>
        <w:t>All assets measured at fair value are categorized in the table below based upon the lowest level of significant input to the valuations. All fair value measurements at the reporting date were on a recurring basis.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18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00" w:type="dxa"/>
            <w:vAlign w:val="bottom"/>
          </w:tcPr>
          <w:p>
            <w:pPr>
              <w:jc w:val="center"/>
              <w:ind w:right="140"/>
              <w:spacing w:after="0"/>
              <w:rPr>
                <w:sz w:val="20"/>
                <w:szCs w:val="20"/>
                <w:color w:val="auto"/>
              </w:rPr>
            </w:pPr>
            <w:r>
              <w:rPr>
                <w:rFonts w:ascii="Arial" w:cs="Arial" w:eastAsia="Arial" w:hAnsi="Arial"/>
                <w:sz w:val="14"/>
                <w:szCs w:val="14"/>
                <w:b w:val="1"/>
                <w:bCs w:val="1"/>
                <w:color w:val="auto"/>
                <w:w w:val="88"/>
              </w:rPr>
              <w:t>Quoted Prices</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60" w:type="dxa"/>
            <w:vAlign w:val="bottom"/>
            <w:vMerge w:val="restart"/>
          </w:tcPr>
          <w:p>
            <w:pPr>
              <w:jc w:val="center"/>
              <w:ind w:right="179"/>
              <w:spacing w:after="0"/>
              <w:rPr>
                <w:sz w:val="20"/>
                <w:szCs w:val="20"/>
                <w:color w:val="auto"/>
              </w:rPr>
            </w:pPr>
            <w:r>
              <w:rPr>
                <w:rFonts w:ascii="Arial" w:cs="Arial" w:eastAsia="Arial" w:hAnsi="Arial"/>
                <w:sz w:val="14"/>
                <w:szCs w:val="14"/>
                <w:b w:val="1"/>
                <w:bCs w:val="1"/>
                <w:color w:val="auto"/>
                <w:w w:val="89"/>
              </w:rPr>
              <w:t>Significant</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180" w:type="dxa"/>
            <w:vAlign w:val="bottom"/>
          </w:tcPr>
          <w:p>
            <w:pPr>
              <w:spacing w:after="0"/>
              <w:rPr>
                <w:sz w:val="11"/>
                <w:szCs w:val="11"/>
                <w:color w:val="auto"/>
              </w:rPr>
            </w:pPr>
          </w:p>
        </w:tc>
        <w:tc>
          <w:tcPr>
            <w:tcW w:w="2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300" w:type="dxa"/>
            <w:vAlign w:val="bottom"/>
          </w:tcPr>
          <w:p>
            <w:pPr>
              <w:jc w:val="center"/>
              <w:ind w:right="180"/>
              <w:spacing w:after="0" w:line="133" w:lineRule="exact"/>
              <w:rPr>
                <w:sz w:val="20"/>
                <w:szCs w:val="20"/>
                <w:color w:val="auto"/>
              </w:rPr>
            </w:pPr>
            <w:r>
              <w:rPr>
                <w:rFonts w:ascii="Arial" w:cs="Arial" w:eastAsia="Arial" w:hAnsi="Arial"/>
                <w:sz w:val="14"/>
                <w:szCs w:val="14"/>
                <w:b w:val="1"/>
                <w:bCs w:val="1"/>
                <w:color w:val="auto"/>
                <w:w w:val="89"/>
              </w:rPr>
              <w:t>in Active</w:t>
            </w: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6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320" w:type="dxa"/>
            <w:vAlign w:val="bottom"/>
            <w:vMerge w:val="restart"/>
          </w:tcPr>
          <w:p>
            <w:pPr>
              <w:jc w:val="center"/>
              <w:ind w:right="158"/>
              <w:spacing w:after="0"/>
              <w:rPr>
                <w:sz w:val="20"/>
                <w:szCs w:val="20"/>
                <w:color w:val="auto"/>
              </w:rPr>
            </w:pPr>
            <w:r>
              <w:rPr>
                <w:rFonts w:ascii="Arial" w:cs="Arial" w:eastAsia="Arial" w:hAnsi="Arial"/>
                <w:sz w:val="14"/>
                <w:szCs w:val="14"/>
                <w:b w:val="1"/>
                <w:bCs w:val="1"/>
                <w:color w:val="auto"/>
                <w:w w:val="89"/>
              </w:rPr>
              <w:t>Significant</w:t>
            </w: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218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00" w:type="dxa"/>
            <w:vAlign w:val="bottom"/>
          </w:tcPr>
          <w:p>
            <w:pPr>
              <w:jc w:val="center"/>
              <w:ind w:right="160"/>
              <w:spacing w:after="0" w:line="143" w:lineRule="exact"/>
              <w:rPr>
                <w:sz w:val="20"/>
                <w:szCs w:val="20"/>
                <w:color w:val="auto"/>
              </w:rPr>
            </w:pPr>
            <w:r>
              <w:rPr>
                <w:rFonts w:ascii="Arial" w:cs="Arial" w:eastAsia="Arial" w:hAnsi="Arial"/>
                <w:sz w:val="14"/>
                <w:szCs w:val="14"/>
                <w:b w:val="1"/>
                <w:bCs w:val="1"/>
                <w:color w:val="auto"/>
                <w:w w:val="92"/>
              </w:rPr>
              <w:t>Markets for</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60" w:type="dxa"/>
            <w:vAlign w:val="bottom"/>
          </w:tcPr>
          <w:p>
            <w:pPr>
              <w:jc w:val="center"/>
              <w:ind w:right="179"/>
              <w:spacing w:after="0" w:line="143" w:lineRule="exact"/>
              <w:rPr>
                <w:sz w:val="20"/>
                <w:szCs w:val="20"/>
                <w:color w:val="auto"/>
              </w:rPr>
            </w:pPr>
            <w:r>
              <w:rPr>
                <w:rFonts w:ascii="Arial" w:cs="Arial" w:eastAsia="Arial" w:hAnsi="Arial"/>
                <w:sz w:val="14"/>
                <w:szCs w:val="14"/>
                <w:b w:val="1"/>
                <w:bCs w:val="1"/>
                <w:color w:val="auto"/>
                <w:w w:val="96"/>
              </w:rPr>
              <w:t>Other</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2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218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00" w:type="dxa"/>
            <w:vAlign w:val="bottom"/>
          </w:tcPr>
          <w:p>
            <w:pPr>
              <w:jc w:val="center"/>
              <w:ind w:right="140"/>
              <w:spacing w:after="0" w:line="139" w:lineRule="exact"/>
              <w:rPr>
                <w:sz w:val="20"/>
                <w:szCs w:val="20"/>
                <w:color w:val="auto"/>
              </w:rPr>
            </w:pPr>
            <w:r>
              <w:rPr>
                <w:rFonts w:ascii="Arial" w:cs="Arial" w:eastAsia="Arial" w:hAnsi="Arial"/>
                <w:sz w:val="14"/>
                <w:szCs w:val="14"/>
                <w:b w:val="1"/>
                <w:bCs w:val="1"/>
                <w:color w:val="auto"/>
                <w:w w:val="91"/>
              </w:rPr>
              <w:t>Identical</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60" w:type="dxa"/>
            <w:vAlign w:val="bottom"/>
          </w:tcPr>
          <w:p>
            <w:pPr>
              <w:jc w:val="center"/>
              <w:ind w:right="179"/>
              <w:spacing w:after="0" w:line="139" w:lineRule="exact"/>
              <w:rPr>
                <w:sz w:val="20"/>
                <w:szCs w:val="20"/>
                <w:color w:val="auto"/>
              </w:rPr>
            </w:pPr>
            <w:r>
              <w:rPr>
                <w:rFonts w:ascii="Arial" w:cs="Arial" w:eastAsia="Arial" w:hAnsi="Arial"/>
                <w:sz w:val="14"/>
                <w:szCs w:val="14"/>
                <w:b w:val="1"/>
                <w:bCs w:val="1"/>
                <w:color w:val="auto"/>
                <w:w w:val="89"/>
              </w:rPr>
              <w:t>Observable</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20" w:type="dxa"/>
            <w:vAlign w:val="bottom"/>
          </w:tcPr>
          <w:p>
            <w:pPr>
              <w:jc w:val="center"/>
              <w:ind w:right="138"/>
              <w:spacing w:after="0" w:line="139" w:lineRule="exact"/>
              <w:rPr>
                <w:sz w:val="20"/>
                <w:szCs w:val="20"/>
                <w:color w:val="auto"/>
              </w:rPr>
            </w:pPr>
            <w:r>
              <w:rPr>
                <w:rFonts w:ascii="Arial" w:cs="Arial" w:eastAsia="Arial" w:hAnsi="Arial"/>
                <w:sz w:val="14"/>
                <w:szCs w:val="14"/>
                <w:b w:val="1"/>
                <w:bCs w:val="1"/>
                <w:color w:val="auto"/>
                <w:w w:val="88"/>
              </w:rPr>
              <w:t>Unobservable</w:t>
            </w: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46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June 30, 2023 (In thousands)</w:t>
            </w: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300" w:type="dxa"/>
            <w:vAlign w:val="bottom"/>
          </w:tcPr>
          <w:p>
            <w:pPr>
              <w:jc w:val="center"/>
              <w:ind w:right="140"/>
              <w:spacing w:after="0" w:line="133" w:lineRule="exact"/>
              <w:rPr>
                <w:sz w:val="20"/>
                <w:szCs w:val="20"/>
                <w:color w:val="auto"/>
              </w:rPr>
            </w:pPr>
            <w:r>
              <w:rPr>
                <w:rFonts w:ascii="Arial" w:cs="Arial" w:eastAsia="Arial" w:hAnsi="Arial"/>
                <w:sz w:val="14"/>
                <w:szCs w:val="14"/>
                <w:b w:val="1"/>
                <w:bCs w:val="1"/>
                <w:color w:val="auto"/>
                <w:w w:val="89"/>
              </w:rPr>
              <w:t>Instruments</w:t>
            </w: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60" w:type="dxa"/>
            <w:vAlign w:val="bottom"/>
          </w:tcPr>
          <w:p>
            <w:pPr>
              <w:jc w:val="center"/>
              <w:ind w:right="159"/>
              <w:spacing w:after="0" w:line="133" w:lineRule="exact"/>
              <w:rPr>
                <w:sz w:val="20"/>
                <w:szCs w:val="20"/>
                <w:color w:val="auto"/>
              </w:rPr>
            </w:pPr>
            <w:r>
              <w:rPr>
                <w:rFonts w:ascii="Arial" w:cs="Arial" w:eastAsia="Arial" w:hAnsi="Arial"/>
                <w:sz w:val="14"/>
                <w:szCs w:val="14"/>
                <w:b w:val="1"/>
                <w:bCs w:val="1"/>
                <w:color w:val="auto"/>
                <w:w w:val="90"/>
              </w:rPr>
              <w:t>Inputs</w:t>
            </w: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320" w:type="dxa"/>
            <w:vAlign w:val="bottom"/>
          </w:tcPr>
          <w:p>
            <w:pPr>
              <w:jc w:val="center"/>
              <w:ind w:right="138"/>
              <w:spacing w:after="0" w:line="133" w:lineRule="exact"/>
              <w:rPr>
                <w:sz w:val="20"/>
                <w:szCs w:val="20"/>
                <w:color w:val="auto"/>
              </w:rPr>
            </w:pPr>
            <w:r>
              <w:rPr>
                <w:rFonts w:ascii="Arial" w:cs="Arial" w:eastAsia="Arial" w:hAnsi="Arial"/>
                <w:sz w:val="14"/>
                <w:szCs w:val="14"/>
                <w:b w:val="1"/>
                <w:bCs w:val="1"/>
                <w:color w:val="auto"/>
                <w:w w:val="90"/>
              </w:rPr>
              <w:t>Inputs</w:t>
            </w: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60" w:type="dxa"/>
            <w:vAlign w:val="bottom"/>
            <w:vMerge w:val="restart"/>
          </w:tcPr>
          <w:p>
            <w:pPr>
              <w:jc w:val="right"/>
              <w:ind w:right="535"/>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9"/>
        </w:trPr>
        <w:tc>
          <w:tcPr>
            <w:tcW w:w="464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00" w:type="dxa"/>
            <w:vAlign w:val="bottom"/>
          </w:tcPr>
          <w:p>
            <w:pPr>
              <w:jc w:val="center"/>
              <w:ind w:right="140"/>
              <w:spacing w:after="0"/>
              <w:rPr>
                <w:sz w:val="20"/>
                <w:szCs w:val="20"/>
                <w:color w:val="auto"/>
              </w:rPr>
            </w:pPr>
            <w:r>
              <w:rPr>
                <w:rFonts w:ascii="Arial" w:cs="Arial" w:eastAsia="Arial" w:hAnsi="Arial"/>
                <w:sz w:val="14"/>
                <w:szCs w:val="14"/>
                <w:b w:val="1"/>
                <w:bCs w:val="1"/>
                <w:color w:val="auto"/>
                <w:w w:val="91"/>
              </w:rPr>
              <w:t>(Level 1)</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60" w:type="dxa"/>
            <w:vAlign w:val="bottom"/>
          </w:tcPr>
          <w:p>
            <w:pPr>
              <w:jc w:val="center"/>
              <w:ind w:right="179"/>
              <w:spacing w:after="0"/>
              <w:rPr>
                <w:sz w:val="20"/>
                <w:szCs w:val="20"/>
                <w:color w:val="auto"/>
              </w:rPr>
            </w:pPr>
            <w:r>
              <w:rPr>
                <w:rFonts w:ascii="Arial" w:cs="Arial" w:eastAsia="Arial" w:hAnsi="Arial"/>
                <w:sz w:val="14"/>
                <w:szCs w:val="14"/>
                <w:b w:val="1"/>
                <w:bCs w:val="1"/>
                <w:color w:val="auto"/>
                <w:w w:val="91"/>
              </w:rPr>
              <w:t>(Level 2)</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20" w:type="dxa"/>
            <w:vAlign w:val="bottom"/>
          </w:tcPr>
          <w:p>
            <w:pPr>
              <w:jc w:val="center"/>
              <w:ind w:right="158"/>
              <w:spacing w:after="0"/>
              <w:rPr>
                <w:sz w:val="20"/>
                <w:szCs w:val="20"/>
                <w:color w:val="auto"/>
              </w:rPr>
            </w:pPr>
            <w:r>
              <w:rPr>
                <w:rFonts w:ascii="Arial" w:cs="Arial" w:eastAsia="Arial" w:hAnsi="Arial"/>
                <w:sz w:val="14"/>
                <w:szCs w:val="14"/>
                <w:b w:val="1"/>
                <w:bCs w:val="1"/>
                <w:color w:val="auto"/>
                <w:w w:val="91"/>
              </w:rPr>
              <w:t>(Level 3)</w:t>
            </w: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5"/>
        </w:trPr>
        <w:tc>
          <w:tcPr>
            <w:tcW w:w="2180" w:type="dxa"/>
            <w:vAlign w:val="bottom"/>
            <w:tcBorders>
              <w:bottom w:val="single" w:sz="8" w:color="auto"/>
            </w:tcBorders>
          </w:tcPr>
          <w:p>
            <w:pPr>
              <w:spacing w:after="0"/>
              <w:rPr>
                <w:sz w:val="2"/>
                <w:szCs w:val="2"/>
                <w:color w:val="auto"/>
              </w:rPr>
            </w:pPr>
          </w:p>
        </w:tc>
        <w:tc>
          <w:tcPr>
            <w:tcW w:w="2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4"/>
        </w:trPr>
        <w:tc>
          <w:tcPr>
            <w:tcW w:w="4640" w:type="dxa"/>
            <w:vAlign w:val="bottom"/>
            <w:gridSpan w:val="2"/>
            <w:shd w:val="clear" w:color="auto" w:fill="CCEEFF"/>
          </w:tcPr>
          <w:p>
            <w:pPr>
              <w:ind w:left="20"/>
              <w:spacing w:after="0"/>
              <w:rPr>
                <w:sz w:val="20"/>
                <w:szCs w:val="20"/>
                <w:color w:val="auto"/>
              </w:rPr>
            </w:pPr>
            <w:r>
              <w:rPr>
                <w:rFonts w:ascii="Arial" w:cs="Arial" w:eastAsia="Arial" w:hAnsi="Arial"/>
                <w:sz w:val="17"/>
                <w:szCs w:val="17"/>
                <w:b w:val="1"/>
                <w:bCs w:val="1"/>
                <w:color w:val="auto"/>
              </w:rPr>
              <w:t>Recurring fair value measurements</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4640" w:type="dxa"/>
            <w:vAlign w:val="bottom"/>
            <w:gridSpan w:val="2"/>
          </w:tcPr>
          <w:p>
            <w:pPr>
              <w:ind w:left="20"/>
              <w:spacing w:after="0"/>
              <w:rPr>
                <w:sz w:val="20"/>
                <w:szCs w:val="20"/>
                <w:color w:val="auto"/>
              </w:rPr>
            </w:pPr>
            <w:r>
              <w:rPr>
                <w:rFonts w:ascii="Arial" w:cs="Arial" w:eastAsia="Arial" w:hAnsi="Arial"/>
                <w:sz w:val="17"/>
                <w:szCs w:val="17"/>
                <w:color w:val="auto"/>
              </w:rPr>
              <w:t>Financial Assets:</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4640" w:type="dxa"/>
            <w:vAlign w:val="bottom"/>
            <w:gridSpan w:val="2"/>
            <w:shd w:val="clear" w:color="auto" w:fill="CCEEFF"/>
          </w:tcPr>
          <w:p>
            <w:pPr>
              <w:ind w:left="220"/>
              <w:spacing w:after="0"/>
              <w:rPr>
                <w:sz w:val="20"/>
                <w:szCs w:val="20"/>
                <w:color w:val="auto"/>
              </w:rPr>
            </w:pPr>
            <w:r>
              <w:rPr>
                <w:rFonts w:ascii="Arial" w:cs="Arial" w:eastAsia="Arial" w:hAnsi="Arial"/>
                <w:sz w:val="17"/>
                <w:szCs w:val="17"/>
                <w:color w:val="auto"/>
              </w:rPr>
              <w:t>U.S. Treasury securities</w:t>
            </w:r>
          </w:p>
        </w:tc>
        <w:tc>
          <w:tcPr>
            <w:tcW w:w="34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643,586</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34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1320" w:type="dxa"/>
            <w:vAlign w:val="bottom"/>
            <w:shd w:val="clear" w:color="auto" w:fill="CCEEFF"/>
          </w:tcPr>
          <w:p>
            <w:pPr>
              <w:ind w:left="1080"/>
              <w:spacing w:after="0"/>
              <w:rPr>
                <w:sz w:val="20"/>
                <w:szCs w:val="20"/>
                <w:color w:val="auto"/>
              </w:rPr>
            </w:pPr>
            <w:r>
              <w:rPr>
                <w:rFonts w:ascii="Arial" w:cs="Arial" w:eastAsia="Arial" w:hAnsi="Arial"/>
                <w:sz w:val="17"/>
                <w:szCs w:val="17"/>
                <w:color w:val="auto"/>
              </w:rPr>
              <w:t>—</w:t>
            </w:r>
          </w:p>
        </w:tc>
        <w:tc>
          <w:tcPr>
            <w:tcW w:w="48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643,586</w:t>
            </w:r>
          </w:p>
        </w:tc>
        <w:tc>
          <w:tcPr>
            <w:tcW w:w="0" w:type="dxa"/>
            <w:vAlign w:val="bottom"/>
          </w:tcPr>
          <w:p>
            <w:pPr>
              <w:spacing w:after="0"/>
              <w:rPr>
                <w:sz w:val="1"/>
                <w:szCs w:val="1"/>
                <w:color w:val="auto"/>
              </w:rPr>
            </w:pPr>
          </w:p>
        </w:tc>
      </w:tr>
      <w:tr>
        <w:trPr>
          <w:trHeight w:val="221"/>
        </w:trPr>
        <w:tc>
          <w:tcPr>
            <w:tcW w:w="4640" w:type="dxa"/>
            <w:vAlign w:val="bottom"/>
            <w:gridSpan w:val="2"/>
          </w:tcPr>
          <w:p>
            <w:pPr>
              <w:ind w:left="220"/>
              <w:spacing w:after="0"/>
              <w:rPr>
                <w:sz w:val="20"/>
                <w:szCs w:val="20"/>
                <w:color w:val="auto"/>
              </w:rPr>
            </w:pPr>
            <w:r>
              <w:rPr>
                <w:rFonts w:ascii="Arial" w:cs="Arial" w:eastAsia="Arial" w:hAnsi="Arial"/>
                <w:sz w:val="17"/>
                <w:szCs w:val="17"/>
                <w:color w:val="auto"/>
              </w:rPr>
              <w:t>U.S. agency securities</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9,671</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ind w:left="108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9,671</w:t>
            </w:r>
          </w:p>
        </w:tc>
        <w:tc>
          <w:tcPr>
            <w:tcW w:w="0" w:type="dxa"/>
            <w:vAlign w:val="bottom"/>
          </w:tcPr>
          <w:p>
            <w:pPr>
              <w:spacing w:after="0"/>
              <w:rPr>
                <w:sz w:val="1"/>
                <w:szCs w:val="1"/>
                <w:color w:val="auto"/>
              </w:rPr>
            </w:pPr>
          </w:p>
        </w:tc>
      </w:tr>
      <w:tr>
        <w:trPr>
          <w:trHeight w:val="221"/>
        </w:trPr>
        <w:tc>
          <w:tcPr>
            <w:tcW w:w="4640" w:type="dxa"/>
            <w:vAlign w:val="bottom"/>
            <w:gridSpan w:val="2"/>
            <w:shd w:val="clear" w:color="auto" w:fill="CCEEFF"/>
          </w:tcPr>
          <w:p>
            <w:pPr>
              <w:ind w:left="220"/>
              <w:spacing w:after="0"/>
              <w:rPr>
                <w:sz w:val="20"/>
                <w:szCs w:val="20"/>
                <w:color w:val="auto"/>
              </w:rPr>
            </w:pPr>
            <w:r>
              <w:rPr>
                <w:rFonts w:ascii="Arial" w:cs="Arial" w:eastAsia="Arial" w:hAnsi="Arial"/>
                <w:sz w:val="17"/>
                <w:szCs w:val="17"/>
                <w:color w:val="auto"/>
              </w:rPr>
              <w:t>U.S. agency mortgage-backed securities</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810,108</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20" w:type="dxa"/>
            <w:vAlign w:val="bottom"/>
            <w:shd w:val="clear" w:color="auto" w:fill="CCEEFF"/>
          </w:tcPr>
          <w:p>
            <w:pPr>
              <w:ind w:left="108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810,108</w:t>
            </w:r>
          </w:p>
        </w:tc>
        <w:tc>
          <w:tcPr>
            <w:tcW w:w="0" w:type="dxa"/>
            <w:vAlign w:val="bottom"/>
          </w:tcPr>
          <w:p>
            <w:pPr>
              <w:spacing w:after="0"/>
              <w:rPr>
                <w:sz w:val="1"/>
                <w:szCs w:val="1"/>
                <w:color w:val="auto"/>
              </w:rPr>
            </w:pPr>
          </w:p>
        </w:tc>
      </w:tr>
      <w:tr>
        <w:trPr>
          <w:trHeight w:val="227"/>
        </w:trPr>
        <w:tc>
          <w:tcPr>
            <w:tcW w:w="4640" w:type="dxa"/>
            <w:vAlign w:val="bottom"/>
            <w:gridSpan w:val="2"/>
          </w:tcPr>
          <w:p>
            <w:pPr>
              <w:ind w:left="220"/>
              <w:spacing w:after="0"/>
              <w:rPr>
                <w:sz w:val="20"/>
                <w:szCs w:val="20"/>
                <w:color w:val="auto"/>
              </w:rPr>
            </w:pPr>
            <w:r>
              <w:rPr>
                <w:rFonts w:ascii="Arial" w:cs="Arial" w:eastAsia="Arial" w:hAnsi="Arial"/>
                <w:sz w:val="17"/>
                <w:szCs w:val="17"/>
                <w:color w:val="auto"/>
              </w:rPr>
              <w:t>Municipal debt securities</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600,162</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ind w:left="108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600,162</w:t>
            </w:r>
          </w:p>
        </w:tc>
        <w:tc>
          <w:tcPr>
            <w:tcW w:w="0" w:type="dxa"/>
            <w:vAlign w:val="bottom"/>
          </w:tcPr>
          <w:p>
            <w:pPr>
              <w:spacing w:after="0"/>
              <w:rPr>
                <w:sz w:val="1"/>
                <w:szCs w:val="1"/>
                <w:color w:val="auto"/>
              </w:rPr>
            </w:pPr>
          </w:p>
        </w:tc>
      </w:tr>
      <w:tr>
        <w:trPr>
          <w:trHeight w:val="227"/>
        </w:trPr>
        <w:tc>
          <w:tcPr>
            <w:tcW w:w="4640" w:type="dxa"/>
            <w:vAlign w:val="bottom"/>
            <w:gridSpan w:val="2"/>
            <w:shd w:val="clear" w:color="auto" w:fill="CCEEFF"/>
          </w:tcPr>
          <w:p>
            <w:pPr>
              <w:ind w:left="220"/>
              <w:spacing w:after="0"/>
              <w:rPr>
                <w:sz w:val="20"/>
                <w:szCs w:val="20"/>
                <w:color w:val="auto"/>
              </w:rPr>
            </w:pPr>
            <w:r>
              <w:rPr>
                <w:rFonts w:ascii="Arial" w:cs="Arial" w:eastAsia="Arial" w:hAnsi="Arial"/>
                <w:sz w:val="17"/>
                <w:szCs w:val="17"/>
                <w:color w:val="auto"/>
              </w:rPr>
              <w:t>Non-U.S. government securities</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50,553</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20" w:type="dxa"/>
            <w:vAlign w:val="bottom"/>
            <w:shd w:val="clear" w:color="auto" w:fill="CCEEFF"/>
          </w:tcPr>
          <w:p>
            <w:pPr>
              <w:ind w:left="108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50,553</w:t>
            </w:r>
          </w:p>
        </w:tc>
        <w:tc>
          <w:tcPr>
            <w:tcW w:w="0" w:type="dxa"/>
            <w:vAlign w:val="bottom"/>
          </w:tcPr>
          <w:p>
            <w:pPr>
              <w:spacing w:after="0"/>
              <w:rPr>
                <w:sz w:val="1"/>
                <w:szCs w:val="1"/>
                <w:color w:val="auto"/>
              </w:rPr>
            </w:pPr>
          </w:p>
        </w:tc>
      </w:tr>
      <w:tr>
        <w:trPr>
          <w:trHeight w:val="221"/>
        </w:trPr>
        <w:tc>
          <w:tcPr>
            <w:tcW w:w="4640" w:type="dxa"/>
            <w:vAlign w:val="bottom"/>
            <w:gridSpan w:val="2"/>
          </w:tcPr>
          <w:p>
            <w:pPr>
              <w:ind w:left="220"/>
              <w:spacing w:after="0"/>
              <w:rPr>
                <w:sz w:val="20"/>
                <w:szCs w:val="20"/>
                <w:color w:val="auto"/>
              </w:rPr>
            </w:pPr>
            <w:r>
              <w:rPr>
                <w:rFonts w:ascii="Arial" w:cs="Arial" w:eastAsia="Arial" w:hAnsi="Arial"/>
                <w:sz w:val="17"/>
                <w:szCs w:val="17"/>
                <w:color w:val="auto"/>
              </w:rPr>
              <w:t>Corporate debt securities</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1,349,221</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ind w:left="108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1,349,221</w:t>
            </w:r>
          </w:p>
        </w:tc>
        <w:tc>
          <w:tcPr>
            <w:tcW w:w="0" w:type="dxa"/>
            <w:vAlign w:val="bottom"/>
          </w:tcPr>
          <w:p>
            <w:pPr>
              <w:spacing w:after="0"/>
              <w:rPr>
                <w:sz w:val="1"/>
                <w:szCs w:val="1"/>
                <w:color w:val="auto"/>
              </w:rPr>
            </w:pPr>
          </w:p>
        </w:tc>
      </w:tr>
      <w:tr>
        <w:trPr>
          <w:trHeight w:val="234"/>
        </w:trPr>
        <w:tc>
          <w:tcPr>
            <w:tcW w:w="4640" w:type="dxa"/>
            <w:vAlign w:val="bottom"/>
            <w:gridSpan w:val="2"/>
            <w:shd w:val="clear" w:color="auto" w:fill="CCEEFF"/>
          </w:tcPr>
          <w:p>
            <w:pPr>
              <w:ind w:left="220"/>
              <w:spacing w:after="0"/>
              <w:rPr>
                <w:sz w:val="20"/>
                <w:szCs w:val="20"/>
                <w:color w:val="auto"/>
              </w:rPr>
            </w:pPr>
            <w:r>
              <w:rPr>
                <w:rFonts w:ascii="Arial" w:cs="Arial" w:eastAsia="Arial" w:hAnsi="Arial"/>
                <w:sz w:val="17"/>
                <w:szCs w:val="17"/>
                <w:color w:val="auto"/>
              </w:rPr>
              <w:t>Residential and commercial mortgage securities</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510,350</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320" w:type="dxa"/>
            <w:vAlign w:val="bottom"/>
            <w:shd w:val="clear" w:color="auto" w:fill="CCEEFF"/>
          </w:tcPr>
          <w:p>
            <w:pPr>
              <w:ind w:left="108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510,350</w:t>
            </w:r>
          </w:p>
        </w:tc>
        <w:tc>
          <w:tcPr>
            <w:tcW w:w="0" w:type="dxa"/>
            <w:vAlign w:val="bottom"/>
          </w:tcPr>
          <w:p>
            <w:pPr>
              <w:spacing w:after="0"/>
              <w:rPr>
                <w:sz w:val="1"/>
                <w:szCs w:val="1"/>
                <w:color w:val="auto"/>
              </w:rPr>
            </w:pPr>
          </w:p>
        </w:tc>
      </w:tr>
      <w:tr>
        <w:trPr>
          <w:trHeight w:val="221"/>
        </w:trPr>
        <w:tc>
          <w:tcPr>
            <w:tcW w:w="4640" w:type="dxa"/>
            <w:vAlign w:val="bottom"/>
            <w:gridSpan w:val="2"/>
          </w:tcPr>
          <w:p>
            <w:pPr>
              <w:ind w:left="220"/>
              <w:spacing w:after="0"/>
              <w:rPr>
                <w:sz w:val="20"/>
                <w:szCs w:val="20"/>
                <w:color w:val="auto"/>
              </w:rPr>
            </w:pPr>
            <w:r>
              <w:rPr>
                <w:rFonts w:ascii="Arial" w:cs="Arial" w:eastAsia="Arial" w:hAnsi="Arial"/>
                <w:sz w:val="17"/>
                <w:szCs w:val="17"/>
                <w:color w:val="auto"/>
              </w:rPr>
              <w:t>Asset-backed securities</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634,910</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ind w:left="108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634,910</w:t>
            </w:r>
          </w:p>
        </w:tc>
        <w:tc>
          <w:tcPr>
            <w:tcW w:w="0" w:type="dxa"/>
            <w:vAlign w:val="bottom"/>
          </w:tcPr>
          <w:p>
            <w:pPr>
              <w:spacing w:after="0"/>
              <w:rPr>
                <w:sz w:val="1"/>
                <w:szCs w:val="1"/>
                <w:color w:val="auto"/>
              </w:rPr>
            </w:pPr>
          </w:p>
        </w:tc>
      </w:tr>
      <w:tr>
        <w:trPr>
          <w:trHeight w:val="221"/>
        </w:trPr>
        <w:tc>
          <w:tcPr>
            <w:tcW w:w="464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7"/>
                <w:szCs w:val="17"/>
                <w:color w:val="auto"/>
              </w:rPr>
              <w:t>Money market funds</w:t>
            </w: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413,533</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ind w:left="1080"/>
              <w:spacing w:after="0"/>
              <w:rPr>
                <w:sz w:val="20"/>
                <w:szCs w:val="20"/>
                <w:color w:val="auto"/>
              </w:rPr>
            </w:pPr>
            <w:r>
              <w:rPr>
                <w:rFonts w:ascii="Arial" w:cs="Arial" w:eastAsia="Arial" w:hAnsi="Arial"/>
                <w:sz w:val="17"/>
                <w:szCs w:val="17"/>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413,533</w:t>
            </w:r>
          </w:p>
        </w:tc>
        <w:tc>
          <w:tcPr>
            <w:tcW w:w="0" w:type="dxa"/>
            <w:vAlign w:val="bottom"/>
          </w:tcPr>
          <w:p>
            <w:pPr>
              <w:spacing w:after="0"/>
              <w:rPr>
                <w:sz w:val="1"/>
                <w:szCs w:val="1"/>
                <w:color w:val="auto"/>
              </w:rPr>
            </w:pPr>
          </w:p>
        </w:tc>
      </w:tr>
      <w:tr>
        <w:trPr>
          <w:trHeight w:val="220"/>
        </w:trPr>
        <w:tc>
          <w:tcPr>
            <w:tcW w:w="4640" w:type="dxa"/>
            <w:vAlign w:val="bottom"/>
            <w:gridSpan w:val="2"/>
          </w:tcPr>
          <w:p>
            <w:pPr>
              <w:ind w:left="20"/>
              <w:spacing w:after="0"/>
              <w:rPr>
                <w:sz w:val="20"/>
                <w:szCs w:val="20"/>
                <w:color w:val="auto"/>
              </w:rPr>
            </w:pPr>
            <w:r>
              <w:rPr>
                <w:rFonts w:ascii="Arial" w:cs="Arial" w:eastAsia="Arial" w:hAnsi="Arial"/>
                <w:sz w:val="17"/>
                <w:szCs w:val="17"/>
                <w:color w:val="auto"/>
              </w:rPr>
              <w:t>Total assets at fair value (1) (2)</w:t>
            </w:r>
          </w:p>
        </w:tc>
        <w:tc>
          <w:tcPr>
            <w:tcW w:w="34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1300" w:type="dxa"/>
            <w:vAlign w:val="bottom"/>
          </w:tcPr>
          <w:p>
            <w:pPr>
              <w:jc w:val="right"/>
              <w:spacing w:after="0"/>
              <w:rPr>
                <w:sz w:val="20"/>
                <w:szCs w:val="20"/>
                <w:color w:val="auto"/>
              </w:rPr>
            </w:pPr>
            <w:r>
              <w:rPr>
                <w:rFonts w:ascii="Arial" w:cs="Arial" w:eastAsia="Arial" w:hAnsi="Arial"/>
                <w:sz w:val="17"/>
                <w:szCs w:val="17"/>
                <w:color w:val="auto"/>
              </w:rPr>
              <w:t>1,057,119</w:t>
            </w:r>
          </w:p>
        </w:tc>
        <w:tc>
          <w:tcPr>
            <w:tcW w:w="3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260" w:type="dxa"/>
            <w:vAlign w:val="bottom"/>
          </w:tcPr>
          <w:p>
            <w:pPr>
              <w:jc w:val="right"/>
              <w:spacing w:after="0"/>
              <w:rPr>
                <w:sz w:val="20"/>
                <w:szCs w:val="20"/>
                <w:color w:val="auto"/>
              </w:rPr>
            </w:pPr>
            <w:r>
              <w:rPr>
                <w:rFonts w:ascii="Arial" w:cs="Arial" w:eastAsia="Arial" w:hAnsi="Arial"/>
                <w:sz w:val="17"/>
                <w:szCs w:val="17"/>
                <w:color w:val="auto"/>
              </w:rPr>
              <w:t>3,964,975</w:t>
            </w:r>
          </w:p>
        </w:tc>
        <w:tc>
          <w:tcPr>
            <w:tcW w:w="34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1320" w:type="dxa"/>
            <w:vAlign w:val="bottom"/>
          </w:tcPr>
          <w:p>
            <w:pPr>
              <w:ind w:left="1080"/>
              <w:spacing w:after="0"/>
              <w:rPr>
                <w:sz w:val="20"/>
                <w:szCs w:val="20"/>
                <w:color w:val="auto"/>
              </w:rPr>
            </w:pPr>
            <w:r>
              <w:rPr>
                <w:rFonts w:ascii="Arial" w:cs="Arial" w:eastAsia="Arial" w:hAnsi="Arial"/>
                <w:sz w:val="17"/>
                <w:szCs w:val="17"/>
                <w:color w:val="auto"/>
              </w:rPr>
              <w:t>—</w:t>
            </w:r>
          </w:p>
        </w:tc>
        <w:tc>
          <w:tcPr>
            <w:tcW w:w="480" w:type="dxa"/>
            <w:vAlign w:val="bottom"/>
            <w:gridSpan w:val="2"/>
          </w:tcPr>
          <w:p>
            <w:pPr>
              <w:jc w:val="right"/>
              <w:ind w:right="260"/>
              <w:spacing w:after="0"/>
              <w:rPr>
                <w:sz w:val="20"/>
                <w:szCs w:val="20"/>
                <w:color w:val="auto"/>
              </w:rPr>
            </w:pPr>
            <w:r>
              <w:rPr>
                <w:rFonts w:ascii="Arial" w:cs="Arial" w:eastAsia="Arial" w:hAnsi="Arial"/>
                <w:sz w:val="17"/>
                <w:szCs w:val="17"/>
                <w:color w:val="auto"/>
              </w:rPr>
              <w:t>$</w:t>
            </w:r>
          </w:p>
        </w:tc>
        <w:tc>
          <w:tcPr>
            <w:tcW w:w="1160" w:type="dxa"/>
            <w:vAlign w:val="bottom"/>
          </w:tcPr>
          <w:p>
            <w:pPr>
              <w:jc w:val="right"/>
              <w:spacing w:after="0"/>
              <w:rPr>
                <w:sz w:val="20"/>
                <w:szCs w:val="20"/>
                <w:color w:val="auto"/>
              </w:rPr>
            </w:pPr>
            <w:r>
              <w:rPr>
                <w:rFonts w:ascii="Arial" w:cs="Arial" w:eastAsia="Arial" w:hAnsi="Arial"/>
                <w:sz w:val="17"/>
                <w:szCs w:val="17"/>
                <w:color w:val="auto"/>
              </w:rPr>
              <w:t>5,022,094</w:t>
            </w:r>
          </w:p>
        </w:tc>
        <w:tc>
          <w:tcPr>
            <w:tcW w:w="0" w:type="dxa"/>
            <w:vAlign w:val="bottom"/>
          </w:tcPr>
          <w:p>
            <w:pPr>
              <w:spacing w:after="0"/>
              <w:rPr>
                <w:sz w:val="1"/>
                <w:szCs w:val="1"/>
                <w:color w:val="auto"/>
              </w:rPr>
            </w:pPr>
          </w:p>
        </w:tc>
      </w:tr>
      <w:tr>
        <w:trPr>
          <w:trHeight w:val="25"/>
        </w:trPr>
        <w:tc>
          <w:tcPr>
            <w:tcW w:w="2180" w:type="dxa"/>
            <w:vAlign w:val="bottom"/>
          </w:tcPr>
          <w:p>
            <w:pPr>
              <w:spacing w:after="0"/>
              <w:rPr>
                <w:sz w:val="2"/>
                <w:szCs w:val="2"/>
                <w:color w:val="auto"/>
              </w:rPr>
            </w:pPr>
          </w:p>
        </w:tc>
        <w:tc>
          <w:tcPr>
            <w:tcW w:w="2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top w:val="single" w:sz="8" w:color="auto"/>
              <w:bottom w:val="single" w:sz="8" w:color="auto"/>
            </w:tcBorders>
          </w:tcPr>
          <w:p>
            <w:pPr>
              <w:spacing w:after="0"/>
              <w:rPr>
                <w:sz w:val="2"/>
                <w:szCs w:val="2"/>
                <w:color w:val="auto"/>
              </w:rPr>
            </w:pPr>
          </w:p>
        </w:tc>
        <w:tc>
          <w:tcPr>
            <w:tcW w:w="130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top w:val="single" w:sz="8" w:color="auto"/>
              <w:bottom w:val="single" w:sz="8" w:color="auto"/>
            </w:tcBorders>
          </w:tcPr>
          <w:p>
            <w:pPr>
              <w:spacing w:after="0"/>
              <w:rPr>
                <w:sz w:val="2"/>
                <w:szCs w:val="2"/>
                <w:color w:val="auto"/>
              </w:rPr>
            </w:pPr>
          </w:p>
        </w:tc>
        <w:tc>
          <w:tcPr>
            <w:tcW w:w="1260" w:type="dxa"/>
            <w:vAlign w:val="bottom"/>
            <w:tcBorders>
              <w:top w:val="single" w:sz="8" w:color="auto"/>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top w:val="single" w:sz="8" w:color="auto"/>
              <w:bottom w:val="single" w:sz="8" w:color="auto"/>
            </w:tcBorders>
          </w:tcPr>
          <w:p>
            <w:pPr>
              <w:spacing w:after="0"/>
              <w:rPr>
                <w:sz w:val="2"/>
                <w:szCs w:val="2"/>
                <w:color w:val="auto"/>
              </w:rPr>
            </w:pPr>
          </w:p>
        </w:tc>
        <w:tc>
          <w:tcPr>
            <w:tcW w:w="1320" w:type="dxa"/>
            <w:vAlign w:val="bottom"/>
            <w:tcBorders>
              <w:top w:val="single" w:sz="8" w:color="auto"/>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top w:val="single" w:sz="8" w:color="auto"/>
              <w:bottom w:val="single" w:sz="8" w:color="auto"/>
            </w:tcBorders>
          </w:tcPr>
          <w:p>
            <w:pPr>
              <w:spacing w:after="0"/>
              <w:rPr>
                <w:sz w:val="2"/>
                <w:szCs w:val="2"/>
                <w:color w:val="auto"/>
              </w:rPr>
            </w:pPr>
          </w:p>
        </w:tc>
        <w:tc>
          <w:tcPr>
            <w:tcW w:w="1160" w:type="dxa"/>
            <w:vAlign w:val="bottom"/>
            <w:tcBorders>
              <w:top w:val="single" w:sz="8" w:color="auto"/>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38"/>
        </w:trPr>
        <w:tc>
          <w:tcPr>
            <w:tcW w:w="218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00" w:type="dxa"/>
            <w:vAlign w:val="bottom"/>
          </w:tcPr>
          <w:p>
            <w:pPr>
              <w:jc w:val="center"/>
              <w:ind w:right="140"/>
              <w:spacing w:after="0"/>
              <w:rPr>
                <w:sz w:val="20"/>
                <w:szCs w:val="20"/>
                <w:color w:val="auto"/>
              </w:rPr>
            </w:pPr>
            <w:r>
              <w:rPr>
                <w:rFonts w:ascii="Arial" w:cs="Arial" w:eastAsia="Arial" w:hAnsi="Arial"/>
                <w:sz w:val="14"/>
                <w:szCs w:val="14"/>
                <w:b w:val="1"/>
                <w:bCs w:val="1"/>
                <w:color w:val="auto"/>
                <w:w w:val="88"/>
              </w:rPr>
              <w:t>Quoted Prices</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60" w:type="dxa"/>
            <w:vAlign w:val="bottom"/>
            <w:vMerge w:val="restart"/>
          </w:tcPr>
          <w:p>
            <w:pPr>
              <w:jc w:val="center"/>
              <w:ind w:right="179"/>
              <w:spacing w:after="0"/>
              <w:rPr>
                <w:sz w:val="20"/>
                <w:szCs w:val="20"/>
                <w:color w:val="auto"/>
              </w:rPr>
            </w:pPr>
            <w:r>
              <w:rPr>
                <w:rFonts w:ascii="Arial" w:cs="Arial" w:eastAsia="Arial" w:hAnsi="Arial"/>
                <w:sz w:val="14"/>
                <w:szCs w:val="14"/>
                <w:b w:val="1"/>
                <w:bCs w:val="1"/>
                <w:color w:val="auto"/>
                <w:w w:val="89"/>
              </w:rPr>
              <w:t>Significant</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3"/>
        </w:trPr>
        <w:tc>
          <w:tcPr>
            <w:tcW w:w="218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00" w:type="dxa"/>
            <w:vAlign w:val="bottom"/>
          </w:tcPr>
          <w:p>
            <w:pPr>
              <w:jc w:val="center"/>
              <w:ind w:right="180"/>
              <w:spacing w:after="0" w:line="143" w:lineRule="exact"/>
              <w:rPr>
                <w:sz w:val="20"/>
                <w:szCs w:val="20"/>
                <w:color w:val="auto"/>
              </w:rPr>
            </w:pPr>
            <w:r>
              <w:rPr>
                <w:rFonts w:ascii="Arial" w:cs="Arial" w:eastAsia="Arial" w:hAnsi="Arial"/>
                <w:sz w:val="14"/>
                <w:szCs w:val="14"/>
                <w:b w:val="1"/>
                <w:bCs w:val="1"/>
                <w:color w:val="auto"/>
                <w:w w:val="89"/>
              </w:rPr>
              <w:t>in Active</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6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20" w:type="dxa"/>
            <w:vAlign w:val="bottom"/>
            <w:vMerge w:val="restart"/>
          </w:tcPr>
          <w:p>
            <w:pPr>
              <w:jc w:val="center"/>
              <w:ind w:right="158"/>
              <w:spacing w:after="0"/>
              <w:rPr>
                <w:sz w:val="20"/>
                <w:szCs w:val="20"/>
                <w:color w:val="auto"/>
              </w:rPr>
            </w:pPr>
            <w:r>
              <w:rPr>
                <w:rFonts w:ascii="Arial" w:cs="Arial" w:eastAsia="Arial" w:hAnsi="Arial"/>
                <w:sz w:val="14"/>
                <w:szCs w:val="14"/>
                <w:b w:val="1"/>
                <w:bCs w:val="1"/>
                <w:color w:val="auto"/>
                <w:w w:val="89"/>
              </w:rPr>
              <w:t>Significant</w:t>
            </w: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218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00" w:type="dxa"/>
            <w:vAlign w:val="bottom"/>
          </w:tcPr>
          <w:p>
            <w:pPr>
              <w:jc w:val="center"/>
              <w:ind w:right="160"/>
              <w:spacing w:after="0" w:line="139" w:lineRule="exact"/>
              <w:rPr>
                <w:sz w:val="20"/>
                <w:szCs w:val="20"/>
                <w:color w:val="auto"/>
              </w:rPr>
            </w:pPr>
            <w:r>
              <w:rPr>
                <w:rFonts w:ascii="Arial" w:cs="Arial" w:eastAsia="Arial" w:hAnsi="Arial"/>
                <w:sz w:val="14"/>
                <w:szCs w:val="14"/>
                <w:b w:val="1"/>
                <w:bCs w:val="1"/>
                <w:color w:val="auto"/>
                <w:w w:val="92"/>
              </w:rPr>
              <w:t>Markets for</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60" w:type="dxa"/>
            <w:vAlign w:val="bottom"/>
          </w:tcPr>
          <w:p>
            <w:pPr>
              <w:jc w:val="center"/>
              <w:ind w:right="179"/>
              <w:spacing w:after="0" w:line="139" w:lineRule="exact"/>
              <w:rPr>
                <w:sz w:val="20"/>
                <w:szCs w:val="20"/>
                <w:color w:val="auto"/>
              </w:rPr>
            </w:pPr>
            <w:r>
              <w:rPr>
                <w:rFonts w:ascii="Arial" w:cs="Arial" w:eastAsia="Arial" w:hAnsi="Arial"/>
                <w:sz w:val="14"/>
                <w:szCs w:val="14"/>
                <w:b w:val="1"/>
                <w:bCs w:val="1"/>
                <w:color w:val="auto"/>
                <w:w w:val="96"/>
              </w:rPr>
              <w:t>Other</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2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2180" w:type="dxa"/>
            <w:vAlign w:val="bottom"/>
          </w:tcPr>
          <w:p>
            <w:pPr>
              <w:spacing w:after="0"/>
              <w:rPr>
                <w:sz w:val="11"/>
                <w:szCs w:val="11"/>
                <w:color w:val="auto"/>
              </w:rPr>
            </w:pPr>
          </w:p>
        </w:tc>
        <w:tc>
          <w:tcPr>
            <w:tcW w:w="2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300" w:type="dxa"/>
            <w:vAlign w:val="bottom"/>
          </w:tcPr>
          <w:p>
            <w:pPr>
              <w:jc w:val="center"/>
              <w:ind w:right="140"/>
              <w:spacing w:after="0" w:line="133" w:lineRule="exact"/>
              <w:rPr>
                <w:sz w:val="20"/>
                <w:szCs w:val="20"/>
                <w:color w:val="auto"/>
              </w:rPr>
            </w:pPr>
            <w:r>
              <w:rPr>
                <w:rFonts w:ascii="Arial" w:cs="Arial" w:eastAsia="Arial" w:hAnsi="Arial"/>
                <w:sz w:val="14"/>
                <w:szCs w:val="14"/>
                <w:b w:val="1"/>
                <w:bCs w:val="1"/>
                <w:color w:val="auto"/>
                <w:w w:val="91"/>
              </w:rPr>
              <w:t>Identical</w:t>
            </w: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60" w:type="dxa"/>
            <w:vAlign w:val="bottom"/>
          </w:tcPr>
          <w:p>
            <w:pPr>
              <w:jc w:val="center"/>
              <w:ind w:right="179"/>
              <w:spacing w:after="0" w:line="133" w:lineRule="exact"/>
              <w:rPr>
                <w:sz w:val="20"/>
                <w:szCs w:val="20"/>
                <w:color w:val="auto"/>
              </w:rPr>
            </w:pPr>
            <w:r>
              <w:rPr>
                <w:rFonts w:ascii="Arial" w:cs="Arial" w:eastAsia="Arial" w:hAnsi="Arial"/>
                <w:sz w:val="14"/>
                <w:szCs w:val="14"/>
                <w:b w:val="1"/>
                <w:bCs w:val="1"/>
                <w:color w:val="auto"/>
                <w:w w:val="89"/>
              </w:rPr>
              <w:t>Observable</w:t>
            </w: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320" w:type="dxa"/>
            <w:vAlign w:val="bottom"/>
          </w:tcPr>
          <w:p>
            <w:pPr>
              <w:jc w:val="center"/>
              <w:ind w:right="138"/>
              <w:spacing w:after="0" w:line="133" w:lineRule="exact"/>
              <w:rPr>
                <w:sz w:val="20"/>
                <w:szCs w:val="20"/>
                <w:color w:val="auto"/>
              </w:rPr>
            </w:pPr>
            <w:r>
              <w:rPr>
                <w:rFonts w:ascii="Arial" w:cs="Arial" w:eastAsia="Arial" w:hAnsi="Arial"/>
                <w:sz w:val="14"/>
                <w:szCs w:val="14"/>
                <w:b w:val="1"/>
                <w:bCs w:val="1"/>
                <w:color w:val="auto"/>
                <w:w w:val="88"/>
              </w:rPr>
              <w:t>Unobservable</w:t>
            </w: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46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December 31, 2022 (In thousands)</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00" w:type="dxa"/>
            <w:vAlign w:val="bottom"/>
          </w:tcPr>
          <w:p>
            <w:pPr>
              <w:jc w:val="center"/>
              <w:ind w:right="140"/>
              <w:spacing w:after="0" w:line="139" w:lineRule="exact"/>
              <w:rPr>
                <w:sz w:val="20"/>
                <w:szCs w:val="20"/>
                <w:color w:val="auto"/>
              </w:rPr>
            </w:pPr>
            <w:r>
              <w:rPr>
                <w:rFonts w:ascii="Arial" w:cs="Arial" w:eastAsia="Arial" w:hAnsi="Arial"/>
                <w:sz w:val="14"/>
                <w:szCs w:val="14"/>
                <w:b w:val="1"/>
                <w:bCs w:val="1"/>
                <w:color w:val="auto"/>
                <w:w w:val="89"/>
              </w:rPr>
              <w:t>Instruments</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60" w:type="dxa"/>
            <w:vAlign w:val="bottom"/>
          </w:tcPr>
          <w:p>
            <w:pPr>
              <w:jc w:val="center"/>
              <w:ind w:right="159"/>
              <w:spacing w:after="0" w:line="139" w:lineRule="exact"/>
              <w:rPr>
                <w:sz w:val="20"/>
                <w:szCs w:val="20"/>
                <w:color w:val="auto"/>
              </w:rPr>
            </w:pPr>
            <w:r>
              <w:rPr>
                <w:rFonts w:ascii="Arial" w:cs="Arial" w:eastAsia="Arial" w:hAnsi="Arial"/>
                <w:sz w:val="14"/>
                <w:szCs w:val="14"/>
                <w:b w:val="1"/>
                <w:bCs w:val="1"/>
                <w:color w:val="auto"/>
                <w:w w:val="90"/>
              </w:rPr>
              <w:t>Inputs</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20" w:type="dxa"/>
            <w:vAlign w:val="bottom"/>
          </w:tcPr>
          <w:p>
            <w:pPr>
              <w:jc w:val="center"/>
              <w:ind w:right="138"/>
              <w:spacing w:after="0" w:line="139" w:lineRule="exact"/>
              <w:rPr>
                <w:sz w:val="20"/>
                <w:szCs w:val="20"/>
                <w:color w:val="auto"/>
              </w:rPr>
            </w:pPr>
            <w:r>
              <w:rPr>
                <w:rFonts w:ascii="Arial" w:cs="Arial" w:eastAsia="Arial" w:hAnsi="Arial"/>
                <w:sz w:val="14"/>
                <w:szCs w:val="14"/>
                <w:b w:val="1"/>
                <w:bCs w:val="1"/>
                <w:color w:val="auto"/>
                <w:w w:val="90"/>
              </w:rPr>
              <w:t>Inputs</w:t>
            </w: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60" w:type="dxa"/>
            <w:vAlign w:val="bottom"/>
            <w:vMerge w:val="restart"/>
          </w:tcPr>
          <w:p>
            <w:pPr>
              <w:jc w:val="right"/>
              <w:ind w:right="535"/>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8"/>
        </w:trPr>
        <w:tc>
          <w:tcPr>
            <w:tcW w:w="4640" w:type="dxa"/>
            <w:vAlign w:val="bottom"/>
            <w:tcBorders>
              <w:bottom w:val="single" w:sz="8" w:color="auto"/>
            </w:tcBorders>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center"/>
              <w:ind w:right="140"/>
              <w:spacing w:after="0"/>
              <w:rPr>
                <w:sz w:val="20"/>
                <w:szCs w:val="20"/>
                <w:color w:val="auto"/>
              </w:rPr>
            </w:pPr>
            <w:r>
              <w:rPr>
                <w:rFonts w:ascii="Arial" w:cs="Arial" w:eastAsia="Arial" w:hAnsi="Arial"/>
                <w:sz w:val="14"/>
                <w:szCs w:val="14"/>
                <w:b w:val="1"/>
                <w:bCs w:val="1"/>
                <w:color w:val="auto"/>
                <w:w w:val="91"/>
              </w:rPr>
              <w:t>(Level 1)</w:t>
            </w: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179"/>
              <w:spacing w:after="0"/>
              <w:rPr>
                <w:sz w:val="20"/>
                <w:szCs w:val="20"/>
                <w:color w:val="auto"/>
              </w:rPr>
            </w:pPr>
            <w:r>
              <w:rPr>
                <w:rFonts w:ascii="Arial" w:cs="Arial" w:eastAsia="Arial" w:hAnsi="Arial"/>
                <w:sz w:val="14"/>
                <w:szCs w:val="14"/>
                <w:b w:val="1"/>
                <w:bCs w:val="1"/>
                <w:color w:val="auto"/>
                <w:w w:val="91"/>
              </w:rPr>
              <w:t>(Level 2)</w:t>
            </w: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center"/>
              <w:ind w:right="158"/>
              <w:spacing w:after="0"/>
              <w:rPr>
                <w:sz w:val="20"/>
                <w:szCs w:val="20"/>
                <w:color w:val="auto"/>
              </w:rPr>
            </w:pPr>
            <w:r>
              <w:rPr>
                <w:rFonts w:ascii="Arial" w:cs="Arial" w:eastAsia="Arial" w:hAnsi="Arial"/>
                <w:sz w:val="14"/>
                <w:szCs w:val="14"/>
                <w:b w:val="1"/>
                <w:bCs w:val="1"/>
                <w:color w:val="auto"/>
                <w:w w:val="91"/>
              </w:rPr>
              <w:t>(Level 3)</w:t>
            </w:r>
          </w:p>
        </w:tc>
        <w:tc>
          <w:tcPr>
            <w:tcW w:w="1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1"/>
        </w:trPr>
        <w:tc>
          <w:tcPr>
            <w:tcW w:w="4640" w:type="dxa"/>
            <w:vAlign w:val="bottom"/>
            <w:gridSpan w:val="2"/>
            <w:shd w:val="clear" w:color="auto" w:fill="CCEEFF"/>
          </w:tcPr>
          <w:p>
            <w:pPr>
              <w:ind w:left="20"/>
              <w:spacing w:after="0"/>
              <w:rPr>
                <w:sz w:val="20"/>
                <w:szCs w:val="20"/>
                <w:color w:val="auto"/>
              </w:rPr>
            </w:pPr>
            <w:r>
              <w:rPr>
                <w:rFonts w:ascii="Arial" w:cs="Arial" w:eastAsia="Arial" w:hAnsi="Arial"/>
                <w:sz w:val="17"/>
                <w:szCs w:val="17"/>
                <w:b w:val="1"/>
                <w:bCs w:val="1"/>
                <w:color w:val="auto"/>
              </w:rPr>
              <w:t>Recurring fair value measurements</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640" w:type="dxa"/>
            <w:vAlign w:val="bottom"/>
            <w:gridSpan w:val="2"/>
          </w:tcPr>
          <w:p>
            <w:pPr>
              <w:ind w:left="20"/>
              <w:spacing w:after="0"/>
              <w:rPr>
                <w:sz w:val="20"/>
                <w:szCs w:val="20"/>
                <w:color w:val="auto"/>
              </w:rPr>
            </w:pPr>
            <w:r>
              <w:rPr>
                <w:rFonts w:ascii="Arial" w:cs="Arial" w:eastAsia="Arial" w:hAnsi="Arial"/>
                <w:sz w:val="17"/>
                <w:szCs w:val="17"/>
                <w:color w:val="auto"/>
              </w:rPr>
              <w:t>Financial Assets:</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640" w:type="dxa"/>
            <w:vAlign w:val="bottom"/>
            <w:gridSpan w:val="2"/>
            <w:shd w:val="clear" w:color="auto" w:fill="CCEEFF"/>
          </w:tcPr>
          <w:p>
            <w:pPr>
              <w:ind w:left="220"/>
              <w:spacing w:after="0"/>
              <w:rPr>
                <w:sz w:val="20"/>
                <w:szCs w:val="20"/>
                <w:color w:val="auto"/>
              </w:rPr>
            </w:pPr>
            <w:r>
              <w:rPr>
                <w:rFonts w:ascii="Arial" w:cs="Arial" w:eastAsia="Arial" w:hAnsi="Arial"/>
                <w:sz w:val="17"/>
                <w:szCs w:val="17"/>
                <w:color w:val="auto"/>
              </w:rPr>
              <w:t>U.S. Treasury securities</w:t>
            </w:r>
          </w:p>
        </w:tc>
        <w:tc>
          <w:tcPr>
            <w:tcW w:w="34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556,438</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34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1320" w:type="dxa"/>
            <w:vAlign w:val="bottom"/>
            <w:shd w:val="clear" w:color="auto" w:fill="CCEEFF"/>
          </w:tcPr>
          <w:p>
            <w:pPr>
              <w:ind w:left="1080"/>
              <w:spacing w:after="0"/>
              <w:rPr>
                <w:sz w:val="20"/>
                <w:szCs w:val="20"/>
                <w:color w:val="auto"/>
              </w:rPr>
            </w:pPr>
            <w:r>
              <w:rPr>
                <w:rFonts w:ascii="Arial" w:cs="Arial" w:eastAsia="Arial" w:hAnsi="Arial"/>
                <w:sz w:val="17"/>
                <w:szCs w:val="17"/>
                <w:color w:val="auto"/>
              </w:rPr>
              <w:t>—</w:t>
            </w:r>
          </w:p>
        </w:tc>
        <w:tc>
          <w:tcPr>
            <w:tcW w:w="48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556,438</w:t>
            </w:r>
          </w:p>
        </w:tc>
        <w:tc>
          <w:tcPr>
            <w:tcW w:w="0" w:type="dxa"/>
            <w:vAlign w:val="bottom"/>
          </w:tcPr>
          <w:p>
            <w:pPr>
              <w:spacing w:after="0"/>
              <w:rPr>
                <w:sz w:val="1"/>
                <w:szCs w:val="1"/>
                <w:color w:val="auto"/>
              </w:rPr>
            </w:pPr>
          </w:p>
        </w:tc>
      </w:tr>
      <w:tr>
        <w:trPr>
          <w:trHeight w:val="221"/>
        </w:trPr>
        <w:tc>
          <w:tcPr>
            <w:tcW w:w="4640" w:type="dxa"/>
            <w:vAlign w:val="bottom"/>
            <w:gridSpan w:val="2"/>
          </w:tcPr>
          <w:p>
            <w:pPr>
              <w:ind w:left="220"/>
              <w:spacing w:after="0"/>
              <w:rPr>
                <w:sz w:val="20"/>
                <w:szCs w:val="20"/>
                <w:color w:val="auto"/>
              </w:rPr>
            </w:pPr>
            <w:r>
              <w:rPr>
                <w:rFonts w:ascii="Arial" w:cs="Arial" w:eastAsia="Arial" w:hAnsi="Arial"/>
                <w:sz w:val="17"/>
                <w:szCs w:val="17"/>
                <w:color w:val="auto"/>
              </w:rPr>
              <w:t>U.S. agency securities</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49,058</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ind w:left="108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49,058</w:t>
            </w:r>
          </w:p>
        </w:tc>
        <w:tc>
          <w:tcPr>
            <w:tcW w:w="0" w:type="dxa"/>
            <w:vAlign w:val="bottom"/>
          </w:tcPr>
          <w:p>
            <w:pPr>
              <w:spacing w:after="0"/>
              <w:rPr>
                <w:sz w:val="1"/>
                <w:szCs w:val="1"/>
                <w:color w:val="auto"/>
              </w:rPr>
            </w:pPr>
          </w:p>
        </w:tc>
      </w:tr>
      <w:tr>
        <w:trPr>
          <w:trHeight w:val="234"/>
        </w:trPr>
        <w:tc>
          <w:tcPr>
            <w:tcW w:w="4640" w:type="dxa"/>
            <w:vAlign w:val="bottom"/>
            <w:gridSpan w:val="2"/>
            <w:shd w:val="clear" w:color="auto" w:fill="CCEEFF"/>
          </w:tcPr>
          <w:p>
            <w:pPr>
              <w:ind w:left="220"/>
              <w:spacing w:after="0"/>
              <w:rPr>
                <w:sz w:val="20"/>
                <w:szCs w:val="20"/>
                <w:color w:val="auto"/>
              </w:rPr>
            </w:pPr>
            <w:r>
              <w:rPr>
                <w:rFonts w:ascii="Arial" w:cs="Arial" w:eastAsia="Arial" w:hAnsi="Arial"/>
                <w:sz w:val="17"/>
                <w:szCs w:val="17"/>
                <w:color w:val="auto"/>
              </w:rPr>
              <w:t>U.S. agency mortgage-backed securities</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783,743</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320" w:type="dxa"/>
            <w:vAlign w:val="bottom"/>
            <w:shd w:val="clear" w:color="auto" w:fill="CCEEFF"/>
          </w:tcPr>
          <w:p>
            <w:pPr>
              <w:ind w:left="108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783,743</w:t>
            </w:r>
          </w:p>
        </w:tc>
        <w:tc>
          <w:tcPr>
            <w:tcW w:w="0" w:type="dxa"/>
            <w:vAlign w:val="bottom"/>
          </w:tcPr>
          <w:p>
            <w:pPr>
              <w:spacing w:after="0"/>
              <w:rPr>
                <w:sz w:val="1"/>
                <w:szCs w:val="1"/>
                <w:color w:val="auto"/>
              </w:rPr>
            </w:pPr>
          </w:p>
        </w:tc>
      </w:tr>
      <w:tr>
        <w:trPr>
          <w:trHeight w:val="221"/>
        </w:trPr>
        <w:tc>
          <w:tcPr>
            <w:tcW w:w="4640" w:type="dxa"/>
            <w:vAlign w:val="bottom"/>
            <w:gridSpan w:val="2"/>
          </w:tcPr>
          <w:p>
            <w:pPr>
              <w:ind w:left="220"/>
              <w:spacing w:after="0"/>
              <w:rPr>
                <w:sz w:val="20"/>
                <w:szCs w:val="20"/>
                <w:color w:val="auto"/>
              </w:rPr>
            </w:pPr>
            <w:r>
              <w:rPr>
                <w:rFonts w:ascii="Arial" w:cs="Arial" w:eastAsia="Arial" w:hAnsi="Arial"/>
                <w:sz w:val="17"/>
                <w:szCs w:val="17"/>
                <w:color w:val="auto"/>
              </w:rPr>
              <w:t>Municipal debt securities</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602,690</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ind w:left="108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602,690</w:t>
            </w:r>
          </w:p>
        </w:tc>
        <w:tc>
          <w:tcPr>
            <w:tcW w:w="0" w:type="dxa"/>
            <w:vAlign w:val="bottom"/>
          </w:tcPr>
          <w:p>
            <w:pPr>
              <w:spacing w:after="0"/>
              <w:rPr>
                <w:sz w:val="1"/>
                <w:szCs w:val="1"/>
                <w:color w:val="auto"/>
              </w:rPr>
            </w:pPr>
          </w:p>
        </w:tc>
      </w:tr>
      <w:tr>
        <w:trPr>
          <w:trHeight w:val="221"/>
        </w:trPr>
        <w:tc>
          <w:tcPr>
            <w:tcW w:w="4640" w:type="dxa"/>
            <w:vAlign w:val="bottom"/>
            <w:gridSpan w:val="2"/>
            <w:shd w:val="clear" w:color="auto" w:fill="CCEEFF"/>
          </w:tcPr>
          <w:p>
            <w:pPr>
              <w:ind w:left="220"/>
              <w:spacing w:after="0"/>
              <w:rPr>
                <w:sz w:val="20"/>
                <w:szCs w:val="20"/>
                <w:color w:val="auto"/>
              </w:rPr>
            </w:pPr>
            <w:r>
              <w:rPr>
                <w:rFonts w:ascii="Arial" w:cs="Arial" w:eastAsia="Arial" w:hAnsi="Arial"/>
                <w:sz w:val="17"/>
                <w:szCs w:val="17"/>
                <w:color w:val="auto"/>
              </w:rPr>
              <w:t>Non-U.S. government securities</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62,399</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20" w:type="dxa"/>
            <w:vAlign w:val="bottom"/>
            <w:shd w:val="clear" w:color="auto" w:fill="CCEEFF"/>
          </w:tcPr>
          <w:p>
            <w:pPr>
              <w:ind w:left="108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62,399</w:t>
            </w:r>
          </w:p>
        </w:tc>
        <w:tc>
          <w:tcPr>
            <w:tcW w:w="0" w:type="dxa"/>
            <w:vAlign w:val="bottom"/>
          </w:tcPr>
          <w:p>
            <w:pPr>
              <w:spacing w:after="0"/>
              <w:rPr>
                <w:sz w:val="1"/>
                <w:szCs w:val="1"/>
                <w:color w:val="auto"/>
              </w:rPr>
            </w:pPr>
          </w:p>
        </w:tc>
      </w:tr>
      <w:tr>
        <w:trPr>
          <w:trHeight w:val="227"/>
        </w:trPr>
        <w:tc>
          <w:tcPr>
            <w:tcW w:w="4640" w:type="dxa"/>
            <w:vAlign w:val="bottom"/>
            <w:gridSpan w:val="2"/>
          </w:tcPr>
          <w:p>
            <w:pPr>
              <w:ind w:left="220"/>
              <w:spacing w:after="0"/>
              <w:rPr>
                <w:sz w:val="20"/>
                <w:szCs w:val="20"/>
                <w:color w:val="auto"/>
              </w:rPr>
            </w:pPr>
            <w:r>
              <w:rPr>
                <w:rFonts w:ascii="Arial" w:cs="Arial" w:eastAsia="Arial" w:hAnsi="Arial"/>
                <w:sz w:val="17"/>
                <w:szCs w:val="17"/>
                <w:color w:val="auto"/>
              </w:rPr>
              <w:t>Corporate debt securities</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1,414,321</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ind w:left="108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1,414,321</w:t>
            </w:r>
          </w:p>
        </w:tc>
        <w:tc>
          <w:tcPr>
            <w:tcW w:w="0" w:type="dxa"/>
            <w:vAlign w:val="bottom"/>
          </w:tcPr>
          <w:p>
            <w:pPr>
              <w:spacing w:after="0"/>
              <w:rPr>
                <w:sz w:val="1"/>
                <w:szCs w:val="1"/>
                <w:color w:val="auto"/>
              </w:rPr>
            </w:pPr>
          </w:p>
        </w:tc>
      </w:tr>
      <w:tr>
        <w:trPr>
          <w:trHeight w:val="227"/>
        </w:trPr>
        <w:tc>
          <w:tcPr>
            <w:tcW w:w="4640" w:type="dxa"/>
            <w:vAlign w:val="bottom"/>
            <w:gridSpan w:val="2"/>
            <w:shd w:val="clear" w:color="auto" w:fill="CCEEFF"/>
          </w:tcPr>
          <w:p>
            <w:pPr>
              <w:ind w:left="220"/>
              <w:spacing w:after="0"/>
              <w:rPr>
                <w:sz w:val="20"/>
                <w:szCs w:val="20"/>
                <w:color w:val="auto"/>
              </w:rPr>
            </w:pPr>
            <w:r>
              <w:rPr>
                <w:rFonts w:ascii="Arial" w:cs="Arial" w:eastAsia="Arial" w:hAnsi="Arial"/>
                <w:sz w:val="17"/>
                <w:szCs w:val="17"/>
                <w:color w:val="auto"/>
              </w:rPr>
              <w:t>Residential and commercial mortgage securities</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511,824</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20" w:type="dxa"/>
            <w:vAlign w:val="bottom"/>
            <w:shd w:val="clear" w:color="auto" w:fill="CCEEFF"/>
          </w:tcPr>
          <w:p>
            <w:pPr>
              <w:ind w:left="108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511,824</w:t>
            </w:r>
          </w:p>
        </w:tc>
        <w:tc>
          <w:tcPr>
            <w:tcW w:w="0" w:type="dxa"/>
            <w:vAlign w:val="bottom"/>
          </w:tcPr>
          <w:p>
            <w:pPr>
              <w:spacing w:after="0"/>
              <w:rPr>
                <w:sz w:val="1"/>
                <w:szCs w:val="1"/>
                <w:color w:val="auto"/>
              </w:rPr>
            </w:pPr>
          </w:p>
        </w:tc>
      </w:tr>
      <w:tr>
        <w:trPr>
          <w:trHeight w:val="221"/>
        </w:trPr>
        <w:tc>
          <w:tcPr>
            <w:tcW w:w="4640" w:type="dxa"/>
            <w:vAlign w:val="bottom"/>
            <w:gridSpan w:val="2"/>
          </w:tcPr>
          <w:p>
            <w:pPr>
              <w:ind w:left="220"/>
              <w:spacing w:after="0"/>
              <w:rPr>
                <w:sz w:val="20"/>
                <w:szCs w:val="20"/>
                <w:color w:val="auto"/>
              </w:rPr>
            </w:pPr>
            <w:r>
              <w:rPr>
                <w:rFonts w:ascii="Arial" w:cs="Arial" w:eastAsia="Arial" w:hAnsi="Arial"/>
                <w:sz w:val="17"/>
                <w:szCs w:val="17"/>
                <w:color w:val="auto"/>
              </w:rPr>
              <w:t>Asset-backed securities</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624,561</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ind w:left="108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624,561</w:t>
            </w:r>
          </w:p>
        </w:tc>
        <w:tc>
          <w:tcPr>
            <w:tcW w:w="0" w:type="dxa"/>
            <w:vAlign w:val="bottom"/>
          </w:tcPr>
          <w:p>
            <w:pPr>
              <w:spacing w:after="0"/>
              <w:rPr>
                <w:sz w:val="1"/>
                <w:szCs w:val="1"/>
                <w:color w:val="auto"/>
              </w:rPr>
            </w:pPr>
          </w:p>
        </w:tc>
      </w:tr>
      <w:tr>
        <w:trPr>
          <w:trHeight w:val="234"/>
        </w:trPr>
        <w:tc>
          <w:tcPr>
            <w:tcW w:w="4640" w:type="dxa"/>
            <w:vAlign w:val="bottom"/>
            <w:gridSpan w:val="2"/>
            <w:shd w:val="clear" w:color="auto" w:fill="CCEEFF"/>
          </w:tcPr>
          <w:p>
            <w:pPr>
              <w:ind w:left="220"/>
              <w:spacing w:after="0"/>
              <w:rPr>
                <w:sz w:val="20"/>
                <w:szCs w:val="20"/>
                <w:color w:val="auto"/>
              </w:rPr>
            </w:pPr>
            <w:r>
              <w:rPr>
                <w:rFonts w:ascii="Arial" w:cs="Arial" w:eastAsia="Arial" w:hAnsi="Arial"/>
                <w:sz w:val="17"/>
                <w:szCs w:val="17"/>
                <w:color w:val="auto"/>
              </w:rPr>
              <w:t>Money market funds</w:t>
            </w:r>
          </w:p>
        </w:tc>
        <w:tc>
          <w:tcPr>
            <w:tcW w:w="120" w:type="dxa"/>
            <w:vAlign w:val="bottom"/>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136,591</w:t>
            </w:r>
          </w:p>
        </w:tc>
        <w:tc>
          <w:tcPr>
            <w:tcW w:w="100" w:type="dxa"/>
            <w:vAlign w:val="bottom"/>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1320" w:type="dxa"/>
            <w:vAlign w:val="bottom"/>
            <w:tcBorders>
              <w:bottom w:val="single" w:sz="8" w:color="auto"/>
            </w:tcBorders>
            <w:shd w:val="clear" w:color="auto" w:fill="CCEEFF"/>
          </w:tcPr>
          <w:p>
            <w:pPr>
              <w:ind w:left="108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136,591</w:t>
            </w:r>
          </w:p>
        </w:tc>
        <w:tc>
          <w:tcPr>
            <w:tcW w:w="0" w:type="dxa"/>
            <w:vAlign w:val="bottom"/>
          </w:tcPr>
          <w:p>
            <w:pPr>
              <w:spacing w:after="0"/>
              <w:rPr>
                <w:sz w:val="1"/>
                <w:szCs w:val="1"/>
                <w:color w:val="auto"/>
              </w:rPr>
            </w:pPr>
          </w:p>
        </w:tc>
      </w:tr>
      <w:tr>
        <w:trPr>
          <w:trHeight w:val="214"/>
        </w:trPr>
        <w:tc>
          <w:tcPr>
            <w:tcW w:w="4640" w:type="dxa"/>
            <w:vAlign w:val="bottom"/>
            <w:gridSpan w:val="2"/>
          </w:tcPr>
          <w:p>
            <w:pPr>
              <w:ind w:left="20"/>
              <w:spacing w:after="0"/>
              <w:rPr>
                <w:sz w:val="20"/>
                <w:szCs w:val="20"/>
                <w:color w:val="auto"/>
              </w:rPr>
            </w:pPr>
            <w:r>
              <w:rPr>
                <w:rFonts w:ascii="Arial" w:cs="Arial" w:eastAsia="Arial" w:hAnsi="Arial"/>
                <w:sz w:val="17"/>
                <w:szCs w:val="17"/>
                <w:color w:val="auto"/>
              </w:rPr>
              <w:t>Total assets at fair value (1)</w:t>
            </w:r>
          </w:p>
        </w:tc>
        <w:tc>
          <w:tcPr>
            <w:tcW w:w="34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1300" w:type="dxa"/>
            <w:vAlign w:val="bottom"/>
          </w:tcPr>
          <w:p>
            <w:pPr>
              <w:jc w:val="right"/>
              <w:spacing w:after="0"/>
              <w:rPr>
                <w:sz w:val="20"/>
                <w:szCs w:val="20"/>
                <w:color w:val="auto"/>
              </w:rPr>
            </w:pPr>
            <w:r>
              <w:rPr>
                <w:rFonts w:ascii="Arial" w:cs="Arial" w:eastAsia="Arial" w:hAnsi="Arial"/>
                <w:sz w:val="17"/>
                <w:szCs w:val="17"/>
                <w:color w:val="auto"/>
              </w:rPr>
              <w:t>693,029</w:t>
            </w:r>
          </w:p>
        </w:tc>
        <w:tc>
          <w:tcPr>
            <w:tcW w:w="3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260" w:type="dxa"/>
            <w:vAlign w:val="bottom"/>
          </w:tcPr>
          <w:p>
            <w:pPr>
              <w:jc w:val="right"/>
              <w:spacing w:after="0"/>
              <w:rPr>
                <w:sz w:val="20"/>
                <w:szCs w:val="20"/>
                <w:color w:val="auto"/>
              </w:rPr>
            </w:pPr>
            <w:r>
              <w:rPr>
                <w:rFonts w:ascii="Arial" w:cs="Arial" w:eastAsia="Arial" w:hAnsi="Arial"/>
                <w:sz w:val="17"/>
                <w:szCs w:val="17"/>
                <w:color w:val="auto"/>
              </w:rPr>
              <w:t>4,048,596</w:t>
            </w:r>
          </w:p>
        </w:tc>
        <w:tc>
          <w:tcPr>
            <w:tcW w:w="34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1320" w:type="dxa"/>
            <w:vAlign w:val="bottom"/>
          </w:tcPr>
          <w:p>
            <w:pPr>
              <w:ind w:left="1080"/>
              <w:spacing w:after="0"/>
              <w:rPr>
                <w:sz w:val="20"/>
                <w:szCs w:val="20"/>
                <w:color w:val="auto"/>
              </w:rPr>
            </w:pPr>
            <w:r>
              <w:rPr>
                <w:rFonts w:ascii="Arial" w:cs="Arial" w:eastAsia="Arial" w:hAnsi="Arial"/>
                <w:sz w:val="17"/>
                <w:szCs w:val="17"/>
                <w:color w:val="auto"/>
              </w:rPr>
              <w:t>—</w:t>
            </w:r>
          </w:p>
        </w:tc>
        <w:tc>
          <w:tcPr>
            <w:tcW w:w="480" w:type="dxa"/>
            <w:vAlign w:val="bottom"/>
            <w:gridSpan w:val="2"/>
          </w:tcPr>
          <w:p>
            <w:pPr>
              <w:jc w:val="right"/>
              <w:ind w:right="260"/>
              <w:spacing w:after="0"/>
              <w:rPr>
                <w:sz w:val="20"/>
                <w:szCs w:val="20"/>
                <w:color w:val="auto"/>
              </w:rPr>
            </w:pPr>
            <w:r>
              <w:rPr>
                <w:rFonts w:ascii="Arial" w:cs="Arial" w:eastAsia="Arial" w:hAnsi="Arial"/>
                <w:sz w:val="17"/>
                <w:szCs w:val="17"/>
                <w:color w:val="auto"/>
              </w:rPr>
              <w:t>$</w:t>
            </w:r>
          </w:p>
        </w:tc>
        <w:tc>
          <w:tcPr>
            <w:tcW w:w="1160" w:type="dxa"/>
            <w:vAlign w:val="bottom"/>
          </w:tcPr>
          <w:p>
            <w:pPr>
              <w:jc w:val="right"/>
              <w:spacing w:after="0"/>
              <w:rPr>
                <w:sz w:val="20"/>
                <w:szCs w:val="20"/>
                <w:color w:val="auto"/>
              </w:rPr>
            </w:pPr>
            <w:r>
              <w:rPr>
                <w:rFonts w:ascii="Arial" w:cs="Arial" w:eastAsia="Arial" w:hAnsi="Arial"/>
                <w:sz w:val="17"/>
                <w:szCs w:val="17"/>
                <w:color w:val="auto"/>
              </w:rPr>
              <w:t>4,741,625</w:t>
            </w:r>
          </w:p>
        </w:tc>
        <w:tc>
          <w:tcPr>
            <w:tcW w:w="0" w:type="dxa"/>
            <w:vAlign w:val="bottom"/>
          </w:tcPr>
          <w:p>
            <w:pPr>
              <w:spacing w:after="0"/>
              <w:rPr>
                <w:sz w:val="1"/>
                <w:szCs w:val="1"/>
                <w:color w:val="auto"/>
              </w:rPr>
            </w:pPr>
          </w:p>
        </w:tc>
      </w:tr>
      <w:tr>
        <w:trPr>
          <w:trHeight w:val="20"/>
        </w:trPr>
        <w:tc>
          <w:tcPr>
            <w:tcW w:w="218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2"/>
        </w:trPr>
        <w:tc>
          <w:tcPr>
            <w:tcW w:w="2180" w:type="dxa"/>
            <w:vAlign w:val="bottom"/>
            <w:tcBorders>
              <w:bottom w:val="single" w:sz="8" w:color="auto"/>
            </w:tcBorders>
          </w:tcPr>
          <w:p>
            <w:pPr>
              <w:spacing w:after="0"/>
              <w:rPr>
                <w:sz w:val="10"/>
                <w:szCs w:val="10"/>
                <w:color w:val="auto"/>
              </w:rPr>
            </w:pPr>
          </w:p>
        </w:tc>
        <w:tc>
          <w:tcPr>
            <w:tcW w:w="2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78" w:lineRule="exact"/>
        <w:rPr>
          <w:sz w:val="20"/>
          <w:szCs w:val="20"/>
          <w:color w:val="auto"/>
        </w:rPr>
      </w:pPr>
    </w:p>
    <w:p>
      <w:pPr>
        <w:ind w:left="620" w:hanging="305"/>
        <w:spacing w:after="0" w:line="262" w:lineRule="auto"/>
        <w:tabs>
          <w:tab w:leader="none" w:pos="620" w:val="left"/>
        </w:tabs>
        <w:numPr>
          <w:ilvl w:val="0"/>
          <w:numId w:val="11"/>
        </w:numPr>
        <w:rPr>
          <w:rFonts w:ascii="Arial" w:cs="Arial" w:eastAsia="Arial" w:hAnsi="Arial"/>
          <w:sz w:val="17"/>
          <w:szCs w:val="17"/>
          <w:color w:val="auto"/>
        </w:rPr>
      </w:pPr>
      <w:r>
        <w:rPr>
          <w:rFonts w:ascii="Arial" w:cs="Arial" w:eastAsia="Arial" w:hAnsi="Arial"/>
          <w:sz w:val="17"/>
          <w:szCs w:val="17"/>
          <w:color w:val="auto"/>
        </w:rPr>
        <w:t>Does not include the fair value of embedded derivatives, which we have accounted for separately as freestanding derivatives and included in other assets or other accrued liabilities in our condensed consolidated balance sheet. See Note 4 for more information.</w:t>
      </w:r>
    </w:p>
    <w:p>
      <w:pPr>
        <w:spacing w:after="0" w:line="1" w:lineRule="exact"/>
        <w:rPr>
          <w:rFonts w:ascii="Arial" w:cs="Arial" w:eastAsia="Arial" w:hAnsi="Arial"/>
          <w:sz w:val="17"/>
          <w:szCs w:val="17"/>
          <w:color w:val="auto"/>
        </w:rPr>
      </w:pPr>
    </w:p>
    <w:p>
      <w:pPr>
        <w:ind w:left="620" w:right="680" w:hanging="305"/>
        <w:spacing w:after="0" w:line="269" w:lineRule="auto"/>
        <w:tabs>
          <w:tab w:leader="none" w:pos="620" w:val="left"/>
        </w:tabs>
        <w:numPr>
          <w:ilvl w:val="0"/>
          <w:numId w:val="11"/>
        </w:numPr>
        <w:rPr>
          <w:rFonts w:ascii="Arial" w:cs="Arial" w:eastAsia="Arial" w:hAnsi="Arial"/>
          <w:sz w:val="17"/>
          <w:szCs w:val="17"/>
          <w:color w:val="auto"/>
        </w:rPr>
      </w:pPr>
      <w:r>
        <w:rPr>
          <w:rFonts w:ascii="Arial" w:cs="Arial" w:eastAsia="Arial" w:hAnsi="Arial"/>
          <w:sz w:val="17"/>
          <w:szCs w:val="17"/>
          <w:color w:val="auto"/>
        </w:rPr>
        <w:t>Does not include certain other invested assets that are measured at fair value using the net asset value per share (or its equivalent) as a practical expedient, as applicable accounting standards do not provide for classification within the fair value hierarchy.</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68580</wp:posOffset>
            </wp:positionV>
            <wp:extent cx="7162800" cy="419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00"/>
          </w:cols>
          <w:pgMar w:left="320" w:top="127" w:right="379" w:bottom="1440" w:gutter="0" w:footer="0" w:header="0"/>
        </w:sectPr>
      </w:pPr>
    </w:p>
    <w:bookmarkStart w:id="26" w:name="page27"/>
    <w:bookmarkEnd w:id="26"/>
    <w:p>
      <w:pPr>
        <w:spacing w:after="0"/>
        <w:rPr>
          <w:sz w:val="20"/>
          <w:szCs w:val="20"/>
          <w:color w:val="auto"/>
        </w:rPr>
      </w:pPr>
      <w:r>
        <w:rPr>
          <w:rFonts w:ascii="Arial" w:cs="Arial" w:eastAsia="Arial" w:hAnsi="Arial"/>
          <w:sz w:val="17"/>
          <w:szCs w:val="17"/>
          <w:u w:val="single" w:color="auto"/>
          <w:color w:val="0000FF"/>
        </w:rPr>
        <w:t>Table of Contents</w:t>
      </w:r>
    </w:p>
    <w:p>
      <w:pPr>
        <w:spacing w:after="0" w:line="25"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Essent Group Ltd. and Subsidiaries</w:t>
      </w: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Notes to Condensed Consolidated Financial Statements (Unaudited)</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14. Statutory Accounting</w:t>
      </w:r>
    </w:p>
    <w:p>
      <w:pPr>
        <w:spacing w:after="0" w:line="226" w:lineRule="exact"/>
        <w:rPr>
          <w:sz w:val="20"/>
          <w:szCs w:val="20"/>
          <w:color w:val="auto"/>
        </w:rPr>
      </w:pPr>
    </w:p>
    <w:p>
      <w:pPr>
        <w:ind w:right="80" w:firstLine="623"/>
        <w:spacing w:after="0" w:line="261" w:lineRule="auto"/>
        <w:rPr>
          <w:sz w:val="20"/>
          <w:szCs w:val="20"/>
          <w:color w:val="auto"/>
        </w:rPr>
      </w:pPr>
      <w:r>
        <w:rPr>
          <w:rFonts w:ascii="Arial" w:cs="Arial" w:eastAsia="Arial" w:hAnsi="Arial"/>
          <w:sz w:val="17"/>
          <w:szCs w:val="17"/>
          <w:color w:val="auto"/>
        </w:rPr>
        <w:t>Our U.S. insurance subsidiaries prepare statutory-basis financial statements in accordance with the accounting practices prescribed or permitted by their respective state’s department of insurance, which is a comprehensive basis of accounting other than GAAP. We did not use any prescribed or permitted statutory accounting practices (individually or in the aggregate) that resulted in reported statutory surplus or capital that was significantly different from the statutory surplus or capital that would have been reported had National Association of Insurance Commissioners’ statutory accounting practices been followed. The following table presents Essent Guaranty’s and Essent PA’s statutory net income, statutory surplus and contingency reserve liability as of and for the six months ended June 30:</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6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jc w:val="right"/>
              <w:ind w:right="836"/>
              <w:spacing w:after="0"/>
              <w:rPr>
                <w:sz w:val="20"/>
                <w:szCs w:val="20"/>
                <w:color w:val="auto"/>
              </w:rPr>
            </w:pPr>
            <w:r>
              <w:rPr>
                <w:rFonts w:ascii="Arial" w:cs="Arial" w:eastAsia="Arial" w:hAnsi="Arial"/>
                <w:sz w:val="14"/>
                <w:szCs w:val="14"/>
                <w:b w:val="1"/>
                <w:bCs w:val="1"/>
                <w:color w:val="auto"/>
              </w:rPr>
              <w:t>2023</w:t>
            </w:r>
          </w:p>
        </w:tc>
        <w:tc>
          <w:tcPr>
            <w:tcW w:w="120" w:type="dxa"/>
            <w:vAlign w:val="bottom"/>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jc w:val="right"/>
              <w:ind w:right="836"/>
              <w:spacing w:after="0"/>
              <w:rPr>
                <w:sz w:val="20"/>
                <w:szCs w:val="20"/>
                <w:color w:val="auto"/>
              </w:rPr>
            </w:pPr>
            <w:r>
              <w:rPr>
                <w:rFonts w:ascii="Arial" w:cs="Arial" w:eastAsia="Arial" w:hAnsi="Arial"/>
                <w:sz w:val="14"/>
                <w:szCs w:val="14"/>
                <w:b w:val="1"/>
                <w:bCs w:val="1"/>
                <w:color w:val="auto"/>
              </w:rPr>
              <w:t>2022</w:t>
            </w:r>
          </w:p>
        </w:tc>
      </w:tr>
      <w:tr>
        <w:trPr>
          <w:trHeight w:val="233"/>
        </w:trPr>
        <w:tc>
          <w:tcPr>
            <w:tcW w:w="6620" w:type="dxa"/>
            <w:vAlign w:val="bottom"/>
            <w:shd w:val="clear" w:color="auto" w:fill="CCEEFF"/>
          </w:tcPr>
          <w:p>
            <w:pPr>
              <w:ind w:left="20"/>
              <w:spacing w:after="0"/>
              <w:rPr>
                <w:sz w:val="20"/>
                <w:szCs w:val="20"/>
                <w:color w:val="auto"/>
              </w:rPr>
            </w:pPr>
            <w:r>
              <w:rPr>
                <w:rFonts w:ascii="Arial" w:cs="Arial" w:eastAsia="Arial" w:hAnsi="Arial"/>
                <w:sz w:val="17"/>
                <w:szCs w:val="17"/>
                <w:color w:val="auto"/>
              </w:rPr>
              <w:t>Essent Guaranty</w:t>
            </w:r>
          </w:p>
        </w:tc>
        <w:tc>
          <w:tcPr>
            <w:tcW w:w="10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16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1620" w:type="dxa"/>
            <w:vAlign w:val="bottom"/>
            <w:shd w:val="clear" w:color="auto" w:fill="CCEEFF"/>
          </w:tcPr>
          <w:p>
            <w:pPr>
              <w:spacing w:after="0"/>
              <w:rPr>
                <w:sz w:val="20"/>
                <w:szCs w:val="20"/>
                <w:color w:val="auto"/>
              </w:rPr>
            </w:pPr>
          </w:p>
        </w:tc>
      </w:tr>
      <w:tr>
        <w:trPr>
          <w:trHeight w:val="221"/>
        </w:trPr>
        <w:tc>
          <w:tcPr>
            <w:tcW w:w="6620" w:type="dxa"/>
            <w:vAlign w:val="bottom"/>
          </w:tcPr>
          <w:p>
            <w:pPr>
              <w:ind w:left="220"/>
              <w:spacing w:after="0"/>
              <w:rPr>
                <w:sz w:val="20"/>
                <w:szCs w:val="20"/>
                <w:color w:val="auto"/>
              </w:rPr>
            </w:pPr>
            <w:r>
              <w:rPr>
                <w:rFonts w:ascii="Arial" w:cs="Arial" w:eastAsia="Arial" w:hAnsi="Arial"/>
                <w:sz w:val="17"/>
                <w:szCs w:val="17"/>
                <w:color w:val="auto"/>
              </w:rPr>
              <w:t>Statutory net income</w:t>
            </w:r>
          </w:p>
        </w:tc>
        <w:tc>
          <w:tcPr>
            <w:tcW w:w="620" w:type="dxa"/>
            <w:vAlign w:val="bottom"/>
            <w:gridSpan w:val="2"/>
          </w:tcPr>
          <w:p>
            <w:pPr>
              <w:jc w:val="right"/>
              <w:ind w:right="420"/>
              <w:spacing w:after="0"/>
              <w:rPr>
                <w:sz w:val="20"/>
                <w:szCs w:val="20"/>
                <w:color w:val="auto"/>
              </w:rPr>
            </w:pPr>
            <w:r>
              <w:rPr>
                <w:rFonts w:ascii="Arial" w:cs="Arial" w:eastAsia="Arial" w:hAnsi="Arial"/>
                <w:sz w:val="17"/>
                <w:szCs w:val="17"/>
                <w:color w:val="auto"/>
              </w:rPr>
              <w:t>$</w:t>
            </w:r>
          </w:p>
        </w:tc>
        <w:tc>
          <w:tcPr>
            <w:tcW w:w="1620" w:type="dxa"/>
            <w:vAlign w:val="bottom"/>
          </w:tcPr>
          <w:p>
            <w:pPr>
              <w:jc w:val="right"/>
              <w:spacing w:after="0"/>
              <w:rPr>
                <w:sz w:val="20"/>
                <w:szCs w:val="20"/>
                <w:color w:val="auto"/>
              </w:rPr>
            </w:pPr>
            <w:r>
              <w:rPr>
                <w:rFonts w:ascii="Arial" w:cs="Arial" w:eastAsia="Arial" w:hAnsi="Arial"/>
                <w:sz w:val="17"/>
                <w:szCs w:val="17"/>
                <w:color w:val="auto"/>
              </w:rPr>
              <w:t>185,102</w:t>
            </w:r>
          </w:p>
        </w:tc>
        <w:tc>
          <w:tcPr>
            <w:tcW w:w="640" w:type="dxa"/>
            <w:vAlign w:val="bottom"/>
            <w:gridSpan w:val="2"/>
          </w:tcPr>
          <w:p>
            <w:pPr>
              <w:jc w:val="right"/>
              <w:ind w:right="420"/>
              <w:spacing w:after="0"/>
              <w:rPr>
                <w:sz w:val="20"/>
                <w:szCs w:val="20"/>
                <w:color w:val="auto"/>
              </w:rPr>
            </w:pPr>
            <w:r>
              <w:rPr>
                <w:rFonts w:ascii="Arial" w:cs="Arial" w:eastAsia="Arial" w:hAnsi="Arial"/>
                <w:sz w:val="17"/>
                <w:szCs w:val="17"/>
                <w:color w:val="auto"/>
              </w:rPr>
              <w:t>$</w:t>
            </w:r>
          </w:p>
        </w:tc>
        <w:tc>
          <w:tcPr>
            <w:tcW w:w="1620" w:type="dxa"/>
            <w:vAlign w:val="bottom"/>
          </w:tcPr>
          <w:p>
            <w:pPr>
              <w:jc w:val="right"/>
              <w:spacing w:after="0"/>
              <w:rPr>
                <w:sz w:val="20"/>
                <w:szCs w:val="20"/>
                <w:color w:val="auto"/>
              </w:rPr>
            </w:pPr>
            <w:r>
              <w:rPr>
                <w:rFonts w:ascii="Arial" w:cs="Arial" w:eastAsia="Arial" w:hAnsi="Arial"/>
                <w:sz w:val="17"/>
                <w:szCs w:val="17"/>
                <w:color w:val="auto"/>
              </w:rPr>
              <w:t>367,283</w:t>
            </w:r>
          </w:p>
        </w:tc>
      </w:tr>
      <w:tr>
        <w:trPr>
          <w:trHeight w:val="221"/>
        </w:trPr>
        <w:tc>
          <w:tcPr>
            <w:tcW w:w="6620" w:type="dxa"/>
            <w:vAlign w:val="bottom"/>
            <w:shd w:val="clear" w:color="auto" w:fill="CCEEFF"/>
          </w:tcPr>
          <w:p>
            <w:pPr>
              <w:ind w:left="220"/>
              <w:spacing w:after="0"/>
              <w:rPr>
                <w:sz w:val="20"/>
                <w:szCs w:val="20"/>
                <w:color w:val="auto"/>
              </w:rPr>
            </w:pPr>
            <w:r>
              <w:rPr>
                <w:rFonts w:ascii="Arial" w:cs="Arial" w:eastAsia="Arial" w:hAnsi="Arial"/>
                <w:sz w:val="17"/>
                <w:szCs w:val="17"/>
                <w:color w:val="auto"/>
              </w:rPr>
              <w:t>Statutory surplus</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978,482</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1,018,795</w:t>
            </w:r>
          </w:p>
        </w:tc>
      </w:tr>
      <w:tr>
        <w:trPr>
          <w:trHeight w:val="227"/>
        </w:trPr>
        <w:tc>
          <w:tcPr>
            <w:tcW w:w="6620" w:type="dxa"/>
            <w:vAlign w:val="bottom"/>
          </w:tcPr>
          <w:p>
            <w:pPr>
              <w:ind w:left="220"/>
              <w:spacing w:after="0"/>
              <w:rPr>
                <w:sz w:val="20"/>
                <w:szCs w:val="20"/>
                <w:color w:val="auto"/>
              </w:rPr>
            </w:pPr>
            <w:r>
              <w:rPr>
                <w:rFonts w:ascii="Arial" w:cs="Arial" w:eastAsia="Arial" w:hAnsi="Arial"/>
                <w:sz w:val="17"/>
                <w:szCs w:val="17"/>
                <w:color w:val="auto"/>
              </w:rPr>
              <w:t>Contingency reserve liability</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7"/>
                <w:szCs w:val="17"/>
                <w:color w:val="auto"/>
              </w:rPr>
              <w:t>2,158,755</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7"/>
                <w:szCs w:val="17"/>
                <w:color w:val="auto"/>
              </w:rPr>
              <w:t>1,928,827</w:t>
            </w:r>
          </w:p>
        </w:tc>
      </w:tr>
      <w:tr>
        <w:trPr>
          <w:trHeight w:val="240"/>
        </w:trPr>
        <w:tc>
          <w:tcPr>
            <w:tcW w:w="66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16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1620" w:type="dxa"/>
            <w:vAlign w:val="bottom"/>
            <w:shd w:val="clear" w:color="auto" w:fill="CCEEFF"/>
          </w:tcPr>
          <w:p>
            <w:pPr>
              <w:spacing w:after="0"/>
              <w:rPr>
                <w:sz w:val="20"/>
                <w:szCs w:val="20"/>
                <w:color w:val="auto"/>
              </w:rPr>
            </w:pPr>
          </w:p>
        </w:tc>
      </w:tr>
      <w:tr>
        <w:trPr>
          <w:trHeight w:val="227"/>
        </w:trPr>
        <w:tc>
          <w:tcPr>
            <w:tcW w:w="6620" w:type="dxa"/>
            <w:vAlign w:val="bottom"/>
          </w:tcPr>
          <w:p>
            <w:pPr>
              <w:ind w:left="20"/>
              <w:spacing w:after="0"/>
              <w:rPr>
                <w:sz w:val="20"/>
                <w:szCs w:val="20"/>
                <w:color w:val="auto"/>
              </w:rPr>
            </w:pPr>
            <w:r>
              <w:rPr>
                <w:rFonts w:ascii="Arial" w:cs="Arial" w:eastAsia="Arial" w:hAnsi="Arial"/>
                <w:sz w:val="17"/>
                <w:szCs w:val="17"/>
                <w:color w:val="auto"/>
              </w:rPr>
              <w:t>Essent PA</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620" w:type="dxa"/>
            <w:vAlign w:val="bottom"/>
          </w:tcPr>
          <w:p>
            <w:pPr>
              <w:spacing w:after="0"/>
              <w:rPr>
                <w:sz w:val="19"/>
                <w:szCs w:val="19"/>
                <w:color w:val="auto"/>
              </w:rPr>
            </w:pPr>
          </w:p>
        </w:tc>
      </w:tr>
      <w:tr>
        <w:trPr>
          <w:trHeight w:val="227"/>
        </w:trPr>
        <w:tc>
          <w:tcPr>
            <w:tcW w:w="6620" w:type="dxa"/>
            <w:vAlign w:val="bottom"/>
            <w:shd w:val="clear" w:color="auto" w:fill="CCEEFF"/>
          </w:tcPr>
          <w:p>
            <w:pPr>
              <w:ind w:left="220"/>
              <w:spacing w:after="0"/>
              <w:rPr>
                <w:sz w:val="20"/>
                <w:szCs w:val="20"/>
                <w:color w:val="auto"/>
              </w:rPr>
            </w:pPr>
            <w:r>
              <w:rPr>
                <w:rFonts w:ascii="Arial" w:cs="Arial" w:eastAsia="Arial" w:hAnsi="Arial"/>
                <w:sz w:val="17"/>
                <w:szCs w:val="17"/>
                <w:color w:val="auto"/>
              </w:rPr>
              <w:t>Statutory net (loss) income</w:t>
            </w:r>
          </w:p>
        </w:tc>
        <w:tc>
          <w:tcPr>
            <w:tcW w:w="620" w:type="dxa"/>
            <w:vAlign w:val="bottom"/>
            <w:gridSpan w:val="2"/>
            <w:shd w:val="clear" w:color="auto" w:fill="CCEEFF"/>
          </w:tcPr>
          <w:p>
            <w:pPr>
              <w:jc w:val="right"/>
              <w:ind w:right="420"/>
              <w:spacing w:after="0"/>
              <w:rPr>
                <w:sz w:val="20"/>
                <w:szCs w:val="20"/>
                <w:color w:val="auto"/>
              </w:rPr>
            </w:pPr>
            <w:r>
              <w:rPr>
                <w:rFonts w:ascii="Arial" w:cs="Arial" w:eastAsia="Arial" w:hAnsi="Arial"/>
                <w:sz w:val="17"/>
                <w:szCs w:val="17"/>
                <w:color w:val="auto"/>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(3,519)</w:t>
            </w:r>
          </w:p>
        </w:tc>
        <w:tc>
          <w:tcPr>
            <w:tcW w:w="640" w:type="dxa"/>
            <w:vAlign w:val="bottom"/>
            <w:gridSpan w:val="2"/>
            <w:shd w:val="clear" w:color="auto" w:fill="CCEEFF"/>
          </w:tcPr>
          <w:p>
            <w:pPr>
              <w:jc w:val="right"/>
              <w:ind w:right="420"/>
              <w:spacing w:after="0"/>
              <w:rPr>
                <w:sz w:val="20"/>
                <w:szCs w:val="20"/>
                <w:color w:val="auto"/>
              </w:rPr>
            </w:pPr>
            <w:r>
              <w:rPr>
                <w:rFonts w:ascii="Arial" w:cs="Arial" w:eastAsia="Arial" w:hAnsi="Arial"/>
                <w:sz w:val="17"/>
                <w:szCs w:val="17"/>
                <w:color w:val="auto"/>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1,310</w:t>
            </w:r>
          </w:p>
        </w:tc>
      </w:tr>
      <w:tr>
        <w:trPr>
          <w:trHeight w:val="221"/>
        </w:trPr>
        <w:tc>
          <w:tcPr>
            <w:tcW w:w="6620" w:type="dxa"/>
            <w:vAlign w:val="bottom"/>
          </w:tcPr>
          <w:p>
            <w:pPr>
              <w:ind w:left="220"/>
              <w:spacing w:after="0"/>
              <w:rPr>
                <w:sz w:val="20"/>
                <w:szCs w:val="20"/>
                <w:color w:val="auto"/>
              </w:rPr>
            </w:pPr>
            <w:r>
              <w:rPr>
                <w:rFonts w:ascii="Arial" w:cs="Arial" w:eastAsia="Arial" w:hAnsi="Arial"/>
                <w:sz w:val="17"/>
                <w:szCs w:val="17"/>
                <w:color w:val="auto"/>
              </w:rPr>
              <w:t>Statutory surplus</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7"/>
                <w:szCs w:val="17"/>
                <w:color w:val="auto"/>
              </w:rPr>
              <w:t>50,668</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7"/>
                <w:szCs w:val="17"/>
                <w:color w:val="auto"/>
              </w:rPr>
              <w:t>57,368</w:t>
            </w:r>
          </w:p>
        </w:tc>
      </w:tr>
      <w:tr>
        <w:trPr>
          <w:trHeight w:val="234"/>
        </w:trPr>
        <w:tc>
          <w:tcPr>
            <w:tcW w:w="6620" w:type="dxa"/>
            <w:vAlign w:val="bottom"/>
            <w:shd w:val="clear" w:color="auto" w:fill="CCEEFF"/>
          </w:tcPr>
          <w:p>
            <w:pPr>
              <w:ind w:left="220"/>
              <w:spacing w:after="0"/>
              <w:rPr>
                <w:sz w:val="20"/>
                <w:szCs w:val="20"/>
                <w:color w:val="auto"/>
              </w:rPr>
            </w:pPr>
            <w:r>
              <w:rPr>
                <w:rFonts w:ascii="Arial" w:cs="Arial" w:eastAsia="Arial" w:hAnsi="Arial"/>
                <w:sz w:val="17"/>
                <w:szCs w:val="17"/>
                <w:color w:val="auto"/>
              </w:rPr>
              <w:t>Contingency reserve liability</w:t>
            </w:r>
          </w:p>
        </w:tc>
        <w:tc>
          <w:tcPr>
            <w:tcW w:w="10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55,164</w:t>
            </w:r>
          </w:p>
        </w:tc>
        <w:tc>
          <w:tcPr>
            <w:tcW w:w="12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57,415</w:t>
            </w:r>
          </w:p>
        </w:tc>
      </w:tr>
    </w:tbl>
    <w:p>
      <w:pPr>
        <w:spacing w:after="0" w:line="299" w:lineRule="exact"/>
        <w:rPr>
          <w:sz w:val="20"/>
          <w:szCs w:val="20"/>
          <w:color w:val="auto"/>
        </w:rPr>
      </w:pPr>
    </w:p>
    <w:p>
      <w:pPr>
        <w:ind w:right="100" w:firstLine="623"/>
        <w:spacing w:after="0" w:line="300" w:lineRule="auto"/>
        <w:rPr>
          <w:sz w:val="20"/>
          <w:szCs w:val="20"/>
          <w:color w:val="auto"/>
        </w:rPr>
      </w:pPr>
      <w:r>
        <w:rPr>
          <w:rFonts w:ascii="Arial" w:cs="Arial" w:eastAsia="Arial" w:hAnsi="Arial"/>
          <w:sz w:val="15"/>
          <w:szCs w:val="15"/>
          <w:color w:val="auto"/>
        </w:rPr>
        <w:t>Net income determined in accordance with statutory accounting practices differs from GAAP. In 2023 and 2022, the more significant differences between net income determined under statutory accounting practices and GAAP for Essent Guaranty and Essent PA relate to policy acquisition costs and income taxes. Under statutory accounting practices, policy acquisition costs are expensed as incurred while such costs are capitalized and amortized to expense over the life of the policy under GAAP. We are eligible for a tax deduction, subject to certain limitations for amounts required by state law or regulation to be set aside in statutory contingency reserves when we purchase non-interest-bearing United States Mortgage Guaranty Tax and Loss Bonds (“T&amp;L Bonds”) issued by the Treasury Department. Under statutory accounting practices, this deduction reduces the tax provision recorded by Essent Guaranty and Essent PA and, as a result, increases statutory net income and surplus as compared to net income and equity determined in accordance with GAAP.</w:t>
      </w:r>
    </w:p>
    <w:p>
      <w:pPr>
        <w:spacing w:after="0" w:line="178" w:lineRule="exact"/>
        <w:rPr>
          <w:sz w:val="20"/>
          <w:szCs w:val="20"/>
          <w:color w:val="auto"/>
        </w:rPr>
      </w:pPr>
    </w:p>
    <w:p>
      <w:pPr>
        <w:ind w:right="320" w:firstLine="623"/>
        <w:spacing w:after="0" w:line="285" w:lineRule="auto"/>
        <w:rPr>
          <w:sz w:val="20"/>
          <w:szCs w:val="20"/>
          <w:color w:val="auto"/>
        </w:rPr>
      </w:pPr>
      <w:r>
        <w:rPr>
          <w:rFonts w:ascii="Arial" w:cs="Arial" w:eastAsia="Arial" w:hAnsi="Arial"/>
          <w:sz w:val="17"/>
          <w:szCs w:val="17"/>
          <w:color w:val="auto"/>
        </w:rPr>
        <w:t>At June 30, 2023 and 2022, the statutory capital of our U.S. insurance subsidiaries, which is defined as the total of statutory surplus and contingency reserves, was in excess of the statutory capital necessary to satisfy their regulatory requirements.</w:t>
      </w:r>
    </w:p>
    <w:p>
      <w:pPr>
        <w:spacing w:after="0" w:line="185" w:lineRule="exact"/>
        <w:rPr>
          <w:sz w:val="20"/>
          <w:szCs w:val="20"/>
          <w:color w:val="auto"/>
        </w:rPr>
      </w:pPr>
    </w:p>
    <w:p>
      <w:pPr>
        <w:ind w:firstLine="623"/>
        <w:spacing w:after="0" w:line="278" w:lineRule="auto"/>
        <w:rPr>
          <w:sz w:val="20"/>
          <w:szCs w:val="20"/>
          <w:color w:val="auto"/>
        </w:rPr>
      </w:pPr>
      <w:r>
        <w:rPr>
          <w:rFonts w:ascii="Arial" w:cs="Arial" w:eastAsia="Arial" w:hAnsi="Arial"/>
          <w:sz w:val="16"/>
          <w:szCs w:val="16"/>
          <w:color w:val="auto"/>
        </w:rPr>
        <w:t>Effective December 31, 2015, Fannie Mae and Freddie Mac, at the direction of the Federal Housing Finance Agency, implemented new coordinated Private Mortgage Insurer Eligibility Requirements, which we refer to as the "PMIERs." The PMIERs represent the standards by which private mortgage insurers are eligible to provide mortgage insurance on loans owned or guaranteed by Fannie Mae and Freddie Mac. The PMIERs include financial strength requirements incorporating a risk-based framework that require approved insurers to have a sufficient level of liquid assets from which to pay claims. The PMIERs also include enhanced operational performance expectations and define remedial actions that apply should an approved insurer fail to comply with these requirements. In 2018, the GSEs released revised PMIERs framework ("PMIERs 2.0") which became effective on March 31, 2019. As of June 30, 2023, Essent Guaranty, our GSE-approved mortgage insurance company, was in compliance with PMIERs 2.0.</w:t>
      </w:r>
    </w:p>
    <w:p>
      <w:pPr>
        <w:spacing w:after="0" w:line="196" w:lineRule="exact"/>
        <w:rPr>
          <w:sz w:val="20"/>
          <w:szCs w:val="20"/>
          <w:color w:val="auto"/>
        </w:rPr>
      </w:pPr>
    </w:p>
    <w:p>
      <w:pPr>
        <w:ind w:right="40" w:firstLine="623"/>
        <w:spacing w:after="0" w:line="260" w:lineRule="auto"/>
        <w:rPr>
          <w:sz w:val="20"/>
          <w:szCs w:val="20"/>
          <w:color w:val="auto"/>
        </w:rPr>
      </w:pPr>
      <w:r>
        <w:rPr>
          <w:rFonts w:ascii="Arial" w:cs="Arial" w:eastAsia="Arial" w:hAnsi="Arial"/>
          <w:sz w:val="17"/>
          <w:szCs w:val="17"/>
          <w:color w:val="auto"/>
        </w:rPr>
        <w:t xml:space="preserve">Statement of Statutory Accounting Principles No. 58, </w:t>
      </w:r>
      <w:r>
        <w:rPr>
          <w:rFonts w:ascii="Arial" w:cs="Arial" w:eastAsia="Arial" w:hAnsi="Arial"/>
          <w:sz w:val="17"/>
          <w:szCs w:val="17"/>
          <w:i w:val="1"/>
          <w:iCs w:val="1"/>
          <w:color w:val="auto"/>
        </w:rPr>
        <w:t>Mortgage Guaranty Insurance,</w:t>
      </w:r>
      <w:r>
        <w:rPr>
          <w:rFonts w:ascii="Arial" w:cs="Arial" w:eastAsia="Arial" w:hAnsi="Arial"/>
          <w:sz w:val="17"/>
          <w:szCs w:val="17"/>
          <w:color w:val="auto"/>
        </w:rPr>
        <w:t xml:space="preserve"> requires mortgage insurers to establish a special contingency reserve for statutory accounting purposes included in total liabilities equal to 50% of earned premium for that year. This reserve is required to be maintained for a period of 120 months to protect against the effects of adverse economic cycles. After 120 months, the reserve is released to unassigned funds. In the event an insurer’s loss ratio in any calendar year exceeds 35%, however, the insurer may, after regulatory approval, release from its contingency reserves an amount equal to the excess portion of such losses. During the six months ended June 30, 2023, Essent Guaranty increased its contingency reserve by $110.0 million and Essent PA decreased its contingency reserve by $1.6 million. During the six months ended June 30, 2023 and 2022, Essent Guaranty released contingency reserves of $22.5 million and $6.3 million, respectively,</w:t>
      </w:r>
    </w:p>
    <w:p>
      <w:pPr>
        <w:spacing w:after="0" w:line="200" w:lineRule="exact"/>
        <w:rPr>
          <w:sz w:val="20"/>
          <w:szCs w:val="20"/>
          <w:color w:val="auto"/>
        </w:rPr>
      </w:pPr>
    </w:p>
    <w:p>
      <w:pPr>
        <w:spacing w:after="0" w:line="34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68580</wp:posOffset>
            </wp:positionV>
            <wp:extent cx="7162800" cy="419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27" w:name="page28"/>
    <w:bookmarkEnd w:id="27"/>
    <w:p>
      <w:pPr>
        <w:spacing w:after="0"/>
        <w:rPr>
          <w:sz w:val="20"/>
          <w:szCs w:val="20"/>
          <w:color w:val="auto"/>
        </w:rPr>
      </w:pPr>
      <w:r>
        <w:rPr>
          <w:rFonts w:ascii="Arial" w:cs="Arial" w:eastAsia="Arial" w:hAnsi="Arial"/>
          <w:sz w:val="17"/>
          <w:szCs w:val="17"/>
          <w:u w:val="single" w:color="auto"/>
          <w:color w:val="0000FF"/>
        </w:rPr>
        <w:t>Table of Contents</w:t>
      </w:r>
    </w:p>
    <w:p>
      <w:pPr>
        <w:spacing w:after="0" w:line="25" w:lineRule="exact"/>
        <w:rPr>
          <w:sz w:val="20"/>
          <w:szCs w:val="20"/>
          <w:color w:val="auto"/>
        </w:rPr>
      </w:pPr>
    </w:p>
    <w:p>
      <w:pPr>
        <w:jc w:val="center"/>
        <w:ind w:right="-79"/>
        <w:spacing w:after="0"/>
        <w:rPr>
          <w:sz w:val="20"/>
          <w:szCs w:val="20"/>
          <w:color w:val="auto"/>
        </w:rPr>
      </w:pPr>
      <w:r>
        <w:rPr>
          <w:rFonts w:ascii="Arial" w:cs="Arial" w:eastAsia="Arial" w:hAnsi="Arial"/>
          <w:sz w:val="17"/>
          <w:szCs w:val="17"/>
          <w:b w:val="1"/>
          <w:bCs w:val="1"/>
          <w:color w:val="auto"/>
        </w:rPr>
        <w:t>Essent Group Ltd. and Subsidiaries</w:t>
      </w:r>
    </w:p>
    <w:p>
      <w:pPr>
        <w:spacing w:after="0" w:line="201" w:lineRule="exact"/>
        <w:rPr>
          <w:sz w:val="20"/>
          <w:szCs w:val="20"/>
          <w:color w:val="auto"/>
        </w:rPr>
      </w:pPr>
    </w:p>
    <w:p>
      <w:pPr>
        <w:jc w:val="center"/>
        <w:ind w:right="-79"/>
        <w:spacing w:after="0"/>
        <w:rPr>
          <w:sz w:val="20"/>
          <w:szCs w:val="20"/>
          <w:color w:val="auto"/>
        </w:rPr>
      </w:pPr>
      <w:r>
        <w:rPr>
          <w:rFonts w:ascii="Arial" w:cs="Arial" w:eastAsia="Arial" w:hAnsi="Arial"/>
          <w:sz w:val="17"/>
          <w:szCs w:val="17"/>
          <w:b w:val="1"/>
          <w:bCs w:val="1"/>
          <w:color w:val="auto"/>
        </w:rPr>
        <w:t>Notes to Condensed Consolidated Financial Statements (Unaudited)</w:t>
      </w:r>
    </w:p>
    <w:p>
      <w:pPr>
        <w:spacing w:after="0" w:line="200" w:lineRule="exact"/>
        <w:rPr>
          <w:sz w:val="20"/>
          <w:szCs w:val="20"/>
          <w:color w:val="auto"/>
        </w:rPr>
      </w:pPr>
    </w:p>
    <w:p>
      <w:pPr>
        <w:spacing w:after="0" w:line="234" w:lineRule="exact"/>
        <w:rPr>
          <w:sz w:val="20"/>
          <w:szCs w:val="20"/>
          <w:color w:val="auto"/>
        </w:rPr>
      </w:pPr>
    </w:p>
    <w:p>
      <w:pPr>
        <w:ind w:right="440"/>
        <w:spacing w:after="0" w:line="285" w:lineRule="auto"/>
        <w:rPr>
          <w:sz w:val="20"/>
          <w:szCs w:val="20"/>
          <w:color w:val="auto"/>
        </w:rPr>
      </w:pPr>
      <w:r>
        <w:rPr>
          <w:rFonts w:ascii="Arial" w:cs="Arial" w:eastAsia="Arial" w:hAnsi="Arial"/>
          <w:sz w:val="17"/>
          <w:szCs w:val="17"/>
          <w:color w:val="auto"/>
        </w:rPr>
        <w:t>and Essent PA released contingency reserves of $1.9 million and $0.5 million, respectively, to unassigned funds upon completion of the 120 month holding period.</w:t>
      </w:r>
    </w:p>
    <w:p>
      <w:pPr>
        <w:spacing w:after="0" w:line="185" w:lineRule="exact"/>
        <w:rPr>
          <w:sz w:val="20"/>
          <w:szCs w:val="20"/>
          <w:color w:val="auto"/>
        </w:rPr>
      </w:pPr>
    </w:p>
    <w:p>
      <w:pPr>
        <w:ind w:right="140" w:firstLine="623"/>
        <w:spacing w:after="0" w:line="282" w:lineRule="auto"/>
        <w:rPr>
          <w:sz w:val="20"/>
          <w:szCs w:val="20"/>
          <w:color w:val="auto"/>
        </w:rPr>
      </w:pPr>
      <w:r>
        <w:rPr>
          <w:rFonts w:ascii="Arial" w:cs="Arial" w:eastAsia="Arial" w:hAnsi="Arial"/>
          <w:sz w:val="16"/>
          <w:szCs w:val="16"/>
          <w:color w:val="auto"/>
        </w:rPr>
        <w:t>Under The Insurance Act 1978, as amended, and related regulations of Bermuda (the "Insurance Act"), Essent Re is required to annually prepare statutory financial statements and a statutory financial return in accordance with the financial reporting provisions of the Insurance Act, which is a basis other than GAAP. The Insurance Act also requires that Essent Re maintain minimum share capital of $1 million and must ensure that the value of its general business assets exceeds the amount of its general business liabilities by an amount greater than the prescribed minimum solvency margins and enhanced capital requirement pertaining to its general business. At December 31, 2022, all such requirements were met.</w:t>
      </w:r>
    </w:p>
    <w:p>
      <w:pPr>
        <w:spacing w:after="0" w:line="191" w:lineRule="exact"/>
        <w:rPr>
          <w:sz w:val="20"/>
          <w:szCs w:val="20"/>
          <w:color w:val="auto"/>
        </w:rPr>
      </w:pPr>
    </w:p>
    <w:p>
      <w:pPr>
        <w:ind w:firstLine="623"/>
        <w:spacing w:after="0" w:line="265" w:lineRule="auto"/>
        <w:rPr>
          <w:sz w:val="20"/>
          <w:szCs w:val="20"/>
          <w:color w:val="auto"/>
        </w:rPr>
      </w:pPr>
      <w:r>
        <w:rPr>
          <w:rFonts w:ascii="Arial" w:cs="Arial" w:eastAsia="Arial" w:hAnsi="Arial"/>
          <w:sz w:val="17"/>
          <w:szCs w:val="17"/>
          <w:color w:val="auto"/>
        </w:rPr>
        <w:t>Essent Re's statutory capital and surplus was $1.6 billion as of June 30, 2023 and $1.5 billion as of December 31, 2022. Essent Re's statutory net income was $150.0 million and $178.5 million for the six months ended June 30, 2023 and 2022, respectively. Statutory capital and surplus as of June 30, 2023 and December 31, 2022 and statutory net income in the six months ended June 30, 2023 and 2022 determined in accordance with statutory accounting practices were not significantly different than the amounts determined under GAAP.</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68580</wp:posOffset>
            </wp:positionV>
            <wp:extent cx="7162800" cy="419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180"/>
          </w:cols>
          <w:pgMar w:left="320" w:top="127" w:right="399" w:bottom="1440" w:gutter="0" w:footer="0" w:header="0"/>
        </w:sectPr>
      </w:pPr>
    </w:p>
    <w:bookmarkStart w:id="28" w:name="page29"/>
    <w:bookmarkEnd w:id="28"/>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2.  Management’s Discussion and Analysis of Financial Condition and Results of Operations</w:t>
      </w:r>
    </w:p>
    <w:p>
      <w:pPr>
        <w:spacing w:after="0" w:line="226" w:lineRule="exact"/>
        <w:rPr>
          <w:sz w:val="20"/>
          <w:szCs w:val="20"/>
          <w:color w:val="auto"/>
        </w:rPr>
      </w:pPr>
    </w:p>
    <w:p>
      <w:pPr>
        <w:ind w:right="200" w:firstLine="623"/>
        <w:spacing w:after="0" w:line="258" w:lineRule="auto"/>
        <w:rPr>
          <w:sz w:val="20"/>
          <w:szCs w:val="20"/>
          <w:color w:val="auto"/>
        </w:rPr>
      </w:pPr>
      <w:r>
        <w:rPr>
          <w:rFonts w:ascii="Arial" w:cs="Arial" w:eastAsia="Arial" w:hAnsi="Arial"/>
          <w:sz w:val="17"/>
          <w:szCs w:val="17"/>
          <w:i w:val="1"/>
          <w:iCs w:val="1"/>
          <w:color w:val="auto"/>
        </w:rPr>
        <w:t>The following discussion should be read together with the “Selected Financial Data” and our audited consolidated financial statements and related notes included in our Annual Report on Form 10-K as of and for the year ended December 31, 2022 as filed with the Securities and Exchange Commission and referred to herein as the “Annual Report,” and our condensed consolidated financial statements and related notes as of and for the three and six months ended June 30, 2023 included in Part I, Item 1 of this Quarterly Report on Form 10-Q, which we refer to as the “Quarterly Report.” In addition to historical information, this discussion contains forward-looking statements that involve risks, uncertainties and assumptions that could cause actual results to differ materially from management’s expectations. Factors that could cause such differences are discussed in the sections entitled “Special Note Regarding Forward-Looking Statements” in this Quarterly Report and Part I, Item 1A “Risk Factors” in our Annual Report and Part II, Item 1A “Risk Factors” in this Quarterly Report. We are not undertaking any obligation to update any forward-looking statements or other statements we may make in the following discussion or elsewhere in this document even though these statements may be affected by events or circumstances occurring after the forward-looking statements or other statements were made.</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Overview</w:t>
      </w:r>
    </w:p>
    <w:p>
      <w:pPr>
        <w:spacing w:after="0" w:line="226" w:lineRule="exact"/>
        <w:rPr>
          <w:sz w:val="20"/>
          <w:szCs w:val="20"/>
          <w:color w:val="auto"/>
        </w:rPr>
      </w:pPr>
    </w:p>
    <w:p>
      <w:pPr>
        <w:ind w:firstLine="623"/>
        <w:spacing w:after="0" w:line="265" w:lineRule="auto"/>
        <w:rPr>
          <w:sz w:val="20"/>
          <w:szCs w:val="20"/>
          <w:color w:val="auto"/>
        </w:rPr>
      </w:pPr>
      <w:r>
        <w:rPr>
          <w:rFonts w:ascii="Arial" w:cs="Arial" w:eastAsia="Arial" w:hAnsi="Arial"/>
          <w:sz w:val="17"/>
          <w:szCs w:val="17"/>
          <w:color w:val="auto"/>
        </w:rPr>
        <w:t>We are an established private mortgage insurance company. Essent Guaranty, Inc., our wholly-owned insurance subsidiary which we refer to as "Essent Guaranty," is licensed to write coverage in all 50 states and the District of Columbia. The financial strength ratings of Essent Guaranty are A3 with a stable outlook by Moody’s Investors Service (“Moody's”), BBB+ with a stable outlook by S&amp;P Global Ratings (“S&amp;P”) and A (Excellent) with a stable outlook by A.M. Best.</w:t>
      </w:r>
    </w:p>
    <w:p>
      <w:pPr>
        <w:spacing w:after="0" w:line="175" w:lineRule="exact"/>
        <w:rPr>
          <w:sz w:val="20"/>
          <w:szCs w:val="20"/>
          <w:color w:val="auto"/>
        </w:rPr>
      </w:pPr>
    </w:p>
    <w:p>
      <w:pPr>
        <w:ind w:right="300" w:firstLine="623"/>
        <w:spacing w:after="0" w:line="286" w:lineRule="auto"/>
        <w:rPr>
          <w:sz w:val="20"/>
          <w:szCs w:val="20"/>
          <w:color w:val="auto"/>
        </w:rPr>
      </w:pPr>
      <w:r>
        <w:rPr>
          <w:rFonts w:ascii="Arial" w:cs="Arial" w:eastAsia="Arial" w:hAnsi="Arial"/>
          <w:sz w:val="16"/>
          <w:szCs w:val="16"/>
          <w:color w:val="auto"/>
        </w:rPr>
        <w:t>Our holding company is domiciled in Bermuda and our U.S. mortgage insurance business is headquartered in Radnor, Pennsylvania. We operate an additional underwriting and service center in Winston-Salem, North Carolina. We have a highly experienced, talented team with 347 employees as of June 30, 2023. We generated new insurance written, or NIW, of approximately $13.5 billion and $26.4 billion for the three and six months ended June 30, 2023, respectively, compared to approximately $20.1 billion and $32.9 billion for the three and six months ended June 30, 2022, respectively.</w:t>
      </w:r>
    </w:p>
    <w:p>
      <w:pPr>
        <w:spacing w:after="0" w:line="395" w:lineRule="exact"/>
        <w:rPr>
          <w:sz w:val="20"/>
          <w:szCs w:val="20"/>
          <w:color w:val="auto"/>
        </w:rPr>
      </w:pPr>
    </w:p>
    <w:p>
      <w:pPr>
        <w:ind w:right="20" w:firstLine="623"/>
        <w:spacing w:after="0" w:line="260" w:lineRule="auto"/>
        <w:rPr>
          <w:sz w:val="20"/>
          <w:szCs w:val="20"/>
          <w:color w:val="auto"/>
        </w:rPr>
      </w:pPr>
      <w:r>
        <w:rPr>
          <w:rFonts w:ascii="Arial" w:cs="Arial" w:eastAsia="Arial" w:hAnsi="Arial"/>
          <w:sz w:val="17"/>
          <w:szCs w:val="17"/>
          <w:color w:val="auto"/>
        </w:rPr>
        <w:t>We also offer mortgage-related insurance and reinsurance through our wholly-owned Bermuda-based subsidiary, Essent Reinsurance Ltd., which we refer to as "Essent Re." As of June 30, 2023, Essent Re provided insurance or reinsurance relating to GSE risk share and other reinsurance transactions covering approximately $2.3 billion of risk. Essent Re also reinsures Essent Guaranty’s NIW under a quota share reinsurance agreement. In April 2021, Essent Guaranty and Essent Re agreed to increase the quota share reinsurance coverage of Essent Guaranty’s NIW provided by Essent Re from 25% to 35% effective January 1, 2021. The quota share reinsurance coverage provided by Essent Re for Essent Guaranty’s NIW prior to January 1, 2021 will continue to be 25%, the quota share percentage in effect at the time NIW was first ceded. The insurer financial strength ratings of Essent Re are BBB+ with a stable outlook by S&amp;P and A (Excellent) with a stable outlook by A.M. Best</w:t>
      </w:r>
    </w:p>
    <w:p>
      <w:pPr>
        <w:spacing w:after="0" w:line="205" w:lineRule="exact"/>
        <w:rPr>
          <w:sz w:val="20"/>
          <w:szCs w:val="20"/>
          <w:color w:val="auto"/>
        </w:rPr>
      </w:pPr>
    </w:p>
    <w:p>
      <w:pPr>
        <w:ind w:left="620"/>
        <w:spacing w:after="0"/>
        <w:rPr>
          <w:sz w:val="20"/>
          <w:szCs w:val="20"/>
          <w:color w:val="auto"/>
        </w:rPr>
      </w:pPr>
      <w:r>
        <w:rPr>
          <w:rFonts w:ascii="Arial" w:cs="Arial" w:eastAsia="Arial" w:hAnsi="Arial"/>
          <w:sz w:val="17"/>
          <w:szCs w:val="17"/>
          <w:b w:val="1"/>
          <w:bCs w:val="1"/>
          <w:i w:val="1"/>
          <w:iCs w:val="1"/>
          <w:color w:val="auto"/>
        </w:rPr>
        <w:t>COVID-19</w:t>
      </w:r>
    </w:p>
    <w:p>
      <w:pPr>
        <w:spacing w:after="0" w:line="246" w:lineRule="exact"/>
        <w:rPr>
          <w:sz w:val="20"/>
          <w:szCs w:val="20"/>
          <w:color w:val="auto"/>
        </w:rPr>
      </w:pPr>
    </w:p>
    <w:p>
      <w:pPr>
        <w:ind w:right="20" w:firstLine="623"/>
        <w:spacing w:after="0" w:line="298" w:lineRule="auto"/>
        <w:rPr>
          <w:sz w:val="20"/>
          <w:szCs w:val="20"/>
          <w:color w:val="auto"/>
        </w:rPr>
      </w:pPr>
      <w:r>
        <w:rPr>
          <w:rFonts w:ascii="Arial" w:cs="Arial" w:eastAsia="Arial" w:hAnsi="Arial"/>
          <w:sz w:val="15"/>
          <w:szCs w:val="15"/>
          <w:color w:val="auto"/>
        </w:rPr>
        <w:t>Due to the novel coronavirus disease 2019 ("COVID-19"), we experienced a significant increase in the amount of new defaults reported in 2020, especially during the second and third quarters of 2020. We segmented these two quarters’ 49,398 defaults as specifically COVID-19 related (“Early COVID Defaults”) and provided losses for these two cohorts differently as compared to our normal loss reserving methodology. The default-to-claim transition patterns of the Early COVID Defaults have been different than our historical defaults. We believe that the borrowers associated with the Early COVID Defaults have been able to take advantage of foreclosure moratoriums and mortgage forbearance programs instituted by Federal legislation along with actions taken by the Federal Housing Finance Agency (“FHFA”), Fannie Mae and Freddie Mac (collectively the “GSEs”) which has extend traditional default-to-claim timelines. As a result of these programs, along with Federal stimulus, these borrowers associated with the Early COVID Defaults have had more resources and an extended time period to address the issues that triggered the default, that we believe will result in a higher cure rate, and correspondingly lower claim payments than historical defaults.</w:t>
      </w:r>
    </w:p>
    <w:p>
      <w:pPr>
        <w:spacing w:after="0" w:line="182" w:lineRule="exact"/>
        <w:rPr>
          <w:sz w:val="20"/>
          <w:szCs w:val="20"/>
          <w:color w:val="auto"/>
        </w:rPr>
      </w:pPr>
    </w:p>
    <w:p>
      <w:pPr>
        <w:ind w:right="80" w:firstLine="173"/>
        <w:spacing w:after="0" w:line="265" w:lineRule="auto"/>
        <w:rPr>
          <w:sz w:val="20"/>
          <w:szCs w:val="20"/>
          <w:color w:val="auto"/>
        </w:rPr>
      </w:pPr>
      <w:r>
        <w:rPr>
          <w:rFonts w:ascii="Arial" w:cs="Arial" w:eastAsia="Arial" w:hAnsi="Arial"/>
          <w:sz w:val="17"/>
          <w:szCs w:val="17"/>
          <w:color w:val="auto"/>
        </w:rPr>
        <w:t>Over 90% of loans insured by Essent are federally backed by Fannie Mae or Freddie Mac. As a mortgage loan in forbearance is considered delinquent, we will provide loss reserves as loans in forbearance are reported to us as delinquent once the borrower has missed two consecutive payments. However, we believe providing borrowers time to recover from the adverse financial impact of the COVID-19 event may allow some families to be able to remain in their homes and avoid foreclosure.</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68580</wp:posOffset>
            </wp:positionV>
            <wp:extent cx="7162800" cy="419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9" w:name="page30"/>
    <w:bookmarkEnd w:id="29"/>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344" w:lineRule="exact"/>
        <w:rPr>
          <w:sz w:val="20"/>
          <w:szCs w:val="20"/>
          <w:color w:val="auto"/>
        </w:rPr>
      </w:pPr>
    </w:p>
    <w:p>
      <w:pPr>
        <w:ind w:right="140" w:firstLine="623"/>
        <w:spacing w:after="0" w:line="270" w:lineRule="auto"/>
        <w:rPr>
          <w:sz w:val="20"/>
          <w:szCs w:val="20"/>
          <w:color w:val="auto"/>
        </w:rPr>
      </w:pPr>
      <w:r>
        <w:rPr>
          <w:rFonts w:ascii="Arial" w:cs="Arial" w:eastAsia="Arial" w:hAnsi="Arial"/>
          <w:sz w:val="17"/>
          <w:szCs w:val="17"/>
          <w:color w:val="auto"/>
        </w:rPr>
        <w:t>As of June 30, 2023, approximately 99% of the Early COVID Defaults had cured. While this level of cure activity exceeded our initial expectations for the Early COVID Defaults, the transition of defaults to foreclosure or claim has not returned to pre-pandemic levels. As a result, the level of defaults in the default inventory that have missed twelve or more payments is above pre-pandemic levels.</w:t>
      </w:r>
    </w:p>
    <w:p>
      <w:pPr>
        <w:spacing w:after="0" w:line="197" w:lineRule="exact"/>
        <w:rPr>
          <w:sz w:val="20"/>
          <w:szCs w:val="20"/>
          <w:color w:val="auto"/>
        </w:rPr>
      </w:pPr>
    </w:p>
    <w:p>
      <w:pPr>
        <w:ind w:left="620"/>
        <w:spacing w:after="0"/>
        <w:rPr>
          <w:sz w:val="20"/>
          <w:szCs w:val="20"/>
          <w:color w:val="auto"/>
        </w:rPr>
      </w:pPr>
      <w:r>
        <w:rPr>
          <w:rFonts w:ascii="Arial" w:cs="Arial" w:eastAsia="Arial" w:hAnsi="Arial"/>
          <w:sz w:val="17"/>
          <w:szCs w:val="17"/>
          <w:b w:val="1"/>
          <w:bCs w:val="1"/>
          <w:i w:val="1"/>
          <w:iCs w:val="1"/>
          <w:color w:val="auto"/>
        </w:rPr>
        <w:t>Current Economic Developments</w:t>
      </w:r>
    </w:p>
    <w:p>
      <w:pPr>
        <w:spacing w:after="0" w:line="246" w:lineRule="exact"/>
        <w:rPr>
          <w:sz w:val="20"/>
          <w:szCs w:val="20"/>
          <w:color w:val="auto"/>
        </w:rPr>
      </w:pPr>
    </w:p>
    <w:p>
      <w:pPr>
        <w:ind w:right="140" w:firstLine="623"/>
        <w:spacing w:after="0" w:line="259" w:lineRule="auto"/>
        <w:rPr>
          <w:sz w:val="20"/>
          <w:szCs w:val="20"/>
          <w:color w:val="auto"/>
        </w:rPr>
      </w:pPr>
      <w:r>
        <w:rPr>
          <w:rFonts w:ascii="Arial" w:cs="Arial" w:eastAsia="Arial" w:hAnsi="Arial"/>
          <w:sz w:val="17"/>
          <w:szCs w:val="17"/>
          <w:color w:val="auto"/>
        </w:rPr>
        <w:t>The economy in the United States is currently experiencing elevated levels of consumer price inflation. The Federal Reserve has increased the target federal funds rate several times during 2022 and 2023 in an effort to reduce consumer price inflation. These rate increases have resulted in higher mortgage interest rates which may lower home sale activity and affect the options available to delinquent borrowers. The impact on our reserves in future periods will be dependent upon the amount of delinquent notices received from loan servicers and our expectations for the amount of ultimate losses on these delinquencies. As noted in “— Liquidity and Capital Resources,” Essent had substantial liquidity and had Available Assets in excess of Minimum Required Assets under PMIERs 2.0 as of June 30, 2023. Future increases in defaults may result in an increase in our provisions for loss and loss adjustment expenses compared to prior periods, reduced profit commission under our quota share reinsurance agreements with panels of third-party reinsurers ("the QSR Agreements") and an increase in our Minimum Required Assets.</w:t>
      </w:r>
    </w:p>
    <w:p>
      <w:pPr>
        <w:spacing w:after="0" w:line="20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Legislative and Regulatory Developments</w:t>
      </w:r>
    </w:p>
    <w:p>
      <w:pPr>
        <w:spacing w:after="0" w:line="226" w:lineRule="exact"/>
        <w:rPr>
          <w:sz w:val="20"/>
          <w:szCs w:val="20"/>
          <w:color w:val="auto"/>
        </w:rPr>
      </w:pPr>
    </w:p>
    <w:p>
      <w:pPr>
        <w:ind w:right="260" w:firstLine="623"/>
        <w:spacing w:after="0" w:line="265" w:lineRule="auto"/>
        <w:rPr>
          <w:sz w:val="20"/>
          <w:szCs w:val="20"/>
          <w:color w:val="auto"/>
        </w:rPr>
      </w:pPr>
      <w:r>
        <w:rPr>
          <w:rFonts w:ascii="Arial" w:cs="Arial" w:eastAsia="Arial" w:hAnsi="Arial"/>
          <w:sz w:val="17"/>
          <w:szCs w:val="17"/>
          <w:color w:val="auto"/>
        </w:rPr>
        <w:t>Our results are significantly impacted by, and our future success may be affected by, legislative and regulatory developments affecting the housing finance industry. See Part I, Item 1 “Business—Regulation” and Part II, Item 7 “Management’s Discussion and Analysis of Financial Condition and Results of Operations—Legislative and Regulatory Developments” in our Annual Report for a discussion of the laws and regulations to which we are subject as well as legislative and regulatory developments affecting the housing finance industry.</w:t>
      </w:r>
    </w:p>
    <w:p>
      <w:pPr>
        <w:spacing w:after="0" w:line="201" w:lineRule="exact"/>
        <w:rPr>
          <w:sz w:val="20"/>
          <w:szCs w:val="20"/>
          <w:color w:val="auto"/>
        </w:rPr>
      </w:pPr>
    </w:p>
    <w:p>
      <w:pPr>
        <w:ind w:firstLine="173"/>
        <w:spacing w:after="0" w:line="262" w:lineRule="auto"/>
        <w:rPr>
          <w:sz w:val="20"/>
          <w:szCs w:val="20"/>
          <w:color w:val="auto"/>
        </w:rPr>
      </w:pPr>
      <w:r>
        <w:rPr>
          <w:rFonts w:ascii="Arial" w:cs="Arial" w:eastAsia="Arial" w:hAnsi="Arial"/>
          <w:sz w:val="17"/>
          <w:szCs w:val="17"/>
          <w:color w:val="auto"/>
        </w:rPr>
        <w:t>The U.S. Internal Revenue Service and Department of the Treasury published both final and newly proposed regulations in January 2021 relating to the tax treatment of passive foreign investment companies ("PFICs"). The final regulations provide guidance on various PFIC rules, including changes resulting from the 2017 Tax Cuts and Jobs Act. In addition, the Company is evaluating the potential impact of the newly proposed PFIC regulations to its shareholders and business operations. The newly proposed regulations, among other provisions, set a limit on the amount of assets that may be deemed “non-passive assets” within the PFIC asset test of a foreign holding company.</w:t>
      </w:r>
    </w:p>
    <w:p>
      <w:pPr>
        <w:spacing w:after="0" w:line="205" w:lineRule="exact"/>
        <w:rPr>
          <w:sz w:val="20"/>
          <w:szCs w:val="20"/>
          <w:color w:val="auto"/>
        </w:rPr>
      </w:pPr>
    </w:p>
    <w:p>
      <w:pPr>
        <w:ind w:right="280" w:firstLine="623"/>
        <w:spacing w:after="0" w:line="265" w:lineRule="auto"/>
        <w:rPr>
          <w:sz w:val="20"/>
          <w:szCs w:val="20"/>
          <w:color w:val="auto"/>
        </w:rPr>
      </w:pPr>
      <w:r>
        <w:rPr>
          <w:rFonts w:ascii="Arial" w:cs="Arial" w:eastAsia="Arial" w:hAnsi="Arial"/>
          <w:sz w:val="17"/>
          <w:szCs w:val="17"/>
          <w:color w:val="auto"/>
        </w:rPr>
        <w:t>On August 16, 2022, the “Inflation Reduction Act of 2022” (“IRA”), was enacted, which, among other things, provides for a corporate alternative minimum tax and an excise tax on corporate stock repurchases. Based on our current analysis of the provisions, we do not expect the IRA to have a material impact on our financial position or results of operations. As the IRS issues additional guidance related to the IRA, we will evaluate any potential impact to our consolidated financial statements.</w:t>
      </w:r>
    </w:p>
    <w:p>
      <w:pPr>
        <w:spacing w:after="0" w:line="188" w:lineRule="exact"/>
        <w:rPr>
          <w:sz w:val="20"/>
          <w:szCs w:val="20"/>
          <w:color w:val="auto"/>
        </w:rPr>
      </w:pPr>
    </w:p>
    <w:p>
      <w:pPr>
        <w:ind w:right="40" w:firstLine="623"/>
        <w:spacing w:after="0" w:line="245" w:lineRule="auto"/>
        <w:rPr>
          <w:sz w:val="20"/>
          <w:szCs w:val="20"/>
          <w:color w:val="auto"/>
        </w:rPr>
      </w:pPr>
      <w:r>
        <w:rPr>
          <w:rFonts w:ascii="Arial" w:cs="Arial" w:eastAsia="Arial" w:hAnsi="Arial"/>
          <w:sz w:val="17"/>
          <w:szCs w:val="17"/>
          <w:color w:val="auto"/>
        </w:rPr>
        <w:t>The SEC issued a proposed rule in January 2023 that, among other things, prohibits certain participants in an asset-backed security, including a synthetic asset-backed security (synthetic ABS), from engaging in transactions that would involve or result in any material conflict of interest with respect to any investor in a transaction arising out of such activity (conflicted transaction). The definition of conflicted transactions is broadly defined and synthetic ABS could be broadly interpreted to include mortgage insurance linked notes (“ILNs”). If this SEC proposal is adopted as proposed, it could affect or prohibit our ability to enter into reinsurance transactions using ILNs. We are assessing the potential impact of the rule on future ILN reinsurance transactions if the rule is adopted as proposed.</w:t>
      </w: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Factors Affecting Our Results of Operations</w:t>
      </w:r>
    </w:p>
    <w:p>
      <w:pPr>
        <w:spacing w:after="0" w:line="226" w:lineRule="exact"/>
        <w:rPr>
          <w:sz w:val="20"/>
          <w:szCs w:val="20"/>
          <w:color w:val="auto"/>
        </w:rPr>
      </w:pPr>
    </w:p>
    <w:p>
      <w:pPr>
        <w:ind w:left="620"/>
        <w:spacing w:after="0"/>
        <w:rPr>
          <w:sz w:val="20"/>
          <w:szCs w:val="20"/>
          <w:color w:val="auto"/>
        </w:rPr>
      </w:pPr>
      <w:r>
        <w:rPr>
          <w:rFonts w:ascii="Arial" w:cs="Arial" w:eastAsia="Arial" w:hAnsi="Arial"/>
          <w:sz w:val="17"/>
          <w:szCs w:val="17"/>
          <w:b w:val="1"/>
          <w:bCs w:val="1"/>
          <w:i w:val="1"/>
          <w:iCs w:val="1"/>
          <w:color w:val="auto"/>
        </w:rPr>
        <w:t>Net Premiums Written and Earned</w:t>
      </w:r>
    </w:p>
    <w:p>
      <w:pPr>
        <w:spacing w:after="0" w:line="220" w:lineRule="exact"/>
        <w:rPr>
          <w:sz w:val="20"/>
          <w:szCs w:val="20"/>
          <w:color w:val="auto"/>
        </w:rPr>
      </w:pPr>
    </w:p>
    <w:p>
      <w:pPr>
        <w:jc w:val="both"/>
        <w:ind w:right="60" w:firstLine="623"/>
        <w:spacing w:after="0" w:line="286" w:lineRule="auto"/>
        <w:rPr>
          <w:sz w:val="20"/>
          <w:szCs w:val="20"/>
          <w:color w:val="auto"/>
        </w:rPr>
      </w:pPr>
      <w:r>
        <w:rPr>
          <w:rFonts w:ascii="Arial" w:cs="Arial" w:eastAsia="Arial" w:hAnsi="Arial"/>
          <w:sz w:val="16"/>
          <w:szCs w:val="16"/>
          <w:color w:val="auto"/>
        </w:rPr>
        <w:t>Premiums associated with our U.S. mortgage insurance business are based on insurance in force, or IIF, during all or a portion of a period. A change in the average IIF during a period causes premiums to increase or decrease as compared to prior periods. Average net premium rates in effect during a given period will also cause premiums to differ when compared to earlier periods. IIF at the end of a reporting period is a function of the IIF at the beginning of such reporting period plus NIW less policy cancellations (including claims paid) during the period. As a result, premiums are generally influenced by:</w:t>
      </w:r>
    </w:p>
    <w:p>
      <w:pPr>
        <w:spacing w:after="0" w:line="161" w:lineRule="exact"/>
        <w:rPr>
          <w:sz w:val="20"/>
          <w:szCs w:val="20"/>
          <w:color w:val="auto"/>
        </w:rPr>
      </w:pPr>
    </w:p>
    <w:p>
      <w:pPr>
        <w:ind w:left="620" w:right="60" w:hanging="305"/>
        <w:spacing w:after="0" w:line="285" w:lineRule="auto"/>
        <w:tabs>
          <w:tab w:leader="none" w:pos="620" w:val="left"/>
        </w:tabs>
        <w:numPr>
          <w:ilvl w:val="0"/>
          <w:numId w:val="12"/>
        </w:numPr>
        <w:rPr>
          <w:rFonts w:ascii="Arial" w:cs="Arial" w:eastAsia="Arial" w:hAnsi="Arial"/>
          <w:sz w:val="17"/>
          <w:szCs w:val="17"/>
          <w:color w:val="auto"/>
        </w:rPr>
      </w:pPr>
      <w:r>
        <w:rPr>
          <w:rFonts w:ascii="Arial" w:cs="Arial" w:eastAsia="Arial" w:hAnsi="Arial"/>
          <w:sz w:val="17"/>
          <w:szCs w:val="17"/>
          <w:color w:val="auto"/>
        </w:rPr>
        <w:t>NIW, which is the aggregate principal amount of the new mortgages that are insured during a period. Many factors affect NIW, including, among others, the volume of low down payment home mortgage originations, the competition</w:t>
      </w: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68580</wp:posOffset>
            </wp:positionV>
            <wp:extent cx="7162800" cy="419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0" w:name="page31"/>
    <w:bookmarkEnd w:id="30"/>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344" w:lineRule="exact"/>
        <w:rPr>
          <w:sz w:val="20"/>
          <w:szCs w:val="20"/>
          <w:color w:val="auto"/>
        </w:rPr>
      </w:pPr>
    </w:p>
    <w:p>
      <w:pPr>
        <w:ind w:left="620" w:right="240"/>
        <w:spacing w:after="0" w:line="285" w:lineRule="auto"/>
        <w:rPr>
          <w:sz w:val="20"/>
          <w:szCs w:val="20"/>
          <w:color w:val="auto"/>
        </w:rPr>
      </w:pPr>
      <w:r>
        <w:rPr>
          <w:rFonts w:ascii="Arial" w:cs="Arial" w:eastAsia="Arial" w:hAnsi="Arial"/>
          <w:sz w:val="17"/>
          <w:szCs w:val="17"/>
          <w:color w:val="auto"/>
        </w:rPr>
        <w:t>to provide credit enhancement on those mortgages, the number of customers who have approved us to provide mortgage insurance and changes in our NIW from certain customers;</w:t>
      </w:r>
    </w:p>
    <w:p>
      <w:pPr>
        <w:spacing w:after="0" w:line="159" w:lineRule="exact"/>
        <w:rPr>
          <w:sz w:val="20"/>
          <w:szCs w:val="20"/>
          <w:color w:val="auto"/>
        </w:rPr>
      </w:pPr>
    </w:p>
    <w:p>
      <w:pPr>
        <w:ind w:left="620" w:right="420" w:hanging="305"/>
        <w:spacing w:after="0" w:line="285" w:lineRule="auto"/>
        <w:tabs>
          <w:tab w:leader="none" w:pos="620" w:val="left"/>
        </w:tabs>
        <w:numPr>
          <w:ilvl w:val="0"/>
          <w:numId w:val="13"/>
        </w:numPr>
        <w:rPr>
          <w:rFonts w:ascii="Arial" w:cs="Arial" w:eastAsia="Arial" w:hAnsi="Arial"/>
          <w:sz w:val="17"/>
          <w:szCs w:val="17"/>
          <w:color w:val="auto"/>
        </w:rPr>
      </w:pPr>
      <w:r>
        <w:rPr>
          <w:rFonts w:ascii="Arial" w:cs="Arial" w:eastAsia="Arial" w:hAnsi="Arial"/>
          <w:sz w:val="17"/>
          <w:szCs w:val="17"/>
          <w:color w:val="auto"/>
        </w:rPr>
        <w:t>Cancellations of our insurance policies, which are impacted by payments on mortgages, home price appreciation, or refinancings, which in turn are affected by mortgage interest rates. Cancellations are also impacted by the levels of claim payments and rescissions;</w:t>
      </w:r>
    </w:p>
    <w:p>
      <w:pPr>
        <w:spacing w:after="0" w:line="158" w:lineRule="exact"/>
        <w:rPr>
          <w:rFonts w:ascii="Arial" w:cs="Arial" w:eastAsia="Arial" w:hAnsi="Arial"/>
          <w:sz w:val="17"/>
          <w:szCs w:val="17"/>
          <w:color w:val="auto"/>
        </w:rPr>
      </w:pPr>
    </w:p>
    <w:p>
      <w:pPr>
        <w:ind w:left="620" w:right="240" w:hanging="305"/>
        <w:spacing w:after="0" w:line="318" w:lineRule="auto"/>
        <w:tabs>
          <w:tab w:leader="none" w:pos="620" w:val="left"/>
        </w:tabs>
        <w:numPr>
          <w:ilvl w:val="0"/>
          <w:numId w:val="13"/>
        </w:numPr>
        <w:rPr>
          <w:rFonts w:ascii="Arial" w:cs="Arial" w:eastAsia="Arial" w:hAnsi="Arial"/>
          <w:sz w:val="16"/>
          <w:szCs w:val="16"/>
          <w:color w:val="auto"/>
        </w:rPr>
      </w:pPr>
      <w:r>
        <w:rPr>
          <w:rFonts w:ascii="Arial" w:cs="Arial" w:eastAsia="Arial" w:hAnsi="Arial"/>
          <w:sz w:val="16"/>
          <w:szCs w:val="16"/>
          <w:color w:val="auto"/>
        </w:rPr>
        <w:t>Premium rates, which represent the amount of the premium due as a percentage of IIF. Premium rates are based on the risk characteristics of the loans insured, the percentage of coverage on the loans, competition from other mortgage insurers and general industry conditions; and</w:t>
      </w:r>
    </w:p>
    <w:p>
      <w:pPr>
        <w:spacing w:after="0" w:line="161" w:lineRule="exact"/>
        <w:rPr>
          <w:rFonts w:ascii="Arial" w:cs="Arial" w:eastAsia="Arial" w:hAnsi="Arial"/>
          <w:sz w:val="16"/>
          <w:szCs w:val="16"/>
          <w:color w:val="auto"/>
        </w:rPr>
      </w:pPr>
    </w:p>
    <w:p>
      <w:pPr>
        <w:ind w:left="620" w:hanging="305"/>
        <w:spacing w:after="0"/>
        <w:tabs>
          <w:tab w:leader="none" w:pos="620" w:val="left"/>
        </w:tabs>
        <w:numPr>
          <w:ilvl w:val="0"/>
          <w:numId w:val="13"/>
        </w:numPr>
        <w:rPr>
          <w:rFonts w:ascii="Arial" w:cs="Arial" w:eastAsia="Arial" w:hAnsi="Arial"/>
          <w:sz w:val="17"/>
          <w:szCs w:val="17"/>
          <w:color w:val="auto"/>
        </w:rPr>
      </w:pPr>
      <w:r>
        <w:rPr>
          <w:rFonts w:ascii="Arial" w:cs="Arial" w:eastAsia="Arial" w:hAnsi="Arial"/>
          <w:sz w:val="17"/>
          <w:szCs w:val="17"/>
          <w:color w:val="auto"/>
        </w:rPr>
        <w:t>Premiums ceded or assumed under reinsurance arrangements. See Note 4 to our condensed consolidated financial statements.</w:t>
      </w:r>
    </w:p>
    <w:p>
      <w:pPr>
        <w:spacing w:after="0" w:line="220" w:lineRule="exact"/>
        <w:rPr>
          <w:sz w:val="20"/>
          <w:szCs w:val="20"/>
          <w:color w:val="auto"/>
        </w:rPr>
      </w:pPr>
    </w:p>
    <w:p>
      <w:pPr>
        <w:ind w:firstLine="623"/>
        <w:spacing w:after="0" w:line="297" w:lineRule="auto"/>
        <w:rPr>
          <w:sz w:val="20"/>
          <w:szCs w:val="20"/>
          <w:color w:val="auto"/>
        </w:rPr>
      </w:pPr>
      <w:r>
        <w:rPr>
          <w:rFonts w:ascii="Arial" w:cs="Arial" w:eastAsia="Arial" w:hAnsi="Arial"/>
          <w:sz w:val="15"/>
          <w:szCs w:val="15"/>
          <w:color w:val="auto"/>
        </w:rPr>
        <w:t>Premiums are paid either on a monthly installment basis (“monthly premiums”), in a single payment at origination (“single premiums”), or in some cases as an annual premium. For monthly premiums, we receive a monthly premium payment which is recorded as net premiums earned in the month the coverage is provided. Monthly premium payments are based on the original mortgage amount rather than the amortized loan balance. Net premiums written may be in excess of net premiums earned due to single premium policies. For single premiums, we receive a single premium payment at origination, which is recorded as “unearned premium” and earned over the estimated life of the policy, which ranges from 36 to 156 months depending on the term of the underlying mortgage and loan-to-value ratio at date of origination. If single premium policies are cancelled due to repayment of the underlying loan and the premium is non-refundable, the remaining unearned premium balance is immediately recognized as earned premium revenue. Substantially all of our single premium policies in force as of June 30, 2023 were non-refundable. Premiums collected on annual policies are recognized as net premiums earned on a straight-line basis over the year of coverage. For the six months ended June 30, 2023 and 2022, monthly premium policies comprised 96% and 95% of our NIW, respectively.</w:t>
      </w:r>
    </w:p>
    <w:p>
      <w:pPr>
        <w:spacing w:after="0" w:line="182" w:lineRule="exact"/>
        <w:rPr>
          <w:sz w:val="20"/>
          <w:szCs w:val="20"/>
          <w:color w:val="auto"/>
        </w:rPr>
      </w:pPr>
    </w:p>
    <w:p>
      <w:pPr>
        <w:ind w:left="620"/>
        <w:spacing w:after="0"/>
        <w:rPr>
          <w:sz w:val="20"/>
          <w:szCs w:val="20"/>
          <w:color w:val="auto"/>
        </w:rPr>
      </w:pPr>
      <w:r>
        <w:rPr>
          <w:rFonts w:ascii="Arial" w:cs="Arial" w:eastAsia="Arial" w:hAnsi="Arial"/>
          <w:sz w:val="16"/>
          <w:szCs w:val="16"/>
          <w:color w:val="auto"/>
        </w:rPr>
        <w:t>Premiums associated with our GSE and other risk share transactions are based on the level of risk in force and premium rates on the transactions.</w:t>
      </w:r>
    </w:p>
    <w:p>
      <w:pPr>
        <w:spacing w:after="0" w:line="231" w:lineRule="exact"/>
        <w:rPr>
          <w:sz w:val="20"/>
          <w:szCs w:val="20"/>
          <w:color w:val="auto"/>
        </w:rPr>
      </w:pPr>
    </w:p>
    <w:p>
      <w:pPr>
        <w:ind w:left="620"/>
        <w:spacing w:after="0"/>
        <w:rPr>
          <w:sz w:val="20"/>
          <w:szCs w:val="20"/>
          <w:color w:val="auto"/>
        </w:rPr>
      </w:pPr>
      <w:r>
        <w:rPr>
          <w:rFonts w:ascii="Arial" w:cs="Arial" w:eastAsia="Arial" w:hAnsi="Arial"/>
          <w:sz w:val="17"/>
          <w:szCs w:val="17"/>
          <w:b w:val="1"/>
          <w:bCs w:val="1"/>
          <w:i w:val="1"/>
          <w:iCs w:val="1"/>
          <w:color w:val="auto"/>
        </w:rPr>
        <w:t>Persistency and Business Mix</w:t>
      </w:r>
    </w:p>
    <w:p>
      <w:pPr>
        <w:spacing w:after="0" w:line="220" w:lineRule="exact"/>
        <w:rPr>
          <w:sz w:val="20"/>
          <w:szCs w:val="20"/>
          <w:color w:val="auto"/>
        </w:rPr>
      </w:pPr>
    </w:p>
    <w:p>
      <w:pPr>
        <w:jc w:val="both"/>
        <w:ind w:right="400" w:firstLine="623"/>
        <w:spacing w:after="0" w:line="270" w:lineRule="auto"/>
        <w:rPr>
          <w:sz w:val="20"/>
          <w:szCs w:val="20"/>
          <w:color w:val="auto"/>
        </w:rPr>
      </w:pPr>
      <w:r>
        <w:rPr>
          <w:rFonts w:ascii="Arial" w:cs="Arial" w:eastAsia="Arial" w:hAnsi="Arial"/>
          <w:sz w:val="17"/>
          <w:szCs w:val="17"/>
          <w:color w:val="auto"/>
        </w:rPr>
        <w:t>The percentage of IIF that remains on our books after any 12-month period is defined as our persistency rate. Because our insurance premiums are earned over the life of a policy, higher persistency rates can have a significant impact on our profitability. The persistency rate on our portfolio was 85.8% at June 30, 2023. Generally, higher prepayment speeds lead to lower persistency.</w:t>
      </w:r>
    </w:p>
    <w:p>
      <w:pPr>
        <w:spacing w:after="0" w:line="197" w:lineRule="exact"/>
        <w:rPr>
          <w:sz w:val="20"/>
          <w:szCs w:val="20"/>
          <w:color w:val="auto"/>
        </w:rPr>
      </w:pPr>
    </w:p>
    <w:p>
      <w:pPr>
        <w:ind w:right="40" w:firstLine="666"/>
        <w:spacing w:after="0" w:line="261" w:lineRule="auto"/>
        <w:rPr>
          <w:sz w:val="20"/>
          <w:szCs w:val="20"/>
          <w:color w:val="auto"/>
        </w:rPr>
      </w:pPr>
      <w:r>
        <w:rPr>
          <w:rFonts w:ascii="Arial" w:cs="Arial" w:eastAsia="Arial" w:hAnsi="Arial"/>
          <w:sz w:val="17"/>
          <w:szCs w:val="17"/>
          <w:color w:val="auto"/>
        </w:rPr>
        <w:t>Prepayment speeds and the relative mix of business between single premium policies and monthly premium policies also impact our profitability. Our premium rates include certain assumptions regarding repayment or prepayment speeds of the mortgages. Because premiums are paid at origination on single premium policies, assuming all other factors remain constant, if loans are prepaid earlier than expected, our profitability on these loans is likely to increase and, if loans are repaid slower than expected, our profitability on these loans is likely to decrease. By contrast, if monthly premium loans are repaid earlier than anticipated, our premium earned with respect to those loans and therefore our profitability declines. Currently, the expected return on single premium policies is less than the expected return on monthly policies.</w:t>
      </w:r>
    </w:p>
    <w:p>
      <w:pPr>
        <w:spacing w:after="0" w:line="178" w:lineRule="exact"/>
        <w:rPr>
          <w:sz w:val="20"/>
          <w:szCs w:val="20"/>
          <w:color w:val="auto"/>
        </w:rPr>
      </w:pPr>
    </w:p>
    <w:p>
      <w:pPr>
        <w:ind w:left="620"/>
        <w:spacing w:after="0"/>
        <w:rPr>
          <w:sz w:val="20"/>
          <w:szCs w:val="20"/>
          <w:color w:val="auto"/>
        </w:rPr>
      </w:pPr>
      <w:r>
        <w:rPr>
          <w:rFonts w:ascii="Arial" w:cs="Arial" w:eastAsia="Arial" w:hAnsi="Arial"/>
          <w:sz w:val="17"/>
          <w:szCs w:val="17"/>
          <w:b w:val="1"/>
          <w:bCs w:val="1"/>
          <w:i w:val="1"/>
          <w:iCs w:val="1"/>
          <w:color w:val="auto"/>
        </w:rPr>
        <w:t>Net Investment Income</w:t>
      </w:r>
    </w:p>
    <w:p>
      <w:pPr>
        <w:spacing w:after="0" w:line="220" w:lineRule="exact"/>
        <w:rPr>
          <w:sz w:val="20"/>
          <w:szCs w:val="20"/>
          <w:color w:val="auto"/>
        </w:rPr>
      </w:pPr>
    </w:p>
    <w:p>
      <w:pPr>
        <w:ind w:right="60" w:firstLine="623"/>
        <w:spacing w:after="0" w:line="278" w:lineRule="auto"/>
        <w:rPr>
          <w:sz w:val="20"/>
          <w:szCs w:val="20"/>
          <w:color w:val="auto"/>
        </w:rPr>
      </w:pPr>
      <w:r>
        <w:rPr>
          <w:rFonts w:ascii="Arial" w:cs="Arial" w:eastAsia="Arial" w:hAnsi="Arial"/>
          <w:sz w:val="16"/>
          <w:szCs w:val="16"/>
          <w:color w:val="auto"/>
        </w:rPr>
        <w:t>Our investment portfolio was predominantly comprised of investment-grade fixed income securities and money market funds as of June 30, 2023. The principal factors that influence investment income are the size of the investment portfolio and the yield on individual securities. As measured by amortized cost (which excludes changes in fair market value, such as from changes in interest rates), the size of our investment portfolio is mainly a function of increases in capital and cash generated from or used in operations which is impacted by net premiums received, investment earnings, net claim payments and expenses. Realized gains and losses are a function of the difference between the amount received on the sale of a security and the security’s amortized cost, as well as any provision for credit losses or impairments recognized in earnings. The amount received on the sale of fixed income securities is affected by the coupon rate of the security compared to the yield of comparable securities at the time of sale.</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68580</wp:posOffset>
            </wp:positionV>
            <wp:extent cx="7162800" cy="419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1" w:name="page32"/>
    <w:bookmarkEnd w:id="31"/>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344" w:lineRule="exact"/>
        <w:rPr>
          <w:sz w:val="20"/>
          <w:szCs w:val="20"/>
          <w:color w:val="auto"/>
        </w:rPr>
      </w:pPr>
    </w:p>
    <w:p>
      <w:pPr>
        <w:ind w:left="620"/>
        <w:spacing w:after="0"/>
        <w:rPr>
          <w:sz w:val="20"/>
          <w:szCs w:val="20"/>
          <w:color w:val="auto"/>
        </w:rPr>
      </w:pPr>
      <w:r>
        <w:rPr>
          <w:rFonts w:ascii="Arial" w:cs="Arial" w:eastAsia="Arial" w:hAnsi="Arial"/>
          <w:sz w:val="17"/>
          <w:szCs w:val="17"/>
          <w:b w:val="1"/>
          <w:bCs w:val="1"/>
          <w:i w:val="1"/>
          <w:iCs w:val="1"/>
          <w:color w:val="auto"/>
        </w:rPr>
        <w:t>Income from Other Invested Assets</w:t>
      </w:r>
    </w:p>
    <w:p>
      <w:pPr>
        <w:spacing w:after="0" w:line="246" w:lineRule="exact"/>
        <w:rPr>
          <w:sz w:val="20"/>
          <w:szCs w:val="20"/>
          <w:color w:val="auto"/>
        </w:rPr>
      </w:pPr>
    </w:p>
    <w:p>
      <w:pPr>
        <w:ind w:right="40" w:firstLine="623"/>
        <w:spacing w:after="0" w:line="261" w:lineRule="auto"/>
        <w:rPr>
          <w:sz w:val="20"/>
          <w:szCs w:val="20"/>
          <w:color w:val="auto"/>
        </w:rPr>
      </w:pPr>
      <w:r>
        <w:rPr>
          <w:rFonts w:ascii="Arial" w:cs="Arial" w:eastAsia="Arial" w:hAnsi="Arial"/>
          <w:sz w:val="17"/>
          <w:szCs w:val="17"/>
          <w:color w:val="auto"/>
        </w:rPr>
        <w:t>As part of our overall investment strategy, we also allocate a relatively small percentage of our portfolio to limited partnership investments in real estate, consumer credit and traditional venture capital and private equity investments. The results of these investing activities are reported in income from other invested assets. These investments are generally accounted for under the equity method or fair value using net asset value (or its equivalent) as a practical expedient. For entities accounted for under the equity method that follow industry-specific guidance for investment companies, our proportionate share of earnings or losses includes changes in the fair value of the underlying assets of these entities. Fluctuations in the fair value of these entities may increase the volatility of the Company’s reported results of operations.</w:t>
      </w:r>
    </w:p>
    <w:p>
      <w:pPr>
        <w:spacing w:after="0" w:line="204" w:lineRule="exact"/>
        <w:rPr>
          <w:sz w:val="20"/>
          <w:szCs w:val="20"/>
          <w:color w:val="auto"/>
        </w:rPr>
      </w:pPr>
    </w:p>
    <w:p>
      <w:pPr>
        <w:ind w:left="620"/>
        <w:spacing w:after="0"/>
        <w:rPr>
          <w:sz w:val="20"/>
          <w:szCs w:val="20"/>
          <w:color w:val="auto"/>
        </w:rPr>
      </w:pPr>
      <w:r>
        <w:rPr>
          <w:rFonts w:ascii="Arial" w:cs="Arial" w:eastAsia="Arial" w:hAnsi="Arial"/>
          <w:sz w:val="17"/>
          <w:szCs w:val="17"/>
          <w:b w:val="1"/>
          <w:bCs w:val="1"/>
          <w:i w:val="1"/>
          <w:iCs w:val="1"/>
          <w:color w:val="auto"/>
        </w:rPr>
        <w:t>Other Income</w:t>
      </w:r>
    </w:p>
    <w:p>
      <w:pPr>
        <w:spacing w:after="0" w:line="220" w:lineRule="exact"/>
        <w:rPr>
          <w:sz w:val="20"/>
          <w:szCs w:val="20"/>
          <w:color w:val="auto"/>
        </w:rPr>
      </w:pPr>
    </w:p>
    <w:p>
      <w:pPr>
        <w:ind w:firstLine="623"/>
        <w:spacing w:after="0" w:line="265" w:lineRule="auto"/>
        <w:rPr>
          <w:sz w:val="20"/>
          <w:szCs w:val="20"/>
          <w:color w:val="auto"/>
        </w:rPr>
      </w:pPr>
      <w:r>
        <w:rPr>
          <w:rFonts w:ascii="Arial" w:cs="Arial" w:eastAsia="Arial" w:hAnsi="Arial"/>
          <w:sz w:val="17"/>
          <w:szCs w:val="17"/>
          <w:color w:val="auto"/>
        </w:rPr>
        <w:t>Other income includes revenues associated with contract underwriting services and underwriting consulting services to third-party reinsurers. The level of contract underwriting revenue is dependent upon the number of customers who have engaged us for this service and the number of loans underwritten for these customers. Revenue from underwriting consulting services to third-party reinsurers is dependent upon the number of customers who have engaged us for this service and the level of premiums associated with the transactions underwritten for these customers.</w:t>
      </w:r>
    </w:p>
    <w:p>
      <w:pPr>
        <w:spacing w:after="0" w:line="201" w:lineRule="exact"/>
        <w:rPr>
          <w:sz w:val="20"/>
          <w:szCs w:val="20"/>
          <w:color w:val="auto"/>
        </w:rPr>
      </w:pPr>
    </w:p>
    <w:p>
      <w:pPr>
        <w:jc w:val="both"/>
        <w:ind w:right="180" w:firstLine="623"/>
        <w:spacing w:after="0" w:line="265" w:lineRule="auto"/>
        <w:rPr>
          <w:sz w:val="20"/>
          <w:szCs w:val="20"/>
          <w:color w:val="auto"/>
        </w:rPr>
      </w:pPr>
      <w:r>
        <w:rPr>
          <w:rFonts w:ascii="Arial" w:cs="Arial" w:eastAsia="Arial" w:hAnsi="Arial"/>
          <w:sz w:val="17"/>
          <w:szCs w:val="17"/>
          <w:color w:val="auto"/>
        </w:rPr>
        <w:t>In connection with the acquisition of our mortgage insurance platform, we entered into a services agreement with Triad Guaranty Inc. and its wholly-owned subsidiary, Triad Guaranty Insurance Corporation, which we refer to collectively as “Triad,” to provide certain information technology maintenance and development and customer support-related services. In return for these services, we receive a flat monthly fee which is recorded in other income. During 2022, Triad exercised its one year renewal option extending the services agreement through November 2023.</w:t>
      </w:r>
    </w:p>
    <w:p>
      <w:pPr>
        <w:spacing w:after="0" w:line="175" w:lineRule="exact"/>
        <w:rPr>
          <w:sz w:val="20"/>
          <w:szCs w:val="20"/>
          <w:color w:val="auto"/>
        </w:rPr>
      </w:pPr>
    </w:p>
    <w:p>
      <w:pPr>
        <w:ind w:firstLine="173"/>
        <w:spacing w:after="0" w:line="294" w:lineRule="auto"/>
        <w:rPr>
          <w:sz w:val="20"/>
          <w:szCs w:val="20"/>
          <w:color w:val="auto"/>
        </w:rPr>
      </w:pPr>
      <w:r>
        <w:rPr>
          <w:rFonts w:ascii="Arial" w:cs="Arial" w:eastAsia="Arial" w:hAnsi="Arial"/>
          <w:sz w:val="16"/>
          <w:szCs w:val="16"/>
          <w:color w:val="auto"/>
        </w:rPr>
        <w:t>As more fully described in Note 4 to our condensed consolidated financial statements, the premiums ceded under certain reinsurance contracts with unaffiliated third parties varies based on changes in market interest rates. Under GAAP, these contracts contain embedded derivatives that are accounted for separately as freestanding derivatives. The change in the fair value of the embedded derivatives is reported in earnings and included in other income.</w:t>
      </w:r>
    </w:p>
    <w:p>
      <w:pPr>
        <w:spacing w:after="0" w:line="155" w:lineRule="exact"/>
        <w:rPr>
          <w:sz w:val="20"/>
          <w:szCs w:val="20"/>
          <w:color w:val="auto"/>
        </w:rPr>
      </w:pPr>
    </w:p>
    <w:p>
      <w:pPr>
        <w:ind w:left="620"/>
        <w:spacing w:after="0"/>
        <w:rPr>
          <w:sz w:val="20"/>
          <w:szCs w:val="20"/>
          <w:color w:val="auto"/>
        </w:rPr>
      </w:pPr>
      <w:r>
        <w:rPr>
          <w:rFonts w:ascii="Arial" w:cs="Arial" w:eastAsia="Arial" w:hAnsi="Arial"/>
          <w:sz w:val="17"/>
          <w:szCs w:val="17"/>
          <w:b w:val="1"/>
          <w:bCs w:val="1"/>
          <w:i w:val="1"/>
          <w:iCs w:val="1"/>
          <w:color w:val="auto"/>
        </w:rPr>
        <w:t>Provision for Losses and Loss Adjustment Expenses</w:t>
      </w:r>
    </w:p>
    <w:p>
      <w:pPr>
        <w:spacing w:after="0" w:line="220" w:lineRule="exact"/>
        <w:rPr>
          <w:sz w:val="20"/>
          <w:szCs w:val="20"/>
          <w:color w:val="auto"/>
        </w:rPr>
      </w:pPr>
    </w:p>
    <w:p>
      <w:pPr>
        <w:ind w:right="600" w:firstLine="623"/>
        <w:spacing w:after="0" w:line="285" w:lineRule="auto"/>
        <w:rPr>
          <w:sz w:val="20"/>
          <w:szCs w:val="20"/>
          <w:color w:val="auto"/>
        </w:rPr>
      </w:pPr>
      <w:r>
        <w:rPr>
          <w:rFonts w:ascii="Arial" w:cs="Arial" w:eastAsia="Arial" w:hAnsi="Arial"/>
          <w:sz w:val="17"/>
          <w:szCs w:val="17"/>
          <w:color w:val="auto"/>
        </w:rPr>
        <w:t>The provision for losses and loss adjustment expenses reflects the current expense that is recorded within a particular period to reflect actual and estimated loss payments that we believe will ultimately be made as a result of insured loans that are in default.</w:t>
      </w:r>
    </w:p>
    <w:p>
      <w:pPr>
        <w:spacing w:after="0" w:line="159" w:lineRule="exact"/>
        <w:rPr>
          <w:sz w:val="20"/>
          <w:szCs w:val="20"/>
          <w:color w:val="auto"/>
        </w:rPr>
      </w:pPr>
    </w:p>
    <w:p>
      <w:pPr>
        <w:ind w:left="620"/>
        <w:spacing w:after="0"/>
        <w:rPr>
          <w:sz w:val="20"/>
          <w:szCs w:val="20"/>
          <w:color w:val="auto"/>
        </w:rPr>
      </w:pPr>
      <w:r>
        <w:rPr>
          <w:rFonts w:ascii="Arial" w:cs="Arial" w:eastAsia="Arial" w:hAnsi="Arial"/>
          <w:sz w:val="17"/>
          <w:szCs w:val="17"/>
          <w:color w:val="auto"/>
        </w:rPr>
        <w:t>Losses incurred are generally affected by:</w:t>
      </w:r>
    </w:p>
    <w:p>
      <w:pPr>
        <w:spacing w:after="0" w:line="220" w:lineRule="exact"/>
        <w:rPr>
          <w:sz w:val="20"/>
          <w:szCs w:val="20"/>
          <w:color w:val="auto"/>
        </w:rPr>
      </w:pPr>
    </w:p>
    <w:p>
      <w:pPr>
        <w:ind w:left="620" w:hanging="305"/>
        <w:spacing w:after="0"/>
        <w:tabs>
          <w:tab w:leader="none" w:pos="620" w:val="left"/>
        </w:tabs>
        <w:numPr>
          <w:ilvl w:val="0"/>
          <w:numId w:val="14"/>
        </w:numPr>
        <w:rPr>
          <w:rFonts w:ascii="Arial" w:cs="Arial" w:eastAsia="Arial" w:hAnsi="Arial"/>
          <w:sz w:val="15"/>
          <w:szCs w:val="15"/>
          <w:color w:val="auto"/>
        </w:rPr>
      </w:pPr>
      <w:r>
        <w:rPr>
          <w:rFonts w:ascii="Arial" w:cs="Arial" w:eastAsia="Arial" w:hAnsi="Arial"/>
          <w:sz w:val="15"/>
          <w:szCs w:val="15"/>
          <w:color w:val="auto"/>
        </w:rPr>
        <w:t>the overall state of the economy, which broadly affects the likelihood that borrowers may default on their loans and have the ability to cure such defaults;</w:t>
      </w:r>
    </w:p>
    <w:p>
      <w:pPr>
        <w:spacing w:after="0" w:line="242" w:lineRule="exact"/>
        <w:rPr>
          <w:rFonts w:ascii="Arial" w:cs="Arial" w:eastAsia="Arial" w:hAnsi="Arial"/>
          <w:sz w:val="15"/>
          <w:szCs w:val="15"/>
          <w:color w:val="auto"/>
        </w:rPr>
      </w:pPr>
    </w:p>
    <w:p>
      <w:pPr>
        <w:ind w:left="620" w:right="640" w:hanging="305"/>
        <w:spacing w:after="0" w:line="355" w:lineRule="auto"/>
        <w:tabs>
          <w:tab w:leader="none" w:pos="620" w:val="left"/>
        </w:tabs>
        <w:numPr>
          <w:ilvl w:val="0"/>
          <w:numId w:val="14"/>
        </w:numPr>
        <w:rPr>
          <w:rFonts w:ascii="Arial" w:cs="Arial" w:eastAsia="Arial" w:hAnsi="Arial"/>
          <w:sz w:val="15"/>
          <w:szCs w:val="15"/>
          <w:color w:val="auto"/>
        </w:rPr>
      </w:pPr>
      <w:r>
        <w:rPr>
          <w:rFonts w:ascii="Arial" w:cs="Arial" w:eastAsia="Arial" w:hAnsi="Arial"/>
          <w:sz w:val="15"/>
          <w:szCs w:val="15"/>
          <w:color w:val="auto"/>
        </w:rPr>
        <w:t>changes in housing values, which affect our ability to mitigate our losses through the sale of properties with loans in default as well as borrower willingness to continue to make mortgage payments when the value of the home is below or perceived to be below the mortgage balance;</w:t>
      </w:r>
    </w:p>
    <w:p>
      <w:pPr>
        <w:spacing w:after="0" w:line="138" w:lineRule="exact"/>
        <w:rPr>
          <w:rFonts w:ascii="Arial" w:cs="Arial" w:eastAsia="Arial" w:hAnsi="Arial"/>
          <w:sz w:val="15"/>
          <w:szCs w:val="15"/>
          <w:color w:val="auto"/>
        </w:rPr>
      </w:pPr>
    </w:p>
    <w:p>
      <w:pPr>
        <w:ind w:left="620" w:hanging="305"/>
        <w:spacing w:after="0"/>
        <w:tabs>
          <w:tab w:leader="none" w:pos="620"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product mix of IIF, with loans having higher risk characteristics generally resulting in higher defaults and claims;</w:t>
      </w:r>
    </w:p>
    <w:p>
      <w:pPr>
        <w:spacing w:after="0" w:line="245" w:lineRule="exact"/>
        <w:rPr>
          <w:rFonts w:ascii="Arial" w:cs="Arial" w:eastAsia="Arial" w:hAnsi="Arial"/>
          <w:sz w:val="17"/>
          <w:szCs w:val="17"/>
          <w:color w:val="auto"/>
        </w:rPr>
      </w:pPr>
    </w:p>
    <w:p>
      <w:pPr>
        <w:ind w:left="620" w:hanging="305"/>
        <w:spacing w:after="0"/>
        <w:tabs>
          <w:tab w:leader="none" w:pos="620"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size of loans insured, with higher average loan amounts tending to increase losses incurred;</w:t>
      </w:r>
    </w:p>
    <w:p>
      <w:pPr>
        <w:spacing w:after="0" w:line="245" w:lineRule="exact"/>
        <w:rPr>
          <w:rFonts w:ascii="Arial" w:cs="Arial" w:eastAsia="Arial" w:hAnsi="Arial"/>
          <w:sz w:val="17"/>
          <w:szCs w:val="17"/>
          <w:color w:val="auto"/>
        </w:rPr>
      </w:pPr>
    </w:p>
    <w:p>
      <w:pPr>
        <w:ind w:left="620" w:hanging="305"/>
        <w:spacing w:after="0"/>
        <w:tabs>
          <w:tab w:leader="none" w:pos="620"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loan-to-value ratio, with higher average loan-to-value ratios tending to increase losses incurred;</w:t>
      </w:r>
    </w:p>
    <w:p>
      <w:pPr>
        <w:spacing w:after="0" w:line="245" w:lineRule="exact"/>
        <w:rPr>
          <w:rFonts w:ascii="Arial" w:cs="Arial" w:eastAsia="Arial" w:hAnsi="Arial"/>
          <w:sz w:val="17"/>
          <w:szCs w:val="17"/>
          <w:color w:val="auto"/>
        </w:rPr>
      </w:pPr>
    </w:p>
    <w:p>
      <w:pPr>
        <w:ind w:left="620" w:hanging="305"/>
        <w:spacing w:after="0"/>
        <w:tabs>
          <w:tab w:leader="none" w:pos="620"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percentage of coverage on insured loans, with deeper average coverage tending to increase losses incurred;</w:t>
      </w:r>
    </w:p>
    <w:p>
      <w:pPr>
        <w:spacing w:after="0" w:line="245" w:lineRule="exact"/>
        <w:rPr>
          <w:rFonts w:ascii="Arial" w:cs="Arial" w:eastAsia="Arial" w:hAnsi="Arial"/>
          <w:sz w:val="17"/>
          <w:szCs w:val="17"/>
          <w:color w:val="auto"/>
        </w:rPr>
      </w:pPr>
    </w:p>
    <w:p>
      <w:pPr>
        <w:ind w:left="620" w:hanging="305"/>
        <w:spacing w:after="0"/>
        <w:tabs>
          <w:tab w:leader="none" w:pos="620" w:val="left"/>
        </w:tabs>
        <w:numPr>
          <w:ilvl w:val="0"/>
          <w:numId w:val="14"/>
        </w:numPr>
        <w:rPr>
          <w:rFonts w:ascii="Arial" w:cs="Arial" w:eastAsia="Arial" w:hAnsi="Arial"/>
          <w:sz w:val="17"/>
          <w:szCs w:val="17"/>
          <w:color w:val="auto"/>
        </w:rPr>
      </w:pPr>
      <w:r>
        <w:rPr>
          <w:rFonts w:ascii="Arial" w:cs="Arial" w:eastAsia="Arial" w:hAnsi="Arial"/>
          <w:sz w:val="17"/>
          <w:szCs w:val="17"/>
          <w:color w:val="auto"/>
        </w:rPr>
        <w:t>credit quality of borrowers, including higher debt-to-income ratios and lower FICO scores, which tend to increase incurred losses;</w:t>
      </w:r>
    </w:p>
    <w:p>
      <w:pPr>
        <w:spacing w:after="0" w:line="245" w:lineRule="exact"/>
        <w:rPr>
          <w:rFonts w:ascii="Arial" w:cs="Arial" w:eastAsia="Arial" w:hAnsi="Arial"/>
          <w:sz w:val="17"/>
          <w:szCs w:val="17"/>
          <w:color w:val="auto"/>
        </w:rPr>
      </w:pPr>
    </w:p>
    <w:p>
      <w:pPr>
        <w:ind w:left="620" w:hanging="305"/>
        <w:spacing w:after="0"/>
        <w:tabs>
          <w:tab w:leader="none" w:pos="620"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level and amount of reinsurance coverage maintained with third parties;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68580</wp:posOffset>
            </wp:positionV>
            <wp:extent cx="7162800" cy="419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32" w:name="page33"/>
    <w:bookmarkEnd w:id="32"/>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344" w:lineRule="exact"/>
        <w:rPr>
          <w:sz w:val="20"/>
          <w:szCs w:val="20"/>
          <w:color w:val="auto"/>
        </w:rPr>
      </w:pPr>
    </w:p>
    <w:p>
      <w:pPr>
        <w:ind w:left="620" w:right="220" w:hanging="305"/>
        <w:spacing w:after="0" w:line="270" w:lineRule="auto"/>
        <w:tabs>
          <w:tab w:leader="none" w:pos="620"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rate at which we rescind policies. Because of tighter underwriting standards generally in the mortgage lending industry and terms set forth in our master policy, we expect that our level of rescission activity will be lower than rescission activity seen in the mortgage insurance industry for vintages originated prior to the financial crisis; and</w:t>
      </w:r>
    </w:p>
    <w:p>
      <w:pPr>
        <w:spacing w:after="0" w:line="196" w:lineRule="exact"/>
        <w:rPr>
          <w:rFonts w:ascii="Arial" w:cs="Arial" w:eastAsia="Arial" w:hAnsi="Arial"/>
          <w:sz w:val="17"/>
          <w:szCs w:val="17"/>
          <w:color w:val="auto"/>
        </w:rPr>
      </w:pPr>
    </w:p>
    <w:p>
      <w:pPr>
        <w:ind w:left="620" w:right="100" w:hanging="305"/>
        <w:spacing w:after="0" w:line="265" w:lineRule="auto"/>
        <w:tabs>
          <w:tab w:leader="none" w:pos="620"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distribution of claims over the life of a book. As of June 30, 2023, 64% of our IIF relates to business written since January 1, 2021 and was less than three years old. As a result, based on historical industry performance, we expect the number of defaults and claims we experience, as well as our provision for losses and loss adjustment expenses ("LAE"), to increase as our portfolio seasons. See “— Mortgage Insurance Earnings and Cash Flow Cycle” below.</w:t>
      </w:r>
    </w:p>
    <w:p>
      <w:pPr>
        <w:spacing w:after="0" w:line="175" w:lineRule="exact"/>
        <w:rPr>
          <w:sz w:val="20"/>
          <w:szCs w:val="20"/>
          <w:color w:val="auto"/>
        </w:rPr>
      </w:pPr>
    </w:p>
    <w:p>
      <w:pPr>
        <w:ind w:right="140" w:firstLine="623"/>
        <w:spacing w:after="0" w:line="261" w:lineRule="auto"/>
        <w:rPr>
          <w:sz w:val="20"/>
          <w:szCs w:val="20"/>
          <w:color w:val="auto"/>
        </w:rPr>
      </w:pPr>
      <w:r>
        <w:rPr>
          <w:rFonts w:ascii="Arial" w:cs="Arial" w:eastAsia="Arial" w:hAnsi="Arial"/>
          <w:sz w:val="17"/>
          <w:szCs w:val="17"/>
          <w:color w:val="auto"/>
        </w:rPr>
        <w:t>We establish loss reserves for delinquent loans when we are notified that a borrower has missed at least two consecutive monthly payments (“Case Reserves”), as well as estimated reserves for defaults that may have occurred but not yet been reported to us (“IBNR Reserves”). We also establish reserves for the associated loss adjustment expenses, consisting of the estimated cost of the claims administration process, including legal and other fees. Using both internal and external information, we establish our reserves based on the likelihood that a default will reach claim status and estimated claim severity. See Part II, Item 7 “Management’s Discussion and Analysis of Financial Condition and Results of Operations — Critical Accounting Policies” included in our Annual Report for further information.</w:t>
      </w:r>
    </w:p>
    <w:p>
      <w:pPr>
        <w:spacing w:after="0" w:line="178" w:lineRule="exact"/>
        <w:rPr>
          <w:sz w:val="20"/>
          <w:szCs w:val="20"/>
          <w:color w:val="auto"/>
        </w:rPr>
      </w:pPr>
    </w:p>
    <w:p>
      <w:pPr>
        <w:ind w:right="40" w:firstLine="623"/>
        <w:spacing w:after="0" w:line="247" w:lineRule="auto"/>
        <w:rPr>
          <w:sz w:val="20"/>
          <w:szCs w:val="20"/>
          <w:color w:val="auto"/>
        </w:rPr>
      </w:pPr>
      <w:r>
        <w:rPr>
          <w:rFonts w:ascii="Arial" w:cs="Arial" w:eastAsia="Arial" w:hAnsi="Arial"/>
          <w:sz w:val="17"/>
          <w:szCs w:val="17"/>
          <w:color w:val="auto"/>
        </w:rPr>
        <w:t>Based upon our experience and industry data, claims incidence for mortgage insurance is generally highest in the third through sixth years after loan origination. Claims incidence for defaults associated with COVID-19 may not follow this pattern. As of June 30, 2023, 64% of our IIF relates to business written since January 1, 2021 and was less than three years old. Although the claims experience on new insurance written by us to date has been favorable, we expect incurred losses and claims to increase as a greater amount of this book of insurance reaches its anticipated period of highest claim frequency. The actual default rate and the average reserve per default that we experience as our portfolio matures is difficult to predict and is dependent on the specific characteristics of our current in-force book (including the credit score of the borrower, the loan-to-value ratio of the mortgage, geographic concentrations, etc.), as well as the profile of new business we write in the future. In addition, the default rate and the average reserve per default will be affected by future macroeconomic factors such as housing prices, interest rates and employment.</w:t>
      </w:r>
    </w:p>
    <w:p>
      <w:pPr>
        <w:spacing w:after="0" w:line="221" w:lineRule="exact"/>
        <w:rPr>
          <w:sz w:val="20"/>
          <w:szCs w:val="20"/>
          <w:color w:val="auto"/>
        </w:rPr>
      </w:pPr>
    </w:p>
    <w:p>
      <w:pPr>
        <w:ind w:firstLine="623"/>
        <w:spacing w:after="0" w:line="261" w:lineRule="auto"/>
        <w:rPr>
          <w:sz w:val="20"/>
          <w:szCs w:val="20"/>
          <w:color w:val="auto"/>
        </w:rPr>
      </w:pPr>
      <w:r>
        <w:rPr>
          <w:rFonts w:ascii="Arial" w:cs="Arial" w:eastAsia="Arial" w:hAnsi="Arial"/>
          <w:sz w:val="17"/>
          <w:szCs w:val="17"/>
          <w:color w:val="auto"/>
        </w:rPr>
        <w:t>Due to business restrictions, stay-at-home orders and travel restrictions initially implemented in March 2020 as a result of COVID-19, unemployment in the United States increased significantly in the second quarter of 2020, declining during the second half of 2020 through 2022. As unemployment is one of the most common reasons for borrowers to default on their mortgage, the increase in unemployment has increased the number of delinquencies on the mortgages we insure, and has the potential to increase claim frequencies on defaults. As a result, we received 36,784 defaults in the three months ended June 30, 2020 and 12,614 defaults in the three months ended September 30, 2020, which resulted in a significant increase in our default rate from 0.83% at March 31, 2020 to 4.54% at September 30, 2020.</w:t>
      </w:r>
    </w:p>
    <w:p>
      <w:pPr>
        <w:spacing w:after="0" w:line="204" w:lineRule="exact"/>
        <w:rPr>
          <w:sz w:val="20"/>
          <w:szCs w:val="20"/>
          <w:color w:val="auto"/>
        </w:rPr>
      </w:pPr>
    </w:p>
    <w:p>
      <w:pPr>
        <w:ind w:right="80" w:firstLine="428"/>
        <w:spacing w:after="0" w:line="258" w:lineRule="auto"/>
        <w:rPr>
          <w:sz w:val="20"/>
          <w:szCs w:val="20"/>
          <w:color w:val="auto"/>
        </w:rPr>
      </w:pPr>
      <w:r>
        <w:rPr>
          <w:rFonts w:ascii="Arial" w:cs="Arial" w:eastAsia="Arial" w:hAnsi="Arial"/>
          <w:sz w:val="17"/>
          <w:szCs w:val="17"/>
          <w:color w:val="auto"/>
        </w:rPr>
        <w:t>In response to the COVID-19 pandemic, the United States government enacted a number of policies to provide fiscal stimulus to the economy and relief to those affected by this global disaster. Specifically, mortgage forbearance programs and foreclosure moratoriums were instituted by Federal legislation along with actions taken by FHFA and the GSEs. The mortgage forbearance plans permit these borrowers to temporarily reduce or suspend their mortgage payments for up to 18 months for loans in an active COVID-19-related forbearance program as of February 28, 2021. For borrowers that have the ability to begin to pay their mortgage at the end of the forbearance period, we expect that mortgage servicers will continue to work with them to modify their loans at which time the mortgage will be removed from delinquency status. We believe that the forbearance process could have a favorable effect on the frequency of claims that we ultimately pay. Based on the forbearance programs in place and the credit characteristics of the Early COVID Defaults, we believe that the ultimate number of Early COVID Defaults that result in claims will be less than our historical default-to-claim experience. Accordingly, we applied a lower reserve rate to the Early COVID Defaults than the rate used for defaults that had missed a comparable number of payments as of March 31, 2020 and in prior periods that did not have access to forbearance plans.</w:t>
      </w:r>
    </w:p>
    <w:p>
      <w:pPr>
        <w:spacing w:after="0" w:line="209" w:lineRule="exact"/>
        <w:rPr>
          <w:sz w:val="20"/>
          <w:szCs w:val="20"/>
          <w:color w:val="auto"/>
        </w:rPr>
      </w:pPr>
    </w:p>
    <w:p>
      <w:pPr>
        <w:ind w:right="60" w:firstLine="428"/>
        <w:spacing w:after="0" w:line="277" w:lineRule="auto"/>
        <w:rPr>
          <w:sz w:val="20"/>
          <w:szCs w:val="20"/>
          <w:color w:val="auto"/>
        </w:rPr>
      </w:pPr>
      <w:r>
        <w:rPr>
          <w:rFonts w:ascii="Arial" w:cs="Arial" w:eastAsia="Arial" w:hAnsi="Arial"/>
          <w:sz w:val="16"/>
          <w:szCs w:val="16"/>
          <w:color w:val="auto"/>
        </w:rPr>
        <w:t>The defaulted loans reported to us in the second and third quarters of 2020 had reached the end of their forbearance periods as of March 31, 2022. During the first quarter of 2022, the Early COVID Defaults cured at elevated levels, and the cumulative cure rate for the Early COVID Defaults at March 31, 2022 exceeded our initial estimated cure rate implied by our estimate of ultimate loss for these defaults established at the onset of the pandemic. Based on cure activity through March 31, 2022 and our expectations for future cure activity, as of March 31, 2022, we lowered our estimate of ultimate loss for the Early COVID Defaults. During the three months ended June 30, 2022, Early COVID Defaults cured at levels that exceeded our estimate as of March 31, 2022, and we further lowered our estimate of loss for these defaults as of June 30, 2022 to 2% of the initial risk in force. These revisions to our estimate of ultimate loss for the Early COVID Defaults resulted in a benefit recorded to the provision for losses of $164.1 million for the year ended December 31, 2022. Due to the level of Early COVID Defaults remaining in the default inventory, beginning in the third quarter of 2022, we resumed reserving for the Early COVID Defaults</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68580</wp:posOffset>
            </wp:positionV>
            <wp:extent cx="7162800" cy="419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3" w:name="page34"/>
    <w:bookmarkEnd w:id="33"/>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344" w:lineRule="exact"/>
        <w:rPr>
          <w:sz w:val="20"/>
          <w:szCs w:val="20"/>
          <w:color w:val="auto"/>
        </w:rPr>
      </w:pPr>
    </w:p>
    <w:p>
      <w:pPr>
        <w:ind w:right="100"/>
        <w:spacing w:after="0" w:line="270" w:lineRule="auto"/>
        <w:rPr>
          <w:sz w:val="20"/>
          <w:szCs w:val="20"/>
          <w:color w:val="auto"/>
        </w:rPr>
      </w:pPr>
      <w:r>
        <w:rPr>
          <w:rFonts w:ascii="Arial" w:cs="Arial" w:eastAsia="Arial" w:hAnsi="Arial"/>
          <w:sz w:val="17"/>
          <w:szCs w:val="17"/>
          <w:color w:val="auto"/>
        </w:rPr>
        <w:t>using our normal reserve methodology. While the level of cure activity for the Early COVID Defaults exceeded our initial expectations, the transition of defaults to foreclosure or claim has not returned to pre-pandemic levels as of June 30, 2023. As a result, the level of defaults in the default inventory that have missed twelve or more payments is above pre-pandemic levels.</w:t>
      </w:r>
    </w:p>
    <w:p>
      <w:pPr>
        <w:spacing w:after="0" w:line="197" w:lineRule="exact"/>
        <w:rPr>
          <w:sz w:val="20"/>
          <w:szCs w:val="20"/>
          <w:color w:val="auto"/>
        </w:rPr>
      </w:pPr>
    </w:p>
    <w:p>
      <w:pPr>
        <w:ind w:firstLine="428"/>
        <w:spacing w:after="0" w:line="262" w:lineRule="auto"/>
        <w:rPr>
          <w:sz w:val="20"/>
          <w:szCs w:val="20"/>
          <w:color w:val="auto"/>
        </w:rPr>
      </w:pPr>
      <w:r>
        <w:rPr>
          <w:rFonts w:ascii="Arial" w:cs="Arial" w:eastAsia="Arial" w:hAnsi="Arial"/>
          <w:sz w:val="17"/>
          <w:szCs w:val="17"/>
          <w:color w:val="auto"/>
        </w:rPr>
        <w:t>The economy in the United States is currently experiencing elevated levels of consumer price inflation. The Federal Reserve has increased the target federal funds rate several times during 2022 and 2023 in an effort to reduce consumer price inflation. These rate increases have resulted in higher mortgage interest rates which may lower home sale activity and affect the options available to delinquent borrowers. It is reasonably possible that our estimate of losses could change in the near term as a result of changes in the economic environment, the impact of elevated levels of consumer price inflation on home sale activity, housing inventory, and home prices.</w:t>
      </w:r>
    </w:p>
    <w:p>
      <w:pPr>
        <w:spacing w:after="0" w:line="205" w:lineRule="exact"/>
        <w:rPr>
          <w:sz w:val="20"/>
          <w:szCs w:val="20"/>
          <w:color w:val="auto"/>
        </w:rPr>
      </w:pPr>
    </w:p>
    <w:p>
      <w:pPr>
        <w:ind w:firstLine="428"/>
        <w:spacing w:after="0" w:line="311" w:lineRule="auto"/>
        <w:rPr>
          <w:sz w:val="20"/>
          <w:szCs w:val="20"/>
          <w:color w:val="auto"/>
        </w:rPr>
      </w:pPr>
      <w:r>
        <w:rPr>
          <w:rFonts w:ascii="Arial" w:cs="Arial" w:eastAsia="Arial" w:hAnsi="Arial"/>
          <w:sz w:val="15"/>
          <w:szCs w:val="15"/>
          <w:color w:val="auto"/>
        </w:rPr>
        <w:t>As more fully described in Note 4 to our condensed consolidated financial statements, at June 30, 2023, we had approximately $1.4 billion of excess of loss reinsurance covering NIW from January 1, 2017 to December 31, 2022 and a quota share reinsurance on portions of our NIW effective September 1, 2019 through December 31, 2020 and January 1, 2022 through December 31, 2023. The impact on our reserves in future periods will be dependent upon the amount of delinquent notices received from loan servicers, the performance of defaults and our expectations for the amount of ultimate losses on these delinquencies.</w:t>
      </w:r>
    </w:p>
    <w:p>
      <w:pPr>
        <w:spacing w:after="0" w:line="170" w:lineRule="exact"/>
        <w:rPr>
          <w:sz w:val="20"/>
          <w:szCs w:val="20"/>
          <w:color w:val="auto"/>
        </w:rPr>
      </w:pPr>
    </w:p>
    <w:p>
      <w:pPr>
        <w:ind w:left="620"/>
        <w:spacing w:after="0"/>
        <w:rPr>
          <w:sz w:val="20"/>
          <w:szCs w:val="20"/>
          <w:color w:val="auto"/>
        </w:rPr>
      </w:pPr>
      <w:r>
        <w:rPr>
          <w:rFonts w:ascii="Arial" w:cs="Arial" w:eastAsia="Arial" w:hAnsi="Arial"/>
          <w:sz w:val="17"/>
          <w:szCs w:val="17"/>
          <w:b w:val="1"/>
          <w:bCs w:val="1"/>
          <w:i w:val="1"/>
          <w:iCs w:val="1"/>
          <w:color w:val="auto"/>
        </w:rPr>
        <w:t>Third-Party Reinsurance</w:t>
      </w:r>
    </w:p>
    <w:p>
      <w:pPr>
        <w:spacing w:after="0" w:line="246" w:lineRule="exact"/>
        <w:rPr>
          <w:sz w:val="20"/>
          <w:szCs w:val="20"/>
          <w:color w:val="auto"/>
        </w:rPr>
      </w:pPr>
    </w:p>
    <w:p>
      <w:pPr>
        <w:ind w:firstLine="623"/>
        <w:spacing w:after="0" w:line="262" w:lineRule="auto"/>
        <w:rPr>
          <w:sz w:val="20"/>
          <w:szCs w:val="20"/>
          <w:color w:val="auto"/>
        </w:rPr>
      </w:pPr>
      <w:r>
        <w:rPr>
          <w:rFonts w:ascii="Arial" w:cs="Arial" w:eastAsia="Arial" w:hAnsi="Arial"/>
          <w:sz w:val="17"/>
          <w:szCs w:val="17"/>
          <w:color w:val="auto"/>
        </w:rPr>
        <w:t>We use third-party reinsurance to provide protection against adverse loss experience and to expand our capital sources. When we enter into a reinsurance agreement, the reinsurer receives a premium and, in exchange, agrees to insure an agreed upon portion of incurred losses. These arrangements have the impact of reducing our earned premiums, but also reduce our risk in force ("RIF"), which provides capital relief, and may include capital relief under the PMIERs financial strength requirements. Our incurred losses are reduced by any incurred losses ceded in accordance with the reinsurance agreement. For additional information regarding reinsurance, see Note 4 to our condensed consolidated financial statements.</w:t>
      </w:r>
    </w:p>
    <w:p>
      <w:pPr>
        <w:spacing w:after="0" w:line="205" w:lineRule="exact"/>
        <w:rPr>
          <w:sz w:val="20"/>
          <w:szCs w:val="20"/>
          <w:color w:val="auto"/>
        </w:rPr>
      </w:pPr>
    </w:p>
    <w:p>
      <w:pPr>
        <w:ind w:left="620"/>
        <w:spacing w:after="0"/>
        <w:rPr>
          <w:sz w:val="20"/>
          <w:szCs w:val="20"/>
          <w:color w:val="auto"/>
        </w:rPr>
      </w:pPr>
      <w:r>
        <w:rPr>
          <w:rFonts w:ascii="Arial" w:cs="Arial" w:eastAsia="Arial" w:hAnsi="Arial"/>
          <w:sz w:val="17"/>
          <w:szCs w:val="17"/>
          <w:b w:val="1"/>
          <w:bCs w:val="1"/>
          <w:i w:val="1"/>
          <w:iCs w:val="1"/>
          <w:color w:val="auto"/>
        </w:rPr>
        <w:t>Other Underwriting and Operating Expenses</w:t>
      </w:r>
    </w:p>
    <w:p>
      <w:pPr>
        <w:spacing w:after="0" w:line="220" w:lineRule="exact"/>
        <w:rPr>
          <w:sz w:val="20"/>
          <w:szCs w:val="20"/>
          <w:color w:val="auto"/>
        </w:rPr>
      </w:pPr>
    </w:p>
    <w:p>
      <w:pPr>
        <w:ind w:firstLine="623"/>
        <w:spacing w:after="0" w:line="285" w:lineRule="auto"/>
        <w:rPr>
          <w:sz w:val="20"/>
          <w:szCs w:val="20"/>
          <w:color w:val="auto"/>
        </w:rPr>
      </w:pPr>
      <w:r>
        <w:rPr>
          <w:rFonts w:ascii="Arial" w:cs="Arial" w:eastAsia="Arial" w:hAnsi="Arial"/>
          <w:sz w:val="17"/>
          <w:szCs w:val="17"/>
          <w:color w:val="auto"/>
        </w:rPr>
        <w:t>Our other underwriting and operating expenses include components that are substantially fixed, as well as expenses that generally increase or decrease in line with the level of NIW.</w:t>
      </w:r>
    </w:p>
    <w:p>
      <w:pPr>
        <w:spacing w:after="0" w:line="159" w:lineRule="exact"/>
        <w:rPr>
          <w:sz w:val="20"/>
          <w:szCs w:val="20"/>
          <w:color w:val="auto"/>
        </w:rPr>
      </w:pPr>
    </w:p>
    <w:p>
      <w:pPr>
        <w:ind w:right="200" w:firstLine="623"/>
        <w:spacing w:after="0" w:line="265" w:lineRule="auto"/>
        <w:rPr>
          <w:sz w:val="20"/>
          <w:szCs w:val="20"/>
          <w:color w:val="auto"/>
        </w:rPr>
      </w:pPr>
      <w:r>
        <w:rPr>
          <w:rFonts w:ascii="Arial" w:cs="Arial" w:eastAsia="Arial" w:hAnsi="Arial"/>
          <w:sz w:val="17"/>
          <w:szCs w:val="17"/>
          <w:color w:val="auto"/>
        </w:rPr>
        <w:t>Our most significant expense is compensation and benefits for our employees, which represented 58% and 57% of other underwriting and operating expenses for the three and six months ended June 30, 2023, respectively, compared to 60% and 61% of other underwriting and operating expenses for the three and six months ended June 30, 2022, respectively. Compensation and benefits expense includes base and incentive cash compensation, stock compensation expense, benefits and payroll taxes.</w:t>
      </w:r>
    </w:p>
    <w:p>
      <w:pPr>
        <w:spacing w:after="0" w:line="175" w:lineRule="exact"/>
        <w:rPr>
          <w:sz w:val="20"/>
          <w:szCs w:val="20"/>
          <w:color w:val="auto"/>
        </w:rPr>
      </w:pPr>
    </w:p>
    <w:p>
      <w:pPr>
        <w:jc w:val="both"/>
        <w:ind w:right="20" w:firstLine="623"/>
        <w:spacing w:after="0" w:line="270" w:lineRule="auto"/>
        <w:rPr>
          <w:sz w:val="20"/>
          <w:szCs w:val="20"/>
          <w:color w:val="auto"/>
        </w:rPr>
      </w:pPr>
      <w:r>
        <w:rPr>
          <w:rFonts w:ascii="Arial" w:cs="Arial" w:eastAsia="Arial" w:hAnsi="Arial"/>
          <w:sz w:val="17"/>
          <w:szCs w:val="17"/>
          <w:color w:val="auto"/>
        </w:rPr>
        <w:t>Underwriting and other expenses include legal, consulting, other professional fees, premium taxes, travel, entertainment, marketing, licensing, supplies, hardware, software, rent, utilities, depreciation and amortization and other expenses. We anticipate that as we continue to add new customers and increase our IIF, our expenses will also continue to increase.</w:t>
      </w:r>
    </w:p>
    <w:p>
      <w:pPr>
        <w:spacing w:after="0" w:line="197" w:lineRule="exact"/>
        <w:rPr>
          <w:sz w:val="20"/>
          <w:szCs w:val="20"/>
          <w:color w:val="auto"/>
        </w:rPr>
      </w:pPr>
    </w:p>
    <w:p>
      <w:pPr>
        <w:ind w:left="620"/>
        <w:spacing w:after="0"/>
        <w:rPr>
          <w:sz w:val="20"/>
          <w:szCs w:val="20"/>
          <w:color w:val="auto"/>
        </w:rPr>
      </w:pPr>
      <w:r>
        <w:rPr>
          <w:rFonts w:ascii="Arial" w:cs="Arial" w:eastAsia="Arial" w:hAnsi="Arial"/>
          <w:sz w:val="17"/>
          <w:szCs w:val="17"/>
          <w:b w:val="1"/>
          <w:bCs w:val="1"/>
          <w:i w:val="1"/>
          <w:iCs w:val="1"/>
          <w:color w:val="auto"/>
        </w:rPr>
        <w:t>Interest Expense</w:t>
      </w:r>
    </w:p>
    <w:p>
      <w:pPr>
        <w:spacing w:after="0" w:line="246" w:lineRule="exact"/>
        <w:rPr>
          <w:sz w:val="20"/>
          <w:szCs w:val="20"/>
          <w:color w:val="auto"/>
        </w:rPr>
      </w:pPr>
    </w:p>
    <w:p>
      <w:pPr>
        <w:ind w:right="20" w:firstLine="623"/>
        <w:spacing w:after="0" w:line="322" w:lineRule="auto"/>
        <w:rPr>
          <w:sz w:val="20"/>
          <w:szCs w:val="20"/>
          <w:color w:val="auto"/>
        </w:rPr>
      </w:pPr>
      <w:r>
        <w:rPr>
          <w:rFonts w:ascii="Arial" w:cs="Arial" w:eastAsia="Arial" w:hAnsi="Arial"/>
          <w:sz w:val="15"/>
          <w:szCs w:val="15"/>
          <w:color w:val="auto"/>
        </w:rPr>
        <w:t>Interest expense is incurred as a result of borrowings under our secured credit facility (the “Credit Facility”). Borrowings under the Credit Facility may be used for working capital and general corporate purposes, including, without limitation, capital contributions to Essent’s insurance and reinsurance subsidiaries. Borrowings accrue interest at a floating rate tied to a standard short-term borrowing index, selected at the Company’s option, plus an applicable margin.</w:t>
      </w:r>
    </w:p>
    <w:p>
      <w:pPr>
        <w:spacing w:after="0" w:line="136" w:lineRule="exact"/>
        <w:rPr>
          <w:sz w:val="20"/>
          <w:szCs w:val="20"/>
          <w:color w:val="auto"/>
        </w:rPr>
      </w:pPr>
    </w:p>
    <w:p>
      <w:pPr>
        <w:ind w:left="620"/>
        <w:spacing w:after="0"/>
        <w:rPr>
          <w:sz w:val="20"/>
          <w:szCs w:val="20"/>
          <w:color w:val="auto"/>
        </w:rPr>
      </w:pPr>
      <w:r>
        <w:rPr>
          <w:rFonts w:ascii="Arial" w:cs="Arial" w:eastAsia="Arial" w:hAnsi="Arial"/>
          <w:sz w:val="17"/>
          <w:szCs w:val="17"/>
          <w:b w:val="1"/>
          <w:bCs w:val="1"/>
          <w:i w:val="1"/>
          <w:iCs w:val="1"/>
          <w:color w:val="auto"/>
        </w:rPr>
        <w:t>Income Taxes</w:t>
      </w:r>
    </w:p>
    <w:p>
      <w:pPr>
        <w:spacing w:after="0" w:line="220" w:lineRule="exact"/>
        <w:rPr>
          <w:sz w:val="20"/>
          <w:szCs w:val="20"/>
          <w:color w:val="auto"/>
        </w:rPr>
      </w:pPr>
    </w:p>
    <w:p>
      <w:pPr>
        <w:ind w:right="40" w:firstLine="623"/>
        <w:spacing w:after="0" w:line="265" w:lineRule="auto"/>
        <w:rPr>
          <w:sz w:val="20"/>
          <w:szCs w:val="20"/>
          <w:color w:val="auto"/>
        </w:rPr>
      </w:pPr>
      <w:r>
        <w:rPr>
          <w:rFonts w:ascii="Arial" w:cs="Arial" w:eastAsia="Arial" w:hAnsi="Arial"/>
          <w:sz w:val="17"/>
          <w:szCs w:val="17"/>
          <w:color w:val="auto"/>
        </w:rPr>
        <w:t>Income taxes are incurred based on the amount of earnings or losses generated in the jurisdictions in which we operate and the applicable tax rates and regulations in those jurisdictions. Our U.S. insurance subsidiaries are generally not subject to income taxes in most states in which we operate; however, our non-insurance subsidiaries are subject to state income taxes. In lieu of state income taxes, our insurance subsidiaries pay premium taxes that are recorded in other underwriting and operating expenses.</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68580</wp:posOffset>
            </wp:positionV>
            <wp:extent cx="7162800" cy="419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34" w:name="page35"/>
    <w:bookmarkEnd w:id="34"/>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331" w:lineRule="exact"/>
        <w:rPr>
          <w:sz w:val="20"/>
          <w:szCs w:val="20"/>
          <w:color w:val="auto"/>
        </w:rPr>
      </w:pPr>
    </w:p>
    <w:p>
      <w:pPr>
        <w:ind w:right="160" w:firstLine="623"/>
        <w:spacing w:after="0" w:line="277" w:lineRule="auto"/>
        <w:rPr>
          <w:sz w:val="20"/>
          <w:szCs w:val="20"/>
          <w:color w:val="auto"/>
        </w:rPr>
      </w:pPr>
      <w:r>
        <w:rPr>
          <w:rFonts w:ascii="Arial" w:cs="Arial" w:eastAsia="Arial" w:hAnsi="Arial"/>
          <w:sz w:val="16"/>
          <w:szCs w:val="16"/>
          <w:color w:val="auto"/>
        </w:rPr>
        <w:t>Essent Group Ltd. ("Essent Group") and its wholly-owned subsidiary, Essent Re, are domiciled in Bermuda, which does not have a corporate income tax. Under a quota share reinsurance agreement, Essent Re reinsures 25% of Essent Guaranty’s NIW through December 31, 2020 and 35% of Essent Guaranty’s NIW after December 31, 2020. Essent Re also provides insurance and reinsurance to Freddie Mac and Fannie Mae.</w:t>
      </w:r>
    </w:p>
    <w:p>
      <w:pPr>
        <w:spacing w:after="0" w:line="194" w:lineRule="exact"/>
        <w:rPr>
          <w:sz w:val="20"/>
          <w:szCs w:val="20"/>
          <w:color w:val="auto"/>
        </w:rPr>
      </w:pPr>
    </w:p>
    <w:p>
      <w:pPr>
        <w:ind w:right="100" w:firstLine="623"/>
        <w:spacing w:after="0" w:line="285" w:lineRule="auto"/>
        <w:rPr>
          <w:sz w:val="20"/>
          <w:szCs w:val="20"/>
          <w:color w:val="auto"/>
        </w:rPr>
      </w:pPr>
      <w:r>
        <w:rPr>
          <w:rFonts w:ascii="Arial" w:cs="Arial" w:eastAsia="Arial" w:hAnsi="Arial"/>
          <w:sz w:val="17"/>
          <w:szCs w:val="17"/>
          <w:color w:val="auto"/>
        </w:rPr>
        <w:t>The amount of income tax expense or benefit recorded in future periods will be dependent on the jurisdictions in which we operate and the tax laws and regulations in effect.</w:t>
      </w:r>
    </w:p>
    <w:p>
      <w:pPr>
        <w:spacing w:after="0" w:line="185" w:lineRule="exact"/>
        <w:rPr>
          <w:sz w:val="20"/>
          <w:szCs w:val="20"/>
          <w:color w:val="auto"/>
        </w:rPr>
      </w:pPr>
    </w:p>
    <w:p>
      <w:pPr>
        <w:ind w:left="620"/>
        <w:spacing w:after="0"/>
        <w:rPr>
          <w:sz w:val="20"/>
          <w:szCs w:val="20"/>
          <w:color w:val="auto"/>
        </w:rPr>
      </w:pPr>
      <w:r>
        <w:rPr>
          <w:rFonts w:ascii="Arial" w:cs="Arial" w:eastAsia="Arial" w:hAnsi="Arial"/>
          <w:sz w:val="17"/>
          <w:szCs w:val="17"/>
          <w:b w:val="1"/>
          <w:bCs w:val="1"/>
          <w:i w:val="1"/>
          <w:iCs w:val="1"/>
          <w:color w:val="auto"/>
        </w:rPr>
        <w:t>Mortgage Insurance Earnings and Cash Flow Cycle</w:t>
      </w:r>
    </w:p>
    <w:p>
      <w:pPr>
        <w:spacing w:after="0" w:line="220" w:lineRule="exact"/>
        <w:rPr>
          <w:sz w:val="20"/>
          <w:szCs w:val="20"/>
          <w:color w:val="auto"/>
        </w:rPr>
      </w:pPr>
    </w:p>
    <w:p>
      <w:pPr>
        <w:ind w:firstLine="623"/>
        <w:spacing w:after="0" w:line="262" w:lineRule="auto"/>
        <w:rPr>
          <w:sz w:val="20"/>
          <w:szCs w:val="20"/>
          <w:color w:val="auto"/>
        </w:rPr>
      </w:pPr>
      <w:r>
        <w:rPr>
          <w:rFonts w:ascii="Arial" w:cs="Arial" w:eastAsia="Arial" w:hAnsi="Arial"/>
          <w:sz w:val="17"/>
          <w:szCs w:val="17"/>
          <w:color w:val="auto"/>
        </w:rPr>
        <w:t>In general, the majority of any underwriting profit (premium revenue minus losses) that a book generates occurs in the early years of the book, with the largest portion of any underwriting profit realized in the first year. Subsequent years of a book generally result in modest underwriting profit or underwriting losses. This pattern generally occurs because relatively few of the claims that a book will ultimately experience typically occur in the first few years of the book, when premium revenue is highest, while subsequent years are affected by declining premium revenues, as the number of insured loans decreases (primarily due to loan prepayments), and by increasing losses.</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Key Performance Indicators</w:t>
      </w:r>
    </w:p>
    <w:p>
      <w:pPr>
        <w:spacing w:after="0" w:line="226" w:lineRule="exact"/>
        <w:rPr>
          <w:sz w:val="20"/>
          <w:szCs w:val="20"/>
          <w:color w:val="auto"/>
        </w:rPr>
      </w:pPr>
    </w:p>
    <w:p>
      <w:pPr>
        <w:ind w:left="620"/>
        <w:spacing w:after="0"/>
        <w:rPr>
          <w:sz w:val="20"/>
          <w:szCs w:val="20"/>
          <w:color w:val="auto"/>
        </w:rPr>
      </w:pPr>
      <w:r>
        <w:rPr>
          <w:rFonts w:ascii="Arial" w:cs="Arial" w:eastAsia="Arial" w:hAnsi="Arial"/>
          <w:sz w:val="17"/>
          <w:szCs w:val="17"/>
          <w:b w:val="1"/>
          <w:bCs w:val="1"/>
          <w:i w:val="1"/>
          <w:iCs w:val="1"/>
          <w:color w:val="auto"/>
        </w:rPr>
        <w:t>Insurance In Force</w:t>
      </w:r>
    </w:p>
    <w:p>
      <w:pPr>
        <w:spacing w:after="0" w:line="220" w:lineRule="exact"/>
        <w:rPr>
          <w:sz w:val="20"/>
          <w:szCs w:val="20"/>
          <w:color w:val="auto"/>
        </w:rPr>
      </w:pPr>
    </w:p>
    <w:p>
      <w:pPr>
        <w:ind w:right="20" w:firstLine="623"/>
        <w:spacing w:after="0" w:line="270" w:lineRule="auto"/>
        <w:rPr>
          <w:sz w:val="20"/>
          <w:szCs w:val="20"/>
          <w:color w:val="auto"/>
        </w:rPr>
      </w:pPr>
      <w:r>
        <w:rPr>
          <w:rFonts w:ascii="Arial" w:cs="Arial" w:eastAsia="Arial" w:hAnsi="Arial"/>
          <w:sz w:val="17"/>
          <w:szCs w:val="17"/>
          <w:color w:val="auto"/>
        </w:rPr>
        <w:t>As discussed above, premiums we collect and earn are generated based on our IIF, which is a function of our NIW and cancellations. The following table includes a summary of the change in our IIF for the three and six months ended June 30, 2023 and 2022 for our U.S. mortgage insurance portfolio. In addition, this table includes our RIF at the end of each period.</w:t>
      </w: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5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680" w:type="dxa"/>
            <w:vAlign w:val="bottom"/>
            <w:gridSpan w:val="6"/>
          </w:tcPr>
          <w:p>
            <w:pPr>
              <w:ind w:left="300"/>
              <w:spacing w:after="0"/>
              <w:rPr>
                <w:sz w:val="20"/>
                <w:szCs w:val="20"/>
                <w:color w:val="auto"/>
              </w:rPr>
            </w:pPr>
            <w:r>
              <w:rPr>
                <w:rFonts w:ascii="Arial" w:cs="Arial" w:eastAsia="Arial" w:hAnsi="Arial"/>
                <w:sz w:val="14"/>
                <w:szCs w:val="14"/>
                <w:b w:val="1"/>
                <w:bCs w:val="1"/>
                <w:color w:val="auto"/>
              </w:rPr>
              <w:t>Three Months Ended June 30,</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800" w:type="dxa"/>
            <w:vAlign w:val="bottom"/>
            <w:gridSpan w:val="7"/>
          </w:tcPr>
          <w:p>
            <w:pPr>
              <w:jc w:val="right"/>
              <w:ind w:right="680"/>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25"/>
        </w:trPr>
        <w:tc>
          <w:tcPr>
            <w:tcW w:w="50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vMerge w:val="restart"/>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1"/>
        </w:trPr>
        <w:tc>
          <w:tcPr>
            <w:tcW w:w="5080" w:type="dxa"/>
            <w:vAlign w:val="bottom"/>
            <w:tcBorders>
              <w:bottom w:val="single" w:sz="8" w:color="auto"/>
            </w:tcBorders>
            <w:vMerge w:val="continue"/>
          </w:tcPr>
          <w:p>
            <w:pPr>
              <w:spacing w:after="0"/>
              <w:rPr>
                <w:sz w:val="15"/>
                <w:szCs w:val="15"/>
                <w:color w:val="auto"/>
              </w:rPr>
            </w:pPr>
          </w:p>
        </w:tc>
        <w:tc>
          <w:tcPr>
            <w:tcW w:w="120" w:type="dxa"/>
            <w:vAlign w:val="bottom"/>
            <w:tcBorders>
              <w:bottom w:val="single" w:sz="8" w:color="CCEEFF"/>
            </w:tcBorders>
            <w:vMerge w:val="continue"/>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ind w:left="280"/>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135"/>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237"/>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2022</w:t>
            </w:r>
          </w:p>
        </w:tc>
        <w:tc>
          <w:tcPr>
            <w:tcW w:w="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520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IIF, beginning of period</w:t>
            </w:r>
          </w:p>
        </w:tc>
        <w:tc>
          <w:tcPr>
            <w:tcW w:w="280" w:type="dxa"/>
            <w:vAlign w:val="bottom"/>
            <w:shd w:val="clear" w:color="auto" w:fill="CCEEFF"/>
          </w:tcPr>
          <w:p>
            <w:pPr>
              <w:jc w:val="right"/>
              <w:ind w:right="93"/>
              <w:spacing w:after="0"/>
              <w:rPr>
                <w:sz w:val="20"/>
                <w:szCs w:val="20"/>
                <w:color w:val="auto"/>
              </w:rPr>
            </w:pPr>
            <w:r>
              <w:rPr>
                <w:rFonts w:ascii="Arial" w:cs="Arial" w:eastAsia="Arial" w:hAnsi="Arial"/>
                <w:sz w:val="17"/>
                <w:szCs w:val="17"/>
                <w:color w:val="auto"/>
                <w:w w:val="84"/>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231,537,416</w:t>
            </w:r>
          </w:p>
        </w:tc>
        <w:tc>
          <w:tcPr>
            <w:tcW w:w="420" w:type="dxa"/>
            <w:vAlign w:val="bottom"/>
            <w:gridSpan w:val="2"/>
            <w:shd w:val="clear" w:color="auto" w:fill="CCEEFF"/>
          </w:tcPr>
          <w:p>
            <w:pPr>
              <w:jc w:val="right"/>
              <w:ind w:right="113"/>
              <w:spacing w:after="0"/>
              <w:rPr>
                <w:sz w:val="20"/>
                <w:szCs w:val="20"/>
                <w:color w:val="auto"/>
              </w:rPr>
            </w:pPr>
            <w:r>
              <w:rPr>
                <w:rFonts w:ascii="Arial" w:cs="Arial" w:eastAsia="Arial" w:hAnsi="Arial"/>
                <w:sz w:val="17"/>
                <w:szCs w:val="17"/>
                <w:color w:val="auto"/>
              </w:rPr>
              <w:t>$</w:t>
            </w:r>
          </w:p>
        </w:tc>
        <w:tc>
          <w:tcPr>
            <w:tcW w:w="1120" w:type="dxa"/>
            <w:vAlign w:val="bottom"/>
            <w:gridSpan w:val="3"/>
            <w:shd w:val="clear" w:color="auto" w:fill="CCEEFF"/>
          </w:tcPr>
          <w:p>
            <w:pPr>
              <w:jc w:val="right"/>
              <w:ind w:right="60"/>
              <w:spacing w:after="0"/>
              <w:rPr>
                <w:sz w:val="20"/>
                <w:szCs w:val="20"/>
                <w:color w:val="auto"/>
              </w:rPr>
            </w:pPr>
            <w:r>
              <w:rPr>
                <w:rFonts w:ascii="Arial" w:cs="Arial" w:eastAsia="Arial" w:hAnsi="Arial"/>
                <w:sz w:val="17"/>
                <w:szCs w:val="17"/>
                <w:color w:val="auto"/>
              </w:rPr>
              <w:t>206,842,996</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60" w:type="dxa"/>
            <w:vAlign w:val="bottom"/>
            <w:gridSpan w:val="3"/>
            <w:shd w:val="clear" w:color="auto" w:fill="CCEEFF"/>
          </w:tcPr>
          <w:p>
            <w:pPr>
              <w:jc w:val="right"/>
              <w:ind w:right="60"/>
              <w:spacing w:after="0"/>
              <w:rPr>
                <w:sz w:val="20"/>
                <w:szCs w:val="20"/>
                <w:color w:val="auto"/>
              </w:rPr>
            </w:pPr>
            <w:r>
              <w:rPr>
                <w:rFonts w:ascii="Arial" w:cs="Arial" w:eastAsia="Arial" w:hAnsi="Arial"/>
                <w:sz w:val="17"/>
                <w:szCs w:val="17"/>
                <w:color w:val="auto"/>
              </w:rPr>
              <w:t>227,062,055</w:t>
            </w:r>
          </w:p>
        </w:tc>
        <w:tc>
          <w:tcPr>
            <w:tcW w:w="400" w:type="dxa"/>
            <w:vAlign w:val="bottom"/>
            <w:gridSpan w:val="2"/>
            <w:shd w:val="clear" w:color="auto" w:fill="CCEEFF"/>
          </w:tcPr>
          <w:p>
            <w:pPr>
              <w:jc w:val="right"/>
              <w:ind w:right="93"/>
              <w:spacing w:after="0"/>
              <w:rPr>
                <w:sz w:val="20"/>
                <w:szCs w:val="20"/>
                <w:color w:val="auto"/>
              </w:rPr>
            </w:pPr>
            <w:r>
              <w:rPr>
                <w:rFonts w:ascii="Arial" w:cs="Arial" w:eastAsia="Arial" w:hAnsi="Arial"/>
                <w:sz w:val="17"/>
                <w:szCs w:val="17"/>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207,190,544</w:t>
            </w: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5200" w:type="dxa"/>
            <w:vAlign w:val="bottom"/>
            <w:gridSpan w:val="2"/>
          </w:tcPr>
          <w:p>
            <w:pPr>
              <w:ind w:left="220"/>
              <w:spacing w:after="0"/>
              <w:rPr>
                <w:sz w:val="20"/>
                <w:szCs w:val="20"/>
                <w:color w:val="auto"/>
              </w:rPr>
            </w:pPr>
            <w:r>
              <w:rPr>
                <w:rFonts w:ascii="Arial" w:cs="Arial" w:eastAsia="Arial" w:hAnsi="Arial"/>
                <w:sz w:val="17"/>
                <w:szCs w:val="17"/>
                <w:color w:val="auto"/>
              </w:rPr>
              <w:t>NIW - Flow</w:t>
            </w: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13,498,080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gridSpan w:val="3"/>
          </w:tcPr>
          <w:p>
            <w:pPr>
              <w:jc w:val="right"/>
              <w:ind w:right="60"/>
              <w:spacing w:after="0"/>
              <w:rPr>
                <w:sz w:val="20"/>
                <w:szCs w:val="20"/>
                <w:color w:val="auto"/>
              </w:rPr>
            </w:pPr>
            <w:r>
              <w:rPr>
                <w:rFonts w:ascii="Arial" w:cs="Arial" w:eastAsia="Arial" w:hAnsi="Arial"/>
                <w:sz w:val="17"/>
                <w:szCs w:val="17"/>
                <w:color w:val="auto"/>
              </w:rPr>
              <w:t>20,096,135</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gridSpan w:val="3"/>
          </w:tcPr>
          <w:p>
            <w:pPr>
              <w:jc w:val="right"/>
              <w:ind w:right="60"/>
              <w:spacing w:after="0"/>
              <w:rPr>
                <w:sz w:val="20"/>
                <w:szCs w:val="20"/>
                <w:color w:val="auto"/>
              </w:rPr>
            </w:pPr>
            <w:r>
              <w:rPr>
                <w:rFonts w:ascii="Arial" w:cs="Arial" w:eastAsia="Arial" w:hAnsi="Arial"/>
                <w:sz w:val="17"/>
                <w:szCs w:val="17"/>
                <w:color w:val="auto"/>
              </w:rPr>
              <w:t>26,391,869</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32,937,617</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5200" w:type="dxa"/>
            <w:vAlign w:val="bottom"/>
            <w:gridSpan w:val="2"/>
            <w:shd w:val="clear" w:color="auto" w:fill="CCEEFF"/>
          </w:tcPr>
          <w:p>
            <w:pPr>
              <w:ind w:left="220"/>
              <w:spacing w:after="0"/>
              <w:rPr>
                <w:sz w:val="20"/>
                <w:szCs w:val="20"/>
                <w:color w:val="auto"/>
              </w:rPr>
            </w:pPr>
            <w:r>
              <w:rPr>
                <w:rFonts w:ascii="Arial" w:cs="Arial" w:eastAsia="Arial" w:hAnsi="Arial"/>
                <w:sz w:val="17"/>
                <w:szCs w:val="17"/>
                <w:color w:val="auto"/>
              </w:rPr>
              <w:t>NIW - Bulk</w:t>
            </w:r>
          </w:p>
        </w:tc>
        <w:tc>
          <w:tcPr>
            <w:tcW w:w="28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20" w:type="dxa"/>
            <w:vAlign w:val="bottom"/>
            <w:gridSpan w:val="3"/>
            <w:shd w:val="clear" w:color="auto" w:fill="CCEEFF"/>
          </w:tcPr>
          <w:p>
            <w:pPr>
              <w:jc w:val="right"/>
              <w:ind w:right="60"/>
              <w:spacing w:after="0"/>
              <w:rPr>
                <w:sz w:val="20"/>
                <w:szCs w:val="20"/>
                <w:color w:val="auto"/>
              </w:rPr>
            </w:pPr>
            <w:r>
              <w:rPr>
                <w:rFonts w:ascii="Arial" w:cs="Arial" w:eastAsia="Arial" w:hAnsi="Arial"/>
                <w:sz w:val="17"/>
                <w:szCs w:val="17"/>
                <w:color w:val="auto"/>
              </w:rPr>
              <w:t>196</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196</w:t>
            </w:r>
          </w:p>
        </w:tc>
        <w:tc>
          <w:tcPr>
            <w:tcW w:w="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1"/>
        </w:trPr>
        <w:tc>
          <w:tcPr>
            <w:tcW w:w="5200" w:type="dxa"/>
            <w:vAlign w:val="bottom"/>
            <w:gridSpan w:val="2"/>
          </w:tcPr>
          <w:p>
            <w:pPr>
              <w:ind w:left="220"/>
              <w:spacing w:after="0"/>
              <w:rPr>
                <w:sz w:val="20"/>
                <w:szCs w:val="20"/>
                <w:color w:val="auto"/>
              </w:rPr>
            </w:pPr>
            <w:r>
              <w:rPr>
                <w:rFonts w:ascii="Arial" w:cs="Arial" w:eastAsia="Arial" w:hAnsi="Arial"/>
                <w:sz w:val="17"/>
                <w:szCs w:val="17"/>
                <w:color w:val="auto"/>
              </w:rPr>
              <w:t>Cancellations</w:t>
            </w:r>
          </w:p>
        </w:tc>
        <w:tc>
          <w:tcPr>
            <w:tcW w:w="2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ind w:left="300"/>
              <w:spacing w:after="0"/>
              <w:rPr>
                <w:sz w:val="20"/>
                <w:szCs w:val="20"/>
                <w:color w:val="auto"/>
              </w:rPr>
            </w:pPr>
            <w:r>
              <w:rPr>
                <w:rFonts w:ascii="Arial" w:cs="Arial" w:eastAsia="Arial" w:hAnsi="Arial"/>
                <w:sz w:val="17"/>
                <w:szCs w:val="17"/>
                <w:color w:val="auto"/>
                <w:w w:val="94"/>
              </w:rPr>
              <w:t>(9,385,612)</w:t>
            </w: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7"/>
                <w:szCs w:val="17"/>
                <w:color w:val="auto"/>
              </w:rPr>
              <w:t>(11,042,796)</w:t>
            </w:r>
          </w:p>
        </w:tc>
        <w:tc>
          <w:tcPr>
            <w:tcW w:w="1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7"/>
                <w:szCs w:val="17"/>
                <w:color w:val="auto"/>
              </w:rPr>
              <w:t>(17,804,040)</w:t>
            </w:r>
          </w:p>
        </w:tc>
        <w:tc>
          <w:tcPr>
            <w:tcW w:w="1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7"/>
                <w:szCs w:val="17"/>
                <w:color w:val="auto"/>
              </w:rPr>
              <w:t>(24,231,826)</w:t>
            </w:r>
          </w:p>
        </w:tc>
        <w:tc>
          <w:tcPr>
            <w:tcW w:w="0" w:type="dxa"/>
            <w:vAlign w:val="bottom"/>
          </w:tcPr>
          <w:p>
            <w:pPr>
              <w:spacing w:after="0"/>
              <w:rPr>
                <w:sz w:val="1"/>
                <w:szCs w:val="1"/>
                <w:color w:val="auto"/>
              </w:rPr>
            </w:pPr>
          </w:p>
        </w:tc>
      </w:tr>
      <w:tr>
        <w:trPr>
          <w:trHeight w:val="234"/>
        </w:trPr>
        <w:tc>
          <w:tcPr>
            <w:tcW w:w="52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IIF, end of period</w:t>
            </w:r>
          </w:p>
        </w:tc>
        <w:tc>
          <w:tcPr>
            <w:tcW w:w="280" w:type="dxa"/>
            <w:vAlign w:val="bottom"/>
            <w:tcBorders>
              <w:bottom w:val="single" w:sz="8" w:color="auto"/>
            </w:tcBorders>
            <w:shd w:val="clear" w:color="auto" w:fill="CCEEFF"/>
          </w:tcPr>
          <w:p>
            <w:pPr>
              <w:jc w:val="right"/>
              <w:ind w:right="93"/>
              <w:spacing w:after="0"/>
              <w:rPr>
                <w:sz w:val="20"/>
                <w:szCs w:val="20"/>
                <w:color w:val="auto"/>
              </w:rPr>
            </w:pPr>
            <w:r>
              <w:rPr>
                <w:rFonts w:ascii="Arial" w:cs="Arial" w:eastAsia="Arial" w:hAnsi="Arial"/>
                <w:sz w:val="17"/>
                <w:szCs w:val="17"/>
                <w:color w:val="auto"/>
                <w:w w:val="84"/>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235,649,884</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13"/>
              <w:spacing w:after="0"/>
              <w:rPr>
                <w:sz w:val="20"/>
                <w:szCs w:val="20"/>
                <w:color w:val="auto"/>
              </w:rPr>
            </w:pPr>
            <w:r>
              <w:rPr>
                <w:rFonts w:ascii="Arial" w:cs="Arial" w:eastAsia="Arial" w:hAnsi="Arial"/>
                <w:sz w:val="17"/>
                <w:szCs w:val="17"/>
                <w:color w:val="auto"/>
              </w:rPr>
              <w:t>$</w:t>
            </w:r>
          </w:p>
        </w:tc>
        <w:tc>
          <w:tcPr>
            <w:tcW w:w="1120" w:type="dxa"/>
            <w:vAlign w:val="bottom"/>
            <w:tcBorders>
              <w:bottom w:val="single" w:sz="8" w:color="auto"/>
            </w:tcBorders>
            <w:gridSpan w:val="3"/>
            <w:shd w:val="clear" w:color="auto" w:fill="CCEEFF"/>
          </w:tcPr>
          <w:p>
            <w:pPr>
              <w:jc w:val="right"/>
              <w:ind w:right="60"/>
              <w:spacing w:after="0"/>
              <w:rPr>
                <w:sz w:val="20"/>
                <w:szCs w:val="20"/>
                <w:color w:val="auto"/>
              </w:rPr>
            </w:pPr>
            <w:r>
              <w:rPr>
                <w:rFonts w:ascii="Arial" w:cs="Arial" w:eastAsia="Arial" w:hAnsi="Arial"/>
                <w:sz w:val="17"/>
                <w:szCs w:val="17"/>
                <w:color w:val="auto"/>
              </w:rPr>
              <w:t>215,896,531</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60" w:type="dxa"/>
            <w:vAlign w:val="bottom"/>
            <w:tcBorders>
              <w:bottom w:val="single" w:sz="8" w:color="auto"/>
            </w:tcBorders>
            <w:gridSpan w:val="3"/>
            <w:shd w:val="clear" w:color="auto" w:fill="CCEEFF"/>
          </w:tcPr>
          <w:p>
            <w:pPr>
              <w:jc w:val="right"/>
              <w:ind w:right="60"/>
              <w:spacing w:after="0"/>
              <w:rPr>
                <w:sz w:val="20"/>
                <w:szCs w:val="20"/>
                <w:color w:val="auto"/>
              </w:rPr>
            </w:pPr>
            <w:r>
              <w:rPr>
                <w:rFonts w:ascii="Arial" w:cs="Arial" w:eastAsia="Arial" w:hAnsi="Arial"/>
                <w:sz w:val="17"/>
                <w:szCs w:val="17"/>
                <w:color w:val="auto"/>
              </w:rPr>
              <w:t>235,649,884</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3"/>
              <w:spacing w:after="0"/>
              <w:rPr>
                <w:sz w:val="20"/>
                <w:szCs w:val="20"/>
                <w:color w:val="auto"/>
              </w:rPr>
            </w:pPr>
            <w:r>
              <w:rPr>
                <w:rFonts w:ascii="Arial" w:cs="Arial" w:eastAsia="Arial" w:hAnsi="Arial"/>
                <w:sz w:val="17"/>
                <w:szCs w:val="17"/>
                <w:color w:val="auto"/>
                <w:w w:val="84"/>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215,896,531</w:t>
            </w:r>
          </w:p>
        </w:tc>
        <w:tc>
          <w:tcPr>
            <w:tcW w:w="40" w:type="dxa"/>
            <w:vAlign w:val="bottom"/>
            <w:tcBorders>
              <w:bottom w:val="single" w:sz="8" w:color="auto"/>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200" w:type="dxa"/>
            <w:vAlign w:val="bottom"/>
            <w:gridSpan w:val="2"/>
            <w:vMerge w:val="restart"/>
          </w:tcPr>
          <w:p>
            <w:pPr>
              <w:ind w:left="20"/>
              <w:spacing w:after="0"/>
              <w:rPr>
                <w:sz w:val="20"/>
                <w:szCs w:val="20"/>
                <w:color w:val="auto"/>
              </w:rPr>
            </w:pPr>
            <w:r>
              <w:rPr>
                <w:rFonts w:ascii="Arial" w:cs="Arial" w:eastAsia="Arial" w:hAnsi="Arial"/>
                <w:sz w:val="17"/>
                <w:szCs w:val="17"/>
                <w:color w:val="auto"/>
              </w:rPr>
              <w:t>Average IIF during the period</w:t>
            </w: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5200" w:type="dxa"/>
            <w:vAlign w:val="bottom"/>
            <w:gridSpan w:val="2"/>
            <w:vMerge w:val="continue"/>
          </w:tcPr>
          <w:p>
            <w:pPr>
              <w:spacing w:after="0"/>
              <w:rPr>
                <w:sz w:val="17"/>
                <w:szCs w:val="17"/>
                <w:color w:val="auto"/>
              </w:rPr>
            </w:pPr>
          </w:p>
        </w:tc>
        <w:tc>
          <w:tcPr>
            <w:tcW w:w="280" w:type="dxa"/>
            <w:vAlign w:val="bottom"/>
          </w:tcPr>
          <w:p>
            <w:pPr>
              <w:jc w:val="right"/>
              <w:ind w:right="93"/>
              <w:spacing w:after="0"/>
              <w:rPr>
                <w:sz w:val="20"/>
                <w:szCs w:val="20"/>
                <w:color w:val="auto"/>
              </w:rPr>
            </w:pPr>
            <w:r>
              <w:rPr>
                <w:rFonts w:ascii="Arial" w:cs="Arial" w:eastAsia="Arial" w:hAnsi="Arial"/>
                <w:sz w:val="17"/>
                <w:szCs w:val="17"/>
                <w:color w:val="auto"/>
                <w:w w:val="84"/>
              </w:rPr>
              <w:t>$</w:t>
            </w:r>
          </w:p>
        </w:tc>
        <w:tc>
          <w:tcPr>
            <w:tcW w:w="1140" w:type="dxa"/>
            <w:vAlign w:val="bottom"/>
          </w:tcPr>
          <w:p>
            <w:pPr>
              <w:jc w:val="right"/>
              <w:spacing w:after="0"/>
              <w:rPr>
                <w:sz w:val="20"/>
                <w:szCs w:val="20"/>
                <w:color w:val="auto"/>
              </w:rPr>
            </w:pPr>
            <w:r>
              <w:rPr>
                <w:rFonts w:ascii="Arial" w:cs="Arial" w:eastAsia="Arial" w:hAnsi="Arial"/>
                <w:sz w:val="17"/>
                <w:szCs w:val="17"/>
                <w:color w:val="auto"/>
              </w:rPr>
              <w:t>233,484,941</w:t>
            </w:r>
          </w:p>
        </w:tc>
        <w:tc>
          <w:tcPr>
            <w:tcW w:w="420" w:type="dxa"/>
            <w:vAlign w:val="bottom"/>
            <w:gridSpan w:val="2"/>
          </w:tcPr>
          <w:p>
            <w:pPr>
              <w:jc w:val="right"/>
              <w:ind w:right="113"/>
              <w:spacing w:after="0"/>
              <w:rPr>
                <w:sz w:val="20"/>
                <w:szCs w:val="20"/>
                <w:color w:val="auto"/>
              </w:rPr>
            </w:pPr>
            <w:r>
              <w:rPr>
                <w:rFonts w:ascii="Arial" w:cs="Arial" w:eastAsia="Arial" w:hAnsi="Arial"/>
                <w:sz w:val="17"/>
                <w:szCs w:val="17"/>
                <w:color w:val="auto"/>
              </w:rPr>
              <w:t>$</w:t>
            </w:r>
          </w:p>
        </w:tc>
        <w:tc>
          <w:tcPr>
            <w:tcW w:w="1120" w:type="dxa"/>
            <w:vAlign w:val="bottom"/>
            <w:gridSpan w:val="3"/>
          </w:tcPr>
          <w:p>
            <w:pPr>
              <w:jc w:val="right"/>
              <w:ind w:right="60"/>
              <w:spacing w:after="0"/>
              <w:rPr>
                <w:sz w:val="20"/>
                <w:szCs w:val="20"/>
                <w:color w:val="auto"/>
              </w:rPr>
            </w:pPr>
            <w:r>
              <w:rPr>
                <w:rFonts w:ascii="Arial" w:cs="Arial" w:eastAsia="Arial" w:hAnsi="Arial"/>
                <w:sz w:val="17"/>
                <w:szCs w:val="17"/>
                <w:color w:val="auto"/>
              </w:rPr>
              <w:t>210,896,297</w:t>
            </w:r>
          </w:p>
        </w:tc>
        <w:tc>
          <w:tcPr>
            <w:tcW w:w="28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260" w:type="dxa"/>
            <w:vAlign w:val="bottom"/>
            <w:gridSpan w:val="3"/>
          </w:tcPr>
          <w:p>
            <w:pPr>
              <w:jc w:val="right"/>
              <w:ind w:right="60"/>
              <w:spacing w:after="0"/>
              <w:rPr>
                <w:sz w:val="20"/>
                <w:szCs w:val="20"/>
                <w:color w:val="auto"/>
              </w:rPr>
            </w:pPr>
            <w:r>
              <w:rPr>
                <w:rFonts w:ascii="Arial" w:cs="Arial" w:eastAsia="Arial" w:hAnsi="Arial"/>
                <w:sz w:val="17"/>
                <w:szCs w:val="17"/>
                <w:color w:val="auto"/>
              </w:rPr>
              <w:t>231,134,720</w:t>
            </w:r>
          </w:p>
        </w:tc>
        <w:tc>
          <w:tcPr>
            <w:tcW w:w="400" w:type="dxa"/>
            <w:vAlign w:val="bottom"/>
            <w:gridSpan w:val="2"/>
          </w:tcPr>
          <w:p>
            <w:pPr>
              <w:jc w:val="right"/>
              <w:ind w:right="93"/>
              <w:spacing w:after="0"/>
              <w:rPr>
                <w:sz w:val="20"/>
                <w:szCs w:val="20"/>
                <w:color w:val="auto"/>
              </w:rPr>
            </w:pPr>
            <w:r>
              <w:rPr>
                <w:rFonts w:ascii="Arial" w:cs="Arial" w:eastAsia="Arial" w:hAnsi="Arial"/>
                <w:sz w:val="17"/>
                <w:szCs w:val="17"/>
                <w:color w:val="auto"/>
              </w:rPr>
              <w:t>$</w:t>
            </w:r>
          </w:p>
        </w:tc>
        <w:tc>
          <w:tcPr>
            <w:tcW w:w="1100" w:type="dxa"/>
            <w:vAlign w:val="bottom"/>
          </w:tcPr>
          <w:p>
            <w:pPr>
              <w:jc w:val="right"/>
              <w:spacing w:after="0"/>
              <w:rPr>
                <w:sz w:val="20"/>
                <w:szCs w:val="20"/>
                <w:color w:val="auto"/>
              </w:rPr>
            </w:pPr>
            <w:r>
              <w:rPr>
                <w:rFonts w:ascii="Arial" w:cs="Arial" w:eastAsia="Arial" w:hAnsi="Arial"/>
                <w:sz w:val="17"/>
                <w:szCs w:val="17"/>
                <w:color w:val="auto"/>
              </w:rPr>
              <w:t>209,038,105</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520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RIF, end of period</w:t>
            </w:r>
          </w:p>
        </w:tc>
        <w:tc>
          <w:tcPr>
            <w:tcW w:w="280" w:type="dxa"/>
            <w:vAlign w:val="bottom"/>
            <w:shd w:val="clear" w:color="auto" w:fill="CCEEFF"/>
          </w:tcPr>
          <w:p>
            <w:pPr>
              <w:jc w:val="right"/>
              <w:ind w:right="93"/>
              <w:spacing w:after="0"/>
              <w:rPr>
                <w:sz w:val="20"/>
                <w:szCs w:val="20"/>
                <w:color w:val="auto"/>
              </w:rPr>
            </w:pPr>
            <w:r>
              <w:rPr>
                <w:rFonts w:ascii="Arial" w:cs="Arial" w:eastAsia="Arial" w:hAnsi="Arial"/>
                <w:sz w:val="17"/>
                <w:szCs w:val="17"/>
                <w:color w:val="auto"/>
                <w:w w:val="84"/>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53,290,643</w:t>
            </w:r>
          </w:p>
        </w:tc>
        <w:tc>
          <w:tcPr>
            <w:tcW w:w="420" w:type="dxa"/>
            <w:vAlign w:val="bottom"/>
            <w:gridSpan w:val="2"/>
            <w:shd w:val="clear" w:color="auto" w:fill="CCEEFF"/>
          </w:tcPr>
          <w:p>
            <w:pPr>
              <w:jc w:val="right"/>
              <w:ind w:right="113"/>
              <w:spacing w:after="0"/>
              <w:rPr>
                <w:sz w:val="20"/>
                <w:szCs w:val="20"/>
                <w:color w:val="auto"/>
              </w:rPr>
            </w:pPr>
            <w:r>
              <w:rPr>
                <w:rFonts w:ascii="Arial" w:cs="Arial" w:eastAsia="Arial" w:hAnsi="Arial"/>
                <w:sz w:val="17"/>
                <w:szCs w:val="17"/>
                <w:color w:val="auto"/>
              </w:rPr>
              <w:t>$</w:t>
            </w:r>
          </w:p>
        </w:tc>
        <w:tc>
          <w:tcPr>
            <w:tcW w:w="1120" w:type="dxa"/>
            <w:vAlign w:val="bottom"/>
            <w:gridSpan w:val="3"/>
            <w:shd w:val="clear" w:color="auto" w:fill="CCEEFF"/>
          </w:tcPr>
          <w:p>
            <w:pPr>
              <w:jc w:val="right"/>
              <w:ind w:right="60"/>
              <w:spacing w:after="0"/>
              <w:rPr>
                <w:sz w:val="20"/>
                <w:szCs w:val="20"/>
                <w:color w:val="auto"/>
              </w:rPr>
            </w:pPr>
            <w:r>
              <w:rPr>
                <w:rFonts w:ascii="Arial" w:cs="Arial" w:eastAsia="Arial" w:hAnsi="Arial"/>
                <w:sz w:val="17"/>
                <w:szCs w:val="17"/>
                <w:color w:val="auto"/>
              </w:rPr>
              <w:t>47,289,910</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60" w:type="dxa"/>
            <w:vAlign w:val="bottom"/>
            <w:gridSpan w:val="3"/>
            <w:shd w:val="clear" w:color="auto" w:fill="CCEEFF"/>
          </w:tcPr>
          <w:p>
            <w:pPr>
              <w:jc w:val="right"/>
              <w:ind w:right="60"/>
              <w:spacing w:after="0"/>
              <w:rPr>
                <w:sz w:val="20"/>
                <w:szCs w:val="20"/>
                <w:color w:val="auto"/>
              </w:rPr>
            </w:pPr>
            <w:r>
              <w:rPr>
                <w:rFonts w:ascii="Arial" w:cs="Arial" w:eastAsia="Arial" w:hAnsi="Arial"/>
                <w:sz w:val="17"/>
                <w:szCs w:val="17"/>
                <w:color w:val="auto"/>
              </w:rPr>
              <w:t>53,290,643</w:t>
            </w:r>
          </w:p>
        </w:tc>
        <w:tc>
          <w:tcPr>
            <w:tcW w:w="400" w:type="dxa"/>
            <w:vAlign w:val="bottom"/>
            <w:gridSpan w:val="2"/>
            <w:shd w:val="clear" w:color="auto" w:fill="CCEEFF"/>
          </w:tcPr>
          <w:p>
            <w:pPr>
              <w:jc w:val="right"/>
              <w:ind w:right="93"/>
              <w:spacing w:after="0"/>
              <w:rPr>
                <w:sz w:val="20"/>
                <w:szCs w:val="20"/>
                <w:color w:val="auto"/>
              </w:rPr>
            </w:pPr>
            <w:r>
              <w:rPr>
                <w:rFonts w:ascii="Arial" w:cs="Arial" w:eastAsia="Arial" w:hAnsi="Arial"/>
                <w:sz w:val="17"/>
                <w:szCs w:val="17"/>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47,289,910</w:t>
            </w: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506"/>
        </w:trPr>
        <w:tc>
          <w:tcPr>
            <w:tcW w:w="5480" w:type="dxa"/>
            <w:vAlign w:val="bottom"/>
            <w:gridSpan w:val="3"/>
          </w:tcPr>
          <w:p>
            <w:pPr>
              <w:jc w:val="right"/>
              <w:ind w:right="113"/>
              <w:spacing w:after="0"/>
              <w:rPr>
                <w:sz w:val="20"/>
                <w:szCs w:val="20"/>
                <w:color w:val="auto"/>
              </w:rPr>
            </w:pPr>
            <w:r>
              <w:rPr>
                <w:rFonts w:ascii="Arial" w:cs="Arial" w:eastAsia="Arial" w:hAnsi="Arial"/>
                <w:sz w:val="17"/>
                <w:szCs w:val="17"/>
                <w:color w:val="auto"/>
              </w:rPr>
              <w:t>The following is a summary of our IIF at June 30, 2023 by vintage:</w:t>
            </w: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1"/>
        </w:trPr>
        <w:tc>
          <w:tcPr>
            <w:tcW w:w="5200" w:type="dxa"/>
            <w:vAlign w:val="bottom"/>
            <w:gridSpan w:val="2"/>
          </w:tcPr>
          <w:p>
            <w:pPr>
              <w:ind w:left="20"/>
              <w:spacing w:after="0"/>
              <w:rPr>
                <w:sz w:val="20"/>
                <w:szCs w:val="20"/>
                <w:color w:val="auto"/>
              </w:rPr>
            </w:pPr>
            <w:r>
              <w:rPr>
                <w:rFonts w:ascii="Arial" w:cs="Arial" w:eastAsia="Arial" w:hAnsi="Arial"/>
                <w:sz w:val="14"/>
                <w:szCs w:val="14"/>
                <w:b w:val="1"/>
                <w:bCs w:val="1"/>
                <w:color w:val="auto"/>
              </w:rPr>
              <w:t>($ in thousands)</w:t>
            </w:r>
          </w:p>
        </w:tc>
        <w:tc>
          <w:tcPr>
            <w:tcW w:w="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jc w:val="right"/>
              <w:ind w:right="657"/>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00" w:type="dxa"/>
            <w:vAlign w:val="bottom"/>
          </w:tcPr>
          <w:p>
            <w:pPr>
              <w:jc w:val="right"/>
              <w:ind w:right="676"/>
              <w:spacing w:after="0"/>
              <w:rPr>
                <w:sz w:val="20"/>
                <w:szCs w:val="20"/>
                <w:color w:val="auto"/>
              </w:rPr>
            </w:pPr>
            <w:r>
              <w:rPr>
                <w:rFonts w:ascii="Arial" w:cs="Arial" w:eastAsia="Arial" w:hAnsi="Arial"/>
                <w:sz w:val="14"/>
                <w:szCs w:val="14"/>
                <w:b w:val="1"/>
                <w:bCs w:val="1"/>
                <w:color w:val="auto"/>
              </w:rPr>
              <w:t>%</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
        </w:trPr>
        <w:tc>
          <w:tcPr>
            <w:tcW w:w="520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4"/>
        </w:trPr>
        <w:tc>
          <w:tcPr>
            <w:tcW w:w="520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2023 (through June 30)</w:t>
            </w: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25,882,677</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11.0 %</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5080" w:type="dxa"/>
            <w:vAlign w:val="bottom"/>
          </w:tcPr>
          <w:p>
            <w:pPr>
              <w:ind w:left="20"/>
              <w:spacing w:after="0"/>
              <w:rPr>
                <w:sz w:val="20"/>
                <w:szCs w:val="20"/>
                <w:color w:val="auto"/>
              </w:rPr>
            </w:pPr>
            <w:r>
              <w:rPr>
                <w:rFonts w:ascii="Arial" w:cs="Arial" w:eastAsia="Arial" w:hAnsi="Arial"/>
                <w:sz w:val="17"/>
                <w:szCs w:val="17"/>
                <w:color w:val="auto"/>
              </w:rPr>
              <w:t>2022</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58,725,613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24.9 %</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5080" w:type="dxa"/>
            <w:vAlign w:val="bottom"/>
            <w:shd w:val="clear" w:color="auto" w:fill="CCEEFF"/>
          </w:tcPr>
          <w:p>
            <w:pPr>
              <w:ind w:left="20"/>
              <w:spacing w:after="0"/>
              <w:rPr>
                <w:sz w:val="20"/>
                <w:szCs w:val="20"/>
                <w:color w:val="auto"/>
              </w:rPr>
            </w:pPr>
            <w:r>
              <w:rPr>
                <w:rFonts w:ascii="Arial" w:cs="Arial" w:eastAsia="Arial" w:hAnsi="Arial"/>
                <w:sz w:val="17"/>
                <w:szCs w:val="17"/>
                <w:color w:val="auto"/>
              </w:rPr>
              <w:t>2021</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66,928,946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36"/>
              <w:spacing w:after="0"/>
              <w:rPr>
                <w:sz w:val="20"/>
                <w:szCs w:val="20"/>
                <w:color w:val="auto"/>
              </w:rPr>
            </w:pPr>
            <w:r>
              <w:rPr>
                <w:rFonts w:ascii="Arial" w:cs="Arial" w:eastAsia="Arial" w:hAnsi="Arial"/>
                <w:sz w:val="17"/>
                <w:szCs w:val="17"/>
                <w:color w:val="auto"/>
              </w:rPr>
              <w:t>28.4</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5080" w:type="dxa"/>
            <w:vAlign w:val="bottom"/>
          </w:tcPr>
          <w:p>
            <w:pPr>
              <w:ind w:left="20"/>
              <w:spacing w:after="0"/>
              <w:rPr>
                <w:sz w:val="20"/>
                <w:szCs w:val="20"/>
                <w:color w:val="auto"/>
              </w:rPr>
            </w:pPr>
            <w:r>
              <w:rPr>
                <w:rFonts w:ascii="Arial" w:cs="Arial" w:eastAsia="Arial" w:hAnsi="Arial"/>
                <w:sz w:val="17"/>
                <w:szCs w:val="17"/>
                <w:color w:val="auto"/>
              </w:rPr>
              <w:t>2020</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52,266,774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tcPr>
          <w:p>
            <w:pPr>
              <w:jc w:val="right"/>
              <w:ind w:right="136"/>
              <w:spacing w:after="0"/>
              <w:rPr>
                <w:sz w:val="20"/>
                <w:szCs w:val="20"/>
                <w:color w:val="auto"/>
              </w:rPr>
            </w:pPr>
            <w:r>
              <w:rPr>
                <w:rFonts w:ascii="Arial" w:cs="Arial" w:eastAsia="Arial" w:hAnsi="Arial"/>
                <w:sz w:val="17"/>
                <w:szCs w:val="17"/>
                <w:color w:val="auto"/>
              </w:rPr>
              <w:t>22.2</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5080" w:type="dxa"/>
            <w:vAlign w:val="bottom"/>
            <w:shd w:val="clear" w:color="auto" w:fill="CCEEFF"/>
          </w:tcPr>
          <w:p>
            <w:pPr>
              <w:ind w:left="20"/>
              <w:spacing w:after="0"/>
              <w:rPr>
                <w:sz w:val="20"/>
                <w:szCs w:val="20"/>
                <w:color w:val="auto"/>
              </w:rPr>
            </w:pPr>
            <w:r>
              <w:rPr>
                <w:rFonts w:ascii="Arial" w:cs="Arial" w:eastAsia="Arial" w:hAnsi="Arial"/>
                <w:sz w:val="17"/>
                <w:szCs w:val="17"/>
                <w:color w:val="auto"/>
              </w:rPr>
              <w:t>2019</w:t>
            </w: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13,481,766</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100" w:type="dxa"/>
            <w:vAlign w:val="bottom"/>
            <w:shd w:val="clear" w:color="auto" w:fill="CCEEFF"/>
          </w:tcPr>
          <w:p>
            <w:pPr>
              <w:jc w:val="right"/>
              <w:ind w:right="136"/>
              <w:spacing w:after="0"/>
              <w:rPr>
                <w:sz w:val="20"/>
                <w:szCs w:val="20"/>
                <w:color w:val="auto"/>
              </w:rPr>
            </w:pPr>
            <w:r>
              <w:rPr>
                <w:rFonts w:ascii="Arial" w:cs="Arial" w:eastAsia="Arial" w:hAnsi="Arial"/>
                <w:sz w:val="17"/>
                <w:szCs w:val="17"/>
                <w:color w:val="auto"/>
              </w:rPr>
              <w:t>5.7</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1"/>
        </w:trPr>
        <w:tc>
          <w:tcPr>
            <w:tcW w:w="5080" w:type="dxa"/>
            <w:vAlign w:val="bottom"/>
          </w:tcPr>
          <w:p>
            <w:pPr>
              <w:ind w:left="20"/>
              <w:spacing w:after="0"/>
              <w:rPr>
                <w:sz w:val="20"/>
                <w:szCs w:val="20"/>
                <w:color w:val="auto"/>
              </w:rPr>
            </w:pPr>
            <w:r>
              <w:rPr>
                <w:rFonts w:ascii="Arial" w:cs="Arial" w:eastAsia="Arial" w:hAnsi="Arial"/>
                <w:sz w:val="17"/>
                <w:szCs w:val="17"/>
                <w:color w:val="auto"/>
              </w:rPr>
              <w:t>2018</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6,113,917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tcPr>
          <w:p>
            <w:pPr>
              <w:jc w:val="right"/>
              <w:ind w:right="136"/>
              <w:spacing w:after="0"/>
              <w:rPr>
                <w:sz w:val="20"/>
                <w:szCs w:val="20"/>
                <w:color w:val="auto"/>
              </w:rPr>
            </w:pPr>
            <w:r>
              <w:rPr>
                <w:rFonts w:ascii="Arial" w:cs="Arial" w:eastAsia="Arial" w:hAnsi="Arial"/>
                <w:sz w:val="17"/>
                <w:szCs w:val="17"/>
                <w:color w:val="auto"/>
              </w:rPr>
              <w:t>2.6</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52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2017 and prior</w:t>
            </w:r>
          </w:p>
        </w:tc>
        <w:tc>
          <w:tcPr>
            <w:tcW w:w="28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12,250,191</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136"/>
              <w:spacing w:after="0"/>
              <w:rPr>
                <w:sz w:val="20"/>
                <w:szCs w:val="20"/>
                <w:color w:val="auto"/>
              </w:rPr>
            </w:pPr>
            <w:r>
              <w:rPr>
                <w:rFonts w:ascii="Arial" w:cs="Arial" w:eastAsia="Arial" w:hAnsi="Arial"/>
                <w:sz w:val="17"/>
                <w:szCs w:val="17"/>
                <w:color w:val="auto"/>
              </w:rPr>
              <w:t>5.2</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5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gridSpan w:val="3"/>
          </w:tcPr>
          <w:p>
            <w:pPr>
              <w:jc w:val="right"/>
              <w:ind w:right="16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w w:val="95"/>
              </w:rPr>
              <w:t>235,649,884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100.0 %</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
        </w:trPr>
        <w:tc>
          <w:tcPr>
            <w:tcW w:w="5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top w:val="single" w:sz="8" w:color="auto"/>
              <w:bottom w:val="single" w:sz="8" w:color="auto"/>
            </w:tcBorders>
          </w:tcPr>
          <w:p>
            <w:pPr>
              <w:spacing w:after="0"/>
              <w:rPr>
                <w:sz w:val="2"/>
                <w:szCs w:val="2"/>
                <w:color w:val="auto"/>
              </w:rPr>
            </w:pPr>
          </w:p>
        </w:tc>
        <w:tc>
          <w:tcPr>
            <w:tcW w:w="120" w:type="dxa"/>
            <w:vAlign w:val="bottom"/>
            <w:tcBorders>
              <w:top w:val="single" w:sz="8" w:color="auto"/>
              <w:bottom w:val="single" w:sz="8" w:color="auto"/>
            </w:tcBorders>
          </w:tcPr>
          <w:p>
            <w:pPr>
              <w:spacing w:after="0"/>
              <w:rPr>
                <w:sz w:val="2"/>
                <w:szCs w:val="2"/>
                <w:color w:val="auto"/>
              </w:rPr>
            </w:pPr>
          </w:p>
        </w:tc>
        <w:tc>
          <w:tcPr>
            <w:tcW w:w="160" w:type="dxa"/>
            <w:vAlign w:val="bottom"/>
            <w:tcBorders>
              <w:top w:val="single" w:sz="8" w:color="auto"/>
              <w:bottom w:val="single" w:sz="8" w:color="auto"/>
            </w:tcBorders>
          </w:tcPr>
          <w:p>
            <w:pPr>
              <w:spacing w:after="0"/>
              <w:rPr>
                <w:sz w:val="2"/>
                <w:szCs w:val="2"/>
                <w:color w:val="auto"/>
              </w:rPr>
            </w:pPr>
          </w:p>
        </w:tc>
        <w:tc>
          <w:tcPr>
            <w:tcW w:w="100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top w:val="single" w:sz="8" w:color="auto"/>
              <w:bottom w:val="single" w:sz="8" w:color="auto"/>
            </w:tcBorders>
          </w:tcPr>
          <w:p>
            <w:pPr>
              <w:spacing w:after="0"/>
              <w:rPr>
                <w:sz w:val="2"/>
                <w:szCs w:val="2"/>
                <w:color w:val="auto"/>
              </w:rPr>
            </w:pPr>
          </w:p>
        </w:tc>
        <w:tc>
          <w:tcPr>
            <w:tcW w:w="120" w:type="dxa"/>
            <w:vAlign w:val="bottom"/>
            <w:tcBorders>
              <w:top w:val="single" w:sz="8" w:color="auto"/>
              <w:bottom w:val="single" w:sz="8" w:color="auto"/>
            </w:tcBorders>
          </w:tcPr>
          <w:p>
            <w:pPr>
              <w:spacing w:after="0"/>
              <w:rPr>
                <w:sz w:val="2"/>
                <w:szCs w:val="2"/>
                <w:color w:val="auto"/>
              </w:rPr>
            </w:pPr>
          </w:p>
        </w:tc>
        <w:tc>
          <w:tcPr>
            <w:tcW w:w="280" w:type="dxa"/>
            <w:vAlign w:val="bottom"/>
            <w:tcBorders>
              <w:top w:val="single" w:sz="8" w:color="auto"/>
              <w:bottom w:val="single" w:sz="8" w:color="auto"/>
            </w:tcBorders>
          </w:tcPr>
          <w:p>
            <w:pPr>
              <w:spacing w:after="0"/>
              <w:rPr>
                <w:sz w:val="2"/>
                <w:szCs w:val="2"/>
                <w:color w:val="auto"/>
              </w:rPr>
            </w:pPr>
          </w:p>
        </w:tc>
        <w:tc>
          <w:tcPr>
            <w:tcW w:w="1100" w:type="dxa"/>
            <w:vAlign w:val="bottom"/>
            <w:tcBorders>
              <w:top w:val="single" w:sz="8" w:color="auto"/>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68580</wp:posOffset>
            </wp:positionV>
            <wp:extent cx="7162800" cy="419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5" w:name="page36"/>
    <w:bookmarkEnd w:id="35"/>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344" w:lineRule="exact"/>
        <w:rPr>
          <w:sz w:val="20"/>
          <w:szCs w:val="20"/>
          <w:color w:val="auto"/>
        </w:rPr>
      </w:pPr>
    </w:p>
    <w:p>
      <w:pPr>
        <w:ind w:left="620"/>
        <w:spacing w:after="0"/>
        <w:rPr>
          <w:sz w:val="20"/>
          <w:szCs w:val="20"/>
          <w:color w:val="auto"/>
        </w:rPr>
      </w:pPr>
      <w:r>
        <w:rPr>
          <w:rFonts w:ascii="Arial" w:cs="Arial" w:eastAsia="Arial" w:hAnsi="Arial"/>
          <w:sz w:val="17"/>
          <w:szCs w:val="17"/>
          <w:b w:val="1"/>
          <w:bCs w:val="1"/>
          <w:i w:val="1"/>
          <w:iCs w:val="1"/>
          <w:color w:val="auto"/>
        </w:rPr>
        <w:t>Average Net Premium Rate</w:t>
      </w:r>
    </w:p>
    <w:p>
      <w:pPr>
        <w:spacing w:after="0" w:line="220" w:lineRule="exact"/>
        <w:rPr>
          <w:sz w:val="20"/>
          <w:szCs w:val="20"/>
          <w:color w:val="auto"/>
        </w:rPr>
      </w:pPr>
    </w:p>
    <w:p>
      <w:pPr>
        <w:ind w:right="80" w:firstLine="623"/>
        <w:spacing w:after="0" w:line="262" w:lineRule="auto"/>
        <w:rPr>
          <w:sz w:val="20"/>
          <w:szCs w:val="20"/>
          <w:color w:val="auto"/>
        </w:rPr>
      </w:pPr>
      <w:r>
        <w:rPr>
          <w:rFonts w:ascii="Arial" w:cs="Arial" w:eastAsia="Arial" w:hAnsi="Arial"/>
          <w:sz w:val="17"/>
          <w:szCs w:val="17"/>
          <w:color w:val="auto"/>
        </w:rPr>
        <w:t>Our average net premium rate is calculated by dividing net premiums earned for the U.S. mortgage insurance portfolio by average insurance in force for the period and is dependent on a number of factors, including: (1) the risk characteristics and average coverage on the mortgages we insure; (2) the mix of monthly premiums compared to single premiums in our portfolio; (3) cancellations of non-refundable single premiums during the period; (4) changes to our pricing for NIW; and (5) premiums ceded under third-party reinsurance agreements. The following table presents the average net premium rate for our U.S. mortgage insurance portfolio:</w:t>
      </w:r>
    </w:p>
    <w:p>
      <w:pPr>
        <w:sectPr>
          <w:pgSz w:w="11900" w:h="16838" w:orient="portrait"/>
          <w:cols w:equalWidth="0" w:num="1">
            <w:col w:w="11240"/>
          </w:cols>
          <w:pgMar w:left="320" w:top="127" w:right="339" w:bottom="1440" w:gutter="0" w:footer="0" w:header="0"/>
        </w:sectPr>
      </w:pPr>
    </w:p>
    <w:p>
      <w:pPr>
        <w:spacing w:after="0" w:line="234" w:lineRule="exact"/>
        <w:rPr>
          <w:sz w:val="20"/>
          <w:szCs w:val="20"/>
          <w:color w:val="auto"/>
        </w:rPr>
      </w:pPr>
    </w:p>
    <w:p>
      <w:pPr>
        <w:ind w:left="5480"/>
        <w:spacing w:after="0"/>
        <w:rPr>
          <w:sz w:val="20"/>
          <w:szCs w:val="20"/>
          <w:color w:val="auto"/>
        </w:rPr>
      </w:pPr>
      <w:r>
        <w:rPr>
          <w:rFonts w:ascii="Arial" w:cs="Arial" w:eastAsia="Arial" w:hAnsi="Arial"/>
          <w:sz w:val="12"/>
          <w:szCs w:val="12"/>
          <w:b w:val="1"/>
          <w:bCs w:val="1"/>
          <w:color w:val="auto"/>
        </w:rPr>
        <w:t>Three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3076575</wp:posOffset>
            </wp:positionH>
            <wp:positionV relativeFrom="paragraph">
              <wp:posOffset>41910</wp:posOffset>
            </wp:positionV>
            <wp:extent cx="195326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953260" cy="8255"/>
                    </a:xfrm>
                    <a:prstGeom prst="rect">
                      <a:avLst/>
                    </a:prstGeom>
                    <a:noFill/>
                  </pic:spPr>
                </pic:pic>
              </a:graphicData>
            </a:graphic>
          </wp:anchor>
        </w:drawing>
      </w:r>
    </w:p>
    <w:p>
      <w:pPr>
        <w:spacing w:after="0" w:line="50" w:lineRule="exact"/>
        <w:rPr>
          <w:sz w:val="20"/>
          <w:szCs w:val="20"/>
          <w:color w:val="auto"/>
        </w:rPr>
      </w:pPr>
    </w:p>
    <w:p>
      <w:pPr>
        <w:ind w:left="5440"/>
        <w:spacing w:after="0"/>
        <w:tabs>
          <w:tab w:leader="none" w:pos="7020" w:val="left"/>
        </w:tabs>
        <w:rPr>
          <w:sz w:val="20"/>
          <w:szCs w:val="20"/>
          <w:color w:val="auto"/>
        </w:rPr>
      </w:pPr>
      <w:r>
        <w:rPr>
          <w:rFonts w:ascii="Arial" w:cs="Arial" w:eastAsia="Arial" w:hAnsi="Arial"/>
          <w:sz w:val="12"/>
          <w:szCs w:val="12"/>
          <w:b w:val="1"/>
          <w:bCs w:val="1"/>
          <w:color w:val="auto"/>
        </w:rPr>
        <w:t>2023</w:t>
      </w:r>
      <w:r>
        <w:rPr>
          <w:sz w:val="20"/>
          <w:szCs w:val="20"/>
          <w:color w:val="auto"/>
        </w:rPr>
        <w:tab/>
      </w:r>
      <w:r>
        <w:rPr>
          <w:rFonts w:ascii="Arial" w:cs="Arial" w:eastAsia="Arial" w:hAnsi="Arial"/>
          <w:sz w:val="12"/>
          <w:szCs w:val="12"/>
          <w:b w:val="1"/>
          <w:bCs w:val="1"/>
          <w:color w:val="auto"/>
        </w:rPr>
        <w:t>2022</w:t>
      </w:r>
    </w:p>
    <w:p>
      <w:pPr>
        <w:spacing w:after="0" w:line="20" w:lineRule="exact"/>
        <w:rPr>
          <w:sz w:val="20"/>
          <w:szCs w:val="20"/>
          <w:color w:val="auto"/>
        </w:rPr>
      </w:pPr>
      <w:r>
        <w:rPr>
          <w:sz w:val="20"/>
          <w:szCs w:val="20"/>
          <w:color w:val="auto"/>
        </w:rPr>
        <w:br w:type="column"/>
      </w:r>
    </w:p>
    <w:p>
      <w:pPr>
        <w:spacing w:after="0" w:line="214" w:lineRule="exact"/>
        <w:rPr>
          <w:sz w:val="20"/>
          <w:szCs w:val="20"/>
          <w:color w:val="auto"/>
        </w:rPr>
      </w:pPr>
    </w:p>
    <w:p>
      <w:pPr>
        <w:jc w:val="center"/>
        <w:ind w:right="760"/>
        <w:spacing w:after="0"/>
        <w:rPr>
          <w:sz w:val="20"/>
          <w:szCs w:val="20"/>
          <w:color w:val="auto"/>
        </w:rPr>
      </w:pPr>
      <w:r>
        <w:rPr>
          <w:rFonts w:ascii="Arial" w:cs="Arial" w:eastAsia="Arial" w:hAnsi="Arial"/>
          <w:sz w:val="14"/>
          <w:szCs w:val="14"/>
          <w:b w:val="1"/>
          <w:bCs w:val="1"/>
          <w:color w:val="auto"/>
        </w:rPr>
        <w:t>Six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-385445</wp:posOffset>
            </wp:positionH>
            <wp:positionV relativeFrom="paragraph">
              <wp:posOffset>27305</wp:posOffset>
            </wp:positionV>
            <wp:extent cx="194500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945005" cy="8255"/>
                    </a:xfrm>
                    <a:prstGeom prst="rect">
                      <a:avLst/>
                    </a:prstGeom>
                    <a:noFill/>
                  </pic:spPr>
                </pic:pic>
              </a:graphicData>
            </a:graphic>
          </wp:anchor>
        </w:drawing>
      </w:r>
    </w:p>
    <w:p>
      <w:pPr>
        <w:spacing w:after="0" w:line="27" w:lineRule="exact"/>
        <w:rPr>
          <w:sz w:val="20"/>
          <w:szCs w:val="20"/>
          <w:color w:val="auto"/>
        </w:rPr>
      </w:pPr>
    </w:p>
    <w:p>
      <w:pPr>
        <w:spacing w:after="0"/>
        <w:tabs>
          <w:tab w:leader="none" w:pos="1560" w:val="left"/>
        </w:tabs>
        <w:rPr>
          <w:sz w:val="20"/>
          <w:szCs w:val="20"/>
          <w:color w:val="auto"/>
        </w:rPr>
      </w:pPr>
      <w:r>
        <w:rPr>
          <w:rFonts w:ascii="Arial" w:cs="Arial" w:eastAsia="Arial" w:hAnsi="Arial"/>
          <w:sz w:val="12"/>
          <w:szCs w:val="12"/>
          <w:b w:val="1"/>
          <w:bCs w:val="1"/>
          <w:color w:val="auto"/>
        </w:rPr>
        <w:t>2023</w:t>
      </w:r>
      <w:r>
        <w:rPr>
          <w:sz w:val="20"/>
          <w:szCs w:val="20"/>
          <w:color w:val="auto"/>
        </w:rPr>
        <w:tab/>
      </w:r>
      <w:r>
        <w:rPr>
          <w:rFonts w:ascii="Arial" w:cs="Arial" w:eastAsia="Arial" w:hAnsi="Arial"/>
          <w:sz w:val="12"/>
          <w:szCs w:val="12"/>
          <w:b w:val="1"/>
          <w:bCs w:val="1"/>
          <w:color w:val="auto"/>
        </w:rPr>
        <w:t>2022</w:t>
      </w:r>
    </w:p>
    <w:p>
      <w:pPr>
        <w:spacing w:after="0" w:line="41" w:lineRule="exact"/>
        <w:rPr>
          <w:sz w:val="20"/>
          <w:szCs w:val="20"/>
          <w:color w:val="auto"/>
        </w:rPr>
      </w:pPr>
    </w:p>
    <w:p>
      <w:pPr>
        <w:sectPr>
          <w:pgSz w:w="11900" w:h="16838" w:orient="portrait"/>
          <w:cols w:equalWidth="0" w:num="2">
            <w:col w:w="7900" w:space="720"/>
            <w:col w:w="2620"/>
          </w:cols>
          <w:pgMar w:left="320" w:top="127" w:right="339" w:bottom="1440" w:gutter="0" w:footer="0" w:header="0"/>
          <w:type w:val="continuous"/>
        </w:sectPr>
      </w:pPr>
    </w:p>
    <w:tbl>
      <w:tblPr>
        <w:tblLayout w:type="fixed"/>
        <w:tblInd w:w="620" w:type="dxa"/>
        <w:tblCellMar>
          <w:top w:w="0" w:type="dxa"/>
          <w:left w:w="0" w:type="dxa"/>
          <w:bottom w:w="0" w:type="dxa"/>
          <w:right w:w="0" w:type="dxa"/>
        </w:tblCellMar>
      </w:tblPr>
      <w:tr>
        <w:trPr>
          <w:trHeight w:val="239"/>
        </w:trPr>
        <w:tc>
          <w:tcPr>
            <w:tcW w:w="41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Base average premium rate</w:t>
            </w:r>
          </w:p>
        </w:tc>
        <w:tc>
          <w:tcPr>
            <w:tcW w:w="120" w:type="dxa"/>
            <w:vAlign w:val="bottom"/>
            <w:shd w:val="clear" w:color="auto" w:fill="CCEEFF"/>
          </w:tcPr>
          <w:p>
            <w:pPr>
              <w:spacing w:after="0"/>
              <w:rPr>
                <w:sz w:val="20"/>
                <w:szCs w:val="20"/>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0.40 %</w:t>
            </w:r>
          </w:p>
        </w:tc>
        <w:tc>
          <w:tcPr>
            <w:tcW w:w="1600" w:type="dxa"/>
            <w:vAlign w:val="bottom"/>
            <w:tcBorders>
              <w:top w:val="single" w:sz="8" w:color="auto"/>
            </w:tcBorders>
            <w:gridSpan w:val="2"/>
            <w:shd w:val="clear" w:color="auto" w:fill="CCEEFF"/>
          </w:tcPr>
          <w:p>
            <w:pPr>
              <w:ind w:left="1100"/>
              <w:spacing w:after="0"/>
              <w:rPr>
                <w:sz w:val="20"/>
                <w:szCs w:val="20"/>
                <w:color w:val="auto"/>
              </w:rPr>
            </w:pPr>
            <w:r>
              <w:rPr>
                <w:rFonts w:ascii="Arial" w:cs="Arial" w:eastAsia="Arial" w:hAnsi="Arial"/>
                <w:sz w:val="17"/>
                <w:szCs w:val="17"/>
                <w:color w:val="auto"/>
                <w:w w:val="90"/>
              </w:rPr>
              <w:t>0.41 %</w:t>
            </w:r>
          </w:p>
        </w:tc>
        <w:tc>
          <w:tcPr>
            <w:tcW w:w="100" w:type="dxa"/>
            <w:vAlign w:val="bottom"/>
            <w:shd w:val="clear" w:color="auto" w:fill="CCEEFF"/>
          </w:tcPr>
          <w:p>
            <w:pPr>
              <w:spacing w:after="0"/>
              <w:rPr>
                <w:sz w:val="20"/>
                <w:szCs w:val="20"/>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0.40 %</w:t>
            </w:r>
          </w:p>
        </w:tc>
        <w:tc>
          <w:tcPr>
            <w:tcW w:w="1580" w:type="dxa"/>
            <w:vAlign w:val="bottom"/>
            <w:tcBorders>
              <w:top w:val="single" w:sz="8" w:color="auto"/>
            </w:tcBorders>
            <w:gridSpan w:val="2"/>
            <w:shd w:val="clear" w:color="auto" w:fill="CCEEFF"/>
          </w:tcPr>
          <w:p>
            <w:pPr>
              <w:ind w:left="1060"/>
              <w:spacing w:after="0"/>
              <w:rPr>
                <w:sz w:val="20"/>
                <w:szCs w:val="20"/>
                <w:color w:val="auto"/>
              </w:rPr>
            </w:pPr>
            <w:r>
              <w:rPr>
                <w:rFonts w:ascii="Arial" w:cs="Arial" w:eastAsia="Arial" w:hAnsi="Arial"/>
                <w:sz w:val="17"/>
                <w:szCs w:val="17"/>
                <w:color w:val="auto"/>
                <w:w w:val="94"/>
              </w:rPr>
              <w:t>0.41 %</w:t>
            </w:r>
          </w:p>
        </w:tc>
      </w:tr>
      <w:tr>
        <w:trPr>
          <w:trHeight w:val="221"/>
        </w:trPr>
        <w:tc>
          <w:tcPr>
            <w:tcW w:w="410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Single premium cancellations</w:t>
            </w:r>
          </w:p>
        </w:tc>
        <w:tc>
          <w:tcPr>
            <w:tcW w:w="120" w:type="dxa"/>
            <w:vAlign w:val="bottom"/>
            <w:tcBorders>
              <w:bottom w:val="single" w:sz="8" w:color="CCEEFF"/>
            </w:tcBorders>
          </w:tcPr>
          <w:p>
            <w:pPr>
              <w:spacing w:after="0"/>
              <w:rPr>
                <w:sz w:val="19"/>
                <w:szCs w:val="19"/>
                <w:color w:val="auto"/>
              </w:rPr>
            </w:pPr>
          </w:p>
        </w:tc>
        <w:tc>
          <w:tcPr>
            <w:tcW w:w="1480" w:type="dxa"/>
            <w:vAlign w:val="bottom"/>
            <w:tcBorders>
              <w:bottom w:val="single" w:sz="8" w:color="auto"/>
            </w:tcBorders>
          </w:tcPr>
          <w:p>
            <w:pPr>
              <w:jc w:val="right"/>
              <w:ind w:right="113"/>
              <w:spacing w:after="0"/>
              <w:rPr>
                <w:sz w:val="20"/>
                <w:szCs w:val="20"/>
                <w:color w:val="auto"/>
              </w:rPr>
            </w:pPr>
            <w:r>
              <w:rPr>
                <w:rFonts w:ascii="Arial" w:cs="Arial" w:eastAsia="Arial" w:hAnsi="Arial"/>
                <w:sz w:val="17"/>
                <w:szCs w:val="17"/>
                <w:color w:val="auto"/>
              </w:rPr>
              <w:t>—</w:t>
            </w:r>
          </w:p>
        </w:tc>
        <w:tc>
          <w:tcPr>
            <w:tcW w:w="120" w:type="dxa"/>
            <w:vAlign w:val="bottom"/>
            <w:tcBorders>
              <w:bottom w:val="single" w:sz="8" w:color="CCEEFF"/>
            </w:tcBorders>
          </w:tcPr>
          <w:p>
            <w:pPr>
              <w:spacing w:after="0"/>
              <w:rPr>
                <w:sz w:val="19"/>
                <w:szCs w:val="19"/>
                <w:color w:val="auto"/>
              </w:rPr>
            </w:pPr>
          </w:p>
        </w:tc>
        <w:tc>
          <w:tcPr>
            <w:tcW w:w="1480" w:type="dxa"/>
            <w:vAlign w:val="bottom"/>
            <w:tcBorders>
              <w:bottom w:val="single" w:sz="8" w:color="auto"/>
            </w:tcBorders>
          </w:tcPr>
          <w:p>
            <w:pPr>
              <w:ind w:left="980"/>
              <w:spacing w:after="0"/>
              <w:rPr>
                <w:sz w:val="20"/>
                <w:szCs w:val="20"/>
                <w:color w:val="auto"/>
              </w:rPr>
            </w:pPr>
            <w:r>
              <w:rPr>
                <w:rFonts w:ascii="Arial" w:cs="Arial" w:eastAsia="Arial" w:hAnsi="Arial"/>
                <w:sz w:val="17"/>
                <w:szCs w:val="17"/>
                <w:color w:val="auto"/>
              </w:rPr>
              <w:t>0.01</w:t>
            </w:r>
          </w:p>
        </w:tc>
        <w:tc>
          <w:tcPr>
            <w:tcW w:w="100" w:type="dxa"/>
            <w:vAlign w:val="bottom"/>
            <w:tcBorders>
              <w:bottom w:val="single" w:sz="8" w:color="CCEEFF"/>
            </w:tcBorders>
          </w:tcPr>
          <w:p>
            <w:pPr>
              <w:spacing w:after="0"/>
              <w:rPr>
                <w:sz w:val="19"/>
                <w:szCs w:val="19"/>
                <w:color w:val="auto"/>
              </w:rPr>
            </w:pPr>
          </w:p>
        </w:tc>
        <w:tc>
          <w:tcPr>
            <w:tcW w:w="1480" w:type="dxa"/>
            <w:vAlign w:val="bottom"/>
            <w:tcBorders>
              <w:bottom w:val="single" w:sz="8" w:color="auto"/>
            </w:tcBorders>
          </w:tcPr>
          <w:p>
            <w:pPr>
              <w:jc w:val="right"/>
              <w:ind w:right="113"/>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tcPr>
          <w:p>
            <w:pPr>
              <w:spacing w:after="0"/>
              <w:rPr>
                <w:sz w:val="19"/>
                <w:szCs w:val="19"/>
                <w:color w:val="auto"/>
              </w:rPr>
            </w:pPr>
          </w:p>
        </w:tc>
        <w:tc>
          <w:tcPr>
            <w:tcW w:w="1480" w:type="dxa"/>
            <w:vAlign w:val="bottom"/>
            <w:tcBorders>
              <w:bottom w:val="single" w:sz="8" w:color="auto"/>
            </w:tcBorders>
          </w:tcPr>
          <w:p>
            <w:pPr>
              <w:ind w:left="960"/>
              <w:spacing w:after="0"/>
              <w:rPr>
                <w:sz w:val="20"/>
                <w:szCs w:val="20"/>
                <w:color w:val="auto"/>
              </w:rPr>
            </w:pPr>
            <w:r>
              <w:rPr>
                <w:rFonts w:ascii="Arial" w:cs="Arial" w:eastAsia="Arial" w:hAnsi="Arial"/>
                <w:sz w:val="17"/>
                <w:szCs w:val="17"/>
                <w:color w:val="auto"/>
              </w:rPr>
              <w:t>0.01</w:t>
            </w:r>
          </w:p>
        </w:tc>
      </w:tr>
      <w:tr>
        <w:trPr>
          <w:trHeight w:val="214"/>
        </w:trPr>
        <w:tc>
          <w:tcPr>
            <w:tcW w:w="4100" w:type="dxa"/>
            <w:vAlign w:val="bottom"/>
            <w:shd w:val="clear" w:color="auto" w:fill="CCEEFF"/>
          </w:tcPr>
          <w:p>
            <w:pPr>
              <w:ind w:left="20"/>
              <w:spacing w:after="0"/>
              <w:rPr>
                <w:sz w:val="20"/>
                <w:szCs w:val="20"/>
                <w:color w:val="auto"/>
              </w:rPr>
            </w:pPr>
            <w:r>
              <w:rPr>
                <w:rFonts w:ascii="Arial" w:cs="Arial" w:eastAsia="Arial" w:hAnsi="Arial"/>
                <w:sz w:val="17"/>
                <w:szCs w:val="17"/>
                <w:color w:val="auto"/>
              </w:rPr>
              <w:t>Gross average premium rate</w:t>
            </w:r>
          </w:p>
        </w:tc>
        <w:tc>
          <w:tcPr>
            <w:tcW w:w="1600" w:type="dxa"/>
            <w:vAlign w:val="bottom"/>
            <w:gridSpan w:val="2"/>
            <w:shd w:val="clear" w:color="auto" w:fill="CCEEFF"/>
          </w:tcPr>
          <w:p>
            <w:pPr>
              <w:jc w:val="right"/>
              <w:ind w:right="113"/>
              <w:spacing w:after="0"/>
              <w:rPr>
                <w:sz w:val="20"/>
                <w:szCs w:val="20"/>
                <w:color w:val="auto"/>
              </w:rPr>
            </w:pPr>
            <w:r>
              <w:rPr>
                <w:rFonts w:ascii="Arial" w:cs="Arial" w:eastAsia="Arial" w:hAnsi="Arial"/>
                <w:sz w:val="17"/>
                <w:szCs w:val="17"/>
                <w:color w:val="auto"/>
              </w:rPr>
              <w:t>0.40</w:t>
            </w:r>
          </w:p>
        </w:tc>
        <w:tc>
          <w:tcPr>
            <w:tcW w:w="1600" w:type="dxa"/>
            <w:vAlign w:val="bottom"/>
            <w:gridSpan w:val="2"/>
            <w:shd w:val="clear" w:color="auto" w:fill="CCEEFF"/>
          </w:tcPr>
          <w:p>
            <w:pPr>
              <w:ind w:left="1100"/>
              <w:spacing w:after="0"/>
              <w:rPr>
                <w:sz w:val="20"/>
                <w:szCs w:val="20"/>
                <w:color w:val="auto"/>
              </w:rPr>
            </w:pPr>
            <w:r>
              <w:rPr>
                <w:rFonts w:ascii="Arial" w:cs="Arial" w:eastAsia="Arial" w:hAnsi="Arial"/>
                <w:sz w:val="17"/>
                <w:szCs w:val="17"/>
                <w:color w:val="auto"/>
              </w:rPr>
              <w:t>0.42</w:t>
            </w:r>
          </w:p>
        </w:tc>
        <w:tc>
          <w:tcPr>
            <w:tcW w:w="1580" w:type="dxa"/>
            <w:vAlign w:val="bottom"/>
            <w:gridSpan w:val="2"/>
            <w:shd w:val="clear" w:color="auto" w:fill="CCEEFF"/>
          </w:tcPr>
          <w:p>
            <w:pPr>
              <w:jc w:val="right"/>
              <w:ind w:right="113"/>
              <w:spacing w:after="0"/>
              <w:rPr>
                <w:sz w:val="20"/>
                <w:szCs w:val="20"/>
                <w:color w:val="auto"/>
              </w:rPr>
            </w:pPr>
            <w:r>
              <w:rPr>
                <w:rFonts w:ascii="Arial" w:cs="Arial" w:eastAsia="Arial" w:hAnsi="Arial"/>
                <w:sz w:val="17"/>
                <w:szCs w:val="17"/>
                <w:color w:val="auto"/>
              </w:rPr>
              <w:t>0.40</w:t>
            </w:r>
          </w:p>
        </w:tc>
        <w:tc>
          <w:tcPr>
            <w:tcW w:w="1580" w:type="dxa"/>
            <w:vAlign w:val="bottom"/>
            <w:gridSpan w:val="2"/>
            <w:shd w:val="clear" w:color="auto" w:fill="CCEEFF"/>
          </w:tcPr>
          <w:p>
            <w:pPr>
              <w:ind w:left="1060"/>
              <w:spacing w:after="0"/>
              <w:rPr>
                <w:sz w:val="20"/>
                <w:szCs w:val="20"/>
                <w:color w:val="auto"/>
              </w:rPr>
            </w:pPr>
            <w:r>
              <w:rPr>
                <w:rFonts w:ascii="Arial" w:cs="Arial" w:eastAsia="Arial" w:hAnsi="Arial"/>
                <w:sz w:val="17"/>
                <w:szCs w:val="17"/>
                <w:color w:val="auto"/>
              </w:rPr>
              <w:t>0.42</w:t>
            </w:r>
          </w:p>
        </w:tc>
      </w:tr>
      <w:tr>
        <w:trPr>
          <w:trHeight w:val="227"/>
        </w:trPr>
        <w:tc>
          <w:tcPr>
            <w:tcW w:w="410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Ceded premiums</w:t>
            </w:r>
          </w:p>
        </w:tc>
        <w:tc>
          <w:tcPr>
            <w:tcW w:w="120" w:type="dxa"/>
            <w:vAlign w:val="bottom"/>
            <w:tcBorders>
              <w:bottom w:val="single" w:sz="8" w:color="CCEEFF"/>
            </w:tcBorders>
          </w:tcPr>
          <w:p>
            <w:pPr>
              <w:spacing w:after="0"/>
              <w:rPr>
                <w:sz w:val="19"/>
                <w:szCs w:val="19"/>
                <w:color w:val="auto"/>
              </w:rPr>
            </w:pPr>
          </w:p>
        </w:tc>
        <w:tc>
          <w:tcPr>
            <w:tcW w:w="1480" w:type="dxa"/>
            <w:vAlign w:val="bottom"/>
            <w:tcBorders>
              <w:bottom w:val="single" w:sz="8" w:color="auto"/>
            </w:tcBorders>
          </w:tcPr>
          <w:p>
            <w:pPr>
              <w:jc w:val="right"/>
              <w:ind w:right="73"/>
              <w:spacing w:after="0"/>
              <w:rPr>
                <w:sz w:val="20"/>
                <w:szCs w:val="20"/>
                <w:color w:val="auto"/>
              </w:rPr>
            </w:pPr>
            <w:r>
              <w:rPr>
                <w:rFonts w:ascii="Arial" w:cs="Arial" w:eastAsia="Arial" w:hAnsi="Arial"/>
                <w:sz w:val="17"/>
                <w:szCs w:val="17"/>
                <w:color w:val="auto"/>
              </w:rPr>
              <w:t>(0.07)</w:t>
            </w:r>
          </w:p>
        </w:tc>
        <w:tc>
          <w:tcPr>
            <w:tcW w:w="120" w:type="dxa"/>
            <w:vAlign w:val="bottom"/>
            <w:tcBorders>
              <w:bottom w:val="single" w:sz="8" w:color="CCEEFF"/>
            </w:tcBorders>
          </w:tcPr>
          <w:p>
            <w:pPr>
              <w:spacing w:after="0"/>
              <w:rPr>
                <w:sz w:val="19"/>
                <w:szCs w:val="19"/>
                <w:color w:val="auto"/>
              </w:rPr>
            </w:pPr>
          </w:p>
        </w:tc>
        <w:tc>
          <w:tcPr>
            <w:tcW w:w="1480" w:type="dxa"/>
            <w:vAlign w:val="bottom"/>
            <w:tcBorders>
              <w:bottom w:val="single" w:sz="8" w:color="auto"/>
            </w:tcBorders>
          </w:tcPr>
          <w:p>
            <w:pPr>
              <w:jc w:val="right"/>
              <w:ind w:right="73"/>
              <w:spacing w:after="0"/>
              <w:rPr>
                <w:sz w:val="20"/>
                <w:szCs w:val="20"/>
                <w:color w:val="auto"/>
              </w:rPr>
            </w:pPr>
            <w:r>
              <w:rPr>
                <w:rFonts w:ascii="Arial" w:cs="Arial" w:eastAsia="Arial" w:hAnsi="Arial"/>
                <w:sz w:val="17"/>
                <w:szCs w:val="17"/>
                <w:color w:val="auto"/>
              </w:rPr>
              <w:t>(0.04)</w:t>
            </w:r>
          </w:p>
        </w:tc>
        <w:tc>
          <w:tcPr>
            <w:tcW w:w="100" w:type="dxa"/>
            <w:vAlign w:val="bottom"/>
            <w:tcBorders>
              <w:bottom w:val="single" w:sz="8" w:color="CCEEFF"/>
            </w:tcBorders>
          </w:tcPr>
          <w:p>
            <w:pPr>
              <w:spacing w:after="0"/>
              <w:rPr>
                <w:sz w:val="19"/>
                <w:szCs w:val="19"/>
                <w:color w:val="auto"/>
              </w:rPr>
            </w:pPr>
          </w:p>
        </w:tc>
        <w:tc>
          <w:tcPr>
            <w:tcW w:w="1480" w:type="dxa"/>
            <w:vAlign w:val="bottom"/>
            <w:tcBorders>
              <w:bottom w:val="single" w:sz="8" w:color="auto"/>
            </w:tcBorders>
          </w:tcPr>
          <w:p>
            <w:pPr>
              <w:jc w:val="right"/>
              <w:ind w:right="73"/>
              <w:spacing w:after="0"/>
              <w:rPr>
                <w:sz w:val="20"/>
                <w:szCs w:val="20"/>
                <w:color w:val="auto"/>
              </w:rPr>
            </w:pPr>
            <w:r>
              <w:rPr>
                <w:rFonts w:ascii="Arial" w:cs="Arial" w:eastAsia="Arial" w:hAnsi="Arial"/>
                <w:sz w:val="17"/>
                <w:szCs w:val="17"/>
                <w:color w:val="auto"/>
              </w:rPr>
              <w:t>(0.06)</w:t>
            </w:r>
          </w:p>
        </w:tc>
        <w:tc>
          <w:tcPr>
            <w:tcW w:w="100" w:type="dxa"/>
            <w:vAlign w:val="bottom"/>
            <w:tcBorders>
              <w:bottom w:val="single" w:sz="8" w:color="CCEEFF"/>
            </w:tcBorders>
          </w:tcPr>
          <w:p>
            <w:pPr>
              <w:spacing w:after="0"/>
              <w:rPr>
                <w:sz w:val="19"/>
                <w:szCs w:val="19"/>
                <w:color w:val="auto"/>
              </w:rPr>
            </w:pPr>
          </w:p>
        </w:tc>
        <w:tc>
          <w:tcPr>
            <w:tcW w:w="1480" w:type="dxa"/>
            <w:vAlign w:val="bottom"/>
            <w:tcBorders>
              <w:bottom w:val="single" w:sz="8" w:color="auto"/>
            </w:tcBorders>
          </w:tcPr>
          <w:p>
            <w:pPr>
              <w:jc w:val="right"/>
              <w:ind w:right="73"/>
              <w:spacing w:after="0"/>
              <w:rPr>
                <w:sz w:val="20"/>
                <w:szCs w:val="20"/>
                <w:color w:val="auto"/>
              </w:rPr>
            </w:pPr>
            <w:r>
              <w:rPr>
                <w:rFonts w:ascii="Arial" w:cs="Arial" w:eastAsia="Arial" w:hAnsi="Arial"/>
                <w:sz w:val="17"/>
                <w:szCs w:val="17"/>
                <w:color w:val="auto"/>
              </w:rPr>
              <w:t>(0.04)</w:t>
            </w:r>
          </w:p>
        </w:tc>
      </w:tr>
      <w:tr>
        <w:trPr>
          <w:trHeight w:val="240"/>
        </w:trPr>
        <w:tc>
          <w:tcPr>
            <w:tcW w:w="410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average premium rate</w:t>
            </w:r>
          </w:p>
        </w:tc>
        <w:tc>
          <w:tcPr>
            <w:tcW w:w="16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0.33 %</w:t>
            </w:r>
          </w:p>
        </w:tc>
        <w:tc>
          <w:tcPr>
            <w:tcW w:w="1600" w:type="dxa"/>
            <w:vAlign w:val="bottom"/>
            <w:gridSpan w:val="2"/>
            <w:shd w:val="clear" w:color="auto" w:fill="CCEEFF"/>
          </w:tcPr>
          <w:p>
            <w:pPr>
              <w:ind w:left="1100"/>
              <w:spacing w:after="0"/>
              <w:rPr>
                <w:sz w:val="20"/>
                <w:szCs w:val="20"/>
                <w:color w:val="auto"/>
              </w:rPr>
            </w:pPr>
            <w:r>
              <w:rPr>
                <w:rFonts w:ascii="Arial" w:cs="Arial" w:eastAsia="Arial" w:hAnsi="Arial"/>
                <w:sz w:val="17"/>
                <w:szCs w:val="17"/>
                <w:color w:val="auto"/>
                <w:w w:val="90"/>
              </w:rPr>
              <w:t>0.38 %</w:t>
            </w:r>
          </w:p>
        </w:tc>
        <w:tc>
          <w:tcPr>
            <w:tcW w:w="15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0.34 %</w:t>
            </w:r>
          </w:p>
        </w:tc>
        <w:tc>
          <w:tcPr>
            <w:tcW w:w="1580" w:type="dxa"/>
            <w:vAlign w:val="bottom"/>
            <w:gridSpan w:val="2"/>
            <w:shd w:val="clear" w:color="auto" w:fill="CCEEFF"/>
          </w:tcPr>
          <w:p>
            <w:pPr>
              <w:ind w:left="1060"/>
              <w:spacing w:after="0"/>
              <w:rPr>
                <w:sz w:val="20"/>
                <w:szCs w:val="20"/>
                <w:color w:val="auto"/>
              </w:rPr>
            </w:pPr>
            <w:r>
              <w:rPr>
                <w:rFonts w:ascii="Arial" w:cs="Arial" w:eastAsia="Arial" w:hAnsi="Arial"/>
                <w:sz w:val="17"/>
                <w:szCs w:val="17"/>
                <w:color w:val="auto"/>
                <w:w w:val="94"/>
              </w:rPr>
              <w:t>0.38 %</w:t>
            </w:r>
          </w:p>
        </w:tc>
      </w:tr>
      <w:tr>
        <w:trPr>
          <w:trHeight w:val="20"/>
        </w:trPr>
        <w:tc>
          <w:tcPr>
            <w:tcW w:w="4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r>
    </w:tbl>
    <w:p>
      <w:pPr>
        <w:spacing w:after="0" w:line="286" w:lineRule="exact"/>
        <w:rPr>
          <w:sz w:val="20"/>
          <w:szCs w:val="20"/>
          <w:color w:val="auto"/>
        </w:rPr>
      </w:pPr>
    </w:p>
    <w:p>
      <w:pPr>
        <w:ind w:right="120" w:firstLine="623"/>
        <w:spacing w:after="0" w:line="285" w:lineRule="auto"/>
        <w:rPr>
          <w:sz w:val="20"/>
          <w:szCs w:val="20"/>
          <w:color w:val="auto"/>
        </w:rPr>
      </w:pPr>
      <w:r>
        <w:rPr>
          <w:rFonts w:ascii="Arial" w:cs="Arial" w:eastAsia="Arial" w:hAnsi="Arial"/>
          <w:sz w:val="17"/>
          <w:szCs w:val="17"/>
          <w:color w:val="auto"/>
        </w:rPr>
        <w:t>We anticipate that the continued use of third-party reinsurance along with changes to the level of future cancellations of non-refundable single premium policies and mix of IIF will reduce our average net premium rate in future periods.</w:t>
      </w:r>
    </w:p>
    <w:p>
      <w:pPr>
        <w:spacing w:after="0" w:line="185" w:lineRule="exact"/>
        <w:rPr>
          <w:sz w:val="20"/>
          <w:szCs w:val="20"/>
          <w:color w:val="auto"/>
        </w:rPr>
      </w:pPr>
    </w:p>
    <w:p>
      <w:pPr>
        <w:ind w:left="620"/>
        <w:spacing w:after="0"/>
        <w:rPr>
          <w:sz w:val="20"/>
          <w:szCs w:val="20"/>
          <w:color w:val="auto"/>
        </w:rPr>
      </w:pPr>
      <w:r>
        <w:rPr>
          <w:rFonts w:ascii="Arial" w:cs="Arial" w:eastAsia="Arial" w:hAnsi="Arial"/>
          <w:sz w:val="17"/>
          <w:szCs w:val="17"/>
          <w:b w:val="1"/>
          <w:bCs w:val="1"/>
          <w:i w:val="1"/>
          <w:iCs w:val="1"/>
          <w:color w:val="auto"/>
        </w:rPr>
        <w:t>Persistency Rate</w:t>
      </w:r>
    </w:p>
    <w:p>
      <w:pPr>
        <w:spacing w:after="0" w:line="220" w:lineRule="exact"/>
        <w:rPr>
          <w:sz w:val="20"/>
          <w:szCs w:val="20"/>
          <w:color w:val="auto"/>
        </w:rPr>
      </w:pPr>
    </w:p>
    <w:p>
      <w:pPr>
        <w:ind w:right="80" w:firstLine="623"/>
        <w:spacing w:after="0" w:line="270" w:lineRule="auto"/>
        <w:rPr>
          <w:sz w:val="20"/>
          <w:szCs w:val="20"/>
          <w:color w:val="auto"/>
        </w:rPr>
      </w:pPr>
      <w:r>
        <w:rPr>
          <w:rFonts w:ascii="Arial" w:cs="Arial" w:eastAsia="Arial" w:hAnsi="Arial"/>
          <w:sz w:val="17"/>
          <w:szCs w:val="17"/>
          <w:color w:val="auto"/>
        </w:rPr>
        <w:t>The measure for assessing the impact of policy cancellations on IIF is our persistency rate, defined as the percentage of IIF that remains on our books after any twelve-month period. See additional discussion regarding the impact of the persistency rate on our performance in “— Factors Affecting Our Results of Operations — Persistency and Business Mix.”</w:t>
      </w:r>
    </w:p>
    <w:p>
      <w:pPr>
        <w:spacing w:after="0" w:line="171" w:lineRule="exact"/>
        <w:rPr>
          <w:sz w:val="20"/>
          <w:szCs w:val="20"/>
          <w:color w:val="auto"/>
        </w:rPr>
      </w:pPr>
    </w:p>
    <w:p>
      <w:pPr>
        <w:ind w:left="620"/>
        <w:spacing w:after="0"/>
        <w:rPr>
          <w:sz w:val="20"/>
          <w:szCs w:val="20"/>
          <w:color w:val="auto"/>
        </w:rPr>
      </w:pPr>
      <w:r>
        <w:rPr>
          <w:rFonts w:ascii="Arial" w:cs="Arial" w:eastAsia="Arial" w:hAnsi="Arial"/>
          <w:sz w:val="17"/>
          <w:szCs w:val="17"/>
          <w:b w:val="1"/>
          <w:bCs w:val="1"/>
          <w:i w:val="1"/>
          <w:iCs w:val="1"/>
          <w:color w:val="auto"/>
        </w:rPr>
        <w:t>Risk-to-Capital</w:t>
      </w:r>
    </w:p>
    <w:p>
      <w:pPr>
        <w:spacing w:after="0" w:line="220" w:lineRule="exact"/>
        <w:rPr>
          <w:sz w:val="20"/>
          <w:szCs w:val="20"/>
          <w:color w:val="auto"/>
        </w:rPr>
      </w:pPr>
    </w:p>
    <w:p>
      <w:pPr>
        <w:ind w:right="160" w:firstLine="623"/>
        <w:spacing w:after="0" w:line="286" w:lineRule="auto"/>
        <w:rPr>
          <w:sz w:val="20"/>
          <w:szCs w:val="20"/>
          <w:color w:val="auto"/>
        </w:rPr>
      </w:pPr>
      <w:r>
        <w:rPr>
          <w:rFonts w:ascii="Arial" w:cs="Arial" w:eastAsia="Arial" w:hAnsi="Arial"/>
          <w:sz w:val="16"/>
          <w:szCs w:val="16"/>
          <w:color w:val="auto"/>
        </w:rPr>
        <w:t>The risk-to-capital ratio has historically been used as a measure of capital adequacy in the U.S. mortgage insurance industry and is calculated as a ratio of net risk in force to statutory capital. Net risk in force represents total risk in force net of reinsurance ceded and net of exposures on policies for which loss reserves have been established. Statutory capital for our U.S. insurance companies is computed based on accounting practices prescribed or permitted by the Pennsylvania Insurance Department. See additional discussion in “— Liquidity and Capital Resources — Insurance Company Capital.”</w:t>
      </w:r>
    </w:p>
    <w:p>
      <w:pPr>
        <w:spacing w:after="0" w:line="161" w:lineRule="exact"/>
        <w:rPr>
          <w:sz w:val="20"/>
          <w:szCs w:val="20"/>
          <w:color w:val="auto"/>
        </w:rPr>
      </w:pPr>
    </w:p>
    <w:p>
      <w:pPr>
        <w:ind w:firstLine="623"/>
        <w:spacing w:after="0" w:line="260" w:lineRule="auto"/>
        <w:rPr>
          <w:sz w:val="20"/>
          <w:szCs w:val="20"/>
          <w:color w:val="auto"/>
        </w:rPr>
      </w:pPr>
      <w:r>
        <w:rPr>
          <w:rFonts w:ascii="Arial" w:cs="Arial" w:eastAsia="Arial" w:hAnsi="Arial"/>
          <w:sz w:val="17"/>
          <w:szCs w:val="17"/>
          <w:color w:val="auto"/>
        </w:rPr>
        <w:t>As of June 30, 2023, our combined net risk in force for our U.S. insurance companies was $34.0 billion and our combined statutory capital was $3.2 billion, resulting in a risk-to-capital ratio of 10.5 to 1. The amount of capital required varies in each jurisdiction in which we operate; however, generally, the maximum permitted risk-to-capital ratio is 25.0 to 1. State insurance regulators are currently examining their respective capital rules to determine whether, in light of the financial crisis, changes are needed to more accurately assess mortgage insurers’ ability to withstand stressful economic conditions. As a result, the capital metrics under which they assess and measure capital adequacy may change in the future. Independent of the state regulator and GSE capital requirements, management continually assesses the risk of our insurance portfolio and current market and economic conditions to determine the appropriate levels of capital to support our business.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68580</wp:posOffset>
            </wp:positionV>
            <wp:extent cx="7162800" cy="419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type w:val="continuous"/>
        </w:sectPr>
      </w:pPr>
    </w:p>
    <w:bookmarkStart w:id="36" w:name="page37"/>
    <w:bookmarkEnd w:id="36"/>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Results of Operations</w:t>
      </w:r>
    </w:p>
    <w:p>
      <w:pPr>
        <w:spacing w:after="0" w:line="226" w:lineRule="exact"/>
        <w:rPr>
          <w:sz w:val="20"/>
          <w:szCs w:val="20"/>
          <w:color w:val="auto"/>
        </w:rPr>
      </w:pPr>
    </w:p>
    <w:p>
      <w:pPr>
        <w:ind w:left="620"/>
        <w:spacing w:after="0"/>
        <w:rPr>
          <w:sz w:val="20"/>
          <w:szCs w:val="20"/>
          <w:color w:val="auto"/>
        </w:rPr>
      </w:pPr>
      <w:r>
        <w:rPr>
          <w:rFonts w:ascii="Arial" w:cs="Arial" w:eastAsia="Arial" w:hAnsi="Arial"/>
          <w:sz w:val="17"/>
          <w:szCs w:val="17"/>
          <w:color w:val="auto"/>
        </w:rPr>
        <w:t>The following table sets forth our results of operations for the periods indicated:</w:t>
      </w: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220" w:type="dxa"/>
            <w:vAlign w:val="bottom"/>
            <w:gridSpan w:val="2"/>
          </w:tcPr>
          <w:p>
            <w:pPr>
              <w:ind w:left="20"/>
              <w:spacing w:after="0"/>
              <w:rPr>
                <w:sz w:val="20"/>
                <w:szCs w:val="20"/>
                <w:color w:val="auto"/>
              </w:rPr>
            </w:pPr>
            <w:r>
              <w:rPr>
                <w:rFonts w:ascii="Arial" w:cs="Arial" w:eastAsia="Arial" w:hAnsi="Arial"/>
                <w:sz w:val="14"/>
                <w:szCs w:val="14"/>
                <w:b w:val="1"/>
                <w:bCs w:val="1"/>
                <w:color w:val="auto"/>
              </w:rPr>
              <w:t>Summary of Operations</w:t>
            </w:r>
          </w:p>
        </w:tc>
        <w:tc>
          <w:tcPr>
            <w:tcW w:w="340" w:type="dxa"/>
            <w:vAlign w:val="bottom"/>
            <w:tcBorders>
              <w:bottom w:val="single" w:sz="8" w:color="auto"/>
            </w:tcBorders>
          </w:tcPr>
          <w:p>
            <w:pPr>
              <w:spacing w:after="0"/>
              <w:rPr>
                <w:sz w:val="16"/>
                <w:szCs w:val="16"/>
                <w:color w:val="auto"/>
              </w:rPr>
            </w:pPr>
          </w:p>
        </w:tc>
        <w:tc>
          <w:tcPr>
            <w:tcW w:w="2600" w:type="dxa"/>
            <w:vAlign w:val="bottom"/>
            <w:tcBorders>
              <w:bottom w:val="single" w:sz="8" w:color="auto"/>
            </w:tcBorders>
            <w:gridSpan w:val="4"/>
          </w:tcPr>
          <w:p>
            <w:pPr>
              <w:jc w:val="right"/>
              <w:ind w:right="495"/>
              <w:spacing w:after="0"/>
              <w:rPr>
                <w:sz w:val="20"/>
                <w:szCs w:val="20"/>
                <w:color w:val="auto"/>
              </w:rPr>
            </w:pPr>
            <w:r>
              <w:rPr>
                <w:rFonts w:ascii="Arial" w:cs="Arial" w:eastAsia="Arial" w:hAnsi="Arial"/>
                <w:sz w:val="14"/>
                <w:szCs w:val="14"/>
                <w:b w:val="1"/>
                <w:bCs w:val="1"/>
                <w:color w:val="auto"/>
              </w:rPr>
              <w:t>Three Months Ended June 30,</w:t>
            </w:r>
          </w:p>
        </w:tc>
        <w:tc>
          <w:tcPr>
            <w:tcW w:w="1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620" w:type="dxa"/>
            <w:vAlign w:val="bottom"/>
            <w:tcBorders>
              <w:bottom w:val="single" w:sz="8" w:color="auto"/>
            </w:tcBorders>
            <w:gridSpan w:val="4"/>
          </w:tcPr>
          <w:p>
            <w:pPr>
              <w:jc w:val="right"/>
              <w:ind w:right="575"/>
              <w:spacing w:after="0"/>
              <w:rPr>
                <w:sz w:val="20"/>
                <w:szCs w:val="20"/>
                <w:color w:val="auto"/>
              </w:rPr>
            </w:pPr>
            <w:r>
              <w:rPr>
                <w:rFonts w:ascii="Arial" w:cs="Arial" w:eastAsia="Arial" w:hAnsi="Arial"/>
                <w:sz w:val="14"/>
                <w:szCs w:val="14"/>
                <w:b w:val="1"/>
                <w:bCs w:val="1"/>
                <w:color w:val="auto"/>
              </w:rPr>
              <w:t>Six Months Ended June 30,</w:t>
            </w:r>
          </w:p>
        </w:tc>
      </w:tr>
      <w:tr>
        <w:trPr>
          <w:trHeight w:val="188"/>
        </w:trPr>
        <w:tc>
          <w:tcPr>
            <w:tcW w:w="5220" w:type="dxa"/>
            <w:vAlign w:val="bottom"/>
            <w:gridSpan w:val="2"/>
          </w:tcPr>
          <w:p>
            <w:pPr>
              <w:ind w:left="20"/>
              <w:spacing w:after="0"/>
              <w:rPr>
                <w:sz w:val="20"/>
                <w:szCs w:val="20"/>
                <w:color w:val="auto"/>
              </w:rPr>
            </w:pPr>
            <w:r>
              <w:rPr>
                <w:rFonts w:ascii="Arial" w:cs="Arial" w:eastAsia="Arial" w:hAnsi="Arial"/>
                <w:sz w:val="14"/>
                <w:szCs w:val="14"/>
                <w:b w:val="1"/>
                <w:bCs w:val="1"/>
                <w:color w:val="auto"/>
              </w:rPr>
              <w:t>(In thousands)</w:t>
            </w:r>
          </w:p>
        </w:tc>
        <w:tc>
          <w:tcPr>
            <w:tcW w:w="340" w:type="dxa"/>
            <w:vAlign w:val="bottom"/>
          </w:tcPr>
          <w:p>
            <w:pPr>
              <w:spacing w:after="0"/>
              <w:rPr>
                <w:sz w:val="16"/>
                <w:szCs w:val="16"/>
                <w:color w:val="auto"/>
              </w:rPr>
            </w:pPr>
          </w:p>
        </w:tc>
        <w:tc>
          <w:tcPr>
            <w:tcW w:w="1080" w:type="dxa"/>
            <w:vAlign w:val="bottom"/>
          </w:tcPr>
          <w:p>
            <w:pPr>
              <w:jc w:val="right"/>
              <w:ind w:right="496"/>
              <w:spacing w:after="0"/>
              <w:rPr>
                <w:sz w:val="20"/>
                <w:szCs w:val="20"/>
                <w:color w:val="auto"/>
              </w:rPr>
            </w:pPr>
            <w:r>
              <w:rPr>
                <w:rFonts w:ascii="Arial" w:cs="Arial" w:eastAsia="Arial" w:hAnsi="Arial"/>
                <w:sz w:val="14"/>
                <w:szCs w:val="14"/>
                <w:b w:val="1"/>
                <w:bCs w:val="1"/>
                <w:color w:val="auto"/>
              </w:rPr>
              <w:t>2023</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jc w:val="right"/>
              <w:ind w:right="475"/>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ind w:right="496"/>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jc w:val="right"/>
              <w:ind w:right="495"/>
              <w:spacing w:after="0"/>
              <w:rPr>
                <w:sz w:val="20"/>
                <w:szCs w:val="20"/>
                <w:color w:val="auto"/>
              </w:rPr>
            </w:pPr>
            <w:r>
              <w:rPr>
                <w:rFonts w:ascii="Arial" w:cs="Arial" w:eastAsia="Arial" w:hAnsi="Arial"/>
                <w:sz w:val="14"/>
                <w:szCs w:val="14"/>
                <w:b w:val="1"/>
                <w:bCs w:val="1"/>
                <w:color w:val="auto"/>
              </w:rPr>
              <w:t>2022</w:t>
            </w:r>
          </w:p>
        </w:tc>
      </w:tr>
      <w:tr>
        <w:trPr>
          <w:trHeight w:val="221"/>
        </w:trPr>
        <w:tc>
          <w:tcPr>
            <w:tcW w:w="51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Revenues:</w:t>
            </w:r>
          </w:p>
        </w:tc>
        <w:tc>
          <w:tcPr>
            <w:tcW w:w="12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spacing w:after="0"/>
              <w:rPr>
                <w:sz w:val="19"/>
                <w:szCs w:val="19"/>
                <w:color w:val="auto"/>
              </w:rPr>
            </w:pPr>
          </w:p>
        </w:tc>
      </w:tr>
      <w:tr>
        <w:trPr>
          <w:trHeight w:val="227"/>
        </w:trPr>
        <w:tc>
          <w:tcPr>
            <w:tcW w:w="5220" w:type="dxa"/>
            <w:vAlign w:val="bottom"/>
            <w:gridSpan w:val="2"/>
          </w:tcPr>
          <w:p>
            <w:pPr>
              <w:ind w:left="20"/>
              <w:spacing w:after="0"/>
              <w:rPr>
                <w:sz w:val="20"/>
                <w:szCs w:val="20"/>
                <w:color w:val="auto"/>
              </w:rPr>
            </w:pPr>
            <w:r>
              <w:rPr>
                <w:rFonts w:ascii="Arial" w:cs="Arial" w:eastAsia="Arial" w:hAnsi="Arial"/>
                <w:sz w:val="17"/>
                <w:szCs w:val="17"/>
                <w:color w:val="auto"/>
              </w:rPr>
              <w:t>Net premiums written</w:t>
            </w:r>
          </w:p>
        </w:tc>
        <w:tc>
          <w:tcPr>
            <w:tcW w:w="340" w:type="dxa"/>
            <w:vAlign w:val="bottom"/>
          </w:tcPr>
          <w:p>
            <w:pPr>
              <w:jc w:val="right"/>
              <w:ind w:right="153"/>
              <w:spacing w:after="0"/>
              <w:rPr>
                <w:sz w:val="20"/>
                <w:szCs w:val="20"/>
                <w:color w:val="auto"/>
              </w:rPr>
            </w:pPr>
            <w:r>
              <w:rPr>
                <w:rFonts w:ascii="Arial" w:cs="Arial" w:eastAsia="Arial" w:hAnsi="Arial"/>
                <w:sz w:val="17"/>
                <w:szCs w:val="17"/>
                <w:color w:val="auto"/>
                <w:w w:val="84"/>
              </w:rPr>
              <w:t>$</w:t>
            </w:r>
          </w:p>
        </w:tc>
        <w:tc>
          <w:tcPr>
            <w:tcW w:w="1080" w:type="dxa"/>
            <w:vAlign w:val="bottom"/>
          </w:tcPr>
          <w:p>
            <w:pPr>
              <w:jc w:val="right"/>
              <w:spacing w:after="0"/>
              <w:rPr>
                <w:sz w:val="20"/>
                <w:szCs w:val="20"/>
                <w:color w:val="auto"/>
              </w:rPr>
            </w:pPr>
            <w:r>
              <w:rPr>
                <w:rFonts w:ascii="Arial" w:cs="Arial" w:eastAsia="Arial" w:hAnsi="Arial"/>
                <w:sz w:val="17"/>
                <w:szCs w:val="17"/>
                <w:color w:val="auto"/>
              </w:rPr>
              <w:t>209,621</w:t>
            </w:r>
          </w:p>
        </w:tc>
        <w:tc>
          <w:tcPr>
            <w:tcW w:w="440" w:type="dxa"/>
            <w:vAlign w:val="bottom"/>
            <w:gridSpan w:val="2"/>
          </w:tcPr>
          <w:p>
            <w:pPr>
              <w:jc w:val="right"/>
              <w:ind w:right="133"/>
              <w:spacing w:after="0"/>
              <w:rPr>
                <w:sz w:val="20"/>
                <w:szCs w:val="20"/>
                <w:color w:val="auto"/>
              </w:rPr>
            </w:pPr>
            <w:r>
              <w:rPr>
                <w:rFonts w:ascii="Arial" w:cs="Arial" w:eastAsia="Arial" w:hAnsi="Arial"/>
                <w:sz w:val="17"/>
                <w:szCs w:val="17"/>
                <w:color w:val="auto"/>
              </w:rPr>
              <w:t>$</w:t>
            </w:r>
          </w:p>
        </w:tc>
        <w:tc>
          <w:tcPr>
            <w:tcW w:w="1080" w:type="dxa"/>
            <w:vAlign w:val="bottom"/>
          </w:tcPr>
          <w:p>
            <w:pPr>
              <w:jc w:val="right"/>
              <w:spacing w:after="0"/>
              <w:rPr>
                <w:sz w:val="20"/>
                <w:szCs w:val="20"/>
                <w:color w:val="auto"/>
              </w:rPr>
            </w:pPr>
            <w:r>
              <w:rPr>
                <w:rFonts w:ascii="Arial" w:cs="Arial" w:eastAsia="Arial" w:hAnsi="Arial"/>
                <w:sz w:val="17"/>
                <w:szCs w:val="17"/>
                <w:color w:val="auto"/>
              </w:rPr>
              <w:t>210,342</w:t>
            </w:r>
          </w:p>
        </w:tc>
        <w:tc>
          <w:tcPr>
            <w:tcW w:w="460" w:type="dxa"/>
            <w:vAlign w:val="bottom"/>
            <w:gridSpan w:val="2"/>
          </w:tcPr>
          <w:p>
            <w:pPr>
              <w:jc w:val="right"/>
              <w:ind w:right="153"/>
              <w:spacing w:after="0"/>
              <w:rPr>
                <w:sz w:val="20"/>
                <w:szCs w:val="20"/>
                <w:color w:val="auto"/>
              </w:rPr>
            </w:pPr>
            <w:r>
              <w:rPr>
                <w:rFonts w:ascii="Arial" w:cs="Arial" w:eastAsia="Arial" w:hAnsi="Arial"/>
                <w:sz w:val="17"/>
                <w:szCs w:val="17"/>
                <w:color w:val="auto"/>
              </w:rPr>
              <w:t>$</w:t>
            </w:r>
          </w:p>
        </w:tc>
        <w:tc>
          <w:tcPr>
            <w:tcW w:w="1100" w:type="dxa"/>
            <w:vAlign w:val="bottom"/>
          </w:tcPr>
          <w:p>
            <w:pPr>
              <w:jc w:val="right"/>
              <w:spacing w:after="0"/>
              <w:rPr>
                <w:sz w:val="20"/>
                <w:szCs w:val="20"/>
                <w:color w:val="auto"/>
              </w:rPr>
            </w:pPr>
            <w:r>
              <w:rPr>
                <w:rFonts w:ascii="Arial" w:cs="Arial" w:eastAsia="Arial" w:hAnsi="Arial"/>
                <w:sz w:val="17"/>
                <w:szCs w:val="17"/>
                <w:color w:val="auto"/>
              </w:rPr>
              <w:t>415,521</w:t>
            </w:r>
          </w:p>
        </w:tc>
        <w:tc>
          <w:tcPr>
            <w:tcW w:w="440" w:type="dxa"/>
            <w:vAlign w:val="bottom"/>
            <w:gridSpan w:val="2"/>
          </w:tcPr>
          <w:p>
            <w:pPr>
              <w:jc w:val="right"/>
              <w:ind w:right="153"/>
              <w:spacing w:after="0"/>
              <w:rPr>
                <w:sz w:val="20"/>
                <w:szCs w:val="20"/>
                <w:color w:val="auto"/>
              </w:rPr>
            </w:pPr>
            <w:r>
              <w:rPr>
                <w:rFonts w:ascii="Arial" w:cs="Arial" w:eastAsia="Arial" w:hAnsi="Arial"/>
                <w:sz w:val="17"/>
                <w:szCs w:val="17"/>
                <w:color w:val="auto"/>
              </w:rPr>
              <w:t>$</w:t>
            </w:r>
          </w:p>
        </w:tc>
        <w:tc>
          <w:tcPr>
            <w:tcW w:w="1080" w:type="dxa"/>
            <w:vAlign w:val="bottom"/>
          </w:tcPr>
          <w:p>
            <w:pPr>
              <w:jc w:val="right"/>
              <w:spacing w:after="0"/>
              <w:rPr>
                <w:sz w:val="20"/>
                <w:szCs w:val="20"/>
                <w:color w:val="auto"/>
              </w:rPr>
            </w:pPr>
            <w:r>
              <w:rPr>
                <w:rFonts w:ascii="Arial" w:cs="Arial" w:eastAsia="Arial" w:hAnsi="Arial"/>
                <w:sz w:val="17"/>
                <w:szCs w:val="17"/>
                <w:color w:val="auto"/>
              </w:rPr>
              <w:t>410,073</w:t>
            </w:r>
          </w:p>
        </w:tc>
      </w:tr>
      <w:tr>
        <w:trPr>
          <w:trHeight w:val="227"/>
        </w:trPr>
        <w:tc>
          <w:tcPr>
            <w:tcW w:w="5220" w:type="dxa"/>
            <w:vAlign w:val="bottom"/>
            <w:gridSpan w:val="2"/>
            <w:shd w:val="clear" w:color="auto" w:fill="CCEEFF"/>
          </w:tcPr>
          <w:p>
            <w:pPr>
              <w:ind w:left="220"/>
              <w:spacing w:after="0"/>
              <w:rPr>
                <w:sz w:val="20"/>
                <w:szCs w:val="20"/>
                <w:color w:val="auto"/>
              </w:rPr>
            </w:pPr>
            <w:r>
              <w:rPr>
                <w:rFonts w:ascii="Arial" w:cs="Arial" w:eastAsia="Arial" w:hAnsi="Arial"/>
                <w:sz w:val="17"/>
                <w:szCs w:val="17"/>
                <w:color w:val="auto"/>
              </w:rPr>
              <w:t>Decrease in unearned premiums</w:t>
            </w: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3,608</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1,669</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8,966</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17,268</w:t>
            </w:r>
          </w:p>
        </w:tc>
      </w:tr>
      <w:tr>
        <w:trPr>
          <w:trHeight w:val="214"/>
        </w:trPr>
        <w:tc>
          <w:tcPr>
            <w:tcW w:w="5220" w:type="dxa"/>
            <w:vAlign w:val="bottom"/>
            <w:gridSpan w:val="2"/>
          </w:tcPr>
          <w:p>
            <w:pPr>
              <w:ind w:left="20"/>
              <w:spacing w:after="0"/>
              <w:rPr>
                <w:sz w:val="20"/>
                <w:szCs w:val="20"/>
                <w:color w:val="auto"/>
              </w:rPr>
            </w:pPr>
            <w:r>
              <w:rPr>
                <w:rFonts w:ascii="Arial" w:cs="Arial" w:eastAsia="Arial" w:hAnsi="Arial"/>
                <w:sz w:val="17"/>
                <w:szCs w:val="17"/>
                <w:color w:val="auto"/>
              </w:rPr>
              <w:t>Net premiums earned</w:t>
            </w: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213,229</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212,011</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424,487</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427,341</w:t>
            </w:r>
          </w:p>
        </w:tc>
      </w:tr>
      <w:tr>
        <w:trPr>
          <w:trHeight w:val="234"/>
        </w:trPr>
        <w:tc>
          <w:tcPr>
            <w:tcW w:w="522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Net investment income</w:t>
            </w:r>
          </w:p>
        </w:tc>
        <w:tc>
          <w:tcPr>
            <w:tcW w:w="34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45,250</w:t>
            </w: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29,339</w:t>
            </w:r>
          </w:p>
        </w:tc>
        <w:tc>
          <w:tcPr>
            <w:tcW w:w="1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88,486</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54,019</w:t>
            </w:r>
          </w:p>
        </w:tc>
      </w:tr>
      <w:tr>
        <w:trPr>
          <w:trHeight w:val="221"/>
        </w:trPr>
        <w:tc>
          <w:tcPr>
            <w:tcW w:w="5220" w:type="dxa"/>
            <w:vAlign w:val="bottom"/>
            <w:gridSpan w:val="2"/>
          </w:tcPr>
          <w:p>
            <w:pPr>
              <w:ind w:left="20"/>
              <w:spacing w:after="0"/>
              <w:rPr>
                <w:sz w:val="20"/>
                <w:szCs w:val="20"/>
                <w:color w:val="auto"/>
              </w:rPr>
            </w:pPr>
            <w:r>
              <w:rPr>
                <w:rFonts w:ascii="Arial" w:cs="Arial" w:eastAsia="Arial" w:hAnsi="Arial"/>
                <w:sz w:val="17"/>
                <w:szCs w:val="17"/>
                <w:color w:val="auto"/>
              </w:rPr>
              <w:t>Realized investment losses, net</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(1,589)</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(471)</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(2,077)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(7,823)</w:t>
            </w:r>
          </w:p>
        </w:tc>
      </w:tr>
      <w:tr>
        <w:trPr>
          <w:trHeight w:val="221"/>
        </w:trPr>
        <w:tc>
          <w:tcPr>
            <w:tcW w:w="522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(Loss) income from other invested assets</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(4,852)</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1,953</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(7,554)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26,658</w:t>
            </w:r>
          </w:p>
        </w:tc>
      </w:tr>
      <w:tr>
        <w:trPr>
          <w:trHeight w:val="234"/>
        </w:trPr>
        <w:tc>
          <w:tcPr>
            <w:tcW w:w="5220" w:type="dxa"/>
            <w:vAlign w:val="bottom"/>
            <w:tcBorders>
              <w:bottom w:val="single" w:sz="8" w:color="CCEEFF"/>
            </w:tcBorders>
            <w:gridSpan w:val="2"/>
          </w:tcPr>
          <w:p>
            <w:pPr>
              <w:ind w:left="20"/>
              <w:spacing w:after="0"/>
              <w:rPr>
                <w:sz w:val="20"/>
                <w:szCs w:val="20"/>
                <w:color w:val="auto"/>
              </w:rPr>
            </w:pPr>
            <w:r>
              <w:rPr>
                <w:rFonts w:ascii="Arial" w:cs="Arial" w:eastAsia="Arial" w:hAnsi="Arial"/>
                <w:sz w:val="17"/>
                <w:szCs w:val="17"/>
                <w:color w:val="auto"/>
              </w:rPr>
              <w:t>Other income</w:t>
            </w:r>
          </w:p>
        </w:tc>
        <w:tc>
          <w:tcPr>
            <w:tcW w:w="3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8,090</w:t>
            </w:r>
          </w:p>
        </w:tc>
        <w:tc>
          <w:tcPr>
            <w:tcW w:w="12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1,577</w:t>
            </w:r>
          </w:p>
        </w:tc>
        <w:tc>
          <w:tcPr>
            <w:tcW w:w="12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13,032</w:t>
            </w:r>
          </w:p>
        </w:tc>
        <w:tc>
          <w:tcPr>
            <w:tcW w:w="10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8,825</w:t>
            </w:r>
          </w:p>
        </w:tc>
      </w:tr>
      <w:tr>
        <w:trPr>
          <w:trHeight w:val="214"/>
        </w:trPr>
        <w:tc>
          <w:tcPr>
            <w:tcW w:w="5220" w:type="dxa"/>
            <w:vAlign w:val="bottom"/>
            <w:gridSpan w:val="2"/>
            <w:shd w:val="clear" w:color="auto" w:fill="CCEEFF"/>
          </w:tcPr>
          <w:p>
            <w:pPr>
              <w:ind w:left="220"/>
              <w:spacing w:after="0"/>
              <w:rPr>
                <w:sz w:val="20"/>
                <w:szCs w:val="20"/>
                <w:color w:val="auto"/>
              </w:rPr>
            </w:pPr>
            <w:r>
              <w:rPr>
                <w:rFonts w:ascii="Arial" w:cs="Arial" w:eastAsia="Arial" w:hAnsi="Arial"/>
                <w:sz w:val="17"/>
                <w:szCs w:val="17"/>
                <w:color w:val="auto"/>
              </w:rPr>
              <w:t>Total revenues</w:t>
            </w:r>
          </w:p>
        </w:tc>
        <w:tc>
          <w:tcPr>
            <w:tcW w:w="3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260,128</w:t>
            </w:r>
          </w:p>
        </w:tc>
        <w:tc>
          <w:tcPr>
            <w:tcW w:w="1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244,409</w:t>
            </w:r>
          </w:p>
        </w:tc>
        <w:tc>
          <w:tcPr>
            <w:tcW w:w="12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516,374</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509,020</w:t>
            </w:r>
          </w:p>
        </w:tc>
      </w:tr>
      <w:tr>
        <w:trPr>
          <w:trHeight w:val="188"/>
        </w:trPr>
        <w:tc>
          <w:tcPr>
            <w:tcW w:w="5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234"/>
        </w:trPr>
        <w:tc>
          <w:tcPr>
            <w:tcW w:w="5220" w:type="dxa"/>
            <w:vAlign w:val="bottom"/>
            <w:gridSpan w:val="2"/>
            <w:shd w:val="clear" w:color="auto" w:fill="CCEEFF"/>
          </w:tcPr>
          <w:p>
            <w:pPr>
              <w:ind w:left="20"/>
              <w:spacing w:after="0"/>
              <w:rPr>
                <w:sz w:val="20"/>
                <w:szCs w:val="20"/>
                <w:color w:val="auto"/>
              </w:rPr>
            </w:pPr>
            <w:r>
              <w:rPr>
                <w:rFonts w:ascii="Arial" w:cs="Arial" w:eastAsia="Arial" w:hAnsi="Arial"/>
                <w:sz w:val="17"/>
                <w:szCs w:val="17"/>
                <w:b w:val="1"/>
                <w:bCs w:val="1"/>
                <w:color w:val="auto"/>
              </w:rPr>
              <w:t>Losses and expenses:</w:t>
            </w:r>
          </w:p>
        </w:tc>
        <w:tc>
          <w:tcPr>
            <w:tcW w:w="34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r>
      <w:tr>
        <w:trPr>
          <w:trHeight w:val="221"/>
        </w:trPr>
        <w:tc>
          <w:tcPr>
            <w:tcW w:w="5220" w:type="dxa"/>
            <w:vAlign w:val="bottom"/>
            <w:gridSpan w:val="2"/>
          </w:tcPr>
          <w:p>
            <w:pPr>
              <w:ind w:left="20"/>
              <w:spacing w:after="0"/>
              <w:rPr>
                <w:sz w:val="20"/>
                <w:szCs w:val="20"/>
                <w:color w:val="auto"/>
              </w:rPr>
            </w:pPr>
            <w:r>
              <w:rPr>
                <w:rFonts w:ascii="Arial" w:cs="Arial" w:eastAsia="Arial" w:hAnsi="Arial"/>
                <w:sz w:val="17"/>
                <w:szCs w:val="17"/>
                <w:color w:val="auto"/>
              </w:rPr>
              <w:t>(Benefit) provision for losses and LAE</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1,260</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(76,199)</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1,080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(183,057)</w:t>
            </w:r>
          </w:p>
        </w:tc>
      </w:tr>
      <w:tr>
        <w:trPr>
          <w:trHeight w:val="221"/>
        </w:trPr>
        <w:tc>
          <w:tcPr>
            <w:tcW w:w="522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Other underwriting and operating expenses</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42,174</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41,898</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90,369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82,694</w:t>
            </w:r>
          </w:p>
        </w:tc>
      </w:tr>
      <w:tr>
        <w:trPr>
          <w:trHeight w:val="234"/>
        </w:trPr>
        <w:tc>
          <w:tcPr>
            <w:tcW w:w="5220" w:type="dxa"/>
            <w:vAlign w:val="bottom"/>
            <w:tcBorders>
              <w:bottom w:val="single" w:sz="8" w:color="CCEEFF"/>
            </w:tcBorders>
            <w:gridSpan w:val="2"/>
          </w:tcPr>
          <w:p>
            <w:pPr>
              <w:ind w:left="20"/>
              <w:spacing w:after="0"/>
              <w:rPr>
                <w:sz w:val="20"/>
                <w:szCs w:val="20"/>
                <w:color w:val="auto"/>
              </w:rPr>
            </w:pPr>
            <w:r>
              <w:rPr>
                <w:rFonts w:ascii="Arial" w:cs="Arial" w:eastAsia="Arial" w:hAnsi="Arial"/>
                <w:sz w:val="17"/>
                <w:szCs w:val="17"/>
                <w:color w:val="auto"/>
              </w:rPr>
              <w:t>Interest expense</w:t>
            </w:r>
          </w:p>
        </w:tc>
        <w:tc>
          <w:tcPr>
            <w:tcW w:w="3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7,394</w:t>
            </w:r>
          </w:p>
        </w:tc>
        <w:tc>
          <w:tcPr>
            <w:tcW w:w="12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2,887</w:t>
            </w:r>
          </w:p>
        </w:tc>
        <w:tc>
          <w:tcPr>
            <w:tcW w:w="12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14,330</w:t>
            </w:r>
          </w:p>
        </w:tc>
        <w:tc>
          <w:tcPr>
            <w:tcW w:w="10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5,113</w:t>
            </w:r>
          </w:p>
        </w:tc>
      </w:tr>
      <w:tr>
        <w:trPr>
          <w:trHeight w:val="214"/>
        </w:trPr>
        <w:tc>
          <w:tcPr>
            <w:tcW w:w="522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7"/>
                <w:szCs w:val="17"/>
                <w:color w:val="auto"/>
              </w:rPr>
              <w:t>Total losses and expenses</w:t>
            </w:r>
          </w:p>
        </w:tc>
        <w:tc>
          <w:tcPr>
            <w:tcW w:w="3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50,828</w:t>
            </w:r>
          </w:p>
        </w:tc>
        <w:tc>
          <w:tcPr>
            <w:tcW w:w="1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(31,414)</w:t>
            </w:r>
          </w:p>
        </w:tc>
        <w:tc>
          <w:tcPr>
            <w:tcW w:w="12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105,779</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(95,250)</w:t>
            </w:r>
          </w:p>
        </w:tc>
      </w:tr>
      <w:tr>
        <w:trPr>
          <w:trHeight w:val="214"/>
        </w:trPr>
        <w:tc>
          <w:tcPr>
            <w:tcW w:w="5220" w:type="dxa"/>
            <w:vAlign w:val="bottom"/>
            <w:gridSpan w:val="2"/>
          </w:tcPr>
          <w:p>
            <w:pPr>
              <w:ind w:left="20"/>
              <w:spacing w:after="0"/>
              <w:rPr>
                <w:sz w:val="20"/>
                <w:szCs w:val="20"/>
                <w:color w:val="auto"/>
              </w:rPr>
            </w:pPr>
            <w:r>
              <w:rPr>
                <w:rFonts w:ascii="Arial" w:cs="Arial" w:eastAsia="Arial" w:hAnsi="Arial"/>
                <w:sz w:val="17"/>
                <w:szCs w:val="17"/>
                <w:color w:val="auto"/>
              </w:rPr>
              <w:t>Income before income taxes</w:t>
            </w: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209,300</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275,823</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410,595</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604,270</w:t>
            </w:r>
          </w:p>
        </w:tc>
      </w:tr>
      <w:tr>
        <w:trPr>
          <w:trHeight w:val="234"/>
        </w:trPr>
        <w:tc>
          <w:tcPr>
            <w:tcW w:w="522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Income tax expense</w:t>
            </w:r>
          </w:p>
        </w:tc>
        <w:tc>
          <w:tcPr>
            <w:tcW w:w="34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37,067</w:t>
            </w:r>
          </w:p>
        </w:tc>
        <w:tc>
          <w:tcPr>
            <w:tcW w:w="120" w:type="dxa"/>
            <w:vAlign w:val="bottom"/>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44,054</w:t>
            </w:r>
          </w:p>
        </w:tc>
        <w:tc>
          <w:tcPr>
            <w:tcW w:w="120" w:type="dxa"/>
            <w:vAlign w:val="bottom"/>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67,535</w:t>
            </w:r>
          </w:p>
        </w:tc>
        <w:tc>
          <w:tcPr>
            <w:tcW w:w="100" w:type="dxa"/>
            <w:vAlign w:val="bottom"/>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98,334</w:t>
            </w:r>
          </w:p>
        </w:tc>
      </w:tr>
      <w:tr>
        <w:trPr>
          <w:trHeight w:val="214"/>
        </w:trPr>
        <w:tc>
          <w:tcPr>
            <w:tcW w:w="5220" w:type="dxa"/>
            <w:vAlign w:val="bottom"/>
            <w:gridSpan w:val="2"/>
          </w:tcPr>
          <w:p>
            <w:pPr>
              <w:ind w:left="20"/>
              <w:spacing w:after="0"/>
              <w:rPr>
                <w:sz w:val="20"/>
                <w:szCs w:val="20"/>
                <w:color w:val="auto"/>
              </w:rPr>
            </w:pPr>
            <w:r>
              <w:rPr>
                <w:rFonts w:ascii="Arial" w:cs="Arial" w:eastAsia="Arial" w:hAnsi="Arial"/>
                <w:sz w:val="17"/>
                <w:szCs w:val="17"/>
                <w:b w:val="1"/>
                <w:bCs w:val="1"/>
                <w:color w:val="auto"/>
              </w:rPr>
              <w:t>Net income</w:t>
            </w:r>
          </w:p>
        </w:tc>
        <w:tc>
          <w:tcPr>
            <w:tcW w:w="340" w:type="dxa"/>
            <w:vAlign w:val="bottom"/>
            <w:tcBorders>
              <w:bottom w:val="single" w:sz="8" w:color="auto"/>
            </w:tcBorders>
          </w:tcPr>
          <w:p>
            <w:pPr>
              <w:jc w:val="right"/>
              <w:ind w:right="153"/>
              <w:spacing w:after="0"/>
              <w:rPr>
                <w:sz w:val="20"/>
                <w:szCs w:val="20"/>
                <w:color w:val="auto"/>
              </w:rPr>
            </w:pPr>
            <w:r>
              <w:rPr>
                <w:rFonts w:ascii="Arial" w:cs="Arial" w:eastAsia="Arial" w:hAnsi="Arial"/>
                <w:sz w:val="17"/>
                <w:szCs w:val="17"/>
                <w:b w:val="1"/>
                <w:bCs w:val="1"/>
                <w:color w:val="auto"/>
                <w:w w:val="84"/>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172,233</w:t>
            </w:r>
          </w:p>
        </w:tc>
        <w:tc>
          <w:tcPr>
            <w:tcW w:w="120" w:type="dxa"/>
            <w:vAlign w:val="bottom"/>
          </w:tcPr>
          <w:p>
            <w:pPr>
              <w:spacing w:after="0"/>
              <w:rPr>
                <w:sz w:val="18"/>
                <w:szCs w:val="18"/>
                <w:color w:val="auto"/>
              </w:rPr>
            </w:pPr>
          </w:p>
        </w:tc>
        <w:tc>
          <w:tcPr>
            <w:tcW w:w="320" w:type="dxa"/>
            <w:vAlign w:val="bottom"/>
            <w:tcBorders>
              <w:bottom w:val="single" w:sz="8" w:color="auto"/>
            </w:tcBorders>
          </w:tcPr>
          <w:p>
            <w:pPr>
              <w:jc w:val="right"/>
              <w:ind w:right="133"/>
              <w:spacing w:after="0"/>
              <w:rPr>
                <w:sz w:val="20"/>
                <w:szCs w:val="20"/>
                <w:color w:val="auto"/>
              </w:rPr>
            </w:pPr>
            <w:r>
              <w:rPr>
                <w:rFonts w:ascii="Arial" w:cs="Arial" w:eastAsia="Arial" w:hAnsi="Arial"/>
                <w:sz w:val="17"/>
                <w:szCs w:val="17"/>
                <w:b w:val="1"/>
                <w:bCs w:val="1"/>
                <w:color w:val="auto"/>
                <w:w w:val="84"/>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231,769</w:t>
            </w:r>
          </w:p>
        </w:tc>
        <w:tc>
          <w:tcPr>
            <w:tcW w:w="120" w:type="dxa"/>
            <w:vAlign w:val="bottom"/>
          </w:tcPr>
          <w:p>
            <w:pPr>
              <w:spacing w:after="0"/>
              <w:rPr>
                <w:sz w:val="18"/>
                <w:szCs w:val="18"/>
                <w:color w:val="auto"/>
              </w:rPr>
            </w:pPr>
          </w:p>
        </w:tc>
        <w:tc>
          <w:tcPr>
            <w:tcW w:w="340" w:type="dxa"/>
            <w:vAlign w:val="bottom"/>
            <w:tcBorders>
              <w:bottom w:val="single" w:sz="8" w:color="auto"/>
            </w:tcBorders>
          </w:tcPr>
          <w:p>
            <w:pPr>
              <w:jc w:val="right"/>
              <w:ind w:right="153"/>
              <w:spacing w:after="0"/>
              <w:rPr>
                <w:sz w:val="20"/>
                <w:szCs w:val="20"/>
                <w:color w:val="auto"/>
              </w:rPr>
            </w:pPr>
            <w:r>
              <w:rPr>
                <w:rFonts w:ascii="Arial" w:cs="Arial" w:eastAsia="Arial" w:hAnsi="Arial"/>
                <w:sz w:val="17"/>
                <w:szCs w:val="17"/>
                <w:b w:val="1"/>
                <w:bCs w:val="1"/>
                <w:color w:val="auto"/>
                <w:w w:val="84"/>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343,060</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53"/>
              <w:spacing w:after="0"/>
              <w:rPr>
                <w:sz w:val="20"/>
                <w:szCs w:val="20"/>
                <w:color w:val="auto"/>
              </w:rPr>
            </w:pPr>
            <w:r>
              <w:rPr>
                <w:rFonts w:ascii="Arial" w:cs="Arial" w:eastAsia="Arial" w:hAnsi="Arial"/>
                <w:sz w:val="17"/>
                <w:szCs w:val="17"/>
                <w:b w:val="1"/>
                <w:bCs w:val="1"/>
                <w:color w:val="auto"/>
                <w:w w:val="84"/>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505,936</w:t>
            </w:r>
          </w:p>
        </w:tc>
      </w:tr>
      <w:tr>
        <w:trPr>
          <w:trHeight w:val="20"/>
        </w:trPr>
        <w:tc>
          <w:tcPr>
            <w:tcW w:w="5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8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Three and Six Months Ended June 30, 2023 Compared to the Three and Six Months Ended June 30, 2022</w:t>
      </w:r>
    </w:p>
    <w:p>
      <w:pPr>
        <w:spacing w:after="0" w:line="226" w:lineRule="exact"/>
        <w:rPr>
          <w:sz w:val="20"/>
          <w:szCs w:val="20"/>
          <w:color w:val="auto"/>
        </w:rPr>
      </w:pPr>
    </w:p>
    <w:p>
      <w:pPr>
        <w:jc w:val="both"/>
        <w:ind w:right="260" w:firstLine="623"/>
        <w:spacing w:after="0" w:line="311" w:lineRule="auto"/>
        <w:rPr>
          <w:sz w:val="20"/>
          <w:szCs w:val="20"/>
          <w:color w:val="auto"/>
        </w:rPr>
      </w:pPr>
      <w:r>
        <w:rPr>
          <w:rFonts w:ascii="Arial" w:cs="Arial" w:eastAsia="Arial" w:hAnsi="Arial"/>
          <w:sz w:val="15"/>
          <w:szCs w:val="15"/>
          <w:color w:val="auto"/>
        </w:rPr>
        <w:t>For the three months ended June 30, 2023, we reported net income of $172.2 million, compared to net income of $231.8 million for the three months ended June 30, 2022. For the six months ended June 30, 2023, we reported net income of $343.1 million, compared to net income of $505.9 million for the six months ended June 30, 2022. The decreases in our operating results in 2023 over the same periods in 2022 were primarily due to increases in the provision for losses and LAE and decreases in income from other invested assets, partially offset by increases in net interest income and decreases in income tax expense.</w:t>
      </w:r>
    </w:p>
    <w:p>
      <w:pPr>
        <w:spacing w:after="0" w:line="170" w:lineRule="exact"/>
        <w:rPr>
          <w:sz w:val="20"/>
          <w:szCs w:val="20"/>
          <w:color w:val="auto"/>
        </w:rPr>
      </w:pPr>
    </w:p>
    <w:p>
      <w:pPr>
        <w:ind w:left="620"/>
        <w:spacing w:after="0"/>
        <w:rPr>
          <w:sz w:val="20"/>
          <w:szCs w:val="20"/>
          <w:color w:val="auto"/>
        </w:rPr>
      </w:pPr>
      <w:r>
        <w:rPr>
          <w:rFonts w:ascii="Arial" w:cs="Arial" w:eastAsia="Arial" w:hAnsi="Arial"/>
          <w:sz w:val="17"/>
          <w:szCs w:val="17"/>
          <w:b w:val="1"/>
          <w:bCs w:val="1"/>
          <w:i w:val="1"/>
          <w:iCs w:val="1"/>
          <w:color w:val="auto"/>
        </w:rPr>
        <w:t>Net Premiums Written and Earned</w:t>
      </w:r>
    </w:p>
    <w:p>
      <w:pPr>
        <w:spacing w:after="0" w:line="220" w:lineRule="exact"/>
        <w:rPr>
          <w:sz w:val="20"/>
          <w:szCs w:val="20"/>
          <w:color w:val="auto"/>
        </w:rPr>
      </w:pPr>
    </w:p>
    <w:p>
      <w:pPr>
        <w:ind w:right="40" w:firstLine="623"/>
        <w:spacing w:after="0" w:line="263" w:lineRule="auto"/>
        <w:rPr>
          <w:sz w:val="20"/>
          <w:szCs w:val="20"/>
          <w:color w:val="auto"/>
        </w:rPr>
      </w:pPr>
      <w:r>
        <w:rPr>
          <w:rFonts w:ascii="Arial" w:cs="Arial" w:eastAsia="Arial" w:hAnsi="Arial"/>
          <w:sz w:val="16"/>
          <w:szCs w:val="16"/>
          <w:color w:val="auto"/>
        </w:rPr>
        <w:t>Net premiums earned increased in the three months ended June 30, 2023 by 1%, compared to the three months ended June 30, 2022 primarily due to the increase in our average IIF from $210.9 billion at June 30, 2022 to $233.5 billion at June 30, 2023, partially offset by a decrease in the net average premium rate. Net premiums earned decreased in the six months ended June 30, 2023 by 1% compared to the six months ended June 30, 2022 due to a decrease in the average net premium rate partially offset by the increase in our average IIF from $209.0 billion at June 30, 2022 to $231.1 billion at June 30, 2023. The average net premium rate was 0.33% and 0.38% for the three months ended June 30, 2023 and 2022, respectively, and 0.34% and 0.38% in the six months ended June 30, 2023 and 2022, respectively. See "—Key Performance Indicators—Average Net Premium Rate" above. In the three and six months ended June 30, 2023, ceded premiums increased to $39.5 million and $73.1 million, respectively, from $22.3 million and $42.8 million in the three and six months ended June 30, 2022, respectively, due to additional net ceded premium of approximately $8 million to retire approximately 90% of the outstanding notes for two of our seasoned ILN transactions in the three and six months ended June 30, 2023, reduced profit commission under our QSR Agreement as a result of higher ceded losses, new third-party reinsurance agreements entered in 2023 and a full three and six months of premiums ceded under third-party reinsurance agreements entered in 2022. In the three and six months ended June 30, 2023, premiums earned on the cancellation of non-refundable single premium policies decreased to $1.7 million and $3.5 million, respectively, from $5.3 million and $14.4 million in the three and six months ended June 30, 2022, respectively, as a result of a decrease in existing borrowers refinancing their mortgages during 2023 as compared to 2022.</w:t>
      </w:r>
    </w:p>
    <w:p>
      <w:pPr>
        <w:spacing w:after="0" w:line="170" w:lineRule="exact"/>
        <w:rPr>
          <w:sz w:val="20"/>
          <w:szCs w:val="20"/>
          <w:color w:val="auto"/>
        </w:rPr>
      </w:pPr>
    </w:p>
    <w:p>
      <w:pPr>
        <w:jc w:val="both"/>
        <w:ind w:right="140" w:firstLine="623"/>
        <w:spacing w:after="0" w:line="270" w:lineRule="auto"/>
        <w:rPr>
          <w:sz w:val="20"/>
          <w:szCs w:val="20"/>
          <w:color w:val="auto"/>
        </w:rPr>
      </w:pPr>
      <w:r>
        <w:rPr>
          <w:rFonts w:ascii="Arial" w:cs="Arial" w:eastAsia="Arial" w:hAnsi="Arial"/>
          <w:sz w:val="17"/>
          <w:szCs w:val="17"/>
          <w:color w:val="auto"/>
        </w:rPr>
        <w:t>Net premiums written were essentially unchanged in the three months ended June 30, 2023 and increased by 1% in the six months ended June 30, 2023 compared to the three and six months ended June 30, 2022 primarily due to an increase in average IIF in the respective periods, partially offset by an increase in premiums ceded under third-party reinsurance</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68580</wp:posOffset>
            </wp:positionV>
            <wp:extent cx="7162800" cy="419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7" w:name="page38"/>
    <w:bookmarkEnd w:id="37"/>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Arial" w:cs="Arial" w:eastAsia="Arial" w:hAnsi="Arial"/>
          <w:sz w:val="17"/>
          <w:szCs w:val="17"/>
          <w:color w:val="auto"/>
        </w:rPr>
        <w:t>agreements, a decrease in new single premium policies written, changes in the mix of mortgages we insure and changes in our pricing.</w:t>
      </w:r>
    </w:p>
    <w:p>
      <w:pPr>
        <w:spacing w:after="0" w:line="246" w:lineRule="exact"/>
        <w:rPr>
          <w:sz w:val="20"/>
          <w:szCs w:val="20"/>
          <w:color w:val="auto"/>
        </w:rPr>
      </w:pPr>
    </w:p>
    <w:p>
      <w:pPr>
        <w:ind w:firstLine="623"/>
        <w:spacing w:after="0" w:line="261" w:lineRule="auto"/>
        <w:rPr>
          <w:sz w:val="20"/>
          <w:szCs w:val="20"/>
          <w:color w:val="auto"/>
        </w:rPr>
      </w:pPr>
      <w:r>
        <w:rPr>
          <w:rFonts w:ascii="Arial" w:cs="Arial" w:eastAsia="Arial" w:hAnsi="Arial"/>
          <w:sz w:val="17"/>
          <w:szCs w:val="17"/>
          <w:color w:val="auto"/>
        </w:rPr>
        <w:t>In the three months ended June 30, 2023 and 2022, unearned premiums decreased by $3.6 million and $1.7 million, respectively. The change in unearned premiums was a result of net premiums written on single premium policies of $7.4 million and $14.4 million, respectively, which was offset by $11.0 million and $16.1 million, respectively, of unearned premium that was recognized in earnings during the periods. In the six months ended June 30, 2023 and 2022, unearned premiums decreased by $9.0 million and $17.3 million, respectively. This was a result of net premiums written on single premium policies of $14.3 million and $18.5 million, respectively, which was offset by $23.3 million and $35.8 million, respectively, of unearned premium that was recognized in earnings during the periods.</w:t>
      </w:r>
    </w:p>
    <w:p>
      <w:pPr>
        <w:spacing w:after="0" w:line="204" w:lineRule="exact"/>
        <w:rPr>
          <w:sz w:val="20"/>
          <w:szCs w:val="20"/>
          <w:color w:val="auto"/>
        </w:rPr>
      </w:pPr>
    </w:p>
    <w:p>
      <w:pPr>
        <w:ind w:left="620"/>
        <w:spacing w:after="0"/>
        <w:rPr>
          <w:sz w:val="20"/>
          <w:szCs w:val="20"/>
          <w:color w:val="auto"/>
        </w:rPr>
      </w:pPr>
      <w:r>
        <w:rPr>
          <w:rFonts w:ascii="Arial" w:cs="Arial" w:eastAsia="Arial" w:hAnsi="Arial"/>
          <w:sz w:val="17"/>
          <w:szCs w:val="17"/>
          <w:b w:val="1"/>
          <w:bCs w:val="1"/>
          <w:i w:val="1"/>
          <w:iCs w:val="1"/>
          <w:color w:val="auto"/>
        </w:rPr>
        <w:t>Net Investment Income</w:t>
      </w:r>
    </w:p>
    <w:p>
      <w:pPr>
        <w:spacing w:after="0" w:line="220" w:lineRule="exact"/>
        <w:rPr>
          <w:sz w:val="20"/>
          <w:szCs w:val="20"/>
          <w:color w:val="auto"/>
        </w:rPr>
      </w:pPr>
    </w:p>
    <w:p>
      <w:pPr>
        <w:ind w:left="620"/>
        <w:spacing w:after="0"/>
        <w:rPr>
          <w:sz w:val="20"/>
          <w:szCs w:val="20"/>
          <w:color w:val="auto"/>
        </w:rPr>
      </w:pPr>
      <w:r>
        <w:rPr>
          <w:rFonts w:ascii="Arial" w:cs="Arial" w:eastAsia="Arial" w:hAnsi="Arial"/>
          <w:sz w:val="17"/>
          <w:szCs w:val="17"/>
          <w:color w:val="auto"/>
        </w:rPr>
        <w:t>Our net investment income was derived from the following sources for the periods indicated:</w:t>
      </w: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2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June 30,</w:t>
            </w:r>
          </w:p>
        </w:tc>
        <w:tc>
          <w:tcPr>
            <w:tcW w:w="5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620" w:type="dxa"/>
            <w:vAlign w:val="bottom"/>
            <w:tcBorders>
              <w:bottom w:val="single" w:sz="8" w:color="auto"/>
            </w:tcBorders>
            <w:gridSpan w:val="4"/>
          </w:tcPr>
          <w:p>
            <w:pPr>
              <w:jc w:val="right"/>
              <w:ind w:right="576"/>
              <w:spacing w:after="0"/>
              <w:rPr>
                <w:sz w:val="20"/>
                <w:szCs w:val="20"/>
                <w:color w:val="auto"/>
              </w:rPr>
            </w:pPr>
            <w:r>
              <w:rPr>
                <w:rFonts w:ascii="Arial" w:cs="Arial" w:eastAsia="Arial" w:hAnsi="Arial"/>
                <w:sz w:val="14"/>
                <w:szCs w:val="14"/>
                <w:b w:val="1"/>
                <w:bCs w:val="1"/>
                <w:color w:val="auto"/>
              </w:rPr>
              <w:t>Six Months Ended June 30,</w:t>
            </w:r>
          </w:p>
        </w:tc>
      </w:tr>
      <w:tr>
        <w:trPr>
          <w:trHeight w:val="188"/>
        </w:trPr>
        <w:tc>
          <w:tcPr>
            <w:tcW w:w="51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100" w:type="dxa"/>
            <w:vAlign w:val="bottom"/>
            <w:tcBorders>
              <w:bottom w:val="single" w:sz="8" w:color="CCEEFF"/>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56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54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8"/>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96"/>
              <w:spacing w:after="0"/>
              <w:rPr>
                <w:sz w:val="20"/>
                <w:szCs w:val="20"/>
                <w:color w:val="auto"/>
              </w:rPr>
            </w:pPr>
            <w:r>
              <w:rPr>
                <w:rFonts w:ascii="Arial" w:cs="Arial" w:eastAsia="Arial" w:hAnsi="Arial"/>
                <w:sz w:val="14"/>
                <w:szCs w:val="14"/>
                <w:b w:val="1"/>
                <w:bCs w:val="1"/>
                <w:color w:val="auto"/>
              </w:rPr>
              <w:t>2022</w:t>
            </w:r>
          </w:p>
        </w:tc>
      </w:tr>
      <w:tr>
        <w:trPr>
          <w:trHeight w:val="221"/>
        </w:trPr>
        <w:tc>
          <w:tcPr>
            <w:tcW w:w="520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Fixed maturities</w:t>
            </w:r>
          </w:p>
        </w:tc>
        <w:tc>
          <w:tcPr>
            <w:tcW w:w="880" w:type="dxa"/>
            <w:vAlign w:val="bottom"/>
            <w:shd w:val="clear" w:color="auto" w:fill="CCEEFF"/>
          </w:tcPr>
          <w:p>
            <w:pPr>
              <w:jc w:val="right"/>
              <w:ind w:right="682"/>
              <w:spacing w:after="0"/>
              <w:rPr>
                <w:sz w:val="20"/>
                <w:szCs w:val="20"/>
                <w:color w:val="auto"/>
              </w:rPr>
            </w:pPr>
            <w:r>
              <w:rPr>
                <w:rFonts w:ascii="Arial" w:cs="Arial" w:eastAsia="Arial" w:hAnsi="Arial"/>
                <w:sz w:val="17"/>
                <w:szCs w:val="17"/>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8"/>
              </w:rPr>
              <w:t>43,775</w:t>
            </w:r>
          </w:p>
        </w:tc>
        <w:tc>
          <w:tcPr>
            <w:tcW w:w="980" w:type="dxa"/>
            <w:vAlign w:val="bottom"/>
            <w:gridSpan w:val="2"/>
            <w:shd w:val="clear" w:color="auto" w:fill="CCEEFF"/>
          </w:tcPr>
          <w:p>
            <w:pPr>
              <w:jc w:val="right"/>
              <w:ind w:right="691"/>
              <w:spacing w:after="0"/>
              <w:rPr>
                <w:sz w:val="20"/>
                <w:szCs w:val="20"/>
                <w:color w:val="auto"/>
              </w:rPr>
            </w:pPr>
            <w:r>
              <w:rPr>
                <w:rFonts w:ascii="Arial" w:cs="Arial" w:eastAsia="Arial" w:hAnsi="Arial"/>
                <w:sz w:val="17"/>
                <w:szCs w:val="17"/>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8"/>
              </w:rPr>
              <w:t>31,074</w:t>
            </w:r>
          </w:p>
        </w:tc>
        <w:tc>
          <w:tcPr>
            <w:tcW w:w="46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87,251</w:t>
            </w:r>
          </w:p>
        </w:tc>
        <w:tc>
          <w:tcPr>
            <w:tcW w:w="44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57,298</w:t>
            </w:r>
          </w:p>
        </w:tc>
      </w:tr>
      <w:tr>
        <w:trPr>
          <w:trHeight w:val="227"/>
        </w:trPr>
        <w:tc>
          <w:tcPr>
            <w:tcW w:w="5200" w:type="dxa"/>
            <w:vAlign w:val="bottom"/>
            <w:tcBorders>
              <w:bottom w:val="single" w:sz="8" w:color="CCEEFF"/>
            </w:tcBorders>
            <w:gridSpan w:val="2"/>
          </w:tcPr>
          <w:p>
            <w:pPr>
              <w:ind w:left="20"/>
              <w:spacing w:after="0"/>
              <w:rPr>
                <w:sz w:val="20"/>
                <w:szCs w:val="20"/>
                <w:color w:val="auto"/>
              </w:rPr>
            </w:pPr>
            <w:r>
              <w:rPr>
                <w:rFonts w:ascii="Arial" w:cs="Arial" w:eastAsia="Arial" w:hAnsi="Arial"/>
                <w:sz w:val="17"/>
                <w:szCs w:val="17"/>
                <w:color w:val="auto"/>
              </w:rPr>
              <w:t>Short-term investments</w:t>
            </w:r>
          </w:p>
        </w:tc>
        <w:tc>
          <w:tcPr>
            <w:tcW w:w="8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3,298</w:t>
            </w:r>
          </w:p>
        </w:tc>
        <w:tc>
          <w:tcPr>
            <w:tcW w:w="120" w:type="dxa"/>
            <w:vAlign w:val="bottom"/>
            <w:tcBorders>
              <w:bottom w:val="single" w:sz="8" w:color="CCEEFF"/>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215</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5,017</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258</w:t>
            </w:r>
          </w:p>
        </w:tc>
      </w:tr>
      <w:tr>
        <w:trPr>
          <w:trHeight w:val="220"/>
        </w:trPr>
        <w:tc>
          <w:tcPr>
            <w:tcW w:w="520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Gross investment income</w:t>
            </w:r>
          </w:p>
        </w:tc>
        <w:tc>
          <w:tcPr>
            <w:tcW w:w="88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8"/>
              </w:rPr>
              <w:t>47,073</w:t>
            </w: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8"/>
              </w:rPr>
              <w:t>31,289</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92,268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57,556</w:t>
            </w:r>
          </w:p>
        </w:tc>
      </w:tr>
      <w:tr>
        <w:trPr>
          <w:trHeight w:val="221"/>
        </w:trPr>
        <w:tc>
          <w:tcPr>
            <w:tcW w:w="5200" w:type="dxa"/>
            <w:vAlign w:val="bottom"/>
            <w:gridSpan w:val="2"/>
          </w:tcPr>
          <w:p>
            <w:pPr>
              <w:ind w:left="20"/>
              <w:spacing w:after="0"/>
              <w:rPr>
                <w:sz w:val="20"/>
                <w:szCs w:val="20"/>
                <w:color w:val="auto"/>
              </w:rPr>
            </w:pPr>
            <w:r>
              <w:rPr>
                <w:rFonts w:ascii="Arial" w:cs="Arial" w:eastAsia="Arial" w:hAnsi="Arial"/>
                <w:sz w:val="17"/>
                <w:szCs w:val="17"/>
                <w:color w:val="auto"/>
              </w:rPr>
              <w:t>Investment expenses</w:t>
            </w:r>
          </w:p>
        </w:tc>
        <w:tc>
          <w:tcPr>
            <w:tcW w:w="8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96"/>
              </w:rPr>
              <w:t>(1,823)</w:t>
            </w:r>
          </w:p>
        </w:tc>
        <w:tc>
          <w:tcPr>
            <w:tcW w:w="120" w:type="dxa"/>
            <w:vAlign w:val="bottom"/>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92"/>
              </w:rPr>
              <w:t>(1,950)</w:t>
            </w:r>
          </w:p>
        </w:tc>
        <w:tc>
          <w:tcPr>
            <w:tcW w:w="12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(3,782)</w:t>
            </w:r>
          </w:p>
        </w:tc>
        <w:tc>
          <w:tcPr>
            <w:tcW w:w="1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(3,537)</w:t>
            </w:r>
          </w:p>
        </w:tc>
      </w:tr>
      <w:tr>
        <w:trPr>
          <w:trHeight w:val="240"/>
        </w:trPr>
        <w:tc>
          <w:tcPr>
            <w:tcW w:w="520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Net investment income</w:t>
            </w:r>
          </w:p>
        </w:tc>
        <w:tc>
          <w:tcPr>
            <w:tcW w:w="880" w:type="dxa"/>
            <w:vAlign w:val="bottom"/>
            <w:shd w:val="clear" w:color="auto" w:fill="CCEEFF"/>
          </w:tcPr>
          <w:p>
            <w:pPr>
              <w:jc w:val="right"/>
              <w:ind w:right="682"/>
              <w:spacing w:after="0"/>
              <w:rPr>
                <w:sz w:val="20"/>
                <w:szCs w:val="20"/>
                <w:color w:val="auto"/>
              </w:rPr>
            </w:pPr>
            <w:r>
              <w:rPr>
                <w:rFonts w:ascii="Arial" w:cs="Arial" w:eastAsia="Arial" w:hAnsi="Arial"/>
                <w:sz w:val="17"/>
                <w:szCs w:val="17"/>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8"/>
              </w:rPr>
              <w:t>45,250</w:t>
            </w:r>
          </w:p>
        </w:tc>
        <w:tc>
          <w:tcPr>
            <w:tcW w:w="980" w:type="dxa"/>
            <w:vAlign w:val="bottom"/>
            <w:gridSpan w:val="2"/>
            <w:shd w:val="clear" w:color="auto" w:fill="CCEEFF"/>
          </w:tcPr>
          <w:p>
            <w:pPr>
              <w:jc w:val="right"/>
              <w:ind w:right="691"/>
              <w:spacing w:after="0"/>
              <w:rPr>
                <w:sz w:val="20"/>
                <w:szCs w:val="20"/>
                <w:color w:val="auto"/>
              </w:rPr>
            </w:pPr>
            <w:r>
              <w:rPr>
                <w:rFonts w:ascii="Arial" w:cs="Arial" w:eastAsia="Arial" w:hAnsi="Arial"/>
                <w:sz w:val="17"/>
                <w:szCs w:val="17"/>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8"/>
              </w:rPr>
              <w:t>29,339</w:t>
            </w:r>
          </w:p>
        </w:tc>
        <w:tc>
          <w:tcPr>
            <w:tcW w:w="46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88,486</w:t>
            </w:r>
          </w:p>
        </w:tc>
        <w:tc>
          <w:tcPr>
            <w:tcW w:w="44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54,019</w:t>
            </w:r>
          </w:p>
        </w:tc>
      </w:tr>
      <w:tr>
        <w:trPr>
          <w:trHeight w:val="20"/>
        </w:trPr>
        <w:tc>
          <w:tcPr>
            <w:tcW w:w="5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r>
    </w:tbl>
    <w:p>
      <w:pPr>
        <w:spacing w:after="0" w:line="273" w:lineRule="exact"/>
        <w:rPr>
          <w:sz w:val="20"/>
          <w:szCs w:val="20"/>
          <w:color w:val="auto"/>
        </w:rPr>
      </w:pPr>
    </w:p>
    <w:p>
      <w:pPr>
        <w:ind w:right="40" w:firstLine="623"/>
        <w:spacing w:after="0" w:line="300" w:lineRule="auto"/>
        <w:rPr>
          <w:sz w:val="20"/>
          <w:szCs w:val="20"/>
          <w:color w:val="auto"/>
        </w:rPr>
      </w:pPr>
      <w:r>
        <w:rPr>
          <w:rFonts w:ascii="Arial" w:cs="Arial" w:eastAsia="Arial" w:hAnsi="Arial"/>
          <w:sz w:val="15"/>
          <w:szCs w:val="15"/>
          <w:color w:val="auto"/>
        </w:rPr>
        <w:t>The changes in net investment income for the three and six months ended June 30, 2023 as compared to the same periods in 2022 was due to an increase in the pre-tax investment income yield as well as the increase in the weighted average balance of our investment portfolio. The pre-tax investment income yield increased from 2.5% and 2.3% in the three and six months ended June 30, 2022 to 3.5% and 3.4% in the three and six months ended June 30, 2023, respectively, primarily due to a general increase in investment yields due to rising interest rates. The pre-tax investment income yields are calculated based on amortized cost and exclude investment expenses.The average cash and investment portfolio balance increased to $5.4 billion for each of the three and six months ended June 30, 2023, respectively, from $5.0 billion for each of the three and six months ended June 30, 2022. The increase in the average cash and investment portfolio was primarily due to investing cash flows from operations. See “— Liquidity and Capital Resources” for further details of our investment portfolio.</w:t>
      </w:r>
    </w:p>
    <w:p>
      <w:pPr>
        <w:spacing w:after="0" w:line="178" w:lineRule="exact"/>
        <w:rPr>
          <w:sz w:val="20"/>
          <w:szCs w:val="20"/>
          <w:color w:val="auto"/>
        </w:rPr>
      </w:pPr>
    </w:p>
    <w:p>
      <w:pPr>
        <w:ind w:left="620"/>
        <w:spacing w:after="0"/>
        <w:rPr>
          <w:sz w:val="20"/>
          <w:szCs w:val="20"/>
          <w:color w:val="auto"/>
        </w:rPr>
      </w:pPr>
      <w:r>
        <w:rPr>
          <w:rFonts w:ascii="Arial" w:cs="Arial" w:eastAsia="Arial" w:hAnsi="Arial"/>
          <w:sz w:val="17"/>
          <w:szCs w:val="17"/>
          <w:b w:val="1"/>
          <w:bCs w:val="1"/>
          <w:i w:val="1"/>
          <w:iCs w:val="1"/>
          <w:color w:val="auto"/>
        </w:rPr>
        <w:t>Income from Other Invested Assets</w:t>
      </w:r>
    </w:p>
    <w:p>
      <w:pPr>
        <w:spacing w:after="0" w:line="246" w:lineRule="exact"/>
        <w:rPr>
          <w:sz w:val="20"/>
          <w:szCs w:val="20"/>
          <w:color w:val="auto"/>
        </w:rPr>
      </w:pPr>
    </w:p>
    <w:p>
      <w:pPr>
        <w:jc w:val="both"/>
        <w:ind w:right="100" w:firstLine="623"/>
        <w:spacing w:after="0" w:line="265" w:lineRule="auto"/>
        <w:rPr>
          <w:sz w:val="20"/>
          <w:szCs w:val="20"/>
          <w:color w:val="auto"/>
        </w:rPr>
      </w:pPr>
      <w:r>
        <w:rPr>
          <w:rFonts w:ascii="Arial" w:cs="Arial" w:eastAsia="Arial" w:hAnsi="Arial"/>
          <w:sz w:val="17"/>
          <w:szCs w:val="17"/>
          <w:color w:val="auto"/>
        </w:rPr>
        <w:t>Income from other invested assets for the three months ended June 30, 2023 was a loss of $4.9 million as compared to a gain of 2.0 million for the three months ended June 30, 2022. Income from other invested assets for the six months ended June 30, 2023 was a loss of $7.6 million as compared to a gain of 26.7 million for the three months ended June 30, 2022. The decrease in income from other invested assets was primarily due to lower fair value adjustments recorded during the three and six months ended June 30, 2023 as compared to the same periods in 2022.</w:t>
      </w:r>
    </w:p>
    <w:p>
      <w:pPr>
        <w:spacing w:after="0" w:line="200" w:lineRule="exact"/>
        <w:rPr>
          <w:sz w:val="20"/>
          <w:szCs w:val="20"/>
          <w:color w:val="auto"/>
        </w:rPr>
      </w:pPr>
    </w:p>
    <w:p>
      <w:pPr>
        <w:spacing w:after="0" w:line="235" w:lineRule="exact"/>
        <w:rPr>
          <w:sz w:val="20"/>
          <w:szCs w:val="20"/>
          <w:color w:val="auto"/>
        </w:rPr>
      </w:pPr>
    </w:p>
    <w:p>
      <w:pPr>
        <w:ind w:left="620"/>
        <w:spacing w:after="0"/>
        <w:rPr>
          <w:sz w:val="20"/>
          <w:szCs w:val="20"/>
          <w:color w:val="auto"/>
        </w:rPr>
      </w:pPr>
      <w:r>
        <w:rPr>
          <w:rFonts w:ascii="Arial" w:cs="Arial" w:eastAsia="Arial" w:hAnsi="Arial"/>
          <w:sz w:val="17"/>
          <w:szCs w:val="17"/>
          <w:b w:val="1"/>
          <w:bCs w:val="1"/>
          <w:i w:val="1"/>
          <w:iCs w:val="1"/>
          <w:color w:val="auto"/>
        </w:rPr>
        <w:t>Other Income</w:t>
      </w:r>
    </w:p>
    <w:p>
      <w:pPr>
        <w:spacing w:after="0" w:line="220" w:lineRule="exact"/>
        <w:rPr>
          <w:sz w:val="20"/>
          <w:szCs w:val="20"/>
          <w:color w:val="auto"/>
        </w:rPr>
      </w:pPr>
    </w:p>
    <w:p>
      <w:pPr>
        <w:ind w:right="200" w:firstLine="623"/>
        <w:spacing w:after="0" w:line="288" w:lineRule="auto"/>
        <w:rPr>
          <w:sz w:val="20"/>
          <w:szCs w:val="20"/>
          <w:color w:val="auto"/>
        </w:rPr>
      </w:pPr>
      <w:r>
        <w:rPr>
          <w:rFonts w:ascii="Arial" w:cs="Arial" w:eastAsia="Arial" w:hAnsi="Arial"/>
          <w:sz w:val="15"/>
          <w:szCs w:val="15"/>
          <w:color w:val="auto"/>
        </w:rPr>
        <w:t>Other income for the three months ended June 30, 2023 was $8.1 million as compared to $1.6 million for the three months ended June 30, 2022. Other income for the six months ended June 30, 2023 was $13.0 million compared to $8.8 million for the six months ended June 30, 2022. The increases in other income for the three and six months ended June 30, 2023 as compared to the same periods in 2022 were primarily due to changes in the fair value of the embedded derivatives contained in certain of our reinsurance agreements. In the three months ended June 30, 2023, we recorded a favorable increase in the fair value of these embedded derivatives of $2.7 million compared to an unfavorable decrease in the fair value of the embedded derivatives of $5.5 million in the three months ended June 30, 2022. In the six months ended June 30, 2023, we recorded a favorable increase in the fair value of these embedded derivatives of $2.4 million compared to an unfavorable decrease in the fair value of the embedded derivatives of $1.2 million in the six months ended June 30, 2022. Other income also includes Triad service fee income, contract underwriting revenues and underwriting consulting services to third-party reinsurers.</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68580</wp:posOffset>
            </wp:positionV>
            <wp:extent cx="7162800" cy="419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8" w:name="page39"/>
    <w:bookmarkEnd w:id="38"/>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344" w:lineRule="exact"/>
        <w:rPr>
          <w:sz w:val="20"/>
          <w:szCs w:val="20"/>
          <w:color w:val="auto"/>
        </w:rPr>
      </w:pPr>
    </w:p>
    <w:p>
      <w:pPr>
        <w:ind w:left="620"/>
        <w:spacing w:after="0"/>
        <w:rPr>
          <w:sz w:val="20"/>
          <w:szCs w:val="20"/>
          <w:color w:val="auto"/>
        </w:rPr>
      </w:pPr>
      <w:r>
        <w:rPr>
          <w:rFonts w:ascii="Arial" w:cs="Arial" w:eastAsia="Arial" w:hAnsi="Arial"/>
          <w:sz w:val="17"/>
          <w:szCs w:val="17"/>
          <w:b w:val="1"/>
          <w:bCs w:val="1"/>
          <w:i w:val="1"/>
          <w:iCs w:val="1"/>
          <w:color w:val="auto"/>
        </w:rPr>
        <w:t>Provision for Losses and Loss Adjustment Expenses</w:t>
      </w:r>
    </w:p>
    <w:p>
      <w:pPr>
        <w:spacing w:after="0" w:line="220" w:lineRule="exact"/>
        <w:rPr>
          <w:sz w:val="20"/>
          <w:szCs w:val="20"/>
          <w:color w:val="auto"/>
        </w:rPr>
      </w:pPr>
    </w:p>
    <w:p>
      <w:pPr>
        <w:ind w:right="20" w:firstLine="623"/>
        <w:spacing w:after="0" w:line="261" w:lineRule="auto"/>
        <w:rPr>
          <w:sz w:val="20"/>
          <w:szCs w:val="20"/>
          <w:color w:val="auto"/>
        </w:rPr>
      </w:pPr>
      <w:r>
        <w:rPr>
          <w:rFonts w:ascii="Arial" w:cs="Arial" w:eastAsia="Arial" w:hAnsi="Arial"/>
          <w:sz w:val="17"/>
          <w:szCs w:val="17"/>
          <w:color w:val="auto"/>
        </w:rPr>
        <w:t>The increase in the provision for losses and LAE in the three and six months ended June 30, 2023 as compared to the same periods in 2022 was primarily due to a decrease in the estimate of ultimate loss for Early COVID Defaults during the three and six months ended June 30, 2022 which resulted in a benefit recorded to the provision for losses of $62.9 million and $164.1 million for the three and six months ended June 30, 2022 as well as cure activity for defaults with reserves using our normal reserve methodology. In the three and six months ended June 30, 2023 we recorded a provision for losses of $1.3 million and $1.1 million, respectively, primarily due to a provision for losses recorded for current year defaults largely offset by cure activity for defaults reported in prior years.</w:t>
      </w:r>
    </w:p>
    <w:p>
      <w:pPr>
        <w:spacing w:after="0" w:line="204" w:lineRule="exact"/>
        <w:rPr>
          <w:sz w:val="20"/>
          <w:szCs w:val="20"/>
          <w:color w:val="auto"/>
        </w:rPr>
      </w:pPr>
    </w:p>
    <w:p>
      <w:pPr>
        <w:ind w:left="620"/>
        <w:spacing w:after="0"/>
        <w:rPr>
          <w:sz w:val="20"/>
          <w:szCs w:val="20"/>
          <w:color w:val="auto"/>
        </w:rPr>
      </w:pPr>
      <w:r>
        <w:rPr>
          <w:rFonts w:ascii="Arial" w:cs="Arial" w:eastAsia="Arial" w:hAnsi="Arial"/>
          <w:sz w:val="17"/>
          <w:szCs w:val="17"/>
          <w:color w:val="auto"/>
        </w:rPr>
        <w:t>The following table presents a rollforward of insured loans in default for our U.S. mortgage insurance portfolio for the periods indicated:</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220" w:type="dxa"/>
            <w:vAlign w:val="bottom"/>
          </w:tcPr>
          <w:p>
            <w:pPr>
              <w:spacing w:after="0"/>
              <w:rPr>
                <w:sz w:val="16"/>
                <w:szCs w:val="16"/>
                <w:color w:val="auto"/>
              </w:rPr>
            </w:pPr>
          </w:p>
        </w:tc>
        <w:tc>
          <w:tcPr>
            <w:tcW w:w="2400" w:type="dxa"/>
            <w:vAlign w:val="bottom"/>
            <w:tcBorders>
              <w:bottom w:val="single" w:sz="8" w:color="auto"/>
            </w:tcBorders>
            <w:gridSpan w:val="4"/>
          </w:tcPr>
          <w:p>
            <w:pPr>
              <w:ind w:left="580"/>
              <w:spacing w:after="0"/>
              <w:rPr>
                <w:sz w:val="20"/>
                <w:szCs w:val="20"/>
                <w:color w:val="auto"/>
              </w:rPr>
            </w:pPr>
            <w:r>
              <w:rPr>
                <w:rFonts w:ascii="Arial" w:cs="Arial" w:eastAsia="Arial" w:hAnsi="Arial"/>
                <w:sz w:val="14"/>
                <w:szCs w:val="14"/>
                <w:b w:val="1"/>
                <w:bCs w:val="1"/>
                <w:color w:val="auto"/>
                <w:w w:val="90"/>
              </w:rPr>
              <w:t>Three Months Ended June 30,</w:t>
            </w:r>
          </w:p>
        </w:tc>
        <w:tc>
          <w:tcPr>
            <w:tcW w:w="5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960" w:type="dxa"/>
            <w:vAlign w:val="bottom"/>
            <w:tcBorders>
              <w:bottom w:val="single" w:sz="8" w:color="auto"/>
            </w:tcBorders>
            <w:gridSpan w:val="3"/>
          </w:tcPr>
          <w:p>
            <w:pPr>
              <w:jc w:val="right"/>
              <w:ind w:right="582"/>
              <w:spacing w:after="0"/>
              <w:rPr>
                <w:sz w:val="20"/>
                <w:szCs w:val="20"/>
                <w:color w:val="auto"/>
              </w:rPr>
            </w:pPr>
            <w:r>
              <w:rPr>
                <w:rFonts w:ascii="Arial" w:cs="Arial" w:eastAsia="Arial" w:hAnsi="Arial"/>
                <w:sz w:val="14"/>
                <w:szCs w:val="14"/>
                <w:b w:val="1"/>
                <w:bCs w:val="1"/>
                <w:color w:val="auto"/>
              </w:rPr>
              <w:t>Six Months Ended June 30,</w:t>
            </w:r>
          </w:p>
        </w:tc>
      </w:tr>
      <w:tr>
        <w:trPr>
          <w:trHeight w:val="187"/>
        </w:trPr>
        <w:tc>
          <w:tcPr>
            <w:tcW w:w="5220" w:type="dxa"/>
            <w:vAlign w:val="bottom"/>
            <w:tcBorders>
              <w:bottom w:val="single" w:sz="8" w:color="CCEEFF"/>
            </w:tcBorders>
          </w:tcPr>
          <w:p>
            <w:pPr>
              <w:spacing w:after="0"/>
              <w:rPr>
                <w:sz w:val="16"/>
                <w:szCs w:val="16"/>
                <w:color w:val="auto"/>
              </w:rPr>
            </w:pPr>
          </w:p>
        </w:tc>
        <w:tc>
          <w:tcPr>
            <w:tcW w:w="860" w:type="dxa"/>
            <w:vAlign w:val="bottom"/>
            <w:tcBorders>
              <w:bottom w:val="single" w:sz="8" w:color="auto"/>
            </w:tcBorders>
          </w:tcPr>
          <w:p>
            <w:pPr>
              <w:ind w:left="560"/>
              <w:spacing w:after="0"/>
              <w:rPr>
                <w:sz w:val="20"/>
                <w:szCs w:val="20"/>
                <w:color w:val="auto"/>
              </w:rPr>
            </w:pPr>
            <w:r>
              <w:rPr>
                <w:rFonts w:ascii="Arial" w:cs="Arial" w:eastAsia="Arial" w:hAnsi="Arial"/>
                <w:sz w:val="14"/>
                <w:szCs w:val="14"/>
                <w:b w:val="1"/>
                <w:bCs w:val="1"/>
                <w:color w:val="auto"/>
                <w:w w:val="89"/>
              </w:rPr>
              <w:t>2023</w:t>
            </w:r>
          </w:p>
        </w:tc>
        <w:tc>
          <w:tcPr>
            <w:tcW w:w="56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54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440" w:type="dxa"/>
            <w:vAlign w:val="bottom"/>
            <w:tcBorders>
              <w:bottom w:val="single" w:sz="8" w:color="auto"/>
            </w:tcBorders>
          </w:tcPr>
          <w:p>
            <w:pPr>
              <w:jc w:val="right"/>
              <w:ind w:right="505"/>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1420" w:type="dxa"/>
            <w:vAlign w:val="bottom"/>
            <w:tcBorders>
              <w:bottom w:val="single" w:sz="8" w:color="auto"/>
            </w:tcBorders>
          </w:tcPr>
          <w:p>
            <w:pPr>
              <w:jc w:val="right"/>
              <w:ind w:right="502"/>
              <w:spacing w:after="0"/>
              <w:rPr>
                <w:sz w:val="20"/>
                <w:szCs w:val="20"/>
                <w:color w:val="auto"/>
              </w:rPr>
            </w:pPr>
            <w:r>
              <w:rPr>
                <w:rFonts w:ascii="Arial" w:cs="Arial" w:eastAsia="Arial" w:hAnsi="Arial"/>
                <w:sz w:val="14"/>
                <w:szCs w:val="14"/>
                <w:b w:val="1"/>
                <w:bCs w:val="1"/>
                <w:color w:val="auto"/>
              </w:rPr>
              <w:t>2022</w:t>
            </w:r>
          </w:p>
        </w:tc>
      </w:tr>
      <w:tr>
        <w:trPr>
          <w:trHeight w:val="221"/>
        </w:trPr>
        <w:tc>
          <w:tcPr>
            <w:tcW w:w="5220" w:type="dxa"/>
            <w:vAlign w:val="bottom"/>
            <w:shd w:val="clear" w:color="auto" w:fill="CCEEFF"/>
          </w:tcPr>
          <w:p>
            <w:pPr>
              <w:ind w:left="20"/>
              <w:spacing w:after="0"/>
              <w:rPr>
                <w:sz w:val="20"/>
                <w:szCs w:val="20"/>
                <w:color w:val="auto"/>
              </w:rPr>
            </w:pPr>
            <w:r>
              <w:rPr>
                <w:rFonts w:ascii="Arial" w:cs="Arial" w:eastAsia="Arial" w:hAnsi="Arial"/>
                <w:sz w:val="17"/>
                <w:szCs w:val="17"/>
                <w:color w:val="auto"/>
              </w:rPr>
              <w:t>Beginning default inventory</w:t>
            </w:r>
          </w:p>
        </w:tc>
        <w:tc>
          <w:tcPr>
            <w:tcW w:w="8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8"/>
              </w:rPr>
              <w:t>12,773</w:t>
            </w: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8"/>
              </w:rPr>
              <w:t>14,923</w:t>
            </w:r>
          </w:p>
        </w:tc>
        <w:tc>
          <w:tcPr>
            <w:tcW w:w="1560" w:type="dxa"/>
            <w:vAlign w:val="bottom"/>
            <w:gridSpan w:val="2"/>
            <w:shd w:val="clear" w:color="auto" w:fill="CCEEFF"/>
          </w:tcPr>
          <w:p>
            <w:pPr>
              <w:jc w:val="right"/>
              <w:ind w:right="5"/>
              <w:spacing w:after="0"/>
              <w:rPr>
                <w:sz w:val="20"/>
                <w:szCs w:val="20"/>
                <w:color w:val="auto"/>
              </w:rPr>
            </w:pPr>
            <w:r>
              <w:rPr>
                <w:rFonts w:ascii="Arial" w:cs="Arial" w:eastAsia="Arial" w:hAnsi="Arial"/>
                <w:sz w:val="17"/>
                <w:szCs w:val="17"/>
                <w:color w:val="auto"/>
              </w:rPr>
              <w:t>13,433</w:t>
            </w: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16,963</w:t>
            </w:r>
          </w:p>
        </w:tc>
      </w:tr>
      <w:tr>
        <w:trPr>
          <w:trHeight w:val="227"/>
        </w:trPr>
        <w:tc>
          <w:tcPr>
            <w:tcW w:w="6080" w:type="dxa"/>
            <w:vAlign w:val="bottom"/>
            <w:gridSpan w:val="2"/>
          </w:tcPr>
          <w:p>
            <w:pPr>
              <w:ind w:left="20"/>
              <w:spacing w:after="0"/>
              <w:rPr>
                <w:sz w:val="20"/>
                <w:szCs w:val="20"/>
                <w:color w:val="auto"/>
              </w:rPr>
            </w:pPr>
            <w:r>
              <w:rPr>
                <w:rFonts w:ascii="Arial" w:cs="Arial" w:eastAsia="Arial" w:hAnsi="Arial"/>
                <w:sz w:val="17"/>
                <w:szCs w:val="17"/>
                <w:color w:val="auto"/>
              </w:rPr>
              <w:t>Plus: new defaults</w:t>
            </w:r>
          </w:p>
        </w:tc>
        <w:tc>
          <w:tcPr>
            <w:tcW w:w="560" w:type="dxa"/>
            <w:vAlign w:val="bottom"/>
          </w:tcPr>
          <w:p>
            <w:pPr>
              <w:jc w:val="right"/>
              <w:spacing w:after="0"/>
              <w:rPr>
                <w:sz w:val="20"/>
                <w:szCs w:val="20"/>
                <w:color w:val="auto"/>
              </w:rPr>
            </w:pPr>
            <w:r>
              <w:rPr>
                <w:rFonts w:ascii="Arial" w:cs="Arial" w:eastAsia="Arial" w:hAnsi="Arial"/>
                <w:sz w:val="17"/>
                <w:szCs w:val="17"/>
                <w:color w:val="auto"/>
              </w:rPr>
              <w:t>6,575</w:t>
            </w: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rPr>
              <w:t>5,495</w:t>
            </w:r>
          </w:p>
        </w:tc>
        <w:tc>
          <w:tcPr>
            <w:tcW w:w="1560" w:type="dxa"/>
            <w:vAlign w:val="bottom"/>
            <w:gridSpan w:val="2"/>
          </w:tcPr>
          <w:p>
            <w:pPr>
              <w:jc w:val="right"/>
              <w:ind w:right="5"/>
              <w:spacing w:after="0"/>
              <w:rPr>
                <w:sz w:val="20"/>
                <w:szCs w:val="20"/>
                <w:color w:val="auto"/>
              </w:rPr>
            </w:pPr>
            <w:r>
              <w:rPr>
                <w:rFonts w:ascii="Arial" w:cs="Arial" w:eastAsia="Arial" w:hAnsi="Arial"/>
                <w:sz w:val="17"/>
                <w:szCs w:val="17"/>
                <w:color w:val="auto"/>
              </w:rPr>
              <w:t>13,590</w:t>
            </w:r>
          </w:p>
        </w:tc>
        <w:tc>
          <w:tcPr>
            <w:tcW w:w="1520" w:type="dxa"/>
            <w:vAlign w:val="bottom"/>
            <w:gridSpan w:val="2"/>
          </w:tcPr>
          <w:p>
            <w:pPr>
              <w:jc w:val="right"/>
              <w:spacing w:after="0"/>
              <w:rPr>
                <w:sz w:val="20"/>
                <w:szCs w:val="20"/>
                <w:color w:val="auto"/>
              </w:rPr>
            </w:pPr>
            <w:r>
              <w:rPr>
                <w:rFonts w:ascii="Arial" w:cs="Arial" w:eastAsia="Arial" w:hAnsi="Arial"/>
                <w:sz w:val="17"/>
                <w:szCs w:val="17"/>
                <w:color w:val="auto"/>
              </w:rPr>
              <w:t>11,683</w:t>
            </w:r>
          </w:p>
        </w:tc>
      </w:tr>
      <w:tr>
        <w:trPr>
          <w:trHeight w:val="227"/>
        </w:trPr>
        <w:tc>
          <w:tcPr>
            <w:tcW w:w="608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Less: cures</w:t>
            </w: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6"/>
              </w:rPr>
              <w:t>(6,761)</w:t>
            </w: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2"/>
              </w:rPr>
              <w:t>(7,639)</w:t>
            </w:r>
          </w:p>
        </w:tc>
        <w:tc>
          <w:tcPr>
            <w:tcW w:w="15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(14,335)</w:t>
            </w: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(15,806)</w:t>
            </w:r>
          </w:p>
        </w:tc>
      </w:tr>
      <w:tr>
        <w:trPr>
          <w:trHeight w:val="221"/>
        </w:trPr>
        <w:tc>
          <w:tcPr>
            <w:tcW w:w="6080" w:type="dxa"/>
            <w:vAlign w:val="bottom"/>
            <w:gridSpan w:val="2"/>
          </w:tcPr>
          <w:p>
            <w:pPr>
              <w:ind w:left="20"/>
              <w:spacing w:after="0"/>
              <w:rPr>
                <w:sz w:val="20"/>
                <w:szCs w:val="20"/>
                <w:color w:val="auto"/>
              </w:rPr>
            </w:pPr>
            <w:r>
              <w:rPr>
                <w:rFonts w:ascii="Arial" w:cs="Arial" w:eastAsia="Arial" w:hAnsi="Arial"/>
                <w:sz w:val="17"/>
                <w:szCs w:val="17"/>
                <w:color w:val="auto"/>
              </w:rPr>
              <w:t>Less: claims paid</w:t>
            </w:r>
          </w:p>
        </w:tc>
        <w:tc>
          <w:tcPr>
            <w:tcW w:w="560" w:type="dxa"/>
            <w:vAlign w:val="bottom"/>
          </w:tcPr>
          <w:p>
            <w:pPr>
              <w:jc w:val="right"/>
              <w:spacing w:after="0"/>
              <w:rPr>
                <w:sz w:val="20"/>
                <w:szCs w:val="20"/>
                <w:color w:val="auto"/>
              </w:rPr>
            </w:pPr>
            <w:r>
              <w:rPr>
                <w:rFonts w:ascii="Arial" w:cs="Arial" w:eastAsia="Arial" w:hAnsi="Arial"/>
                <w:sz w:val="17"/>
                <w:szCs w:val="17"/>
                <w:color w:val="auto"/>
              </w:rPr>
              <w:t>(96)</w:t>
            </w: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rPr>
              <w:t>(65)</w:t>
            </w:r>
          </w:p>
        </w:tc>
        <w:tc>
          <w:tcPr>
            <w:tcW w:w="1560" w:type="dxa"/>
            <w:vAlign w:val="bottom"/>
            <w:gridSpan w:val="2"/>
          </w:tcPr>
          <w:p>
            <w:pPr>
              <w:jc w:val="right"/>
              <w:spacing w:after="0"/>
              <w:rPr>
                <w:sz w:val="20"/>
                <w:szCs w:val="20"/>
                <w:color w:val="auto"/>
              </w:rPr>
            </w:pPr>
            <w:r>
              <w:rPr>
                <w:rFonts w:ascii="Arial" w:cs="Arial" w:eastAsia="Arial" w:hAnsi="Arial"/>
                <w:sz w:val="17"/>
                <w:szCs w:val="17"/>
                <w:color w:val="auto"/>
              </w:rPr>
              <w:t>(190)</w:t>
            </w:r>
          </w:p>
        </w:tc>
        <w:tc>
          <w:tcPr>
            <w:tcW w:w="1520" w:type="dxa"/>
            <w:vAlign w:val="bottom"/>
            <w:gridSpan w:val="2"/>
          </w:tcPr>
          <w:p>
            <w:pPr>
              <w:jc w:val="right"/>
              <w:spacing w:after="0"/>
              <w:rPr>
                <w:sz w:val="20"/>
                <w:szCs w:val="20"/>
                <w:color w:val="auto"/>
              </w:rPr>
            </w:pPr>
            <w:r>
              <w:rPr>
                <w:rFonts w:ascii="Arial" w:cs="Arial" w:eastAsia="Arial" w:hAnsi="Arial"/>
                <w:sz w:val="17"/>
                <w:szCs w:val="17"/>
                <w:color w:val="auto"/>
              </w:rPr>
              <w:t>(120)</w:t>
            </w:r>
          </w:p>
        </w:tc>
      </w:tr>
      <w:tr>
        <w:trPr>
          <w:trHeight w:val="234"/>
        </w:trPr>
        <w:tc>
          <w:tcPr>
            <w:tcW w:w="5220" w:type="dxa"/>
            <w:vAlign w:val="bottom"/>
            <w:shd w:val="clear" w:color="auto" w:fill="CCEEFF"/>
          </w:tcPr>
          <w:p>
            <w:pPr>
              <w:ind w:left="20"/>
              <w:spacing w:after="0"/>
              <w:rPr>
                <w:sz w:val="20"/>
                <w:szCs w:val="20"/>
                <w:color w:val="auto"/>
              </w:rPr>
            </w:pPr>
            <w:r>
              <w:rPr>
                <w:rFonts w:ascii="Arial" w:cs="Arial" w:eastAsia="Arial" w:hAnsi="Arial"/>
                <w:sz w:val="17"/>
                <w:szCs w:val="17"/>
                <w:color w:val="auto"/>
              </w:rPr>
              <w:t>Less: rescissions and denials, net</w:t>
            </w:r>
          </w:p>
        </w:tc>
        <w:tc>
          <w:tcPr>
            <w:tcW w:w="860" w:type="dxa"/>
            <w:vAlign w:val="bottom"/>
            <w:tcBorders>
              <w:bottom w:val="single" w:sz="8" w:color="auto"/>
            </w:tcBorders>
            <w:shd w:val="clear" w:color="auto" w:fill="CCEEFF"/>
          </w:tcPr>
          <w:p>
            <w:pPr>
              <w:spacing w:after="0"/>
              <w:rPr>
                <w:sz w:val="20"/>
                <w:szCs w:val="20"/>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w:t>
            </w:r>
          </w:p>
        </w:tc>
        <w:tc>
          <w:tcPr>
            <w:tcW w:w="120" w:type="dxa"/>
            <w:vAlign w:val="bottom"/>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spacing w:after="0"/>
              <w:rPr>
                <w:sz w:val="20"/>
                <w:szCs w:val="20"/>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w:t>
            </w:r>
          </w:p>
        </w:tc>
        <w:tc>
          <w:tcPr>
            <w:tcW w:w="120" w:type="dxa"/>
            <w:vAlign w:val="bottom"/>
            <w:shd w:val="clear" w:color="auto" w:fill="CCEEFF"/>
          </w:tcPr>
          <w:p>
            <w:pPr>
              <w:spacing w:after="0"/>
              <w:rPr>
                <w:sz w:val="20"/>
                <w:szCs w:val="20"/>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(18)</w:t>
            </w:r>
          </w:p>
        </w:tc>
        <w:tc>
          <w:tcPr>
            <w:tcW w:w="100" w:type="dxa"/>
            <w:vAlign w:val="bottom"/>
            <w:shd w:val="clear" w:color="auto" w:fill="CCEEFF"/>
          </w:tcPr>
          <w:p>
            <w:pPr>
              <w:spacing w:after="0"/>
              <w:rPr>
                <w:sz w:val="20"/>
                <w:szCs w:val="20"/>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w:t>
            </w:r>
          </w:p>
        </w:tc>
      </w:tr>
      <w:tr>
        <w:trPr>
          <w:trHeight w:val="214"/>
        </w:trPr>
        <w:tc>
          <w:tcPr>
            <w:tcW w:w="5220" w:type="dxa"/>
            <w:vAlign w:val="bottom"/>
          </w:tcPr>
          <w:p>
            <w:pPr>
              <w:ind w:left="20"/>
              <w:spacing w:after="0"/>
              <w:rPr>
                <w:sz w:val="20"/>
                <w:szCs w:val="20"/>
                <w:color w:val="auto"/>
              </w:rPr>
            </w:pPr>
            <w:r>
              <w:rPr>
                <w:rFonts w:ascii="Arial" w:cs="Arial" w:eastAsia="Arial" w:hAnsi="Arial"/>
                <w:sz w:val="17"/>
                <w:szCs w:val="17"/>
                <w:color w:val="auto"/>
              </w:rPr>
              <w:t>Ending default inventory</w:t>
            </w:r>
          </w:p>
        </w:tc>
        <w:tc>
          <w:tcPr>
            <w:tcW w:w="8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w w:val="88"/>
              </w:rPr>
              <w:t>12,480</w:t>
            </w: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w w:val="88"/>
              </w:rPr>
              <w:t>12,707</w:t>
            </w:r>
          </w:p>
        </w:tc>
        <w:tc>
          <w:tcPr>
            <w:tcW w:w="1560" w:type="dxa"/>
            <w:vAlign w:val="bottom"/>
            <w:gridSpan w:val="2"/>
          </w:tcPr>
          <w:p>
            <w:pPr>
              <w:jc w:val="right"/>
              <w:ind w:right="5"/>
              <w:spacing w:after="0"/>
              <w:rPr>
                <w:sz w:val="20"/>
                <w:szCs w:val="20"/>
                <w:color w:val="auto"/>
              </w:rPr>
            </w:pPr>
            <w:r>
              <w:rPr>
                <w:rFonts w:ascii="Arial" w:cs="Arial" w:eastAsia="Arial" w:hAnsi="Arial"/>
                <w:sz w:val="17"/>
                <w:szCs w:val="17"/>
                <w:color w:val="auto"/>
              </w:rPr>
              <w:t>12,480</w:t>
            </w:r>
          </w:p>
        </w:tc>
        <w:tc>
          <w:tcPr>
            <w:tcW w:w="1520" w:type="dxa"/>
            <w:vAlign w:val="bottom"/>
            <w:gridSpan w:val="2"/>
          </w:tcPr>
          <w:p>
            <w:pPr>
              <w:jc w:val="right"/>
              <w:spacing w:after="0"/>
              <w:rPr>
                <w:sz w:val="20"/>
                <w:szCs w:val="20"/>
                <w:color w:val="auto"/>
              </w:rPr>
            </w:pPr>
            <w:r>
              <w:rPr>
                <w:rFonts w:ascii="Arial" w:cs="Arial" w:eastAsia="Arial" w:hAnsi="Arial"/>
                <w:sz w:val="17"/>
                <w:szCs w:val="17"/>
                <w:color w:val="auto"/>
              </w:rPr>
              <w:t>12,707</w:t>
            </w:r>
          </w:p>
        </w:tc>
      </w:tr>
      <w:tr>
        <w:trPr>
          <w:trHeight w:val="20"/>
        </w:trPr>
        <w:tc>
          <w:tcPr>
            <w:tcW w:w="522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r>
    </w:tbl>
    <w:p>
      <w:pPr>
        <w:spacing w:after="0" w:line="286" w:lineRule="exact"/>
        <w:rPr>
          <w:sz w:val="20"/>
          <w:szCs w:val="20"/>
          <w:color w:val="auto"/>
        </w:rPr>
      </w:pPr>
    </w:p>
    <w:p>
      <w:pPr>
        <w:ind w:left="620"/>
        <w:spacing w:after="0"/>
        <w:rPr>
          <w:sz w:val="20"/>
          <w:szCs w:val="20"/>
          <w:color w:val="auto"/>
        </w:rPr>
      </w:pPr>
      <w:r>
        <w:rPr>
          <w:rFonts w:ascii="Arial" w:cs="Arial" w:eastAsia="Arial" w:hAnsi="Arial"/>
          <w:sz w:val="16"/>
          <w:szCs w:val="16"/>
          <w:color w:val="auto"/>
        </w:rPr>
        <w:t>The following table includes additional information about our loans in default as of the dates indicated for our U.S. mortgage insurance portfolio:</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2180" w:type="dxa"/>
            <w:vAlign w:val="bottom"/>
          </w:tcPr>
          <w:p>
            <w:pPr>
              <w:spacing w:after="0"/>
              <w:rPr>
                <w:sz w:val="15"/>
                <w:szCs w:val="15"/>
                <w:color w:val="auto"/>
              </w:rPr>
            </w:pPr>
          </w:p>
        </w:tc>
        <w:tc>
          <w:tcPr>
            <w:tcW w:w="56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90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rPr>
              <w:t>As of June 30,</w:t>
            </w:r>
          </w:p>
        </w:tc>
        <w:tc>
          <w:tcPr>
            <w:tcW w:w="1120" w:type="dxa"/>
            <w:vAlign w:val="bottom"/>
          </w:tcPr>
          <w:p>
            <w:pPr>
              <w:spacing w:after="0"/>
              <w:rPr>
                <w:sz w:val="15"/>
                <w:szCs w:val="15"/>
                <w:color w:val="auto"/>
              </w:rPr>
            </w:pPr>
          </w:p>
        </w:tc>
      </w:tr>
      <w:tr>
        <w:trPr>
          <w:trHeight w:val="25"/>
        </w:trPr>
        <w:tc>
          <w:tcPr>
            <w:tcW w:w="2180" w:type="dxa"/>
            <w:vAlign w:val="bottom"/>
          </w:tcPr>
          <w:p>
            <w:pPr>
              <w:spacing w:after="0"/>
              <w:rPr>
                <w:sz w:val="2"/>
                <w:szCs w:val="2"/>
                <w:color w:val="auto"/>
              </w:rPr>
            </w:pPr>
          </w:p>
        </w:tc>
        <w:tc>
          <w:tcPr>
            <w:tcW w:w="56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181"/>
        </w:trPr>
        <w:tc>
          <w:tcPr>
            <w:tcW w:w="2180" w:type="dxa"/>
            <w:vAlign w:val="bottom"/>
            <w:tcBorders>
              <w:bottom w:val="single" w:sz="8" w:color="CCEEFF"/>
            </w:tcBorders>
          </w:tcPr>
          <w:p>
            <w:pPr>
              <w:spacing w:after="0"/>
              <w:rPr>
                <w:sz w:val="15"/>
                <w:szCs w:val="15"/>
                <w:color w:val="auto"/>
              </w:rPr>
            </w:pPr>
          </w:p>
        </w:tc>
        <w:tc>
          <w:tcPr>
            <w:tcW w:w="562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597"/>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596"/>
              <w:spacing w:after="0"/>
              <w:rPr>
                <w:sz w:val="20"/>
                <w:szCs w:val="20"/>
                <w:color w:val="auto"/>
              </w:rPr>
            </w:pPr>
            <w:r>
              <w:rPr>
                <w:rFonts w:ascii="Arial" w:cs="Arial" w:eastAsia="Arial" w:hAnsi="Arial"/>
                <w:sz w:val="14"/>
                <w:szCs w:val="14"/>
                <w:b w:val="1"/>
                <w:bCs w:val="1"/>
                <w:color w:val="auto"/>
              </w:rPr>
              <w:t>2022</w:t>
            </w:r>
          </w:p>
        </w:tc>
      </w:tr>
      <w:tr>
        <w:trPr>
          <w:trHeight w:val="221"/>
        </w:trPr>
        <w:tc>
          <w:tcPr>
            <w:tcW w:w="780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 xml:space="preserve">Case reserves (in thousands) </w:t>
            </w:r>
            <w:r>
              <w:rPr>
                <w:rFonts w:ascii="Arial" w:cs="Arial" w:eastAsia="Arial" w:hAnsi="Arial"/>
                <w:sz w:val="17"/>
                <w:szCs w:val="17"/>
                <w:b w:val="1"/>
                <w:bCs w:val="1"/>
                <w:color w:val="auto"/>
              </w:rPr>
              <w:t>(1)</w:t>
            </w:r>
          </w:p>
        </w:tc>
        <w:tc>
          <w:tcPr>
            <w:tcW w:w="380" w:type="dxa"/>
            <w:vAlign w:val="bottom"/>
            <w:shd w:val="clear" w:color="auto" w:fill="CCEEFF"/>
          </w:tcPr>
          <w:p>
            <w:pPr>
              <w:jc w:val="right"/>
              <w:ind w:right="193"/>
              <w:spacing w:after="0"/>
              <w:rPr>
                <w:sz w:val="20"/>
                <w:szCs w:val="20"/>
                <w:color w:val="auto"/>
              </w:rPr>
            </w:pPr>
            <w:r>
              <w:rPr>
                <w:rFonts w:ascii="Arial" w:cs="Arial" w:eastAsia="Arial" w:hAnsi="Arial"/>
                <w:sz w:val="17"/>
                <w:szCs w:val="17"/>
                <w:color w:val="auto"/>
                <w:w w:val="84"/>
              </w:rPr>
              <w:t>$</w:t>
            </w:r>
          </w:p>
        </w:tc>
        <w:tc>
          <w:tcPr>
            <w:tcW w:w="1260" w:type="dxa"/>
            <w:vAlign w:val="bottom"/>
            <w:shd w:val="clear" w:color="auto" w:fill="CCEEFF"/>
          </w:tcPr>
          <w:p>
            <w:pPr>
              <w:jc w:val="right"/>
              <w:ind w:right="117"/>
              <w:spacing w:after="0"/>
              <w:rPr>
                <w:sz w:val="20"/>
                <w:szCs w:val="20"/>
                <w:color w:val="auto"/>
              </w:rPr>
            </w:pPr>
            <w:r>
              <w:rPr>
                <w:rFonts w:ascii="Arial" w:cs="Arial" w:eastAsia="Arial" w:hAnsi="Arial"/>
                <w:sz w:val="17"/>
                <w:szCs w:val="17"/>
                <w:color w:val="auto"/>
              </w:rPr>
              <w:t>199,976</w:t>
            </w:r>
          </w:p>
        </w:tc>
        <w:tc>
          <w:tcPr>
            <w:tcW w:w="640" w:type="dxa"/>
            <w:vAlign w:val="bottom"/>
            <w:gridSpan w:val="2"/>
            <w:shd w:val="clear" w:color="auto" w:fill="CCEEFF"/>
          </w:tcPr>
          <w:p>
            <w:pPr>
              <w:jc w:val="right"/>
              <w:ind w:right="420"/>
              <w:spacing w:after="0"/>
              <w:rPr>
                <w:sz w:val="20"/>
                <w:szCs w:val="20"/>
                <w:color w:val="auto"/>
              </w:rPr>
            </w:pPr>
            <w:r>
              <w:rPr>
                <w:rFonts w:ascii="Arial" w:cs="Arial" w:eastAsia="Arial" w:hAnsi="Arial"/>
                <w:sz w:val="17"/>
                <w:szCs w:val="17"/>
                <w:color w:val="auto"/>
              </w:rPr>
              <w:t>$</w:t>
            </w:r>
          </w:p>
        </w:tc>
        <w:tc>
          <w:tcPr>
            <w:tcW w:w="1120" w:type="dxa"/>
            <w:vAlign w:val="bottom"/>
            <w:shd w:val="clear" w:color="auto" w:fill="CCEEFF"/>
          </w:tcPr>
          <w:p>
            <w:pPr>
              <w:jc w:val="right"/>
              <w:ind w:right="136"/>
              <w:spacing w:after="0"/>
              <w:rPr>
                <w:sz w:val="20"/>
                <w:szCs w:val="20"/>
                <w:color w:val="auto"/>
              </w:rPr>
            </w:pPr>
            <w:r>
              <w:rPr>
                <w:rFonts w:ascii="Arial" w:cs="Arial" w:eastAsia="Arial" w:hAnsi="Arial"/>
                <w:sz w:val="17"/>
                <w:szCs w:val="17"/>
                <w:color w:val="auto"/>
              </w:rPr>
              <w:t>193,416</w:t>
            </w:r>
          </w:p>
        </w:tc>
      </w:tr>
      <w:tr>
        <w:trPr>
          <w:trHeight w:val="221"/>
        </w:trPr>
        <w:tc>
          <w:tcPr>
            <w:tcW w:w="7800" w:type="dxa"/>
            <w:vAlign w:val="bottom"/>
            <w:gridSpan w:val="2"/>
          </w:tcPr>
          <w:p>
            <w:pPr>
              <w:ind w:left="20"/>
              <w:spacing w:after="0"/>
              <w:rPr>
                <w:sz w:val="20"/>
                <w:szCs w:val="20"/>
                <w:color w:val="auto"/>
              </w:rPr>
            </w:pPr>
            <w:r>
              <w:rPr>
                <w:rFonts w:ascii="Arial" w:cs="Arial" w:eastAsia="Arial" w:hAnsi="Arial"/>
                <w:sz w:val="17"/>
                <w:szCs w:val="17"/>
                <w:color w:val="auto"/>
              </w:rPr>
              <w:t xml:space="preserve">Total reserves (in thousands) </w:t>
            </w:r>
            <w:r>
              <w:rPr>
                <w:rFonts w:ascii="Arial" w:cs="Arial" w:eastAsia="Arial" w:hAnsi="Arial"/>
                <w:sz w:val="17"/>
                <w:szCs w:val="17"/>
                <w:b w:val="1"/>
                <w:bCs w:val="1"/>
                <w:color w:val="auto"/>
              </w:rPr>
              <w:t>(1)</w:t>
            </w:r>
          </w:p>
        </w:tc>
        <w:tc>
          <w:tcPr>
            <w:tcW w:w="380" w:type="dxa"/>
            <w:vAlign w:val="bottom"/>
          </w:tcPr>
          <w:p>
            <w:pPr>
              <w:jc w:val="right"/>
              <w:ind w:right="193"/>
              <w:spacing w:after="0"/>
              <w:rPr>
                <w:sz w:val="20"/>
                <w:szCs w:val="20"/>
                <w:color w:val="auto"/>
              </w:rPr>
            </w:pPr>
            <w:r>
              <w:rPr>
                <w:rFonts w:ascii="Arial" w:cs="Arial" w:eastAsia="Arial" w:hAnsi="Arial"/>
                <w:sz w:val="17"/>
                <w:szCs w:val="17"/>
                <w:color w:val="auto"/>
                <w:w w:val="84"/>
              </w:rPr>
              <w:t>$</w:t>
            </w:r>
          </w:p>
        </w:tc>
        <w:tc>
          <w:tcPr>
            <w:tcW w:w="1260" w:type="dxa"/>
            <w:vAlign w:val="bottom"/>
          </w:tcPr>
          <w:p>
            <w:pPr>
              <w:jc w:val="right"/>
              <w:ind w:right="117"/>
              <w:spacing w:after="0"/>
              <w:rPr>
                <w:sz w:val="20"/>
                <w:szCs w:val="20"/>
                <w:color w:val="auto"/>
              </w:rPr>
            </w:pPr>
            <w:r>
              <w:rPr>
                <w:rFonts w:ascii="Arial" w:cs="Arial" w:eastAsia="Arial" w:hAnsi="Arial"/>
                <w:sz w:val="17"/>
                <w:szCs w:val="17"/>
                <w:color w:val="auto"/>
              </w:rPr>
              <w:t>216,888</w:t>
            </w:r>
          </w:p>
        </w:tc>
        <w:tc>
          <w:tcPr>
            <w:tcW w:w="640" w:type="dxa"/>
            <w:vAlign w:val="bottom"/>
            <w:gridSpan w:val="2"/>
          </w:tcPr>
          <w:p>
            <w:pPr>
              <w:jc w:val="right"/>
              <w:ind w:right="420"/>
              <w:spacing w:after="0"/>
              <w:rPr>
                <w:sz w:val="20"/>
                <w:szCs w:val="20"/>
                <w:color w:val="auto"/>
              </w:rPr>
            </w:pPr>
            <w:r>
              <w:rPr>
                <w:rFonts w:ascii="Arial" w:cs="Arial" w:eastAsia="Arial" w:hAnsi="Arial"/>
                <w:sz w:val="17"/>
                <w:szCs w:val="17"/>
                <w:color w:val="auto"/>
              </w:rPr>
              <w:t>$</w:t>
            </w:r>
          </w:p>
        </w:tc>
        <w:tc>
          <w:tcPr>
            <w:tcW w:w="1120" w:type="dxa"/>
            <w:vAlign w:val="bottom"/>
          </w:tcPr>
          <w:p>
            <w:pPr>
              <w:jc w:val="right"/>
              <w:ind w:right="136"/>
              <w:spacing w:after="0"/>
              <w:rPr>
                <w:sz w:val="20"/>
                <w:szCs w:val="20"/>
                <w:color w:val="auto"/>
              </w:rPr>
            </w:pPr>
            <w:r>
              <w:rPr>
                <w:rFonts w:ascii="Arial" w:cs="Arial" w:eastAsia="Arial" w:hAnsi="Arial"/>
                <w:sz w:val="17"/>
                <w:szCs w:val="17"/>
                <w:color w:val="auto"/>
              </w:rPr>
              <w:t>209,829</w:t>
            </w:r>
          </w:p>
        </w:tc>
      </w:tr>
      <w:tr>
        <w:trPr>
          <w:trHeight w:val="234"/>
        </w:trPr>
        <w:tc>
          <w:tcPr>
            <w:tcW w:w="780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Ending default inventory</w:t>
            </w:r>
          </w:p>
        </w:tc>
        <w:tc>
          <w:tcPr>
            <w:tcW w:w="380" w:type="dxa"/>
            <w:vAlign w:val="bottom"/>
            <w:shd w:val="clear" w:color="auto" w:fill="CCEEFF"/>
          </w:tcPr>
          <w:p>
            <w:pPr>
              <w:spacing w:after="0"/>
              <w:rPr>
                <w:sz w:val="20"/>
                <w:szCs w:val="20"/>
                <w:color w:val="auto"/>
              </w:rPr>
            </w:pPr>
          </w:p>
        </w:tc>
        <w:tc>
          <w:tcPr>
            <w:tcW w:w="1260" w:type="dxa"/>
            <w:vAlign w:val="bottom"/>
            <w:shd w:val="clear" w:color="auto" w:fill="CCEEFF"/>
          </w:tcPr>
          <w:p>
            <w:pPr>
              <w:jc w:val="right"/>
              <w:ind w:right="117"/>
              <w:spacing w:after="0"/>
              <w:rPr>
                <w:sz w:val="20"/>
                <w:szCs w:val="20"/>
                <w:color w:val="auto"/>
              </w:rPr>
            </w:pPr>
            <w:r>
              <w:rPr>
                <w:rFonts w:ascii="Arial" w:cs="Arial" w:eastAsia="Arial" w:hAnsi="Arial"/>
                <w:sz w:val="17"/>
                <w:szCs w:val="17"/>
                <w:color w:val="auto"/>
              </w:rPr>
              <w:t>12,480</w:t>
            </w:r>
          </w:p>
        </w:tc>
        <w:tc>
          <w:tcPr>
            <w:tcW w:w="10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1120" w:type="dxa"/>
            <w:vAlign w:val="bottom"/>
            <w:shd w:val="clear" w:color="auto" w:fill="CCEEFF"/>
          </w:tcPr>
          <w:p>
            <w:pPr>
              <w:jc w:val="right"/>
              <w:ind w:right="136"/>
              <w:spacing w:after="0"/>
              <w:rPr>
                <w:sz w:val="20"/>
                <w:szCs w:val="20"/>
                <w:color w:val="auto"/>
              </w:rPr>
            </w:pPr>
            <w:r>
              <w:rPr>
                <w:rFonts w:ascii="Arial" w:cs="Arial" w:eastAsia="Arial" w:hAnsi="Arial"/>
                <w:sz w:val="17"/>
                <w:szCs w:val="17"/>
                <w:color w:val="auto"/>
              </w:rPr>
              <w:t>12,707</w:t>
            </w:r>
          </w:p>
        </w:tc>
      </w:tr>
      <w:tr>
        <w:trPr>
          <w:trHeight w:val="221"/>
        </w:trPr>
        <w:tc>
          <w:tcPr>
            <w:tcW w:w="7800" w:type="dxa"/>
            <w:vAlign w:val="bottom"/>
            <w:gridSpan w:val="2"/>
          </w:tcPr>
          <w:p>
            <w:pPr>
              <w:ind w:left="20"/>
              <w:spacing w:after="0"/>
              <w:rPr>
                <w:sz w:val="20"/>
                <w:szCs w:val="20"/>
                <w:color w:val="auto"/>
              </w:rPr>
            </w:pPr>
            <w:r>
              <w:rPr>
                <w:rFonts w:ascii="Arial" w:cs="Arial" w:eastAsia="Arial" w:hAnsi="Arial"/>
                <w:sz w:val="17"/>
                <w:szCs w:val="17"/>
                <w:color w:val="auto"/>
              </w:rPr>
              <w:t>Average case reserve per default (in thousands)</w:t>
            </w:r>
          </w:p>
        </w:tc>
        <w:tc>
          <w:tcPr>
            <w:tcW w:w="380" w:type="dxa"/>
            <w:vAlign w:val="bottom"/>
          </w:tcPr>
          <w:p>
            <w:pPr>
              <w:jc w:val="right"/>
              <w:ind w:right="193"/>
              <w:spacing w:after="0"/>
              <w:rPr>
                <w:sz w:val="20"/>
                <w:szCs w:val="20"/>
                <w:color w:val="auto"/>
              </w:rPr>
            </w:pPr>
            <w:r>
              <w:rPr>
                <w:rFonts w:ascii="Arial" w:cs="Arial" w:eastAsia="Arial" w:hAnsi="Arial"/>
                <w:sz w:val="17"/>
                <w:szCs w:val="17"/>
                <w:color w:val="auto"/>
                <w:w w:val="84"/>
              </w:rPr>
              <w:t>$</w:t>
            </w:r>
          </w:p>
        </w:tc>
        <w:tc>
          <w:tcPr>
            <w:tcW w:w="1260" w:type="dxa"/>
            <w:vAlign w:val="bottom"/>
          </w:tcPr>
          <w:p>
            <w:pPr>
              <w:jc w:val="right"/>
              <w:ind w:right="117"/>
              <w:spacing w:after="0"/>
              <w:rPr>
                <w:sz w:val="20"/>
                <w:szCs w:val="20"/>
                <w:color w:val="auto"/>
              </w:rPr>
            </w:pPr>
            <w:r>
              <w:rPr>
                <w:rFonts w:ascii="Arial" w:cs="Arial" w:eastAsia="Arial" w:hAnsi="Arial"/>
                <w:sz w:val="17"/>
                <w:szCs w:val="17"/>
                <w:color w:val="auto"/>
              </w:rPr>
              <w:t>16.0</w:t>
            </w:r>
          </w:p>
        </w:tc>
        <w:tc>
          <w:tcPr>
            <w:tcW w:w="640" w:type="dxa"/>
            <w:vAlign w:val="bottom"/>
            <w:gridSpan w:val="2"/>
          </w:tcPr>
          <w:p>
            <w:pPr>
              <w:jc w:val="right"/>
              <w:ind w:right="420"/>
              <w:spacing w:after="0"/>
              <w:rPr>
                <w:sz w:val="20"/>
                <w:szCs w:val="20"/>
                <w:color w:val="auto"/>
              </w:rPr>
            </w:pPr>
            <w:r>
              <w:rPr>
                <w:rFonts w:ascii="Arial" w:cs="Arial" w:eastAsia="Arial" w:hAnsi="Arial"/>
                <w:sz w:val="17"/>
                <w:szCs w:val="17"/>
                <w:color w:val="auto"/>
              </w:rPr>
              <w:t>$</w:t>
            </w:r>
          </w:p>
        </w:tc>
        <w:tc>
          <w:tcPr>
            <w:tcW w:w="1120" w:type="dxa"/>
            <w:vAlign w:val="bottom"/>
          </w:tcPr>
          <w:p>
            <w:pPr>
              <w:jc w:val="right"/>
              <w:ind w:right="136"/>
              <w:spacing w:after="0"/>
              <w:rPr>
                <w:sz w:val="20"/>
                <w:szCs w:val="20"/>
                <w:color w:val="auto"/>
              </w:rPr>
            </w:pPr>
            <w:r>
              <w:rPr>
                <w:rFonts w:ascii="Arial" w:cs="Arial" w:eastAsia="Arial" w:hAnsi="Arial"/>
                <w:sz w:val="17"/>
                <w:szCs w:val="17"/>
                <w:color w:val="auto"/>
              </w:rPr>
              <w:t>15.2</w:t>
            </w:r>
          </w:p>
        </w:tc>
      </w:tr>
      <w:tr>
        <w:trPr>
          <w:trHeight w:val="221"/>
        </w:trPr>
        <w:tc>
          <w:tcPr>
            <w:tcW w:w="780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Average total reserve per default (in thousands)</w:t>
            </w:r>
          </w:p>
        </w:tc>
        <w:tc>
          <w:tcPr>
            <w:tcW w:w="380" w:type="dxa"/>
            <w:vAlign w:val="bottom"/>
            <w:shd w:val="clear" w:color="auto" w:fill="CCEEFF"/>
          </w:tcPr>
          <w:p>
            <w:pPr>
              <w:jc w:val="right"/>
              <w:ind w:right="193"/>
              <w:spacing w:after="0"/>
              <w:rPr>
                <w:sz w:val="20"/>
                <w:szCs w:val="20"/>
                <w:color w:val="auto"/>
              </w:rPr>
            </w:pPr>
            <w:r>
              <w:rPr>
                <w:rFonts w:ascii="Arial" w:cs="Arial" w:eastAsia="Arial" w:hAnsi="Arial"/>
                <w:sz w:val="17"/>
                <w:szCs w:val="17"/>
                <w:color w:val="auto"/>
                <w:w w:val="84"/>
              </w:rPr>
              <w:t>$</w:t>
            </w:r>
          </w:p>
        </w:tc>
        <w:tc>
          <w:tcPr>
            <w:tcW w:w="1260" w:type="dxa"/>
            <w:vAlign w:val="bottom"/>
            <w:shd w:val="clear" w:color="auto" w:fill="CCEEFF"/>
          </w:tcPr>
          <w:p>
            <w:pPr>
              <w:jc w:val="right"/>
              <w:ind w:right="117"/>
              <w:spacing w:after="0"/>
              <w:rPr>
                <w:sz w:val="20"/>
                <w:szCs w:val="20"/>
                <w:color w:val="auto"/>
              </w:rPr>
            </w:pPr>
            <w:r>
              <w:rPr>
                <w:rFonts w:ascii="Arial" w:cs="Arial" w:eastAsia="Arial" w:hAnsi="Arial"/>
                <w:sz w:val="17"/>
                <w:szCs w:val="17"/>
                <w:color w:val="auto"/>
              </w:rPr>
              <w:t>17.4</w:t>
            </w:r>
          </w:p>
        </w:tc>
        <w:tc>
          <w:tcPr>
            <w:tcW w:w="640" w:type="dxa"/>
            <w:vAlign w:val="bottom"/>
            <w:gridSpan w:val="2"/>
            <w:shd w:val="clear" w:color="auto" w:fill="CCEEFF"/>
          </w:tcPr>
          <w:p>
            <w:pPr>
              <w:jc w:val="right"/>
              <w:ind w:right="420"/>
              <w:spacing w:after="0"/>
              <w:rPr>
                <w:sz w:val="20"/>
                <w:szCs w:val="20"/>
                <w:color w:val="auto"/>
              </w:rPr>
            </w:pPr>
            <w:r>
              <w:rPr>
                <w:rFonts w:ascii="Arial" w:cs="Arial" w:eastAsia="Arial" w:hAnsi="Arial"/>
                <w:sz w:val="17"/>
                <w:szCs w:val="17"/>
                <w:color w:val="auto"/>
              </w:rPr>
              <w:t>$</w:t>
            </w:r>
          </w:p>
        </w:tc>
        <w:tc>
          <w:tcPr>
            <w:tcW w:w="1120" w:type="dxa"/>
            <w:vAlign w:val="bottom"/>
            <w:shd w:val="clear" w:color="auto" w:fill="CCEEFF"/>
          </w:tcPr>
          <w:p>
            <w:pPr>
              <w:jc w:val="right"/>
              <w:ind w:right="136"/>
              <w:spacing w:after="0"/>
              <w:rPr>
                <w:sz w:val="20"/>
                <w:szCs w:val="20"/>
                <w:color w:val="auto"/>
              </w:rPr>
            </w:pPr>
            <w:r>
              <w:rPr>
                <w:rFonts w:ascii="Arial" w:cs="Arial" w:eastAsia="Arial" w:hAnsi="Arial"/>
                <w:sz w:val="17"/>
                <w:szCs w:val="17"/>
                <w:color w:val="auto"/>
              </w:rPr>
              <w:t>16.5</w:t>
            </w:r>
          </w:p>
        </w:tc>
      </w:tr>
      <w:tr>
        <w:trPr>
          <w:trHeight w:val="227"/>
        </w:trPr>
        <w:tc>
          <w:tcPr>
            <w:tcW w:w="7800" w:type="dxa"/>
            <w:vAlign w:val="bottom"/>
            <w:gridSpan w:val="2"/>
          </w:tcPr>
          <w:p>
            <w:pPr>
              <w:ind w:left="20"/>
              <w:spacing w:after="0"/>
              <w:rPr>
                <w:sz w:val="20"/>
                <w:szCs w:val="20"/>
                <w:color w:val="auto"/>
              </w:rPr>
            </w:pPr>
            <w:r>
              <w:rPr>
                <w:rFonts w:ascii="Arial" w:cs="Arial" w:eastAsia="Arial" w:hAnsi="Arial"/>
                <w:sz w:val="17"/>
                <w:szCs w:val="17"/>
                <w:color w:val="auto"/>
              </w:rPr>
              <w:t>Default rate</w:t>
            </w: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1.52 %</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1.61 %</w:t>
            </w:r>
          </w:p>
        </w:tc>
      </w:tr>
      <w:tr>
        <w:trPr>
          <w:trHeight w:val="227"/>
        </w:trPr>
        <w:tc>
          <w:tcPr>
            <w:tcW w:w="780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Claims received included in ending default inventory</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17"/>
              <w:spacing w:after="0"/>
              <w:rPr>
                <w:sz w:val="20"/>
                <w:szCs w:val="20"/>
                <w:color w:val="auto"/>
              </w:rPr>
            </w:pPr>
            <w:r>
              <w:rPr>
                <w:rFonts w:ascii="Arial" w:cs="Arial" w:eastAsia="Arial" w:hAnsi="Arial"/>
                <w:sz w:val="17"/>
                <w:szCs w:val="17"/>
                <w:color w:val="auto"/>
              </w:rPr>
              <w:t>129</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36"/>
              <w:spacing w:after="0"/>
              <w:rPr>
                <w:sz w:val="20"/>
                <w:szCs w:val="20"/>
                <w:color w:val="auto"/>
              </w:rPr>
            </w:pPr>
            <w:r>
              <w:rPr>
                <w:rFonts w:ascii="Arial" w:cs="Arial" w:eastAsia="Arial" w:hAnsi="Arial"/>
                <w:sz w:val="17"/>
                <w:szCs w:val="17"/>
                <w:color w:val="auto"/>
              </w:rPr>
              <w:t>81</w:t>
            </w:r>
          </w:p>
        </w:tc>
      </w:tr>
      <w:tr>
        <w:trPr>
          <w:trHeight w:val="156"/>
        </w:trPr>
        <w:tc>
          <w:tcPr>
            <w:tcW w:w="2180" w:type="dxa"/>
            <w:vAlign w:val="bottom"/>
            <w:tcBorders>
              <w:bottom w:val="single" w:sz="8" w:color="auto"/>
            </w:tcBorders>
          </w:tcPr>
          <w:p>
            <w:pPr>
              <w:spacing w:after="0"/>
              <w:rPr>
                <w:sz w:val="13"/>
                <w:szCs w:val="13"/>
                <w:color w:val="auto"/>
              </w:rPr>
            </w:pPr>
          </w:p>
        </w:tc>
        <w:tc>
          <w:tcPr>
            <w:tcW w:w="56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120" w:type="dxa"/>
            <w:vAlign w:val="bottom"/>
          </w:tcPr>
          <w:p>
            <w:pPr>
              <w:spacing w:after="0"/>
              <w:rPr>
                <w:sz w:val="13"/>
                <w:szCs w:val="13"/>
                <w:color w:val="auto"/>
              </w:rPr>
            </w:pPr>
          </w:p>
        </w:tc>
      </w:tr>
    </w:tbl>
    <w:p>
      <w:pPr>
        <w:spacing w:after="0" w:line="78" w:lineRule="exact"/>
        <w:rPr>
          <w:sz w:val="20"/>
          <w:szCs w:val="20"/>
          <w:color w:val="auto"/>
        </w:rPr>
      </w:pPr>
    </w:p>
    <w:p>
      <w:pPr>
        <w:ind w:left="620" w:right="120" w:hanging="305"/>
        <w:spacing w:after="0" w:line="285" w:lineRule="auto"/>
        <w:tabs>
          <w:tab w:leader="none" w:pos="620"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U.S. mortgage insurance portfolio reserves exclude reserves on GSE and other risk share risk in force at Essent Re of $0.1 million and $0.1 million as of June 30, 2023 and 2022,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68580</wp:posOffset>
            </wp:positionV>
            <wp:extent cx="7162800" cy="419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9" w:name="page40"/>
    <w:bookmarkEnd w:id="39"/>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344" w:lineRule="exact"/>
        <w:rPr>
          <w:sz w:val="20"/>
          <w:szCs w:val="20"/>
          <w:color w:val="auto"/>
        </w:rPr>
      </w:pPr>
    </w:p>
    <w:p>
      <w:pPr>
        <w:ind w:left="620"/>
        <w:spacing w:after="0"/>
        <w:rPr>
          <w:sz w:val="20"/>
          <w:szCs w:val="20"/>
          <w:color w:val="auto"/>
        </w:rPr>
      </w:pPr>
      <w:r>
        <w:rPr>
          <w:rFonts w:ascii="Arial" w:cs="Arial" w:eastAsia="Arial" w:hAnsi="Arial"/>
          <w:sz w:val="17"/>
          <w:szCs w:val="17"/>
          <w:color w:val="auto"/>
        </w:rPr>
        <w:t>The following table provides a reconciliation of the beginning and ending reserve balances for losses and LAE:</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620" w:type="dxa"/>
            <w:vAlign w:val="bottom"/>
            <w:tcBorders>
              <w:bottom w:val="single" w:sz="8" w:color="auto"/>
            </w:tcBorders>
            <w:gridSpan w:val="4"/>
          </w:tcPr>
          <w:p>
            <w:pPr>
              <w:jc w:val="right"/>
              <w:ind w:right="495"/>
              <w:spacing w:after="0"/>
              <w:rPr>
                <w:sz w:val="20"/>
                <w:szCs w:val="20"/>
                <w:color w:val="auto"/>
              </w:rPr>
            </w:pPr>
            <w:r>
              <w:rPr>
                <w:rFonts w:ascii="Arial" w:cs="Arial" w:eastAsia="Arial" w:hAnsi="Arial"/>
                <w:sz w:val="14"/>
                <w:szCs w:val="14"/>
                <w:b w:val="1"/>
                <w:bCs w:val="1"/>
                <w:color w:val="auto"/>
              </w:rPr>
              <w:t>Three Months Ended June 30,</w:t>
            </w:r>
          </w:p>
        </w:tc>
        <w:tc>
          <w:tcPr>
            <w:tcW w:w="1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620" w:type="dxa"/>
            <w:vAlign w:val="bottom"/>
            <w:tcBorders>
              <w:bottom w:val="single" w:sz="8" w:color="auto"/>
            </w:tcBorders>
            <w:gridSpan w:val="4"/>
          </w:tcPr>
          <w:p>
            <w:pPr>
              <w:jc w:val="right"/>
              <w:ind w:right="575"/>
              <w:spacing w:after="0"/>
              <w:rPr>
                <w:sz w:val="20"/>
                <w:szCs w:val="20"/>
                <w:color w:val="auto"/>
              </w:rPr>
            </w:pPr>
            <w:r>
              <w:rPr>
                <w:rFonts w:ascii="Arial" w:cs="Arial" w:eastAsia="Arial" w:hAnsi="Arial"/>
                <w:sz w:val="14"/>
                <w:szCs w:val="14"/>
                <w:b w:val="1"/>
                <w:bCs w:val="1"/>
                <w:color w:val="auto"/>
              </w:rPr>
              <w:t>Six Months Ended June 30,</w:t>
            </w:r>
          </w:p>
        </w:tc>
      </w:tr>
      <w:tr>
        <w:trPr>
          <w:trHeight w:val="188"/>
        </w:trPr>
        <w:tc>
          <w:tcPr>
            <w:tcW w:w="51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6"/>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5"/>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6"/>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2022</w:t>
            </w:r>
          </w:p>
        </w:tc>
      </w:tr>
      <w:tr>
        <w:trPr>
          <w:trHeight w:val="221"/>
        </w:trPr>
        <w:tc>
          <w:tcPr>
            <w:tcW w:w="520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Reserve for losses and LAE at beginning of period</w:t>
            </w:r>
          </w:p>
        </w:tc>
        <w:tc>
          <w:tcPr>
            <w:tcW w:w="340" w:type="dxa"/>
            <w:vAlign w:val="bottom"/>
            <w:shd w:val="clear" w:color="auto" w:fill="CCEEFF"/>
          </w:tcPr>
          <w:p>
            <w:pPr>
              <w:jc w:val="right"/>
              <w:ind w:right="133"/>
              <w:spacing w:after="0"/>
              <w:rPr>
                <w:sz w:val="20"/>
                <w:szCs w:val="20"/>
                <w:color w:val="auto"/>
              </w:rPr>
            </w:pPr>
            <w:r>
              <w:rPr>
                <w:rFonts w:ascii="Arial" w:cs="Arial" w:eastAsia="Arial" w:hAnsi="Arial"/>
                <w:sz w:val="17"/>
                <w:szCs w:val="17"/>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216,022</w:t>
            </w:r>
          </w:p>
        </w:tc>
        <w:tc>
          <w:tcPr>
            <w:tcW w:w="44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293,072</w:t>
            </w:r>
          </w:p>
        </w:tc>
        <w:tc>
          <w:tcPr>
            <w:tcW w:w="46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216,464</w:t>
            </w:r>
          </w:p>
        </w:tc>
        <w:tc>
          <w:tcPr>
            <w:tcW w:w="44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407,445</w:t>
            </w:r>
          </w:p>
        </w:tc>
      </w:tr>
      <w:tr>
        <w:trPr>
          <w:trHeight w:val="234"/>
        </w:trPr>
        <w:tc>
          <w:tcPr>
            <w:tcW w:w="5200" w:type="dxa"/>
            <w:vAlign w:val="bottom"/>
            <w:tcBorders>
              <w:bottom w:val="single" w:sz="8" w:color="CCEEFF"/>
            </w:tcBorders>
            <w:gridSpan w:val="2"/>
          </w:tcPr>
          <w:p>
            <w:pPr>
              <w:ind w:left="20"/>
              <w:spacing w:after="0"/>
              <w:rPr>
                <w:sz w:val="20"/>
                <w:szCs w:val="20"/>
                <w:color w:val="auto"/>
              </w:rPr>
            </w:pPr>
            <w:r>
              <w:rPr>
                <w:rFonts w:ascii="Arial" w:cs="Arial" w:eastAsia="Arial" w:hAnsi="Arial"/>
                <w:sz w:val="17"/>
                <w:szCs w:val="17"/>
                <w:color w:val="auto"/>
              </w:rPr>
              <w:t>Less: Reinsurance recoverables</w:t>
            </w:r>
          </w:p>
        </w:tc>
        <w:tc>
          <w:tcPr>
            <w:tcW w:w="3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16,357</w:t>
            </w:r>
          </w:p>
        </w:tc>
        <w:tc>
          <w:tcPr>
            <w:tcW w:w="10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19,335</w:t>
            </w:r>
          </w:p>
        </w:tc>
        <w:tc>
          <w:tcPr>
            <w:tcW w:w="12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14,618</w:t>
            </w:r>
          </w:p>
        </w:tc>
        <w:tc>
          <w:tcPr>
            <w:tcW w:w="10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25,940</w:t>
            </w:r>
          </w:p>
        </w:tc>
      </w:tr>
      <w:tr>
        <w:trPr>
          <w:trHeight w:val="214"/>
        </w:trPr>
        <w:tc>
          <w:tcPr>
            <w:tcW w:w="520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Net reserve for losses and LAE at beginning of period</w:t>
            </w: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199,665</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273,737</w:t>
            </w:r>
          </w:p>
        </w:tc>
        <w:tc>
          <w:tcPr>
            <w:tcW w:w="12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201,846</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381,505</w:t>
            </w:r>
          </w:p>
        </w:tc>
      </w:tr>
      <w:tr>
        <w:trPr>
          <w:trHeight w:val="207"/>
        </w:trPr>
        <w:tc>
          <w:tcPr>
            <w:tcW w:w="5200" w:type="dxa"/>
            <w:vAlign w:val="bottom"/>
            <w:gridSpan w:val="2"/>
          </w:tcPr>
          <w:p>
            <w:pPr>
              <w:ind w:left="20"/>
              <w:spacing w:after="0"/>
              <w:rPr>
                <w:sz w:val="20"/>
                <w:szCs w:val="20"/>
                <w:color w:val="auto"/>
              </w:rPr>
            </w:pPr>
            <w:r>
              <w:rPr>
                <w:rFonts w:ascii="Arial" w:cs="Arial" w:eastAsia="Arial" w:hAnsi="Arial"/>
                <w:sz w:val="17"/>
                <w:szCs w:val="17"/>
                <w:color w:val="auto"/>
              </w:rPr>
              <w:t>Add provision for losses and LAE occurring in:</w:t>
            </w: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27"/>
        </w:trPr>
        <w:tc>
          <w:tcPr>
            <w:tcW w:w="5200" w:type="dxa"/>
            <w:vAlign w:val="bottom"/>
            <w:gridSpan w:val="2"/>
            <w:shd w:val="clear" w:color="auto" w:fill="CCEEFF"/>
          </w:tcPr>
          <w:p>
            <w:pPr>
              <w:ind w:left="220"/>
              <w:spacing w:after="0"/>
              <w:rPr>
                <w:sz w:val="20"/>
                <w:szCs w:val="20"/>
                <w:color w:val="auto"/>
              </w:rPr>
            </w:pPr>
            <w:r>
              <w:rPr>
                <w:rFonts w:ascii="Arial" w:cs="Arial" w:eastAsia="Arial" w:hAnsi="Arial"/>
                <w:sz w:val="17"/>
                <w:szCs w:val="17"/>
                <w:color w:val="auto"/>
              </w:rPr>
              <w:t>Current period</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31,376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18,726</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64,070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43,095</w:t>
            </w:r>
          </w:p>
        </w:tc>
      </w:tr>
      <w:tr>
        <w:trPr>
          <w:trHeight w:val="221"/>
        </w:trPr>
        <w:tc>
          <w:tcPr>
            <w:tcW w:w="5200" w:type="dxa"/>
            <w:vAlign w:val="bottom"/>
            <w:gridSpan w:val="2"/>
          </w:tcPr>
          <w:p>
            <w:pPr>
              <w:ind w:left="220"/>
              <w:spacing w:after="0"/>
              <w:rPr>
                <w:sz w:val="20"/>
                <w:szCs w:val="20"/>
                <w:color w:val="auto"/>
              </w:rPr>
            </w:pPr>
            <w:r>
              <w:rPr>
                <w:rFonts w:ascii="Arial" w:cs="Arial" w:eastAsia="Arial" w:hAnsi="Arial"/>
                <w:sz w:val="17"/>
                <w:szCs w:val="17"/>
                <w:color w:val="auto"/>
              </w:rPr>
              <w:t>Prior years</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(30,116)</w:t>
            </w:r>
          </w:p>
        </w:tc>
        <w:tc>
          <w:tcPr>
            <w:tcW w:w="1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(94,925)</w:t>
            </w:r>
          </w:p>
        </w:tc>
        <w:tc>
          <w:tcPr>
            <w:tcW w:w="12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(62,990)</w:t>
            </w:r>
          </w:p>
        </w:tc>
        <w:tc>
          <w:tcPr>
            <w:tcW w:w="1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(226,152)</w:t>
            </w:r>
          </w:p>
        </w:tc>
      </w:tr>
      <w:tr>
        <w:trPr>
          <w:trHeight w:val="227"/>
        </w:trPr>
        <w:tc>
          <w:tcPr>
            <w:tcW w:w="520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Incurred losses and LAE during the current period</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1,260</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(76,199)</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1,080</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(183,057)</w:t>
            </w:r>
          </w:p>
        </w:tc>
      </w:tr>
      <w:tr>
        <w:trPr>
          <w:trHeight w:val="207"/>
        </w:trPr>
        <w:tc>
          <w:tcPr>
            <w:tcW w:w="5200" w:type="dxa"/>
            <w:vAlign w:val="bottom"/>
            <w:gridSpan w:val="2"/>
          </w:tcPr>
          <w:p>
            <w:pPr>
              <w:ind w:left="20"/>
              <w:spacing w:after="0"/>
              <w:rPr>
                <w:sz w:val="20"/>
                <w:szCs w:val="20"/>
                <w:color w:val="auto"/>
              </w:rPr>
            </w:pPr>
            <w:r>
              <w:rPr>
                <w:rFonts w:ascii="Arial" w:cs="Arial" w:eastAsia="Arial" w:hAnsi="Arial"/>
                <w:sz w:val="17"/>
                <w:szCs w:val="17"/>
                <w:color w:val="auto"/>
              </w:rPr>
              <w:t>Deduct payments for losses and LAE occurring in:</w:t>
            </w: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27"/>
        </w:trPr>
        <w:tc>
          <w:tcPr>
            <w:tcW w:w="5200" w:type="dxa"/>
            <w:vAlign w:val="bottom"/>
            <w:gridSpan w:val="2"/>
            <w:shd w:val="clear" w:color="auto" w:fill="CCEEFF"/>
          </w:tcPr>
          <w:p>
            <w:pPr>
              <w:ind w:left="220"/>
              <w:spacing w:after="0"/>
              <w:rPr>
                <w:sz w:val="20"/>
                <w:szCs w:val="20"/>
                <w:color w:val="auto"/>
              </w:rPr>
            </w:pPr>
            <w:r>
              <w:rPr>
                <w:rFonts w:ascii="Arial" w:cs="Arial" w:eastAsia="Arial" w:hAnsi="Arial"/>
                <w:sz w:val="17"/>
                <w:szCs w:val="17"/>
                <w:color w:val="auto"/>
              </w:rPr>
              <w:t>Current period</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80</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81</w:t>
            </w:r>
          </w:p>
        </w:tc>
      </w:tr>
      <w:tr>
        <w:trPr>
          <w:trHeight w:val="221"/>
        </w:trPr>
        <w:tc>
          <w:tcPr>
            <w:tcW w:w="5200" w:type="dxa"/>
            <w:vAlign w:val="bottom"/>
            <w:gridSpan w:val="2"/>
          </w:tcPr>
          <w:p>
            <w:pPr>
              <w:ind w:left="220"/>
              <w:spacing w:after="0"/>
              <w:rPr>
                <w:sz w:val="20"/>
                <w:szCs w:val="20"/>
                <w:color w:val="auto"/>
              </w:rPr>
            </w:pPr>
            <w:r>
              <w:rPr>
                <w:rFonts w:ascii="Arial" w:cs="Arial" w:eastAsia="Arial" w:hAnsi="Arial"/>
                <w:sz w:val="17"/>
                <w:szCs w:val="17"/>
                <w:color w:val="auto"/>
              </w:rPr>
              <w:t>Prior years</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1,909</w:t>
            </w:r>
          </w:p>
        </w:tc>
        <w:tc>
          <w:tcPr>
            <w:tcW w:w="1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1,142</w:t>
            </w:r>
          </w:p>
        </w:tc>
        <w:tc>
          <w:tcPr>
            <w:tcW w:w="12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3,910</w:t>
            </w:r>
          </w:p>
        </w:tc>
        <w:tc>
          <w:tcPr>
            <w:tcW w:w="1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2,051</w:t>
            </w:r>
          </w:p>
        </w:tc>
      </w:tr>
      <w:tr>
        <w:trPr>
          <w:trHeight w:val="227"/>
        </w:trPr>
        <w:tc>
          <w:tcPr>
            <w:tcW w:w="520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Loss and LAE payments during the current period</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1,940</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1,222</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3,941</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2,132</w:t>
            </w:r>
          </w:p>
        </w:tc>
      </w:tr>
      <w:tr>
        <w:trPr>
          <w:trHeight w:val="214"/>
        </w:trPr>
        <w:tc>
          <w:tcPr>
            <w:tcW w:w="5200" w:type="dxa"/>
            <w:vAlign w:val="bottom"/>
            <w:gridSpan w:val="2"/>
          </w:tcPr>
          <w:p>
            <w:pPr>
              <w:ind w:left="20"/>
              <w:spacing w:after="0"/>
              <w:rPr>
                <w:sz w:val="20"/>
                <w:szCs w:val="20"/>
                <w:color w:val="auto"/>
              </w:rPr>
            </w:pPr>
            <w:r>
              <w:rPr>
                <w:rFonts w:ascii="Arial" w:cs="Arial" w:eastAsia="Arial" w:hAnsi="Arial"/>
                <w:sz w:val="17"/>
                <w:szCs w:val="17"/>
                <w:color w:val="auto"/>
              </w:rPr>
              <w:t>Net reserve for losses and LAE at end of period</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198,985</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196,316</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198,985</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196,316</w:t>
            </w:r>
          </w:p>
        </w:tc>
      </w:tr>
      <w:tr>
        <w:trPr>
          <w:trHeight w:val="221"/>
        </w:trPr>
        <w:tc>
          <w:tcPr>
            <w:tcW w:w="52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Plus: Reinsurance recoverables</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17,958</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13,657</w:t>
            </w:r>
          </w:p>
        </w:tc>
        <w:tc>
          <w:tcPr>
            <w:tcW w:w="12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17,958</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13,657</w:t>
            </w:r>
          </w:p>
        </w:tc>
      </w:tr>
      <w:tr>
        <w:trPr>
          <w:trHeight w:val="227"/>
        </w:trPr>
        <w:tc>
          <w:tcPr>
            <w:tcW w:w="5200" w:type="dxa"/>
            <w:vAlign w:val="bottom"/>
            <w:gridSpan w:val="2"/>
          </w:tcPr>
          <w:p>
            <w:pPr>
              <w:ind w:left="20"/>
              <w:spacing w:after="0"/>
              <w:rPr>
                <w:sz w:val="20"/>
                <w:szCs w:val="20"/>
                <w:color w:val="auto"/>
              </w:rPr>
            </w:pPr>
            <w:r>
              <w:rPr>
                <w:rFonts w:ascii="Arial" w:cs="Arial" w:eastAsia="Arial" w:hAnsi="Arial"/>
                <w:sz w:val="17"/>
                <w:szCs w:val="17"/>
                <w:color w:val="auto"/>
              </w:rPr>
              <w:t>Reserve for losses and LAE at end of period</w:t>
            </w:r>
          </w:p>
        </w:tc>
        <w:tc>
          <w:tcPr>
            <w:tcW w:w="340" w:type="dxa"/>
            <w:vAlign w:val="bottom"/>
          </w:tcPr>
          <w:p>
            <w:pPr>
              <w:jc w:val="right"/>
              <w:ind w:right="133"/>
              <w:spacing w:after="0"/>
              <w:rPr>
                <w:sz w:val="20"/>
                <w:szCs w:val="20"/>
                <w:color w:val="auto"/>
              </w:rPr>
            </w:pPr>
            <w:r>
              <w:rPr>
                <w:rFonts w:ascii="Arial" w:cs="Arial" w:eastAsia="Arial" w:hAnsi="Arial"/>
                <w:sz w:val="17"/>
                <w:szCs w:val="17"/>
                <w:color w:val="auto"/>
              </w:rPr>
              <w:t>$</w:t>
            </w:r>
          </w:p>
        </w:tc>
        <w:tc>
          <w:tcPr>
            <w:tcW w:w="1100" w:type="dxa"/>
            <w:vAlign w:val="bottom"/>
          </w:tcPr>
          <w:p>
            <w:pPr>
              <w:jc w:val="right"/>
              <w:spacing w:after="0"/>
              <w:rPr>
                <w:sz w:val="20"/>
                <w:szCs w:val="20"/>
                <w:color w:val="auto"/>
              </w:rPr>
            </w:pPr>
            <w:r>
              <w:rPr>
                <w:rFonts w:ascii="Arial" w:cs="Arial" w:eastAsia="Arial" w:hAnsi="Arial"/>
                <w:sz w:val="17"/>
                <w:szCs w:val="17"/>
                <w:color w:val="auto"/>
              </w:rPr>
              <w:t>216,943</w:t>
            </w:r>
          </w:p>
        </w:tc>
        <w:tc>
          <w:tcPr>
            <w:tcW w:w="44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1080" w:type="dxa"/>
            <w:vAlign w:val="bottom"/>
          </w:tcPr>
          <w:p>
            <w:pPr>
              <w:jc w:val="right"/>
              <w:spacing w:after="0"/>
              <w:rPr>
                <w:sz w:val="20"/>
                <w:szCs w:val="20"/>
                <w:color w:val="auto"/>
              </w:rPr>
            </w:pPr>
            <w:r>
              <w:rPr>
                <w:rFonts w:ascii="Arial" w:cs="Arial" w:eastAsia="Arial" w:hAnsi="Arial"/>
                <w:sz w:val="17"/>
                <w:szCs w:val="17"/>
                <w:color w:val="auto"/>
              </w:rPr>
              <w:t>209,973</w:t>
            </w:r>
          </w:p>
        </w:tc>
        <w:tc>
          <w:tcPr>
            <w:tcW w:w="46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1100" w:type="dxa"/>
            <w:vAlign w:val="bottom"/>
          </w:tcPr>
          <w:p>
            <w:pPr>
              <w:jc w:val="right"/>
              <w:spacing w:after="0"/>
              <w:rPr>
                <w:sz w:val="20"/>
                <w:szCs w:val="20"/>
                <w:color w:val="auto"/>
              </w:rPr>
            </w:pPr>
            <w:r>
              <w:rPr>
                <w:rFonts w:ascii="Arial" w:cs="Arial" w:eastAsia="Arial" w:hAnsi="Arial"/>
                <w:sz w:val="17"/>
                <w:szCs w:val="17"/>
                <w:color w:val="auto"/>
              </w:rPr>
              <w:t>216,943</w:t>
            </w:r>
          </w:p>
        </w:tc>
        <w:tc>
          <w:tcPr>
            <w:tcW w:w="44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1080" w:type="dxa"/>
            <w:vAlign w:val="bottom"/>
          </w:tcPr>
          <w:p>
            <w:pPr>
              <w:jc w:val="right"/>
              <w:spacing w:after="0"/>
              <w:rPr>
                <w:sz w:val="20"/>
                <w:szCs w:val="20"/>
                <w:color w:val="auto"/>
              </w:rPr>
            </w:pPr>
            <w:r>
              <w:rPr>
                <w:rFonts w:ascii="Arial" w:cs="Arial" w:eastAsia="Arial" w:hAnsi="Arial"/>
                <w:sz w:val="17"/>
                <w:szCs w:val="17"/>
                <w:color w:val="auto"/>
              </w:rPr>
              <w:t>209,973</w:t>
            </w:r>
          </w:p>
        </w:tc>
      </w:tr>
      <w:tr>
        <w:trPr>
          <w:trHeight w:val="20"/>
        </w:trPr>
        <w:tc>
          <w:tcPr>
            <w:tcW w:w="5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r>
    </w:tbl>
    <w:p>
      <w:pPr>
        <w:spacing w:after="0" w:line="299" w:lineRule="exact"/>
        <w:rPr>
          <w:sz w:val="20"/>
          <w:szCs w:val="20"/>
          <w:color w:val="auto"/>
        </w:rPr>
      </w:pPr>
    </w:p>
    <w:p>
      <w:pPr>
        <w:ind w:right="560" w:firstLine="623"/>
        <w:spacing w:after="0" w:line="285" w:lineRule="auto"/>
        <w:rPr>
          <w:sz w:val="20"/>
          <w:szCs w:val="20"/>
          <w:color w:val="auto"/>
        </w:rPr>
      </w:pPr>
      <w:r>
        <w:rPr>
          <w:rFonts w:ascii="Arial" w:cs="Arial" w:eastAsia="Arial" w:hAnsi="Arial"/>
          <w:sz w:val="17"/>
          <w:szCs w:val="17"/>
          <w:color w:val="auto"/>
        </w:rPr>
        <w:t>The following tables provide a detail of reserves and defaulted RIF by the number of missed payments and pending claims for our U.S. mortgage insurance portfolio:</w:t>
      </w:r>
    </w:p>
    <w:p>
      <w:pPr>
        <w:spacing w:after="0" w:line="71"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21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320" w:type="dxa"/>
            <w:vAlign w:val="bottom"/>
            <w:gridSpan w:val="3"/>
          </w:tcPr>
          <w:p>
            <w:pPr>
              <w:jc w:val="right"/>
              <w:ind w:right="565"/>
              <w:spacing w:after="0"/>
              <w:rPr>
                <w:sz w:val="20"/>
                <w:szCs w:val="20"/>
                <w:color w:val="auto"/>
              </w:rPr>
            </w:pPr>
            <w:r>
              <w:rPr>
                <w:rFonts w:ascii="Arial" w:cs="Arial" w:eastAsia="Arial" w:hAnsi="Arial"/>
                <w:sz w:val="14"/>
                <w:szCs w:val="14"/>
                <w:b w:val="1"/>
                <w:bCs w:val="1"/>
                <w:color w:val="auto"/>
              </w:rPr>
              <w:t>As of June 30, 2023</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
        </w:trPr>
        <w:tc>
          <w:tcPr>
            <w:tcW w:w="2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3"/>
        </w:trPr>
        <w:tc>
          <w:tcPr>
            <w:tcW w:w="218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00" w:type="dxa"/>
            <w:vAlign w:val="bottom"/>
          </w:tcPr>
          <w:p>
            <w:pPr>
              <w:jc w:val="center"/>
              <w:spacing w:after="0" w:line="123" w:lineRule="exact"/>
              <w:rPr>
                <w:sz w:val="20"/>
                <w:szCs w:val="20"/>
                <w:color w:val="auto"/>
              </w:rPr>
            </w:pPr>
            <w:r>
              <w:rPr>
                <w:rFonts w:ascii="Arial" w:cs="Arial" w:eastAsia="Arial" w:hAnsi="Arial"/>
                <w:sz w:val="14"/>
                <w:szCs w:val="14"/>
                <w:b w:val="1"/>
                <w:bCs w:val="1"/>
                <w:color w:val="auto"/>
                <w:w w:val="91"/>
              </w:rPr>
              <w:t>Number of</w:t>
            </w:r>
          </w:p>
        </w:tc>
        <w:tc>
          <w:tcPr>
            <w:tcW w:w="100" w:type="dxa"/>
            <w:vAlign w:val="bottom"/>
          </w:tcPr>
          <w:p>
            <w:pPr>
              <w:spacing w:after="0"/>
              <w:rPr>
                <w:sz w:val="10"/>
                <w:szCs w:val="10"/>
                <w:color w:val="auto"/>
              </w:rPr>
            </w:pPr>
          </w:p>
        </w:tc>
        <w:tc>
          <w:tcPr>
            <w:tcW w:w="1300" w:type="dxa"/>
            <w:vAlign w:val="bottom"/>
          </w:tcPr>
          <w:p>
            <w:pPr>
              <w:jc w:val="center"/>
              <w:spacing w:after="0" w:line="123" w:lineRule="exact"/>
              <w:rPr>
                <w:sz w:val="20"/>
                <w:szCs w:val="20"/>
                <w:color w:val="auto"/>
              </w:rPr>
            </w:pPr>
            <w:r>
              <w:rPr>
                <w:rFonts w:ascii="Arial" w:cs="Arial" w:eastAsia="Arial" w:hAnsi="Arial"/>
                <w:sz w:val="14"/>
                <w:szCs w:val="14"/>
                <w:b w:val="1"/>
                <w:bCs w:val="1"/>
                <w:color w:val="auto"/>
                <w:w w:val="86"/>
              </w:rPr>
              <w:t>Percentage of</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80" w:type="dxa"/>
            <w:vAlign w:val="bottom"/>
            <w:vMerge w:val="restart"/>
          </w:tcPr>
          <w:p>
            <w:pPr>
              <w:jc w:val="right"/>
              <w:ind w:right="118"/>
              <w:spacing w:after="0"/>
              <w:rPr>
                <w:sz w:val="20"/>
                <w:szCs w:val="20"/>
                <w:color w:val="auto"/>
              </w:rPr>
            </w:pPr>
            <w:r>
              <w:rPr>
                <w:rFonts w:ascii="Arial" w:cs="Arial" w:eastAsia="Arial" w:hAnsi="Arial"/>
                <w:sz w:val="14"/>
                <w:szCs w:val="14"/>
                <w:b w:val="1"/>
                <w:bCs w:val="1"/>
                <w:color w:val="auto"/>
                <w:w w:val="94"/>
              </w:rPr>
              <w:t>Amount of</w:t>
            </w:r>
          </w:p>
        </w:tc>
        <w:tc>
          <w:tcPr>
            <w:tcW w:w="100" w:type="dxa"/>
            <w:vAlign w:val="bottom"/>
          </w:tcPr>
          <w:p>
            <w:pPr>
              <w:spacing w:after="0"/>
              <w:rPr>
                <w:sz w:val="10"/>
                <w:szCs w:val="10"/>
                <w:color w:val="auto"/>
              </w:rPr>
            </w:pPr>
          </w:p>
        </w:tc>
        <w:tc>
          <w:tcPr>
            <w:tcW w:w="1340" w:type="dxa"/>
            <w:vAlign w:val="bottom"/>
            <w:vMerge w:val="restart"/>
          </w:tcPr>
          <w:p>
            <w:pPr>
              <w:jc w:val="right"/>
              <w:ind w:right="205"/>
              <w:spacing w:after="0"/>
              <w:rPr>
                <w:sz w:val="20"/>
                <w:szCs w:val="20"/>
                <w:color w:val="auto"/>
              </w:rPr>
            </w:pPr>
            <w:r>
              <w:rPr>
                <w:rFonts w:ascii="Arial" w:cs="Arial" w:eastAsia="Arial" w:hAnsi="Arial"/>
                <w:sz w:val="14"/>
                <w:szCs w:val="14"/>
                <w:b w:val="1"/>
                <w:bCs w:val="1"/>
                <w:color w:val="auto"/>
              </w:rPr>
              <w:t>Percentage of</w:t>
            </w: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20" w:type="dxa"/>
            <w:vAlign w:val="bottom"/>
            <w:vMerge w:val="restart"/>
          </w:tcPr>
          <w:p>
            <w:pPr>
              <w:jc w:val="right"/>
              <w:ind w:right="178"/>
              <w:spacing w:after="0"/>
              <w:rPr>
                <w:sz w:val="20"/>
                <w:szCs w:val="20"/>
                <w:color w:val="auto"/>
              </w:rPr>
            </w:pPr>
            <w:r>
              <w:rPr>
                <w:rFonts w:ascii="Arial" w:cs="Arial" w:eastAsia="Arial" w:hAnsi="Arial"/>
                <w:sz w:val="14"/>
                <w:szCs w:val="14"/>
                <w:b w:val="1"/>
                <w:bCs w:val="1"/>
                <w:color w:val="auto"/>
              </w:rPr>
              <w:t>Defaulted</w:t>
            </w:r>
          </w:p>
        </w:tc>
        <w:tc>
          <w:tcPr>
            <w:tcW w:w="100" w:type="dxa"/>
            <w:vAlign w:val="bottom"/>
          </w:tcPr>
          <w:p>
            <w:pPr>
              <w:spacing w:after="0"/>
              <w:rPr>
                <w:sz w:val="10"/>
                <w:szCs w:val="10"/>
                <w:color w:val="auto"/>
              </w:rPr>
            </w:pPr>
          </w:p>
        </w:tc>
        <w:tc>
          <w:tcPr>
            <w:tcW w:w="1340" w:type="dxa"/>
            <w:vAlign w:val="bottom"/>
          </w:tcPr>
          <w:p>
            <w:pPr>
              <w:jc w:val="center"/>
              <w:spacing w:after="0" w:line="123" w:lineRule="exact"/>
              <w:rPr>
                <w:sz w:val="20"/>
                <w:szCs w:val="20"/>
                <w:color w:val="auto"/>
              </w:rPr>
            </w:pPr>
            <w:r>
              <w:rPr>
                <w:rFonts w:ascii="Arial" w:cs="Arial" w:eastAsia="Arial" w:hAnsi="Arial"/>
                <w:sz w:val="14"/>
                <w:szCs w:val="14"/>
                <w:b w:val="1"/>
                <w:bCs w:val="1"/>
                <w:color w:val="auto"/>
                <w:w w:val="83"/>
              </w:rPr>
              <w:t>Reserves as a</w:t>
            </w:r>
          </w:p>
        </w:tc>
        <w:tc>
          <w:tcPr>
            <w:tcW w:w="0" w:type="dxa"/>
            <w:vAlign w:val="bottom"/>
          </w:tcPr>
          <w:p>
            <w:pPr>
              <w:spacing w:after="0"/>
              <w:rPr>
                <w:sz w:val="1"/>
                <w:szCs w:val="1"/>
                <w:color w:val="auto"/>
              </w:rPr>
            </w:pPr>
          </w:p>
        </w:tc>
      </w:tr>
      <w:tr>
        <w:trPr>
          <w:trHeight w:val="133"/>
        </w:trPr>
        <w:tc>
          <w:tcPr>
            <w:tcW w:w="348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 in thousands)</w:t>
            </w:r>
          </w:p>
        </w:tc>
        <w:tc>
          <w:tcPr>
            <w:tcW w:w="110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86"/>
              </w:rPr>
              <w:t>Policies in</w:t>
            </w:r>
          </w:p>
        </w:tc>
        <w:tc>
          <w:tcPr>
            <w:tcW w:w="100" w:type="dxa"/>
            <w:vAlign w:val="bottom"/>
          </w:tcPr>
          <w:p>
            <w:pPr>
              <w:spacing w:after="0"/>
              <w:rPr>
                <w:sz w:val="11"/>
                <w:szCs w:val="11"/>
                <w:color w:val="auto"/>
              </w:rPr>
            </w:pPr>
          </w:p>
        </w:tc>
        <w:tc>
          <w:tcPr>
            <w:tcW w:w="130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86"/>
              </w:rPr>
              <w:t>Policies in</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34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34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88"/>
              </w:rPr>
              <w:t>Percentage of</w:t>
            </w:r>
          </w:p>
        </w:tc>
        <w:tc>
          <w:tcPr>
            <w:tcW w:w="0" w:type="dxa"/>
            <w:vAlign w:val="bottom"/>
          </w:tcPr>
          <w:p>
            <w:pPr>
              <w:spacing w:after="0"/>
              <w:rPr>
                <w:sz w:val="1"/>
                <w:szCs w:val="1"/>
                <w:color w:val="auto"/>
              </w:rPr>
            </w:pPr>
          </w:p>
        </w:tc>
      </w:tr>
      <w:tr>
        <w:trPr>
          <w:trHeight w:val="179"/>
        </w:trPr>
        <w:tc>
          <w:tcPr>
            <w:tcW w:w="3480" w:type="dxa"/>
            <w:vAlign w:val="bottom"/>
            <w:gridSpan w:val="3"/>
            <w:vMerge w:val="continue"/>
          </w:tcPr>
          <w:p>
            <w:pPr>
              <w:spacing w:after="0"/>
              <w:rPr>
                <w:sz w:val="15"/>
                <w:szCs w:val="15"/>
                <w:color w:val="auto"/>
              </w:rPr>
            </w:pPr>
          </w:p>
        </w:tc>
        <w:tc>
          <w:tcPr>
            <w:tcW w:w="1100" w:type="dxa"/>
            <w:vAlign w:val="bottom"/>
          </w:tcPr>
          <w:p>
            <w:pPr>
              <w:jc w:val="center"/>
              <w:spacing w:after="0"/>
              <w:rPr>
                <w:sz w:val="20"/>
                <w:szCs w:val="20"/>
                <w:color w:val="auto"/>
              </w:rPr>
            </w:pPr>
            <w:r>
              <w:rPr>
                <w:rFonts w:ascii="Arial" w:cs="Arial" w:eastAsia="Arial" w:hAnsi="Arial"/>
                <w:sz w:val="14"/>
                <w:szCs w:val="14"/>
                <w:b w:val="1"/>
                <w:bCs w:val="1"/>
                <w:color w:val="auto"/>
                <w:w w:val="92"/>
              </w:rPr>
              <w:t>Default</w:t>
            </w:r>
          </w:p>
        </w:tc>
        <w:tc>
          <w:tcPr>
            <w:tcW w:w="100" w:type="dxa"/>
            <w:vAlign w:val="bottom"/>
          </w:tcPr>
          <w:p>
            <w:pPr>
              <w:spacing w:after="0"/>
              <w:rPr>
                <w:sz w:val="15"/>
                <w:szCs w:val="15"/>
                <w:color w:val="auto"/>
              </w:rPr>
            </w:pPr>
          </w:p>
        </w:tc>
        <w:tc>
          <w:tcPr>
            <w:tcW w:w="1300" w:type="dxa"/>
            <w:vAlign w:val="bottom"/>
          </w:tcPr>
          <w:p>
            <w:pPr>
              <w:jc w:val="center"/>
              <w:spacing w:after="0"/>
              <w:rPr>
                <w:sz w:val="20"/>
                <w:szCs w:val="20"/>
                <w:color w:val="auto"/>
              </w:rPr>
            </w:pPr>
            <w:r>
              <w:rPr>
                <w:rFonts w:ascii="Arial" w:cs="Arial" w:eastAsia="Arial" w:hAnsi="Arial"/>
                <w:sz w:val="14"/>
                <w:szCs w:val="14"/>
                <w:b w:val="1"/>
                <w:bCs w:val="1"/>
                <w:color w:val="auto"/>
                <w:w w:val="92"/>
              </w:rPr>
              <w:t>Default</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jc w:val="right"/>
              <w:ind w:right="158"/>
              <w:spacing w:after="0"/>
              <w:rPr>
                <w:sz w:val="20"/>
                <w:szCs w:val="20"/>
                <w:color w:val="auto"/>
              </w:rPr>
            </w:pPr>
            <w:r>
              <w:rPr>
                <w:rFonts w:ascii="Arial" w:cs="Arial" w:eastAsia="Arial" w:hAnsi="Arial"/>
                <w:sz w:val="14"/>
                <w:szCs w:val="14"/>
                <w:b w:val="1"/>
                <w:bCs w:val="1"/>
                <w:color w:val="auto"/>
                <w:w w:val="99"/>
              </w:rPr>
              <w:t>Reserves</w:t>
            </w:r>
          </w:p>
        </w:tc>
        <w:tc>
          <w:tcPr>
            <w:tcW w:w="100" w:type="dxa"/>
            <w:vAlign w:val="bottom"/>
          </w:tcPr>
          <w:p>
            <w:pPr>
              <w:spacing w:after="0"/>
              <w:rPr>
                <w:sz w:val="15"/>
                <w:szCs w:val="15"/>
                <w:color w:val="auto"/>
              </w:rPr>
            </w:pPr>
          </w:p>
        </w:tc>
        <w:tc>
          <w:tcPr>
            <w:tcW w:w="1340" w:type="dxa"/>
            <w:vAlign w:val="bottom"/>
          </w:tcPr>
          <w:p>
            <w:pPr>
              <w:jc w:val="right"/>
              <w:ind w:right="325"/>
              <w:spacing w:after="0"/>
              <w:rPr>
                <w:sz w:val="20"/>
                <w:szCs w:val="20"/>
                <w:color w:val="auto"/>
              </w:rPr>
            </w:pPr>
            <w:r>
              <w:rPr>
                <w:rFonts w:ascii="Arial" w:cs="Arial" w:eastAsia="Arial" w:hAnsi="Arial"/>
                <w:sz w:val="14"/>
                <w:szCs w:val="14"/>
                <w:b w:val="1"/>
                <w:bCs w:val="1"/>
                <w:color w:val="auto"/>
              </w:rPr>
              <w:t>Reserves</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tcPr>
          <w:p>
            <w:pPr>
              <w:jc w:val="right"/>
              <w:ind w:right="358"/>
              <w:spacing w:after="0"/>
              <w:rPr>
                <w:sz w:val="20"/>
                <w:szCs w:val="20"/>
                <w:color w:val="auto"/>
              </w:rPr>
            </w:pPr>
            <w:r>
              <w:rPr>
                <w:rFonts w:ascii="Arial" w:cs="Arial" w:eastAsia="Arial" w:hAnsi="Arial"/>
                <w:sz w:val="14"/>
                <w:szCs w:val="14"/>
                <w:b w:val="1"/>
                <w:bCs w:val="1"/>
                <w:color w:val="auto"/>
              </w:rPr>
              <w:t>RIF</w:t>
            </w:r>
          </w:p>
        </w:tc>
        <w:tc>
          <w:tcPr>
            <w:tcW w:w="100" w:type="dxa"/>
            <w:vAlign w:val="bottom"/>
          </w:tcPr>
          <w:p>
            <w:pPr>
              <w:spacing w:after="0"/>
              <w:rPr>
                <w:sz w:val="15"/>
                <w:szCs w:val="15"/>
                <w:color w:val="auto"/>
              </w:rPr>
            </w:pPr>
          </w:p>
        </w:tc>
        <w:tc>
          <w:tcPr>
            <w:tcW w:w="1340" w:type="dxa"/>
            <w:vAlign w:val="bottom"/>
          </w:tcPr>
          <w:p>
            <w:pPr>
              <w:jc w:val="center"/>
              <w:spacing w:after="0"/>
              <w:rPr>
                <w:sz w:val="20"/>
                <w:szCs w:val="20"/>
                <w:color w:val="auto"/>
              </w:rPr>
            </w:pPr>
            <w:r>
              <w:rPr>
                <w:rFonts w:ascii="Arial" w:cs="Arial" w:eastAsia="Arial" w:hAnsi="Arial"/>
                <w:sz w:val="14"/>
                <w:szCs w:val="14"/>
                <w:b w:val="1"/>
                <w:bCs w:val="1"/>
                <w:color w:val="auto"/>
                <w:w w:val="95"/>
              </w:rPr>
              <w:t>Defaulted RIF</w:t>
            </w:r>
          </w:p>
        </w:tc>
        <w:tc>
          <w:tcPr>
            <w:tcW w:w="0" w:type="dxa"/>
            <w:vAlign w:val="bottom"/>
          </w:tcPr>
          <w:p>
            <w:pPr>
              <w:spacing w:after="0"/>
              <w:rPr>
                <w:sz w:val="1"/>
                <w:szCs w:val="1"/>
                <w:color w:val="auto"/>
              </w:rPr>
            </w:pPr>
          </w:p>
        </w:tc>
      </w:tr>
      <w:tr>
        <w:trPr>
          <w:trHeight w:val="25"/>
        </w:trPr>
        <w:tc>
          <w:tcPr>
            <w:tcW w:w="2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4"/>
        </w:trPr>
        <w:tc>
          <w:tcPr>
            <w:tcW w:w="3480" w:type="dxa"/>
            <w:vAlign w:val="bottom"/>
            <w:gridSpan w:val="3"/>
            <w:shd w:val="clear" w:color="auto" w:fill="CCEEFF"/>
          </w:tcPr>
          <w:p>
            <w:pPr>
              <w:ind w:left="20"/>
              <w:spacing w:after="0"/>
              <w:rPr>
                <w:sz w:val="20"/>
                <w:szCs w:val="20"/>
                <w:color w:val="auto"/>
              </w:rPr>
            </w:pPr>
            <w:r>
              <w:rPr>
                <w:rFonts w:ascii="Arial" w:cs="Arial" w:eastAsia="Arial" w:hAnsi="Arial"/>
                <w:sz w:val="17"/>
                <w:szCs w:val="17"/>
                <w:color w:val="auto"/>
              </w:rPr>
              <w:t>Missed payments:</w:t>
            </w: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3480" w:type="dxa"/>
            <w:vAlign w:val="bottom"/>
            <w:gridSpan w:val="3"/>
          </w:tcPr>
          <w:p>
            <w:pPr>
              <w:ind w:left="140"/>
              <w:spacing w:after="0"/>
              <w:rPr>
                <w:sz w:val="20"/>
                <w:szCs w:val="20"/>
                <w:color w:val="auto"/>
              </w:rPr>
            </w:pPr>
            <w:r>
              <w:rPr>
                <w:rFonts w:ascii="Arial" w:cs="Arial" w:eastAsia="Arial" w:hAnsi="Arial"/>
                <w:sz w:val="17"/>
                <w:szCs w:val="17"/>
                <w:color w:val="auto"/>
              </w:rPr>
              <w:t>Three payments or less</w:t>
            </w:r>
          </w:p>
        </w:tc>
        <w:tc>
          <w:tcPr>
            <w:tcW w:w="1100" w:type="dxa"/>
            <w:vAlign w:val="bottom"/>
          </w:tcPr>
          <w:p>
            <w:pPr>
              <w:jc w:val="right"/>
              <w:spacing w:after="0"/>
              <w:rPr>
                <w:sz w:val="20"/>
                <w:szCs w:val="20"/>
                <w:color w:val="auto"/>
              </w:rPr>
            </w:pPr>
            <w:r>
              <w:rPr>
                <w:rFonts w:ascii="Arial" w:cs="Arial" w:eastAsia="Arial" w:hAnsi="Arial"/>
                <w:sz w:val="17"/>
                <w:szCs w:val="17"/>
                <w:color w:val="auto"/>
              </w:rPr>
              <w:t>5,581</w:t>
            </w:r>
          </w:p>
        </w:tc>
        <w:tc>
          <w:tcPr>
            <w:tcW w:w="1400" w:type="dxa"/>
            <w:vAlign w:val="bottom"/>
            <w:gridSpan w:val="2"/>
          </w:tcPr>
          <w:p>
            <w:pPr>
              <w:jc w:val="right"/>
              <w:spacing w:after="0"/>
              <w:rPr>
                <w:sz w:val="20"/>
                <w:szCs w:val="20"/>
                <w:color w:val="auto"/>
              </w:rPr>
            </w:pPr>
            <w:r>
              <w:rPr>
                <w:rFonts w:ascii="Arial" w:cs="Arial" w:eastAsia="Arial" w:hAnsi="Arial"/>
                <w:sz w:val="17"/>
                <w:szCs w:val="17"/>
                <w:color w:val="auto"/>
              </w:rPr>
              <w:t>45 %</w:t>
            </w:r>
          </w:p>
        </w:tc>
        <w:tc>
          <w:tcPr>
            <w:tcW w:w="240" w:type="dxa"/>
            <w:vAlign w:val="bottom"/>
            <w:gridSpan w:val="2"/>
          </w:tcPr>
          <w:p>
            <w:pPr>
              <w:jc w:val="right"/>
              <w:ind w:right="40"/>
              <w:spacing w:after="0"/>
              <w:rPr>
                <w:sz w:val="20"/>
                <w:szCs w:val="20"/>
                <w:color w:val="auto"/>
              </w:rPr>
            </w:pPr>
            <w:r>
              <w:rPr>
                <w:rFonts w:ascii="Arial" w:cs="Arial" w:eastAsia="Arial" w:hAnsi="Arial"/>
                <w:sz w:val="17"/>
                <w:szCs w:val="17"/>
                <w:color w:val="auto"/>
              </w:rPr>
              <w:t>$</w:t>
            </w:r>
          </w:p>
        </w:tc>
        <w:tc>
          <w:tcPr>
            <w:tcW w:w="880" w:type="dxa"/>
            <w:vAlign w:val="bottom"/>
          </w:tcPr>
          <w:p>
            <w:pPr>
              <w:jc w:val="right"/>
              <w:spacing w:after="0"/>
              <w:rPr>
                <w:sz w:val="20"/>
                <w:szCs w:val="20"/>
                <w:color w:val="auto"/>
              </w:rPr>
            </w:pPr>
            <w:r>
              <w:rPr>
                <w:rFonts w:ascii="Arial" w:cs="Arial" w:eastAsia="Arial" w:hAnsi="Arial"/>
                <w:sz w:val="17"/>
                <w:szCs w:val="17"/>
                <w:color w:val="auto"/>
              </w:rPr>
              <w:t>33,864</w:t>
            </w:r>
          </w:p>
        </w:tc>
        <w:tc>
          <w:tcPr>
            <w:tcW w:w="1440" w:type="dxa"/>
            <w:vAlign w:val="bottom"/>
            <w:gridSpan w:val="2"/>
          </w:tcPr>
          <w:p>
            <w:pPr>
              <w:jc w:val="right"/>
              <w:spacing w:after="0"/>
              <w:rPr>
                <w:sz w:val="20"/>
                <w:szCs w:val="20"/>
                <w:color w:val="auto"/>
              </w:rPr>
            </w:pPr>
            <w:r>
              <w:rPr>
                <w:rFonts w:ascii="Arial" w:cs="Arial" w:eastAsia="Arial" w:hAnsi="Arial"/>
                <w:sz w:val="17"/>
                <w:szCs w:val="17"/>
                <w:color w:val="auto"/>
              </w:rPr>
              <w:t>17 %</w:t>
            </w:r>
          </w:p>
        </w:tc>
        <w:tc>
          <w:tcPr>
            <w:tcW w:w="28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920" w:type="dxa"/>
            <w:vAlign w:val="bottom"/>
          </w:tcPr>
          <w:p>
            <w:pPr>
              <w:jc w:val="right"/>
              <w:spacing w:after="0"/>
              <w:rPr>
                <w:sz w:val="20"/>
                <w:szCs w:val="20"/>
                <w:color w:val="auto"/>
              </w:rPr>
            </w:pPr>
            <w:r>
              <w:rPr>
                <w:rFonts w:ascii="Arial" w:cs="Arial" w:eastAsia="Arial" w:hAnsi="Arial"/>
                <w:sz w:val="17"/>
                <w:szCs w:val="17"/>
                <w:color w:val="auto"/>
              </w:rPr>
              <w:t>388,012</w:t>
            </w:r>
          </w:p>
        </w:tc>
        <w:tc>
          <w:tcPr>
            <w:tcW w:w="1440" w:type="dxa"/>
            <w:vAlign w:val="bottom"/>
            <w:gridSpan w:val="2"/>
          </w:tcPr>
          <w:p>
            <w:pPr>
              <w:jc w:val="right"/>
              <w:spacing w:after="0"/>
              <w:rPr>
                <w:sz w:val="20"/>
                <w:szCs w:val="20"/>
                <w:color w:val="auto"/>
              </w:rPr>
            </w:pPr>
            <w:r>
              <w:rPr>
                <w:rFonts w:ascii="Arial" w:cs="Arial" w:eastAsia="Arial" w:hAnsi="Arial"/>
                <w:sz w:val="17"/>
                <w:szCs w:val="17"/>
                <w:color w:val="auto"/>
              </w:rPr>
              <w:t>9 %</w:t>
            </w:r>
          </w:p>
        </w:tc>
        <w:tc>
          <w:tcPr>
            <w:tcW w:w="0" w:type="dxa"/>
            <w:vAlign w:val="bottom"/>
          </w:tcPr>
          <w:p>
            <w:pPr>
              <w:spacing w:after="0"/>
              <w:rPr>
                <w:sz w:val="1"/>
                <w:szCs w:val="1"/>
                <w:color w:val="auto"/>
              </w:rPr>
            </w:pPr>
          </w:p>
        </w:tc>
      </w:tr>
      <w:tr>
        <w:trPr>
          <w:trHeight w:val="221"/>
        </w:trPr>
        <w:tc>
          <w:tcPr>
            <w:tcW w:w="3480" w:type="dxa"/>
            <w:vAlign w:val="bottom"/>
            <w:gridSpan w:val="3"/>
            <w:shd w:val="clear" w:color="auto" w:fill="CCEEFF"/>
          </w:tcPr>
          <w:p>
            <w:pPr>
              <w:ind w:left="140"/>
              <w:spacing w:after="0"/>
              <w:rPr>
                <w:sz w:val="20"/>
                <w:szCs w:val="20"/>
                <w:color w:val="auto"/>
              </w:rPr>
            </w:pPr>
            <w:r>
              <w:rPr>
                <w:rFonts w:ascii="Arial" w:cs="Arial" w:eastAsia="Arial" w:hAnsi="Arial"/>
                <w:sz w:val="17"/>
                <w:szCs w:val="17"/>
                <w:color w:val="auto"/>
              </w:rPr>
              <w:t>Four to eleven payments</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4,725</w:t>
            </w:r>
          </w:p>
        </w:tc>
        <w:tc>
          <w:tcPr>
            <w:tcW w:w="1400" w:type="dxa"/>
            <w:vAlign w:val="bottom"/>
            <w:gridSpan w:val="2"/>
            <w:shd w:val="clear" w:color="auto" w:fill="CCEEFF"/>
          </w:tcPr>
          <w:p>
            <w:pPr>
              <w:jc w:val="right"/>
              <w:ind w:right="146"/>
              <w:spacing w:after="0"/>
              <w:rPr>
                <w:sz w:val="20"/>
                <w:szCs w:val="20"/>
                <w:color w:val="auto"/>
              </w:rPr>
            </w:pPr>
            <w:r>
              <w:rPr>
                <w:rFonts w:ascii="Arial" w:cs="Arial" w:eastAsia="Arial" w:hAnsi="Arial"/>
                <w:sz w:val="17"/>
                <w:szCs w:val="17"/>
                <w:color w:val="auto"/>
              </w:rPr>
              <w:t>38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82,196</w:t>
            </w:r>
          </w:p>
        </w:tc>
        <w:tc>
          <w:tcPr>
            <w:tcW w:w="1440" w:type="dxa"/>
            <w:vAlign w:val="bottom"/>
            <w:gridSpan w:val="2"/>
            <w:shd w:val="clear" w:color="auto" w:fill="CCEEFF"/>
          </w:tcPr>
          <w:p>
            <w:pPr>
              <w:jc w:val="right"/>
              <w:ind w:right="145"/>
              <w:spacing w:after="0"/>
              <w:rPr>
                <w:sz w:val="20"/>
                <w:szCs w:val="20"/>
                <w:color w:val="auto"/>
              </w:rPr>
            </w:pPr>
            <w:r>
              <w:rPr>
                <w:rFonts w:ascii="Arial" w:cs="Arial" w:eastAsia="Arial" w:hAnsi="Arial"/>
                <w:sz w:val="17"/>
                <w:szCs w:val="17"/>
                <w:color w:val="auto"/>
              </w:rPr>
              <w:t>41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348,955</w:t>
            </w:r>
          </w:p>
        </w:tc>
        <w:tc>
          <w:tcPr>
            <w:tcW w:w="1440" w:type="dxa"/>
            <w:vAlign w:val="bottom"/>
            <w:gridSpan w:val="2"/>
            <w:shd w:val="clear" w:color="auto" w:fill="CCEEFF"/>
          </w:tcPr>
          <w:p>
            <w:pPr>
              <w:jc w:val="right"/>
              <w:ind w:right="151"/>
              <w:spacing w:after="0"/>
              <w:rPr>
                <w:sz w:val="20"/>
                <w:szCs w:val="20"/>
                <w:color w:val="auto"/>
              </w:rPr>
            </w:pPr>
            <w:r>
              <w:rPr>
                <w:rFonts w:ascii="Arial" w:cs="Arial" w:eastAsia="Arial" w:hAnsi="Arial"/>
                <w:sz w:val="17"/>
                <w:szCs w:val="17"/>
                <w:color w:val="auto"/>
              </w:rPr>
              <w:t>24</w:t>
            </w:r>
          </w:p>
        </w:tc>
        <w:tc>
          <w:tcPr>
            <w:tcW w:w="0" w:type="dxa"/>
            <w:vAlign w:val="bottom"/>
          </w:tcPr>
          <w:p>
            <w:pPr>
              <w:spacing w:after="0"/>
              <w:rPr>
                <w:sz w:val="1"/>
                <w:szCs w:val="1"/>
                <w:color w:val="auto"/>
              </w:rPr>
            </w:pPr>
          </w:p>
        </w:tc>
      </w:tr>
      <w:tr>
        <w:trPr>
          <w:trHeight w:val="227"/>
        </w:trPr>
        <w:tc>
          <w:tcPr>
            <w:tcW w:w="3480" w:type="dxa"/>
            <w:vAlign w:val="bottom"/>
            <w:gridSpan w:val="3"/>
          </w:tcPr>
          <w:p>
            <w:pPr>
              <w:ind w:left="140"/>
              <w:spacing w:after="0"/>
              <w:rPr>
                <w:sz w:val="20"/>
                <w:szCs w:val="20"/>
                <w:color w:val="auto"/>
              </w:rPr>
            </w:pPr>
            <w:r>
              <w:rPr>
                <w:rFonts w:ascii="Arial" w:cs="Arial" w:eastAsia="Arial" w:hAnsi="Arial"/>
                <w:sz w:val="17"/>
                <w:szCs w:val="17"/>
                <w:color w:val="auto"/>
              </w:rPr>
              <w:t>Twelve or more payments</w:t>
            </w:r>
          </w:p>
        </w:tc>
        <w:tc>
          <w:tcPr>
            <w:tcW w:w="1100" w:type="dxa"/>
            <w:vAlign w:val="bottom"/>
          </w:tcPr>
          <w:p>
            <w:pPr>
              <w:jc w:val="right"/>
              <w:spacing w:after="0"/>
              <w:rPr>
                <w:sz w:val="20"/>
                <w:szCs w:val="20"/>
                <w:color w:val="auto"/>
              </w:rPr>
            </w:pPr>
            <w:r>
              <w:rPr>
                <w:rFonts w:ascii="Arial" w:cs="Arial" w:eastAsia="Arial" w:hAnsi="Arial"/>
                <w:sz w:val="17"/>
                <w:szCs w:val="17"/>
                <w:color w:val="auto"/>
              </w:rPr>
              <w:t>2,045</w:t>
            </w:r>
          </w:p>
        </w:tc>
        <w:tc>
          <w:tcPr>
            <w:tcW w:w="1400" w:type="dxa"/>
            <w:vAlign w:val="bottom"/>
            <w:gridSpan w:val="2"/>
          </w:tcPr>
          <w:p>
            <w:pPr>
              <w:jc w:val="right"/>
              <w:ind w:right="146"/>
              <w:spacing w:after="0"/>
              <w:rPr>
                <w:sz w:val="20"/>
                <w:szCs w:val="20"/>
                <w:color w:val="auto"/>
              </w:rPr>
            </w:pPr>
            <w:r>
              <w:rPr>
                <w:rFonts w:ascii="Arial" w:cs="Arial" w:eastAsia="Arial" w:hAnsi="Arial"/>
                <w:sz w:val="17"/>
                <w:szCs w:val="17"/>
                <w:color w:val="auto"/>
              </w:rPr>
              <w:t>16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78,236</w:t>
            </w:r>
          </w:p>
        </w:tc>
        <w:tc>
          <w:tcPr>
            <w:tcW w:w="1440" w:type="dxa"/>
            <w:vAlign w:val="bottom"/>
            <w:gridSpan w:val="2"/>
          </w:tcPr>
          <w:p>
            <w:pPr>
              <w:jc w:val="right"/>
              <w:ind w:right="145"/>
              <w:spacing w:after="0"/>
              <w:rPr>
                <w:sz w:val="20"/>
                <w:szCs w:val="20"/>
                <w:color w:val="auto"/>
              </w:rPr>
            </w:pPr>
            <w:r>
              <w:rPr>
                <w:rFonts w:ascii="Arial" w:cs="Arial" w:eastAsia="Arial" w:hAnsi="Arial"/>
                <w:sz w:val="17"/>
                <w:szCs w:val="17"/>
                <w:color w:val="auto"/>
              </w:rPr>
              <w:t>39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123,903</w:t>
            </w:r>
          </w:p>
        </w:tc>
        <w:tc>
          <w:tcPr>
            <w:tcW w:w="1440" w:type="dxa"/>
            <w:vAlign w:val="bottom"/>
            <w:gridSpan w:val="2"/>
          </w:tcPr>
          <w:p>
            <w:pPr>
              <w:jc w:val="right"/>
              <w:ind w:right="151"/>
              <w:spacing w:after="0"/>
              <w:rPr>
                <w:sz w:val="20"/>
                <w:szCs w:val="20"/>
                <w:color w:val="auto"/>
              </w:rPr>
            </w:pPr>
            <w:r>
              <w:rPr>
                <w:rFonts w:ascii="Arial" w:cs="Arial" w:eastAsia="Arial" w:hAnsi="Arial"/>
                <w:sz w:val="17"/>
                <w:szCs w:val="17"/>
                <w:color w:val="auto"/>
              </w:rPr>
              <w:t>63</w:t>
            </w:r>
          </w:p>
        </w:tc>
        <w:tc>
          <w:tcPr>
            <w:tcW w:w="0" w:type="dxa"/>
            <w:vAlign w:val="bottom"/>
          </w:tcPr>
          <w:p>
            <w:pPr>
              <w:spacing w:after="0"/>
              <w:rPr>
                <w:sz w:val="1"/>
                <w:szCs w:val="1"/>
                <w:color w:val="auto"/>
              </w:rPr>
            </w:pPr>
          </w:p>
        </w:tc>
      </w:tr>
      <w:tr>
        <w:trPr>
          <w:trHeight w:val="227"/>
        </w:trPr>
        <w:tc>
          <w:tcPr>
            <w:tcW w:w="3480" w:type="dxa"/>
            <w:vAlign w:val="bottom"/>
            <w:tcBorders>
              <w:bottom w:val="single" w:sz="8" w:color="CCEEFF"/>
            </w:tcBorders>
            <w:gridSpan w:val="3"/>
            <w:shd w:val="clear" w:color="auto" w:fill="CCEEFF"/>
          </w:tcPr>
          <w:p>
            <w:pPr>
              <w:ind w:left="140"/>
              <w:spacing w:after="0"/>
              <w:rPr>
                <w:sz w:val="20"/>
                <w:szCs w:val="20"/>
                <w:color w:val="auto"/>
              </w:rPr>
            </w:pPr>
            <w:r>
              <w:rPr>
                <w:rFonts w:ascii="Arial" w:cs="Arial" w:eastAsia="Arial" w:hAnsi="Arial"/>
                <w:sz w:val="17"/>
                <w:szCs w:val="17"/>
                <w:color w:val="auto"/>
              </w:rPr>
              <w:t>Pending claims</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129</w:t>
            </w:r>
          </w:p>
        </w:tc>
        <w:tc>
          <w:tcPr>
            <w:tcW w:w="100" w:type="dxa"/>
            <w:vAlign w:val="bottom"/>
            <w:tcBorders>
              <w:bottom w:val="single" w:sz="8" w:color="CCEEFF"/>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ind w:right="146"/>
              <w:spacing w:after="0"/>
              <w:rPr>
                <w:sz w:val="20"/>
                <w:szCs w:val="20"/>
                <w:color w:val="auto"/>
              </w:rPr>
            </w:pPr>
            <w:r>
              <w:rPr>
                <w:rFonts w:ascii="Arial" w:cs="Arial" w:eastAsia="Arial" w:hAnsi="Arial"/>
                <w:sz w:val="17"/>
                <w:szCs w:val="17"/>
                <w:color w:val="auto"/>
              </w:rPr>
              <w:t>1</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5,680</w:t>
            </w:r>
          </w:p>
        </w:tc>
        <w:tc>
          <w:tcPr>
            <w:tcW w:w="100" w:type="dxa"/>
            <w:vAlign w:val="bottom"/>
            <w:tcBorders>
              <w:bottom w:val="single" w:sz="8" w:color="CCEEFF"/>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ind w:right="145"/>
              <w:spacing w:after="0"/>
              <w:rPr>
                <w:sz w:val="20"/>
                <w:szCs w:val="20"/>
                <w:color w:val="auto"/>
              </w:rPr>
            </w:pPr>
            <w:r>
              <w:rPr>
                <w:rFonts w:ascii="Arial" w:cs="Arial" w:eastAsia="Arial" w:hAnsi="Arial"/>
                <w:sz w:val="17"/>
                <w:szCs w:val="17"/>
                <w:color w:val="auto"/>
              </w:rPr>
              <w:t>3</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6,687</w:t>
            </w:r>
          </w:p>
        </w:tc>
        <w:tc>
          <w:tcPr>
            <w:tcW w:w="1440" w:type="dxa"/>
            <w:vAlign w:val="bottom"/>
            <w:tcBorders>
              <w:bottom w:val="single" w:sz="8" w:color="CCEEFF"/>
            </w:tcBorders>
            <w:gridSpan w:val="2"/>
            <w:shd w:val="clear" w:color="auto" w:fill="CCEEFF"/>
          </w:tcPr>
          <w:p>
            <w:pPr>
              <w:jc w:val="right"/>
              <w:ind w:right="151"/>
              <w:spacing w:after="0"/>
              <w:rPr>
                <w:sz w:val="20"/>
                <w:szCs w:val="20"/>
                <w:color w:val="auto"/>
              </w:rPr>
            </w:pPr>
            <w:r>
              <w:rPr>
                <w:rFonts w:ascii="Arial" w:cs="Arial" w:eastAsia="Arial" w:hAnsi="Arial"/>
                <w:sz w:val="17"/>
                <w:szCs w:val="17"/>
                <w:color w:val="auto"/>
              </w:rPr>
              <w:t>85</w:t>
            </w:r>
          </w:p>
        </w:tc>
        <w:tc>
          <w:tcPr>
            <w:tcW w:w="0" w:type="dxa"/>
            <w:vAlign w:val="bottom"/>
          </w:tcPr>
          <w:p>
            <w:pPr>
              <w:spacing w:after="0"/>
              <w:rPr>
                <w:sz w:val="1"/>
                <w:szCs w:val="1"/>
                <w:color w:val="auto"/>
              </w:rPr>
            </w:pPr>
          </w:p>
        </w:tc>
      </w:tr>
      <w:tr>
        <w:trPr>
          <w:trHeight w:val="214"/>
        </w:trPr>
        <w:tc>
          <w:tcPr>
            <w:tcW w:w="3480" w:type="dxa"/>
            <w:vAlign w:val="bottom"/>
            <w:gridSpan w:val="3"/>
          </w:tcPr>
          <w:p>
            <w:pPr>
              <w:ind w:left="220"/>
              <w:spacing w:after="0"/>
              <w:rPr>
                <w:sz w:val="20"/>
                <w:szCs w:val="20"/>
                <w:color w:val="auto"/>
              </w:rPr>
            </w:pPr>
            <w:r>
              <w:rPr>
                <w:rFonts w:ascii="Arial" w:cs="Arial" w:eastAsia="Arial" w:hAnsi="Arial"/>
                <w:sz w:val="17"/>
                <w:szCs w:val="17"/>
                <w:color w:val="auto"/>
              </w:rPr>
              <w:t xml:space="preserve">Total case reserves </w:t>
            </w:r>
            <w:r>
              <w:rPr>
                <w:rFonts w:ascii="Arial" w:cs="Arial" w:eastAsia="Arial" w:hAnsi="Arial"/>
                <w:sz w:val="17"/>
                <w:szCs w:val="17"/>
                <w:b w:val="1"/>
                <w:bCs w:val="1"/>
                <w:color w:val="auto"/>
              </w:rPr>
              <w:t>(1)</w:t>
            </w:r>
          </w:p>
        </w:tc>
        <w:tc>
          <w:tcPr>
            <w:tcW w:w="1100" w:type="dxa"/>
            <w:vAlign w:val="bottom"/>
          </w:tcPr>
          <w:p>
            <w:pPr>
              <w:jc w:val="right"/>
              <w:spacing w:after="0"/>
              <w:rPr>
                <w:sz w:val="20"/>
                <w:szCs w:val="20"/>
                <w:color w:val="auto"/>
              </w:rPr>
            </w:pPr>
            <w:r>
              <w:rPr>
                <w:rFonts w:ascii="Arial" w:cs="Arial" w:eastAsia="Arial" w:hAnsi="Arial"/>
                <w:sz w:val="17"/>
                <w:szCs w:val="17"/>
                <w:color w:val="auto"/>
              </w:rPr>
              <w:t>12,480</w:t>
            </w:r>
          </w:p>
        </w:tc>
        <w:tc>
          <w:tcPr>
            <w:tcW w:w="1400" w:type="dxa"/>
            <w:vAlign w:val="bottom"/>
            <w:gridSpan w:val="2"/>
          </w:tcPr>
          <w:p>
            <w:pPr>
              <w:jc w:val="right"/>
              <w:spacing w:after="0"/>
              <w:rPr>
                <w:sz w:val="20"/>
                <w:szCs w:val="20"/>
                <w:color w:val="auto"/>
              </w:rPr>
            </w:pPr>
            <w:r>
              <w:rPr>
                <w:rFonts w:ascii="Arial" w:cs="Arial" w:eastAsia="Arial" w:hAnsi="Arial"/>
                <w:sz w:val="17"/>
                <w:szCs w:val="17"/>
                <w:color w:val="auto"/>
              </w:rPr>
              <w:t>100 %</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199,976</w:t>
            </w:r>
          </w:p>
        </w:tc>
        <w:tc>
          <w:tcPr>
            <w:tcW w:w="1440" w:type="dxa"/>
            <w:vAlign w:val="bottom"/>
            <w:gridSpan w:val="2"/>
          </w:tcPr>
          <w:p>
            <w:pPr>
              <w:jc w:val="right"/>
              <w:spacing w:after="0"/>
              <w:rPr>
                <w:sz w:val="20"/>
                <w:szCs w:val="20"/>
                <w:color w:val="auto"/>
              </w:rPr>
            </w:pPr>
            <w:r>
              <w:rPr>
                <w:rFonts w:ascii="Arial" w:cs="Arial" w:eastAsia="Arial" w:hAnsi="Arial"/>
                <w:sz w:val="17"/>
                <w:szCs w:val="17"/>
                <w:color w:val="auto"/>
              </w:rPr>
              <w:t>100 %</w:t>
            </w:r>
          </w:p>
        </w:tc>
        <w:tc>
          <w:tcPr>
            <w:tcW w:w="28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920" w:type="dxa"/>
            <w:vAlign w:val="bottom"/>
          </w:tcPr>
          <w:p>
            <w:pPr>
              <w:jc w:val="right"/>
              <w:spacing w:after="0"/>
              <w:rPr>
                <w:sz w:val="20"/>
                <w:szCs w:val="20"/>
                <w:color w:val="auto"/>
              </w:rPr>
            </w:pPr>
            <w:r>
              <w:rPr>
                <w:rFonts w:ascii="Arial" w:cs="Arial" w:eastAsia="Arial" w:hAnsi="Arial"/>
                <w:sz w:val="17"/>
                <w:szCs w:val="17"/>
                <w:color w:val="auto"/>
              </w:rPr>
              <w:t>867,557</w:t>
            </w:r>
          </w:p>
        </w:tc>
        <w:tc>
          <w:tcPr>
            <w:tcW w:w="1440" w:type="dxa"/>
            <w:vAlign w:val="bottom"/>
            <w:gridSpan w:val="2"/>
          </w:tcPr>
          <w:p>
            <w:pPr>
              <w:jc w:val="right"/>
              <w:ind w:right="151"/>
              <w:spacing w:after="0"/>
              <w:rPr>
                <w:sz w:val="20"/>
                <w:szCs w:val="20"/>
                <w:color w:val="auto"/>
              </w:rPr>
            </w:pPr>
            <w:r>
              <w:rPr>
                <w:rFonts w:ascii="Arial" w:cs="Arial" w:eastAsia="Arial" w:hAnsi="Arial"/>
                <w:sz w:val="17"/>
                <w:szCs w:val="17"/>
                <w:color w:val="auto"/>
              </w:rPr>
              <w:t>23</w:t>
            </w:r>
          </w:p>
        </w:tc>
        <w:tc>
          <w:tcPr>
            <w:tcW w:w="0" w:type="dxa"/>
            <w:vAlign w:val="bottom"/>
          </w:tcPr>
          <w:p>
            <w:pPr>
              <w:spacing w:after="0"/>
              <w:rPr>
                <w:sz w:val="1"/>
                <w:szCs w:val="1"/>
                <w:color w:val="auto"/>
              </w:rPr>
            </w:pPr>
          </w:p>
        </w:tc>
      </w:tr>
      <w:tr>
        <w:trPr>
          <w:trHeight w:val="20"/>
        </w:trPr>
        <w:tc>
          <w:tcPr>
            <w:tcW w:w="2180" w:type="dxa"/>
            <w:vAlign w:val="bottom"/>
            <w:tcBorders>
              <w:bottom w:val="single" w:sz="8" w:color="CCEEFF"/>
            </w:tcBorders>
          </w:tcPr>
          <w:p>
            <w:pPr>
              <w:spacing w:after="0" w:line="20" w:lineRule="exact"/>
              <w:rPr>
                <w:sz w:val="1"/>
                <w:szCs w:val="1"/>
                <w:color w:val="auto"/>
              </w:rPr>
            </w:pPr>
          </w:p>
        </w:tc>
        <w:tc>
          <w:tcPr>
            <w:tcW w:w="12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3480" w:type="dxa"/>
            <w:vAlign w:val="bottom"/>
            <w:gridSpan w:val="3"/>
            <w:shd w:val="clear" w:color="auto" w:fill="CCEEFF"/>
          </w:tcPr>
          <w:p>
            <w:pPr>
              <w:ind w:left="20"/>
              <w:spacing w:after="0"/>
              <w:rPr>
                <w:sz w:val="20"/>
                <w:szCs w:val="20"/>
                <w:color w:val="auto"/>
              </w:rPr>
            </w:pPr>
            <w:r>
              <w:rPr>
                <w:rFonts w:ascii="Arial" w:cs="Arial" w:eastAsia="Arial" w:hAnsi="Arial"/>
                <w:sz w:val="17"/>
                <w:szCs w:val="17"/>
                <w:color w:val="auto"/>
              </w:rPr>
              <w:t>IBNR</w:t>
            </w: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14,998</w:t>
            </w:r>
          </w:p>
        </w:tc>
        <w:tc>
          <w:tcPr>
            <w:tcW w:w="10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3480" w:type="dxa"/>
            <w:vAlign w:val="bottom"/>
            <w:gridSpan w:val="3"/>
          </w:tcPr>
          <w:p>
            <w:pPr>
              <w:ind w:left="20"/>
              <w:spacing w:after="0"/>
              <w:rPr>
                <w:sz w:val="20"/>
                <w:szCs w:val="20"/>
                <w:color w:val="auto"/>
              </w:rPr>
            </w:pPr>
            <w:r>
              <w:rPr>
                <w:rFonts w:ascii="Arial" w:cs="Arial" w:eastAsia="Arial" w:hAnsi="Arial"/>
                <w:sz w:val="17"/>
                <w:szCs w:val="17"/>
                <w:color w:val="auto"/>
              </w:rPr>
              <w:t>LAE</w:t>
            </w: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1,914</w:t>
            </w:r>
          </w:p>
        </w:tc>
        <w:tc>
          <w:tcPr>
            <w:tcW w:w="1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3480" w:type="dxa"/>
            <w:vAlign w:val="bottom"/>
            <w:gridSpan w:val="3"/>
            <w:shd w:val="clear" w:color="auto" w:fill="CCEEFF"/>
          </w:tcPr>
          <w:p>
            <w:pPr>
              <w:ind w:left="220"/>
              <w:spacing w:after="0"/>
              <w:rPr>
                <w:sz w:val="20"/>
                <w:szCs w:val="20"/>
                <w:color w:val="auto"/>
              </w:rPr>
            </w:pPr>
            <w:r>
              <w:rPr>
                <w:rFonts w:ascii="Arial" w:cs="Arial" w:eastAsia="Arial" w:hAnsi="Arial"/>
                <w:sz w:val="17"/>
                <w:szCs w:val="17"/>
                <w:color w:val="auto"/>
              </w:rPr>
              <w:t xml:space="preserve">Total reserves for losses and LAE </w:t>
            </w:r>
            <w:r>
              <w:rPr>
                <w:rFonts w:ascii="Arial" w:cs="Arial" w:eastAsia="Arial" w:hAnsi="Arial"/>
                <w:sz w:val="17"/>
                <w:szCs w:val="17"/>
                <w:b w:val="1"/>
                <w:bCs w:val="1"/>
                <w:color w:val="auto"/>
              </w:rPr>
              <w:t>(1)</w:t>
            </w:r>
          </w:p>
        </w:tc>
        <w:tc>
          <w:tcPr>
            <w:tcW w:w="1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216,888</w:t>
            </w:r>
          </w:p>
        </w:tc>
        <w:tc>
          <w:tcPr>
            <w:tcW w:w="10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18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1"/>
        </w:trPr>
        <w:tc>
          <w:tcPr>
            <w:tcW w:w="2180" w:type="dxa"/>
            <w:vAlign w:val="bottom"/>
            <w:tcBorders>
              <w:bottom w:val="single" w:sz="8" w:color="auto"/>
            </w:tcBorders>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65" w:lineRule="exact"/>
        <w:rPr>
          <w:sz w:val="20"/>
          <w:szCs w:val="20"/>
          <w:color w:val="auto"/>
        </w:rPr>
      </w:pPr>
    </w:p>
    <w:p>
      <w:pPr>
        <w:ind w:left="620" w:right="300" w:hanging="305"/>
        <w:spacing w:after="0" w:line="285" w:lineRule="auto"/>
        <w:tabs>
          <w:tab w:leader="none" w:pos="620"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U.S. mortgage insurance portfolio reserves exclude reserves on GSE and other risk share risk in force at Essent Re of $0.1 million as of June 30, 2023.</w:t>
      </w: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68580</wp:posOffset>
            </wp:positionV>
            <wp:extent cx="7162800" cy="4191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0" w:name="page41"/>
    <w:bookmarkEnd w:id="40"/>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21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320" w:type="dxa"/>
            <w:vAlign w:val="bottom"/>
            <w:gridSpan w:val="3"/>
          </w:tcPr>
          <w:p>
            <w:pPr>
              <w:jc w:val="right"/>
              <w:ind w:right="565"/>
              <w:spacing w:after="0"/>
              <w:rPr>
                <w:sz w:val="20"/>
                <w:szCs w:val="20"/>
                <w:color w:val="auto"/>
              </w:rPr>
            </w:pPr>
            <w:r>
              <w:rPr>
                <w:rFonts w:ascii="Arial" w:cs="Arial" w:eastAsia="Arial" w:hAnsi="Arial"/>
                <w:sz w:val="14"/>
                <w:szCs w:val="14"/>
                <w:b w:val="1"/>
                <w:bCs w:val="1"/>
                <w:color w:val="auto"/>
              </w:rPr>
              <w:t>As of June 30, 2022</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
        </w:trPr>
        <w:tc>
          <w:tcPr>
            <w:tcW w:w="2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3"/>
        </w:trPr>
        <w:tc>
          <w:tcPr>
            <w:tcW w:w="218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00" w:type="dxa"/>
            <w:vAlign w:val="bottom"/>
          </w:tcPr>
          <w:p>
            <w:pPr>
              <w:jc w:val="center"/>
              <w:spacing w:after="0" w:line="123" w:lineRule="exact"/>
              <w:rPr>
                <w:sz w:val="20"/>
                <w:szCs w:val="20"/>
                <w:color w:val="auto"/>
              </w:rPr>
            </w:pPr>
            <w:r>
              <w:rPr>
                <w:rFonts w:ascii="Arial" w:cs="Arial" w:eastAsia="Arial" w:hAnsi="Arial"/>
                <w:sz w:val="14"/>
                <w:szCs w:val="14"/>
                <w:b w:val="1"/>
                <w:bCs w:val="1"/>
                <w:color w:val="auto"/>
                <w:w w:val="91"/>
              </w:rPr>
              <w:t>Number of</w:t>
            </w:r>
          </w:p>
        </w:tc>
        <w:tc>
          <w:tcPr>
            <w:tcW w:w="100" w:type="dxa"/>
            <w:vAlign w:val="bottom"/>
          </w:tcPr>
          <w:p>
            <w:pPr>
              <w:spacing w:after="0"/>
              <w:rPr>
                <w:sz w:val="10"/>
                <w:szCs w:val="10"/>
                <w:color w:val="auto"/>
              </w:rPr>
            </w:pPr>
          </w:p>
        </w:tc>
        <w:tc>
          <w:tcPr>
            <w:tcW w:w="1300" w:type="dxa"/>
            <w:vAlign w:val="bottom"/>
          </w:tcPr>
          <w:p>
            <w:pPr>
              <w:jc w:val="center"/>
              <w:spacing w:after="0" w:line="123" w:lineRule="exact"/>
              <w:rPr>
                <w:sz w:val="20"/>
                <w:szCs w:val="20"/>
                <w:color w:val="auto"/>
              </w:rPr>
            </w:pPr>
            <w:r>
              <w:rPr>
                <w:rFonts w:ascii="Arial" w:cs="Arial" w:eastAsia="Arial" w:hAnsi="Arial"/>
                <w:sz w:val="14"/>
                <w:szCs w:val="14"/>
                <w:b w:val="1"/>
                <w:bCs w:val="1"/>
                <w:color w:val="auto"/>
                <w:w w:val="86"/>
              </w:rPr>
              <w:t>Percentage of</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80" w:type="dxa"/>
            <w:vAlign w:val="bottom"/>
            <w:vMerge w:val="restart"/>
          </w:tcPr>
          <w:p>
            <w:pPr>
              <w:jc w:val="right"/>
              <w:ind w:right="118"/>
              <w:spacing w:after="0"/>
              <w:rPr>
                <w:sz w:val="20"/>
                <w:szCs w:val="20"/>
                <w:color w:val="auto"/>
              </w:rPr>
            </w:pPr>
            <w:r>
              <w:rPr>
                <w:rFonts w:ascii="Arial" w:cs="Arial" w:eastAsia="Arial" w:hAnsi="Arial"/>
                <w:sz w:val="14"/>
                <w:szCs w:val="14"/>
                <w:b w:val="1"/>
                <w:bCs w:val="1"/>
                <w:color w:val="auto"/>
                <w:w w:val="94"/>
              </w:rPr>
              <w:t>Amount of</w:t>
            </w:r>
          </w:p>
        </w:tc>
        <w:tc>
          <w:tcPr>
            <w:tcW w:w="100" w:type="dxa"/>
            <w:vAlign w:val="bottom"/>
          </w:tcPr>
          <w:p>
            <w:pPr>
              <w:spacing w:after="0"/>
              <w:rPr>
                <w:sz w:val="10"/>
                <w:szCs w:val="10"/>
                <w:color w:val="auto"/>
              </w:rPr>
            </w:pPr>
          </w:p>
        </w:tc>
        <w:tc>
          <w:tcPr>
            <w:tcW w:w="1340" w:type="dxa"/>
            <w:vAlign w:val="bottom"/>
            <w:vMerge w:val="restart"/>
          </w:tcPr>
          <w:p>
            <w:pPr>
              <w:jc w:val="right"/>
              <w:ind w:right="205"/>
              <w:spacing w:after="0"/>
              <w:rPr>
                <w:sz w:val="20"/>
                <w:szCs w:val="20"/>
                <w:color w:val="auto"/>
              </w:rPr>
            </w:pPr>
            <w:r>
              <w:rPr>
                <w:rFonts w:ascii="Arial" w:cs="Arial" w:eastAsia="Arial" w:hAnsi="Arial"/>
                <w:sz w:val="14"/>
                <w:szCs w:val="14"/>
                <w:b w:val="1"/>
                <w:bCs w:val="1"/>
                <w:color w:val="auto"/>
              </w:rPr>
              <w:t>Percentage of</w:t>
            </w: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20" w:type="dxa"/>
            <w:vAlign w:val="bottom"/>
            <w:vMerge w:val="restart"/>
          </w:tcPr>
          <w:p>
            <w:pPr>
              <w:jc w:val="right"/>
              <w:ind w:right="178"/>
              <w:spacing w:after="0"/>
              <w:rPr>
                <w:sz w:val="20"/>
                <w:szCs w:val="20"/>
                <w:color w:val="auto"/>
              </w:rPr>
            </w:pPr>
            <w:r>
              <w:rPr>
                <w:rFonts w:ascii="Arial" w:cs="Arial" w:eastAsia="Arial" w:hAnsi="Arial"/>
                <w:sz w:val="14"/>
                <w:szCs w:val="14"/>
                <w:b w:val="1"/>
                <w:bCs w:val="1"/>
                <w:color w:val="auto"/>
              </w:rPr>
              <w:t>Defaulted</w:t>
            </w:r>
          </w:p>
        </w:tc>
        <w:tc>
          <w:tcPr>
            <w:tcW w:w="100" w:type="dxa"/>
            <w:vAlign w:val="bottom"/>
          </w:tcPr>
          <w:p>
            <w:pPr>
              <w:spacing w:after="0"/>
              <w:rPr>
                <w:sz w:val="10"/>
                <w:szCs w:val="10"/>
                <w:color w:val="auto"/>
              </w:rPr>
            </w:pPr>
          </w:p>
        </w:tc>
        <w:tc>
          <w:tcPr>
            <w:tcW w:w="1340" w:type="dxa"/>
            <w:vAlign w:val="bottom"/>
          </w:tcPr>
          <w:p>
            <w:pPr>
              <w:jc w:val="center"/>
              <w:spacing w:after="0" w:line="123" w:lineRule="exact"/>
              <w:rPr>
                <w:sz w:val="20"/>
                <w:szCs w:val="20"/>
                <w:color w:val="auto"/>
              </w:rPr>
            </w:pPr>
            <w:r>
              <w:rPr>
                <w:rFonts w:ascii="Arial" w:cs="Arial" w:eastAsia="Arial" w:hAnsi="Arial"/>
                <w:sz w:val="14"/>
                <w:szCs w:val="14"/>
                <w:b w:val="1"/>
                <w:bCs w:val="1"/>
                <w:color w:val="auto"/>
                <w:w w:val="83"/>
              </w:rPr>
              <w:t>Reserves as a</w:t>
            </w:r>
          </w:p>
        </w:tc>
        <w:tc>
          <w:tcPr>
            <w:tcW w:w="0" w:type="dxa"/>
            <w:vAlign w:val="bottom"/>
          </w:tcPr>
          <w:p>
            <w:pPr>
              <w:spacing w:after="0"/>
              <w:rPr>
                <w:sz w:val="1"/>
                <w:szCs w:val="1"/>
                <w:color w:val="auto"/>
              </w:rPr>
            </w:pPr>
          </w:p>
        </w:tc>
      </w:tr>
      <w:tr>
        <w:trPr>
          <w:trHeight w:val="133"/>
        </w:trPr>
        <w:tc>
          <w:tcPr>
            <w:tcW w:w="348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 in thousands)</w:t>
            </w:r>
          </w:p>
        </w:tc>
        <w:tc>
          <w:tcPr>
            <w:tcW w:w="110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86"/>
              </w:rPr>
              <w:t>Policies in</w:t>
            </w:r>
          </w:p>
        </w:tc>
        <w:tc>
          <w:tcPr>
            <w:tcW w:w="100" w:type="dxa"/>
            <w:vAlign w:val="bottom"/>
          </w:tcPr>
          <w:p>
            <w:pPr>
              <w:spacing w:after="0"/>
              <w:rPr>
                <w:sz w:val="11"/>
                <w:szCs w:val="11"/>
                <w:color w:val="auto"/>
              </w:rPr>
            </w:pPr>
          </w:p>
        </w:tc>
        <w:tc>
          <w:tcPr>
            <w:tcW w:w="130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86"/>
              </w:rPr>
              <w:t>Policies in</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34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34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86"/>
              </w:rPr>
              <w:t>Percentage of</w:t>
            </w:r>
          </w:p>
        </w:tc>
        <w:tc>
          <w:tcPr>
            <w:tcW w:w="0" w:type="dxa"/>
            <w:vAlign w:val="bottom"/>
          </w:tcPr>
          <w:p>
            <w:pPr>
              <w:spacing w:after="0"/>
              <w:rPr>
                <w:sz w:val="1"/>
                <w:szCs w:val="1"/>
                <w:color w:val="auto"/>
              </w:rPr>
            </w:pPr>
          </w:p>
        </w:tc>
      </w:tr>
      <w:tr>
        <w:trPr>
          <w:trHeight w:val="179"/>
        </w:trPr>
        <w:tc>
          <w:tcPr>
            <w:tcW w:w="3480" w:type="dxa"/>
            <w:vAlign w:val="bottom"/>
            <w:gridSpan w:val="3"/>
            <w:vMerge w:val="continue"/>
          </w:tcPr>
          <w:p>
            <w:pPr>
              <w:spacing w:after="0"/>
              <w:rPr>
                <w:sz w:val="15"/>
                <w:szCs w:val="15"/>
                <w:color w:val="auto"/>
              </w:rPr>
            </w:pPr>
          </w:p>
        </w:tc>
        <w:tc>
          <w:tcPr>
            <w:tcW w:w="1100" w:type="dxa"/>
            <w:vAlign w:val="bottom"/>
          </w:tcPr>
          <w:p>
            <w:pPr>
              <w:jc w:val="center"/>
              <w:spacing w:after="0"/>
              <w:rPr>
                <w:sz w:val="20"/>
                <w:szCs w:val="20"/>
                <w:color w:val="auto"/>
              </w:rPr>
            </w:pPr>
            <w:r>
              <w:rPr>
                <w:rFonts w:ascii="Arial" w:cs="Arial" w:eastAsia="Arial" w:hAnsi="Arial"/>
                <w:sz w:val="14"/>
                <w:szCs w:val="14"/>
                <w:b w:val="1"/>
                <w:bCs w:val="1"/>
                <w:color w:val="auto"/>
                <w:w w:val="92"/>
              </w:rPr>
              <w:t>Default</w:t>
            </w:r>
          </w:p>
        </w:tc>
        <w:tc>
          <w:tcPr>
            <w:tcW w:w="100" w:type="dxa"/>
            <w:vAlign w:val="bottom"/>
          </w:tcPr>
          <w:p>
            <w:pPr>
              <w:spacing w:after="0"/>
              <w:rPr>
                <w:sz w:val="15"/>
                <w:szCs w:val="15"/>
                <w:color w:val="auto"/>
              </w:rPr>
            </w:pPr>
          </w:p>
        </w:tc>
        <w:tc>
          <w:tcPr>
            <w:tcW w:w="1300" w:type="dxa"/>
            <w:vAlign w:val="bottom"/>
          </w:tcPr>
          <w:p>
            <w:pPr>
              <w:jc w:val="center"/>
              <w:spacing w:after="0"/>
              <w:rPr>
                <w:sz w:val="20"/>
                <w:szCs w:val="20"/>
                <w:color w:val="auto"/>
              </w:rPr>
            </w:pPr>
            <w:r>
              <w:rPr>
                <w:rFonts w:ascii="Arial" w:cs="Arial" w:eastAsia="Arial" w:hAnsi="Arial"/>
                <w:sz w:val="14"/>
                <w:szCs w:val="14"/>
                <w:b w:val="1"/>
                <w:bCs w:val="1"/>
                <w:color w:val="auto"/>
                <w:w w:val="92"/>
              </w:rPr>
              <w:t>Default</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jc w:val="right"/>
              <w:ind w:right="158"/>
              <w:spacing w:after="0"/>
              <w:rPr>
                <w:sz w:val="20"/>
                <w:szCs w:val="20"/>
                <w:color w:val="auto"/>
              </w:rPr>
            </w:pPr>
            <w:r>
              <w:rPr>
                <w:rFonts w:ascii="Arial" w:cs="Arial" w:eastAsia="Arial" w:hAnsi="Arial"/>
                <w:sz w:val="14"/>
                <w:szCs w:val="14"/>
                <w:b w:val="1"/>
                <w:bCs w:val="1"/>
                <w:color w:val="auto"/>
                <w:w w:val="99"/>
              </w:rPr>
              <w:t>Reserves</w:t>
            </w:r>
          </w:p>
        </w:tc>
        <w:tc>
          <w:tcPr>
            <w:tcW w:w="100" w:type="dxa"/>
            <w:vAlign w:val="bottom"/>
          </w:tcPr>
          <w:p>
            <w:pPr>
              <w:spacing w:after="0"/>
              <w:rPr>
                <w:sz w:val="15"/>
                <w:szCs w:val="15"/>
                <w:color w:val="auto"/>
              </w:rPr>
            </w:pPr>
          </w:p>
        </w:tc>
        <w:tc>
          <w:tcPr>
            <w:tcW w:w="1340" w:type="dxa"/>
            <w:vAlign w:val="bottom"/>
          </w:tcPr>
          <w:p>
            <w:pPr>
              <w:jc w:val="right"/>
              <w:ind w:right="325"/>
              <w:spacing w:after="0"/>
              <w:rPr>
                <w:sz w:val="20"/>
                <w:szCs w:val="20"/>
                <w:color w:val="auto"/>
              </w:rPr>
            </w:pPr>
            <w:r>
              <w:rPr>
                <w:rFonts w:ascii="Arial" w:cs="Arial" w:eastAsia="Arial" w:hAnsi="Arial"/>
                <w:sz w:val="14"/>
                <w:szCs w:val="14"/>
                <w:b w:val="1"/>
                <w:bCs w:val="1"/>
                <w:color w:val="auto"/>
              </w:rPr>
              <w:t>Reserves</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tcPr>
          <w:p>
            <w:pPr>
              <w:jc w:val="right"/>
              <w:ind w:right="358"/>
              <w:spacing w:after="0"/>
              <w:rPr>
                <w:sz w:val="20"/>
                <w:szCs w:val="20"/>
                <w:color w:val="auto"/>
              </w:rPr>
            </w:pPr>
            <w:r>
              <w:rPr>
                <w:rFonts w:ascii="Arial" w:cs="Arial" w:eastAsia="Arial" w:hAnsi="Arial"/>
                <w:sz w:val="14"/>
                <w:szCs w:val="14"/>
                <w:b w:val="1"/>
                <w:bCs w:val="1"/>
                <w:color w:val="auto"/>
              </w:rPr>
              <w:t>RIF</w:t>
            </w:r>
          </w:p>
        </w:tc>
        <w:tc>
          <w:tcPr>
            <w:tcW w:w="100" w:type="dxa"/>
            <w:vAlign w:val="bottom"/>
          </w:tcPr>
          <w:p>
            <w:pPr>
              <w:spacing w:after="0"/>
              <w:rPr>
                <w:sz w:val="15"/>
                <w:szCs w:val="15"/>
                <w:color w:val="auto"/>
              </w:rPr>
            </w:pPr>
          </w:p>
        </w:tc>
        <w:tc>
          <w:tcPr>
            <w:tcW w:w="1340" w:type="dxa"/>
            <w:vAlign w:val="bottom"/>
          </w:tcPr>
          <w:p>
            <w:pPr>
              <w:jc w:val="center"/>
              <w:spacing w:after="0"/>
              <w:rPr>
                <w:sz w:val="20"/>
                <w:szCs w:val="20"/>
                <w:color w:val="auto"/>
              </w:rPr>
            </w:pPr>
            <w:r>
              <w:rPr>
                <w:rFonts w:ascii="Arial" w:cs="Arial" w:eastAsia="Arial" w:hAnsi="Arial"/>
                <w:sz w:val="14"/>
                <w:szCs w:val="14"/>
                <w:b w:val="1"/>
                <w:bCs w:val="1"/>
                <w:color w:val="auto"/>
                <w:w w:val="95"/>
              </w:rPr>
              <w:t>Defaulted RIF</w:t>
            </w:r>
          </w:p>
        </w:tc>
        <w:tc>
          <w:tcPr>
            <w:tcW w:w="0" w:type="dxa"/>
            <w:vAlign w:val="bottom"/>
          </w:tcPr>
          <w:p>
            <w:pPr>
              <w:spacing w:after="0"/>
              <w:rPr>
                <w:sz w:val="1"/>
                <w:szCs w:val="1"/>
                <w:color w:val="auto"/>
              </w:rPr>
            </w:pPr>
          </w:p>
        </w:tc>
      </w:tr>
      <w:tr>
        <w:trPr>
          <w:trHeight w:val="25"/>
        </w:trPr>
        <w:tc>
          <w:tcPr>
            <w:tcW w:w="2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4"/>
        </w:trPr>
        <w:tc>
          <w:tcPr>
            <w:tcW w:w="3480" w:type="dxa"/>
            <w:vAlign w:val="bottom"/>
            <w:gridSpan w:val="3"/>
            <w:shd w:val="clear" w:color="auto" w:fill="CCEEFF"/>
          </w:tcPr>
          <w:p>
            <w:pPr>
              <w:ind w:left="20"/>
              <w:spacing w:after="0"/>
              <w:rPr>
                <w:sz w:val="20"/>
                <w:szCs w:val="20"/>
                <w:color w:val="auto"/>
              </w:rPr>
            </w:pPr>
            <w:r>
              <w:rPr>
                <w:rFonts w:ascii="Arial" w:cs="Arial" w:eastAsia="Arial" w:hAnsi="Arial"/>
                <w:sz w:val="17"/>
                <w:szCs w:val="17"/>
                <w:color w:val="auto"/>
              </w:rPr>
              <w:t>Missed payments:</w:t>
            </w: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3480" w:type="dxa"/>
            <w:vAlign w:val="bottom"/>
            <w:gridSpan w:val="3"/>
          </w:tcPr>
          <w:p>
            <w:pPr>
              <w:ind w:left="140"/>
              <w:spacing w:after="0"/>
              <w:rPr>
                <w:sz w:val="20"/>
                <w:szCs w:val="20"/>
                <w:color w:val="auto"/>
              </w:rPr>
            </w:pPr>
            <w:r>
              <w:rPr>
                <w:rFonts w:ascii="Arial" w:cs="Arial" w:eastAsia="Arial" w:hAnsi="Arial"/>
                <w:sz w:val="17"/>
                <w:szCs w:val="17"/>
                <w:color w:val="auto"/>
              </w:rPr>
              <w:t>Three payments or less</w:t>
            </w:r>
          </w:p>
        </w:tc>
        <w:tc>
          <w:tcPr>
            <w:tcW w:w="1100" w:type="dxa"/>
            <w:vAlign w:val="bottom"/>
          </w:tcPr>
          <w:p>
            <w:pPr>
              <w:jc w:val="right"/>
              <w:spacing w:after="0"/>
              <w:rPr>
                <w:sz w:val="20"/>
                <w:szCs w:val="20"/>
                <w:color w:val="auto"/>
              </w:rPr>
            </w:pPr>
            <w:r>
              <w:rPr>
                <w:rFonts w:ascii="Arial" w:cs="Arial" w:eastAsia="Arial" w:hAnsi="Arial"/>
                <w:sz w:val="17"/>
                <w:szCs w:val="17"/>
                <w:color w:val="auto"/>
              </w:rPr>
              <w:t>4,036</w:t>
            </w:r>
          </w:p>
        </w:tc>
        <w:tc>
          <w:tcPr>
            <w:tcW w:w="1400" w:type="dxa"/>
            <w:vAlign w:val="bottom"/>
            <w:gridSpan w:val="2"/>
          </w:tcPr>
          <w:p>
            <w:pPr>
              <w:jc w:val="right"/>
              <w:spacing w:after="0"/>
              <w:rPr>
                <w:sz w:val="20"/>
                <w:szCs w:val="20"/>
                <w:color w:val="auto"/>
              </w:rPr>
            </w:pPr>
            <w:r>
              <w:rPr>
                <w:rFonts w:ascii="Arial" w:cs="Arial" w:eastAsia="Arial" w:hAnsi="Arial"/>
                <w:sz w:val="17"/>
                <w:szCs w:val="17"/>
                <w:color w:val="auto"/>
              </w:rPr>
              <w:t>32 %</w:t>
            </w:r>
          </w:p>
        </w:tc>
        <w:tc>
          <w:tcPr>
            <w:tcW w:w="240" w:type="dxa"/>
            <w:vAlign w:val="bottom"/>
            <w:gridSpan w:val="2"/>
          </w:tcPr>
          <w:p>
            <w:pPr>
              <w:jc w:val="right"/>
              <w:ind w:right="40"/>
              <w:spacing w:after="0"/>
              <w:rPr>
                <w:sz w:val="20"/>
                <w:szCs w:val="20"/>
                <w:color w:val="auto"/>
              </w:rPr>
            </w:pPr>
            <w:r>
              <w:rPr>
                <w:rFonts w:ascii="Arial" w:cs="Arial" w:eastAsia="Arial" w:hAnsi="Arial"/>
                <w:sz w:val="17"/>
                <w:szCs w:val="17"/>
                <w:color w:val="auto"/>
              </w:rPr>
              <w:t>$</w:t>
            </w:r>
          </w:p>
        </w:tc>
        <w:tc>
          <w:tcPr>
            <w:tcW w:w="880" w:type="dxa"/>
            <w:vAlign w:val="bottom"/>
          </w:tcPr>
          <w:p>
            <w:pPr>
              <w:jc w:val="right"/>
              <w:spacing w:after="0"/>
              <w:rPr>
                <w:sz w:val="20"/>
                <w:szCs w:val="20"/>
                <w:color w:val="auto"/>
              </w:rPr>
            </w:pPr>
            <w:r>
              <w:rPr>
                <w:rFonts w:ascii="Arial" w:cs="Arial" w:eastAsia="Arial" w:hAnsi="Arial"/>
                <w:sz w:val="17"/>
                <w:szCs w:val="17"/>
                <w:color w:val="auto"/>
              </w:rPr>
              <w:t>18,653</w:t>
            </w:r>
          </w:p>
        </w:tc>
        <w:tc>
          <w:tcPr>
            <w:tcW w:w="1440" w:type="dxa"/>
            <w:vAlign w:val="bottom"/>
            <w:gridSpan w:val="2"/>
          </w:tcPr>
          <w:p>
            <w:pPr>
              <w:jc w:val="right"/>
              <w:spacing w:after="0"/>
              <w:rPr>
                <w:sz w:val="20"/>
                <w:szCs w:val="20"/>
                <w:color w:val="auto"/>
              </w:rPr>
            </w:pPr>
            <w:r>
              <w:rPr>
                <w:rFonts w:ascii="Arial" w:cs="Arial" w:eastAsia="Arial" w:hAnsi="Arial"/>
                <w:sz w:val="17"/>
                <w:szCs w:val="17"/>
                <w:color w:val="auto"/>
              </w:rPr>
              <w:t>10 %</w:t>
            </w:r>
          </w:p>
        </w:tc>
        <w:tc>
          <w:tcPr>
            <w:tcW w:w="28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920" w:type="dxa"/>
            <w:vAlign w:val="bottom"/>
          </w:tcPr>
          <w:p>
            <w:pPr>
              <w:jc w:val="right"/>
              <w:spacing w:after="0"/>
              <w:rPr>
                <w:sz w:val="20"/>
                <w:szCs w:val="20"/>
                <w:color w:val="auto"/>
              </w:rPr>
            </w:pPr>
            <w:r>
              <w:rPr>
                <w:rFonts w:ascii="Arial" w:cs="Arial" w:eastAsia="Arial" w:hAnsi="Arial"/>
                <w:sz w:val="17"/>
                <w:szCs w:val="17"/>
                <w:color w:val="auto"/>
              </w:rPr>
              <w:t>250,303</w:t>
            </w:r>
          </w:p>
        </w:tc>
        <w:tc>
          <w:tcPr>
            <w:tcW w:w="1440" w:type="dxa"/>
            <w:vAlign w:val="bottom"/>
            <w:gridSpan w:val="2"/>
          </w:tcPr>
          <w:p>
            <w:pPr>
              <w:jc w:val="right"/>
              <w:spacing w:after="0"/>
              <w:rPr>
                <w:sz w:val="20"/>
                <w:szCs w:val="20"/>
                <w:color w:val="auto"/>
              </w:rPr>
            </w:pPr>
            <w:r>
              <w:rPr>
                <w:rFonts w:ascii="Arial" w:cs="Arial" w:eastAsia="Arial" w:hAnsi="Arial"/>
                <w:sz w:val="17"/>
                <w:szCs w:val="17"/>
                <w:color w:val="auto"/>
              </w:rPr>
              <w:t>7 %</w:t>
            </w:r>
          </w:p>
        </w:tc>
        <w:tc>
          <w:tcPr>
            <w:tcW w:w="0" w:type="dxa"/>
            <w:vAlign w:val="bottom"/>
          </w:tcPr>
          <w:p>
            <w:pPr>
              <w:spacing w:after="0"/>
              <w:rPr>
                <w:sz w:val="1"/>
                <w:szCs w:val="1"/>
                <w:color w:val="auto"/>
              </w:rPr>
            </w:pPr>
          </w:p>
        </w:tc>
      </w:tr>
      <w:tr>
        <w:trPr>
          <w:trHeight w:val="234"/>
        </w:trPr>
        <w:tc>
          <w:tcPr>
            <w:tcW w:w="3480" w:type="dxa"/>
            <w:vAlign w:val="bottom"/>
            <w:gridSpan w:val="3"/>
            <w:shd w:val="clear" w:color="auto" w:fill="CCEEFF"/>
          </w:tcPr>
          <w:p>
            <w:pPr>
              <w:ind w:left="140"/>
              <w:spacing w:after="0"/>
              <w:rPr>
                <w:sz w:val="20"/>
                <w:szCs w:val="20"/>
                <w:color w:val="auto"/>
              </w:rPr>
            </w:pPr>
            <w:r>
              <w:rPr>
                <w:rFonts w:ascii="Arial" w:cs="Arial" w:eastAsia="Arial" w:hAnsi="Arial"/>
                <w:sz w:val="17"/>
                <w:szCs w:val="17"/>
                <w:color w:val="auto"/>
              </w:rPr>
              <w:t>Four to eleven payments</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4,741</w:t>
            </w:r>
          </w:p>
        </w:tc>
        <w:tc>
          <w:tcPr>
            <w:tcW w:w="1400" w:type="dxa"/>
            <w:vAlign w:val="bottom"/>
            <w:gridSpan w:val="2"/>
            <w:shd w:val="clear" w:color="auto" w:fill="CCEEFF"/>
          </w:tcPr>
          <w:p>
            <w:pPr>
              <w:jc w:val="right"/>
              <w:ind w:right="146"/>
              <w:spacing w:after="0"/>
              <w:rPr>
                <w:sz w:val="20"/>
                <w:szCs w:val="20"/>
                <w:color w:val="auto"/>
              </w:rPr>
            </w:pPr>
            <w:r>
              <w:rPr>
                <w:rFonts w:ascii="Arial" w:cs="Arial" w:eastAsia="Arial" w:hAnsi="Arial"/>
                <w:sz w:val="17"/>
                <w:szCs w:val="17"/>
                <w:color w:val="auto"/>
              </w:rPr>
              <w:t>37</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59,753</w:t>
            </w:r>
          </w:p>
        </w:tc>
        <w:tc>
          <w:tcPr>
            <w:tcW w:w="1440" w:type="dxa"/>
            <w:vAlign w:val="bottom"/>
            <w:gridSpan w:val="2"/>
            <w:shd w:val="clear" w:color="auto" w:fill="CCEEFF"/>
          </w:tcPr>
          <w:p>
            <w:pPr>
              <w:jc w:val="right"/>
              <w:ind w:right="145"/>
              <w:spacing w:after="0"/>
              <w:rPr>
                <w:sz w:val="20"/>
                <w:szCs w:val="20"/>
                <w:color w:val="auto"/>
              </w:rPr>
            </w:pPr>
            <w:r>
              <w:rPr>
                <w:rFonts w:ascii="Arial" w:cs="Arial" w:eastAsia="Arial" w:hAnsi="Arial"/>
                <w:sz w:val="17"/>
                <w:szCs w:val="17"/>
                <w:color w:val="auto"/>
              </w:rPr>
              <w:t>31</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304,764</w:t>
            </w:r>
          </w:p>
        </w:tc>
        <w:tc>
          <w:tcPr>
            <w:tcW w:w="1440" w:type="dxa"/>
            <w:vAlign w:val="bottom"/>
            <w:gridSpan w:val="2"/>
            <w:shd w:val="clear" w:color="auto" w:fill="CCEEFF"/>
          </w:tcPr>
          <w:p>
            <w:pPr>
              <w:jc w:val="right"/>
              <w:ind w:right="151"/>
              <w:spacing w:after="0"/>
              <w:rPr>
                <w:sz w:val="20"/>
                <w:szCs w:val="20"/>
                <w:color w:val="auto"/>
              </w:rPr>
            </w:pPr>
            <w:r>
              <w:rPr>
                <w:rFonts w:ascii="Arial" w:cs="Arial" w:eastAsia="Arial" w:hAnsi="Arial"/>
                <w:sz w:val="17"/>
                <w:szCs w:val="17"/>
                <w:color w:val="auto"/>
              </w:rPr>
              <w:t>20</w:t>
            </w:r>
          </w:p>
        </w:tc>
        <w:tc>
          <w:tcPr>
            <w:tcW w:w="0" w:type="dxa"/>
            <w:vAlign w:val="bottom"/>
          </w:tcPr>
          <w:p>
            <w:pPr>
              <w:spacing w:after="0"/>
              <w:rPr>
                <w:sz w:val="1"/>
                <w:szCs w:val="1"/>
                <w:color w:val="auto"/>
              </w:rPr>
            </w:pPr>
          </w:p>
        </w:tc>
      </w:tr>
      <w:tr>
        <w:trPr>
          <w:trHeight w:val="221"/>
        </w:trPr>
        <w:tc>
          <w:tcPr>
            <w:tcW w:w="3480" w:type="dxa"/>
            <w:vAlign w:val="bottom"/>
            <w:gridSpan w:val="3"/>
          </w:tcPr>
          <w:p>
            <w:pPr>
              <w:ind w:left="140"/>
              <w:spacing w:after="0"/>
              <w:rPr>
                <w:sz w:val="20"/>
                <w:szCs w:val="20"/>
                <w:color w:val="auto"/>
              </w:rPr>
            </w:pPr>
            <w:r>
              <w:rPr>
                <w:rFonts w:ascii="Arial" w:cs="Arial" w:eastAsia="Arial" w:hAnsi="Arial"/>
                <w:sz w:val="17"/>
                <w:szCs w:val="17"/>
                <w:color w:val="auto"/>
              </w:rPr>
              <w:t>Twelve or more payments</w:t>
            </w:r>
          </w:p>
        </w:tc>
        <w:tc>
          <w:tcPr>
            <w:tcW w:w="1100" w:type="dxa"/>
            <w:vAlign w:val="bottom"/>
          </w:tcPr>
          <w:p>
            <w:pPr>
              <w:jc w:val="right"/>
              <w:spacing w:after="0"/>
              <w:rPr>
                <w:sz w:val="20"/>
                <w:szCs w:val="20"/>
                <w:color w:val="auto"/>
              </w:rPr>
            </w:pPr>
            <w:r>
              <w:rPr>
                <w:rFonts w:ascii="Arial" w:cs="Arial" w:eastAsia="Arial" w:hAnsi="Arial"/>
                <w:sz w:val="17"/>
                <w:szCs w:val="17"/>
                <w:color w:val="auto"/>
              </w:rPr>
              <w:t>3,849</w:t>
            </w:r>
          </w:p>
        </w:tc>
        <w:tc>
          <w:tcPr>
            <w:tcW w:w="1400" w:type="dxa"/>
            <w:vAlign w:val="bottom"/>
            <w:gridSpan w:val="2"/>
          </w:tcPr>
          <w:p>
            <w:pPr>
              <w:jc w:val="right"/>
              <w:ind w:right="146"/>
              <w:spacing w:after="0"/>
              <w:rPr>
                <w:sz w:val="20"/>
                <w:szCs w:val="20"/>
                <w:color w:val="auto"/>
              </w:rPr>
            </w:pPr>
            <w:r>
              <w:rPr>
                <w:rFonts w:ascii="Arial" w:cs="Arial" w:eastAsia="Arial" w:hAnsi="Arial"/>
                <w:sz w:val="17"/>
                <w:szCs w:val="17"/>
                <w:color w:val="auto"/>
              </w:rPr>
              <w:t>30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111,442</w:t>
            </w:r>
          </w:p>
        </w:tc>
        <w:tc>
          <w:tcPr>
            <w:tcW w:w="1440" w:type="dxa"/>
            <w:vAlign w:val="bottom"/>
            <w:gridSpan w:val="2"/>
          </w:tcPr>
          <w:p>
            <w:pPr>
              <w:jc w:val="right"/>
              <w:ind w:right="145"/>
              <w:spacing w:after="0"/>
              <w:rPr>
                <w:sz w:val="20"/>
                <w:szCs w:val="20"/>
                <w:color w:val="auto"/>
              </w:rPr>
            </w:pPr>
            <w:r>
              <w:rPr>
                <w:rFonts w:ascii="Arial" w:cs="Arial" w:eastAsia="Arial" w:hAnsi="Arial"/>
                <w:sz w:val="17"/>
                <w:szCs w:val="17"/>
                <w:color w:val="auto"/>
              </w:rPr>
              <w:t>57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236,440</w:t>
            </w:r>
          </w:p>
        </w:tc>
        <w:tc>
          <w:tcPr>
            <w:tcW w:w="1440" w:type="dxa"/>
            <w:vAlign w:val="bottom"/>
            <w:gridSpan w:val="2"/>
          </w:tcPr>
          <w:p>
            <w:pPr>
              <w:jc w:val="right"/>
              <w:ind w:right="151"/>
              <w:spacing w:after="0"/>
              <w:rPr>
                <w:sz w:val="20"/>
                <w:szCs w:val="20"/>
                <w:color w:val="auto"/>
              </w:rPr>
            </w:pPr>
            <w:r>
              <w:rPr>
                <w:rFonts w:ascii="Arial" w:cs="Arial" w:eastAsia="Arial" w:hAnsi="Arial"/>
                <w:sz w:val="17"/>
                <w:szCs w:val="17"/>
                <w:color w:val="auto"/>
              </w:rPr>
              <w:t>47</w:t>
            </w:r>
          </w:p>
        </w:tc>
        <w:tc>
          <w:tcPr>
            <w:tcW w:w="0" w:type="dxa"/>
            <w:vAlign w:val="bottom"/>
          </w:tcPr>
          <w:p>
            <w:pPr>
              <w:spacing w:after="0"/>
              <w:rPr>
                <w:sz w:val="1"/>
                <w:szCs w:val="1"/>
                <w:color w:val="auto"/>
              </w:rPr>
            </w:pPr>
          </w:p>
        </w:tc>
      </w:tr>
      <w:tr>
        <w:trPr>
          <w:trHeight w:val="221"/>
        </w:trPr>
        <w:tc>
          <w:tcPr>
            <w:tcW w:w="3480" w:type="dxa"/>
            <w:vAlign w:val="bottom"/>
            <w:tcBorders>
              <w:bottom w:val="single" w:sz="8" w:color="CCEEFF"/>
            </w:tcBorders>
            <w:gridSpan w:val="3"/>
            <w:shd w:val="clear" w:color="auto" w:fill="CCEEFF"/>
          </w:tcPr>
          <w:p>
            <w:pPr>
              <w:ind w:left="140"/>
              <w:spacing w:after="0"/>
              <w:rPr>
                <w:sz w:val="20"/>
                <w:szCs w:val="20"/>
                <w:color w:val="auto"/>
              </w:rPr>
            </w:pPr>
            <w:r>
              <w:rPr>
                <w:rFonts w:ascii="Arial" w:cs="Arial" w:eastAsia="Arial" w:hAnsi="Arial"/>
                <w:sz w:val="17"/>
                <w:szCs w:val="17"/>
                <w:color w:val="auto"/>
              </w:rPr>
              <w:t>Pending claims</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81</w:t>
            </w:r>
          </w:p>
        </w:tc>
        <w:tc>
          <w:tcPr>
            <w:tcW w:w="100" w:type="dxa"/>
            <w:vAlign w:val="bottom"/>
            <w:tcBorders>
              <w:bottom w:val="single" w:sz="8" w:color="CCEEFF"/>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ind w:right="146"/>
              <w:spacing w:after="0"/>
              <w:rPr>
                <w:sz w:val="20"/>
                <w:szCs w:val="20"/>
                <w:color w:val="auto"/>
              </w:rPr>
            </w:pPr>
            <w:r>
              <w:rPr>
                <w:rFonts w:ascii="Arial" w:cs="Arial" w:eastAsia="Arial" w:hAnsi="Arial"/>
                <w:sz w:val="17"/>
                <w:szCs w:val="17"/>
                <w:color w:val="auto"/>
              </w:rPr>
              <w:t>1</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3,568</w:t>
            </w:r>
          </w:p>
        </w:tc>
        <w:tc>
          <w:tcPr>
            <w:tcW w:w="100" w:type="dxa"/>
            <w:vAlign w:val="bottom"/>
            <w:tcBorders>
              <w:bottom w:val="single" w:sz="8" w:color="CCEEFF"/>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ind w:right="145"/>
              <w:spacing w:after="0"/>
              <w:rPr>
                <w:sz w:val="20"/>
                <w:szCs w:val="20"/>
                <w:color w:val="auto"/>
              </w:rPr>
            </w:pPr>
            <w:r>
              <w:rPr>
                <w:rFonts w:ascii="Arial" w:cs="Arial" w:eastAsia="Arial" w:hAnsi="Arial"/>
                <w:sz w:val="17"/>
                <w:szCs w:val="17"/>
                <w:color w:val="auto"/>
              </w:rPr>
              <w:t>2</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3,574</w:t>
            </w:r>
          </w:p>
        </w:tc>
        <w:tc>
          <w:tcPr>
            <w:tcW w:w="1440" w:type="dxa"/>
            <w:vAlign w:val="bottom"/>
            <w:tcBorders>
              <w:bottom w:val="single" w:sz="8" w:color="CCEEFF"/>
            </w:tcBorders>
            <w:gridSpan w:val="2"/>
            <w:shd w:val="clear" w:color="auto" w:fill="CCEEFF"/>
          </w:tcPr>
          <w:p>
            <w:pPr>
              <w:jc w:val="right"/>
              <w:ind w:right="151"/>
              <w:spacing w:after="0"/>
              <w:rPr>
                <w:sz w:val="20"/>
                <w:szCs w:val="20"/>
                <w:color w:val="auto"/>
              </w:rPr>
            </w:pPr>
            <w:r>
              <w:rPr>
                <w:rFonts w:ascii="Arial" w:cs="Arial" w:eastAsia="Arial" w:hAnsi="Arial"/>
                <w:sz w:val="17"/>
                <w:szCs w:val="17"/>
                <w:color w:val="auto"/>
              </w:rPr>
              <w:t>100</w:t>
            </w:r>
          </w:p>
        </w:tc>
        <w:tc>
          <w:tcPr>
            <w:tcW w:w="0" w:type="dxa"/>
            <w:vAlign w:val="bottom"/>
          </w:tcPr>
          <w:p>
            <w:pPr>
              <w:spacing w:after="0"/>
              <w:rPr>
                <w:sz w:val="1"/>
                <w:szCs w:val="1"/>
                <w:color w:val="auto"/>
              </w:rPr>
            </w:pPr>
          </w:p>
        </w:tc>
      </w:tr>
      <w:tr>
        <w:trPr>
          <w:trHeight w:val="227"/>
        </w:trPr>
        <w:tc>
          <w:tcPr>
            <w:tcW w:w="3480" w:type="dxa"/>
            <w:vAlign w:val="bottom"/>
            <w:gridSpan w:val="3"/>
          </w:tcPr>
          <w:p>
            <w:pPr>
              <w:ind w:left="220"/>
              <w:spacing w:after="0"/>
              <w:rPr>
                <w:sz w:val="20"/>
                <w:szCs w:val="20"/>
                <w:color w:val="auto"/>
              </w:rPr>
            </w:pPr>
            <w:r>
              <w:rPr>
                <w:rFonts w:ascii="Arial" w:cs="Arial" w:eastAsia="Arial" w:hAnsi="Arial"/>
                <w:sz w:val="17"/>
                <w:szCs w:val="17"/>
                <w:color w:val="auto"/>
              </w:rPr>
              <w:t xml:space="preserve">Total case reserves </w:t>
            </w:r>
            <w:r>
              <w:rPr>
                <w:rFonts w:ascii="Arial" w:cs="Arial" w:eastAsia="Arial" w:hAnsi="Arial"/>
                <w:sz w:val="17"/>
                <w:szCs w:val="17"/>
                <w:b w:val="1"/>
                <w:bCs w:val="1"/>
                <w:color w:val="auto"/>
              </w:rPr>
              <w:t>(2)</w:t>
            </w:r>
          </w:p>
        </w:tc>
        <w:tc>
          <w:tcPr>
            <w:tcW w:w="1100" w:type="dxa"/>
            <w:vAlign w:val="bottom"/>
          </w:tcPr>
          <w:p>
            <w:pPr>
              <w:jc w:val="right"/>
              <w:spacing w:after="0"/>
              <w:rPr>
                <w:sz w:val="20"/>
                <w:szCs w:val="20"/>
                <w:color w:val="auto"/>
              </w:rPr>
            </w:pPr>
            <w:r>
              <w:rPr>
                <w:rFonts w:ascii="Arial" w:cs="Arial" w:eastAsia="Arial" w:hAnsi="Arial"/>
                <w:sz w:val="17"/>
                <w:szCs w:val="17"/>
                <w:color w:val="auto"/>
              </w:rPr>
              <w:t>12,707</w:t>
            </w:r>
          </w:p>
        </w:tc>
        <w:tc>
          <w:tcPr>
            <w:tcW w:w="1400" w:type="dxa"/>
            <w:vAlign w:val="bottom"/>
            <w:gridSpan w:val="2"/>
          </w:tcPr>
          <w:p>
            <w:pPr>
              <w:jc w:val="right"/>
              <w:spacing w:after="0"/>
              <w:rPr>
                <w:sz w:val="20"/>
                <w:szCs w:val="20"/>
                <w:color w:val="auto"/>
              </w:rPr>
            </w:pPr>
            <w:r>
              <w:rPr>
                <w:rFonts w:ascii="Arial" w:cs="Arial" w:eastAsia="Arial" w:hAnsi="Arial"/>
                <w:sz w:val="17"/>
                <w:szCs w:val="17"/>
                <w:color w:val="auto"/>
              </w:rPr>
              <w:t>100 %</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193,416</w:t>
            </w:r>
          </w:p>
        </w:tc>
        <w:tc>
          <w:tcPr>
            <w:tcW w:w="1440" w:type="dxa"/>
            <w:vAlign w:val="bottom"/>
            <w:gridSpan w:val="2"/>
          </w:tcPr>
          <w:p>
            <w:pPr>
              <w:jc w:val="right"/>
              <w:spacing w:after="0"/>
              <w:rPr>
                <w:sz w:val="20"/>
                <w:szCs w:val="20"/>
                <w:color w:val="auto"/>
              </w:rPr>
            </w:pPr>
            <w:r>
              <w:rPr>
                <w:rFonts w:ascii="Arial" w:cs="Arial" w:eastAsia="Arial" w:hAnsi="Arial"/>
                <w:sz w:val="17"/>
                <w:szCs w:val="17"/>
                <w:color w:val="auto"/>
              </w:rPr>
              <w:t>100 %</w:t>
            </w:r>
          </w:p>
        </w:tc>
        <w:tc>
          <w:tcPr>
            <w:tcW w:w="28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920" w:type="dxa"/>
            <w:vAlign w:val="bottom"/>
          </w:tcPr>
          <w:p>
            <w:pPr>
              <w:jc w:val="right"/>
              <w:spacing w:after="0"/>
              <w:rPr>
                <w:sz w:val="20"/>
                <w:szCs w:val="20"/>
                <w:color w:val="auto"/>
              </w:rPr>
            </w:pPr>
            <w:r>
              <w:rPr>
                <w:rFonts w:ascii="Arial" w:cs="Arial" w:eastAsia="Arial" w:hAnsi="Arial"/>
                <w:sz w:val="17"/>
                <w:szCs w:val="17"/>
                <w:color w:val="auto"/>
              </w:rPr>
              <w:t>795,081</w:t>
            </w:r>
          </w:p>
        </w:tc>
        <w:tc>
          <w:tcPr>
            <w:tcW w:w="1440" w:type="dxa"/>
            <w:vAlign w:val="bottom"/>
            <w:gridSpan w:val="2"/>
          </w:tcPr>
          <w:p>
            <w:pPr>
              <w:jc w:val="right"/>
              <w:ind w:right="151"/>
              <w:spacing w:after="0"/>
              <w:rPr>
                <w:sz w:val="20"/>
                <w:szCs w:val="20"/>
                <w:color w:val="auto"/>
              </w:rPr>
            </w:pPr>
            <w:r>
              <w:rPr>
                <w:rFonts w:ascii="Arial" w:cs="Arial" w:eastAsia="Arial" w:hAnsi="Arial"/>
                <w:sz w:val="17"/>
                <w:szCs w:val="17"/>
                <w:color w:val="auto"/>
              </w:rPr>
              <w:t>24</w:t>
            </w:r>
          </w:p>
        </w:tc>
        <w:tc>
          <w:tcPr>
            <w:tcW w:w="0" w:type="dxa"/>
            <w:vAlign w:val="bottom"/>
          </w:tcPr>
          <w:p>
            <w:pPr>
              <w:spacing w:after="0"/>
              <w:rPr>
                <w:sz w:val="1"/>
                <w:szCs w:val="1"/>
                <w:color w:val="auto"/>
              </w:rPr>
            </w:pPr>
          </w:p>
        </w:tc>
      </w:tr>
      <w:tr>
        <w:trPr>
          <w:trHeight w:val="20"/>
        </w:trPr>
        <w:tc>
          <w:tcPr>
            <w:tcW w:w="2180" w:type="dxa"/>
            <w:vAlign w:val="bottom"/>
            <w:tcBorders>
              <w:bottom w:val="single" w:sz="8" w:color="CCEEFF"/>
            </w:tcBorders>
          </w:tcPr>
          <w:p>
            <w:pPr>
              <w:spacing w:after="0" w:line="20" w:lineRule="exact"/>
              <w:rPr>
                <w:sz w:val="1"/>
                <w:szCs w:val="1"/>
                <w:color w:val="auto"/>
              </w:rPr>
            </w:pPr>
          </w:p>
        </w:tc>
        <w:tc>
          <w:tcPr>
            <w:tcW w:w="12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3480" w:type="dxa"/>
            <w:vAlign w:val="bottom"/>
            <w:gridSpan w:val="3"/>
            <w:shd w:val="clear" w:color="auto" w:fill="CCEEFF"/>
          </w:tcPr>
          <w:p>
            <w:pPr>
              <w:ind w:left="20"/>
              <w:spacing w:after="0" w:line="187" w:lineRule="exact"/>
              <w:rPr>
                <w:sz w:val="20"/>
                <w:szCs w:val="20"/>
                <w:color w:val="auto"/>
              </w:rPr>
            </w:pPr>
            <w:r>
              <w:rPr>
                <w:rFonts w:ascii="Arial" w:cs="Arial" w:eastAsia="Arial" w:hAnsi="Arial"/>
                <w:sz w:val="17"/>
                <w:szCs w:val="17"/>
                <w:color w:val="auto"/>
              </w:rPr>
              <w:t>IBNR</w:t>
            </w:r>
          </w:p>
        </w:tc>
        <w:tc>
          <w:tcPr>
            <w:tcW w:w="1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line="187" w:lineRule="exact"/>
              <w:rPr>
                <w:sz w:val="20"/>
                <w:szCs w:val="20"/>
                <w:color w:val="auto"/>
              </w:rPr>
            </w:pPr>
            <w:r>
              <w:rPr>
                <w:rFonts w:ascii="Arial" w:cs="Arial" w:eastAsia="Arial" w:hAnsi="Arial"/>
                <w:sz w:val="17"/>
                <w:szCs w:val="17"/>
                <w:color w:val="auto"/>
              </w:rPr>
              <w:t>14,506</w:t>
            </w:r>
          </w:p>
        </w:tc>
        <w:tc>
          <w:tcPr>
            <w:tcW w:w="10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1"/>
        </w:trPr>
        <w:tc>
          <w:tcPr>
            <w:tcW w:w="3480" w:type="dxa"/>
            <w:vAlign w:val="bottom"/>
            <w:gridSpan w:val="3"/>
          </w:tcPr>
          <w:p>
            <w:pPr>
              <w:ind w:left="20"/>
              <w:spacing w:after="0"/>
              <w:rPr>
                <w:sz w:val="20"/>
                <w:szCs w:val="20"/>
                <w:color w:val="auto"/>
              </w:rPr>
            </w:pPr>
            <w:r>
              <w:rPr>
                <w:rFonts w:ascii="Arial" w:cs="Arial" w:eastAsia="Arial" w:hAnsi="Arial"/>
                <w:sz w:val="17"/>
                <w:szCs w:val="17"/>
                <w:color w:val="auto"/>
              </w:rPr>
              <w:t>LAE</w:t>
            </w: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1,907</w:t>
            </w:r>
          </w:p>
        </w:tc>
        <w:tc>
          <w:tcPr>
            <w:tcW w:w="1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3480" w:type="dxa"/>
            <w:vAlign w:val="bottom"/>
            <w:gridSpan w:val="3"/>
            <w:shd w:val="clear" w:color="auto" w:fill="CCEEFF"/>
          </w:tcPr>
          <w:p>
            <w:pPr>
              <w:ind w:left="220"/>
              <w:spacing w:after="0"/>
              <w:rPr>
                <w:sz w:val="20"/>
                <w:szCs w:val="20"/>
                <w:color w:val="auto"/>
              </w:rPr>
            </w:pPr>
            <w:r>
              <w:rPr>
                <w:rFonts w:ascii="Arial" w:cs="Arial" w:eastAsia="Arial" w:hAnsi="Arial"/>
                <w:sz w:val="17"/>
                <w:szCs w:val="17"/>
                <w:color w:val="auto"/>
              </w:rPr>
              <w:t xml:space="preserve">Total reserves for losses and LAE </w:t>
            </w:r>
            <w:r>
              <w:rPr>
                <w:rFonts w:ascii="Arial" w:cs="Arial" w:eastAsia="Arial" w:hAnsi="Arial"/>
                <w:sz w:val="17"/>
                <w:szCs w:val="17"/>
                <w:b w:val="1"/>
                <w:bCs w:val="1"/>
                <w:color w:val="auto"/>
              </w:rPr>
              <w:t>(2)</w:t>
            </w:r>
          </w:p>
        </w:tc>
        <w:tc>
          <w:tcPr>
            <w:tcW w:w="1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209,829</w:t>
            </w:r>
          </w:p>
        </w:tc>
        <w:tc>
          <w:tcPr>
            <w:tcW w:w="100" w:type="dxa"/>
            <w:vAlign w:val="bottom"/>
            <w:shd w:val="clear" w:color="auto" w:fill="CCEEFF"/>
          </w:tcPr>
          <w:p>
            <w:pPr>
              <w:spacing w:after="0"/>
              <w:rPr>
                <w:sz w:val="21"/>
                <w:szCs w:val="21"/>
                <w:color w:val="auto"/>
              </w:rPr>
            </w:pPr>
          </w:p>
        </w:tc>
        <w:tc>
          <w:tcPr>
            <w:tcW w:w="13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3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18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8"/>
        </w:trPr>
        <w:tc>
          <w:tcPr>
            <w:tcW w:w="2180" w:type="dxa"/>
            <w:vAlign w:val="bottom"/>
            <w:tcBorders>
              <w:bottom w:val="single" w:sz="8" w:color="auto"/>
            </w:tcBorders>
          </w:tcPr>
          <w:p>
            <w:pPr>
              <w:spacing w:after="0"/>
              <w:rPr>
                <w:sz w:val="11"/>
                <w:szCs w:val="11"/>
                <w:color w:val="auto"/>
              </w:rPr>
            </w:pPr>
          </w:p>
        </w:tc>
        <w:tc>
          <w:tcPr>
            <w:tcW w:w="1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65" w:lineRule="exact"/>
        <w:rPr>
          <w:sz w:val="20"/>
          <w:szCs w:val="20"/>
          <w:color w:val="auto"/>
        </w:rPr>
      </w:pPr>
    </w:p>
    <w:p>
      <w:pPr>
        <w:ind w:left="620" w:right="300" w:hanging="305"/>
        <w:spacing w:after="0" w:line="285" w:lineRule="auto"/>
        <w:tabs>
          <w:tab w:leader="none" w:pos="62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U.S. mortgage insurance portfolio reserves exclude reserves on GSE and other risk share risk in force at Essent Re of $0.1 million as of June 30, 2022.</w:t>
      </w:r>
    </w:p>
    <w:p>
      <w:pPr>
        <w:spacing w:after="0" w:line="185" w:lineRule="exact"/>
        <w:rPr>
          <w:sz w:val="20"/>
          <w:szCs w:val="20"/>
          <w:color w:val="auto"/>
        </w:rPr>
      </w:pPr>
    </w:p>
    <w:p>
      <w:pPr>
        <w:ind w:right="20" w:firstLine="623"/>
        <w:spacing w:after="0" w:line="262" w:lineRule="auto"/>
        <w:rPr>
          <w:sz w:val="20"/>
          <w:szCs w:val="20"/>
          <w:color w:val="auto"/>
        </w:rPr>
      </w:pPr>
      <w:r>
        <w:rPr>
          <w:rFonts w:ascii="Arial" w:cs="Arial" w:eastAsia="Arial" w:hAnsi="Arial"/>
          <w:sz w:val="17"/>
          <w:szCs w:val="17"/>
          <w:color w:val="auto"/>
        </w:rPr>
        <w:t>During the three months ended June 30, 2023, the provision for losses and LAE was $1.3 million, comprised of $31.4 million of current year losses partially offset by $30.1 million of favorable prior years’ loss development. During the three months ended June 30, 2022, the provision for losses and LAE was a benefit of $76.2 million, comprised of $94.9 million of favorable prior years’ loss development partially offset by a provision of $18.7 million for current year losses. In both periods, the prior years’ loss development was the result of a re-estimation of amounts ultimately to be paid on prior year defaults in the default inventory, including the impact of previously identified defaults that cured.</w:t>
      </w:r>
    </w:p>
    <w:p>
      <w:pPr>
        <w:spacing w:after="0" w:line="205" w:lineRule="exact"/>
        <w:rPr>
          <w:sz w:val="20"/>
          <w:szCs w:val="20"/>
          <w:color w:val="auto"/>
        </w:rPr>
      </w:pPr>
    </w:p>
    <w:p>
      <w:pPr>
        <w:ind w:right="120" w:firstLine="623"/>
        <w:spacing w:after="0" w:line="262" w:lineRule="auto"/>
        <w:rPr>
          <w:sz w:val="20"/>
          <w:szCs w:val="20"/>
          <w:color w:val="auto"/>
        </w:rPr>
      </w:pPr>
      <w:r>
        <w:rPr>
          <w:rFonts w:ascii="Arial" w:cs="Arial" w:eastAsia="Arial" w:hAnsi="Arial"/>
          <w:sz w:val="17"/>
          <w:szCs w:val="17"/>
          <w:color w:val="auto"/>
        </w:rPr>
        <w:t>During the six months ended June 30, 2023, the provision for losses and LAE was $1.1 million, comprised of $64.1 million of current year losses partially offset by $63.0 million of favorable prior years’ loss development. During the six months ended June 30, 2022, the provision for losses and LAE was a benefit of $183.1 million, comprised of $226.2 million of favorable prior years’ loss development partially offset by a provision of $43.1 million for current year losses. In both periods, the prior years’ loss development was the result of a re-estimation of amounts ultimately to be paid on prior year defaults in the default inventory, including the impact of previously identified defaults that cured.</w:t>
      </w:r>
    </w:p>
    <w:p>
      <w:pPr>
        <w:spacing w:after="0" w:line="205" w:lineRule="exact"/>
        <w:rPr>
          <w:sz w:val="20"/>
          <w:szCs w:val="20"/>
          <w:color w:val="auto"/>
        </w:rPr>
      </w:pPr>
    </w:p>
    <w:p>
      <w:pPr>
        <w:ind w:left="620"/>
        <w:spacing w:after="0"/>
        <w:rPr>
          <w:sz w:val="20"/>
          <w:szCs w:val="20"/>
          <w:color w:val="auto"/>
        </w:rPr>
      </w:pPr>
      <w:r>
        <w:rPr>
          <w:rFonts w:ascii="Arial" w:cs="Arial" w:eastAsia="Arial" w:hAnsi="Arial"/>
          <w:sz w:val="17"/>
          <w:szCs w:val="17"/>
          <w:color w:val="auto"/>
        </w:rPr>
        <w:t>The following table includes additional information about our claims paid and claim severity for the periods indicated:</w:t>
      </w: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4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500" w:type="dxa"/>
            <w:vAlign w:val="bottom"/>
            <w:gridSpan w:val="4"/>
          </w:tcPr>
          <w:p>
            <w:pPr>
              <w:jc w:val="right"/>
              <w:spacing w:after="0"/>
              <w:rPr>
                <w:sz w:val="20"/>
                <w:szCs w:val="20"/>
                <w:color w:val="auto"/>
              </w:rPr>
            </w:pPr>
            <w:r>
              <w:rPr>
                <w:rFonts w:ascii="Arial" w:cs="Arial" w:eastAsia="Arial" w:hAnsi="Arial"/>
                <w:sz w:val="14"/>
                <w:szCs w:val="14"/>
                <w:b w:val="1"/>
                <w:bCs w:val="1"/>
                <w:color w:val="auto"/>
              </w:rPr>
              <w:t>Three Months Ended June 30,</w:t>
            </w:r>
          </w:p>
        </w:tc>
        <w:tc>
          <w:tcPr>
            <w:tcW w:w="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740" w:type="dxa"/>
            <w:vAlign w:val="bottom"/>
            <w:gridSpan w:val="4"/>
          </w:tcPr>
          <w:p>
            <w:pPr>
              <w:jc w:val="right"/>
              <w:ind w:right="658"/>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25"/>
        </w:trPr>
        <w:tc>
          <w:tcPr>
            <w:tcW w:w="48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 in thousands)</w:t>
            </w:r>
          </w:p>
        </w:tc>
        <w:tc>
          <w:tcPr>
            <w:tcW w:w="100" w:type="dxa"/>
            <w:vAlign w:val="bottom"/>
            <w:vMerge w:val="restart"/>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3"/>
        </w:trPr>
        <w:tc>
          <w:tcPr>
            <w:tcW w:w="4820" w:type="dxa"/>
            <w:vAlign w:val="bottom"/>
            <w:tcBorders>
              <w:bottom w:val="single" w:sz="8" w:color="auto"/>
            </w:tcBorders>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6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6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540"/>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518"/>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228"/>
        </w:trPr>
        <w:tc>
          <w:tcPr>
            <w:tcW w:w="492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Number of claims paid</w:t>
            </w:r>
          </w:p>
        </w:tc>
        <w:tc>
          <w:tcPr>
            <w:tcW w:w="90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113"/>
              <w:spacing w:after="0"/>
              <w:rPr>
                <w:sz w:val="20"/>
                <w:szCs w:val="20"/>
                <w:color w:val="auto"/>
              </w:rPr>
            </w:pPr>
            <w:r>
              <w:rPr>
                <w:rFonts w:ascii="Arial" w:cs="Arial" w:eastAsia="Arial" w:hAnsi="Arial"/>
                <w:sz w:val="17"/>
                <w:szCs w:val="17"/>
                <w:color w:val="auto"/>
              </w:rPr>
              <w:t>96</w:t>
            </w: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113"/>
              <w:spacing w:after="0"/>
              <w:rPr>
                <w:sz w:val="20"/>
                <w:szCs w:val="20"/>
                <w:color w:val="auto"/>
              </w:rPr>
            </w:pPr>
            <w:r>
              <w:rPr>
                <w:rFonts w:ascii="Arial" w:cs="Arial" w:eastAsia="Arial" w:hAnsi="Arial"/>
                <w:sz w:val="17"/>
                <w:szCs w:val="17"/>
                <w:color w:val="auto"/>
              </w:rPr>
              <w:t>65</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20"/>
              <w:spacing w:after="0"/>
              <w:rPr>
                <w:sz w:val="20"/>
                <w:szCs w:val="20"/>
                <w:color w:val="auto"/>
              </w:rPr>
            </w:pPr>
            <w:r>
              <w:rPr>
                <w:rFonts w:ascii="Arial" w:cs="Arial" w:eastAsia="Arial" w:hAnsi="Arial"/>
                <w:sz w:val="17"/>
                <w:szCs w:val="17"/>
                <w:color w:val="auto"/>
              </w:rPr>
              <w:t>190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18"/>
              <w:spacing w:after="0"/>
              <w:rPr>
                <w:sz w:val="20"/>
                <w:szCs w:val="20"/>
                <w:color w:val="auto"/>
              </w:rPr>
            </w:pPr>
            <w:r>
              <w:rPr>
                <w:rFonts w:ascii="Arial" w:cs="Arial" w:eastAsia="Arial" w:hAnsi="Arial"/>
                <w:sz w:val="17"/>
                <w:szCs w:val="17"/>
                <w:color w:val="auto"/>
              </w:rPr>
              <w:t>120</w:t>
            </w:r>
          </w:p>
        </w:tc>
        <w:tc>
          <w:tcPr>
            <w:tcW w:w="0" w:type="dxa"/>
            <w:vAlign w:val="bottom"/>
          </w:tcPr>
          <w:p>
            <w:pPr>
              <w:spacing w:after="0"/>
              <w:rPr>
                <w:sz w:val="1"/>
                <w:szCs w:val="1"/>
                <w:color w:val="auto"/>
              </w:rPr>
            </w:pPr>
          </w:p>
        </w:tc>
      </w:tr>
      <w:tr>
        <w:trPr>
          <w:trHeight w:val="221"/>
        </w:trPr>
        <w:tc>
          <w:tcPr>
            <w:tcW w:w="4920" w:type="dxa"/>
            <w:vAlign w:val="bottom"/>
            <w:gridSpan w:val="2"/>
          </w:tcPr>
          <w:p>
            <w:pPr>
              <w:ind w:left="20"/>
              <w:spacing w:after="0"/>
              <w:rPr>
                <w:sz w:val="20"/>
                <w:szCs w:val="20"/>
                <w:color w:val="auto"/>
              </w:rPr>
            </w:pPr>
            <w:r>
              <w:rPr>
                <w:rFonts w:ascii="Arial" w:cs="Arial" w:eastAsia="Arial" w:hAnsi="Arial"/>
                <w:sz w:val="17"/>
                <w:szCs w:val="17"/>
                <w:color w:val="auto"/>
              </w:rPr>
              <w:t>Amount of claims paid</w:t>
            </w:r>
          </w:p>
        </w:tc>
        <w:tc>
          <w:tcPr>
            <w:tcW w:w="900" w:type="dxa"/>
            <w:vAlign w:val="bottom"/>
          </w:tcPr>
          <w:p>
            <w:pPr>
              <w:jc w:val="right"/>
              <w:ind w:right="705"/>
              <w:spacing w:after="0"/>
              <w:rPr>
                <w:sz w:val="20"/>
                <w:szCs w:val="20"/>
                <w:color w:val="auto"/>
              </w:rPr>
            </w:pPr>
            <w:r>
              <w:rPr>
                <w:rFonts w:ascii="Arial" w:cs="Arial" w:eastAsia="Arial" w:hAnsi="Arial"/>
                <w:sz w:val="17"/>
                <w:szCs w:val="17"/>
                <w:color w:val="auto"/>
              </w:rPr>
              <w:t>$</w:t>
            </w:r>
          </w:p>
        </w:tc>
        <w:tc>
          <w:tcPr>
            <w:tcW w:w="600" w:type="dxa"/>
            <w:vAlign w:val="bottom"/>
          </w:tcPr>
          <w:p>
            <w:pPr>
              <w:jc w:val="right"/>
              <w:ind w:right="113"/>
              <w:spacing w:after="0"/>
              <w:rPr>
                <w:sz w:val="20"/>
                <w:szCs w:val="20"/>
                <w:color w:val="auto"/>
              </w:rPr>
            </w:pPr>
            <w:r>
              <w:rPr>
                <w:rFonts w:ascii="Arial" w:cs="Arial" w:eastAsia="Arial" w:hAnsi="Arial"/>
                <w:sz w:val="17"/>
                <w:szCs w:val="17"/>
                <w:color w:val="auto"/>
                <w:w w:val="89"/>
              </w:rPr>
              <w:t>1,890</w:t>
            </w:r>
          </w:p>
        </w:tc>
        <w:tc>
          <w:tcPr>
            <w:tcW w:w="1000" w:type="dxa"/>
            <w:vAlign w:val="bottom"/>
            <w:gridSpan w:val="2"/>
          </w:tcPr>
          <w:p>
            <w:pPr>
              <w:jc w:val="right"/>
              <w:ind w:right="711"/>
              <w:spacing w:after="0"/>
              <w:rPr>
                <w:sz w:val="20"/>
                <w:szCs w:val="20"/>
                <w:color w:val="auto"/>
              </w:rPr>
            </w:pPr>
            <w:r>
              <w:rPr>
                <w:rFonts w:ascii="Arial" w:cs="Arial" w:eastAsia="Arial" w:hAnsi="Arial"/>
                <w:sz w:val="17"/>
                <w:szCs w:val="17"/>
                <w:color w:val="auto"/>
              </w:rPr>
              <w:t>$</w:t>
            </w:r>
          </w:p>
        </w:tc>
        <w:tc>
          <w:tcPr>
            <w:tcW w:w="600" w:type="dxa"/>
            <w:vAlign w:val="bottom"/>
          </w:tcPr>
          <w:p>
            <w:pPr>
              <w:jc w:val="right"/>
              <w:ind w:right="113"/>
              <w:spacing w:after="0"/>
              <w:rPr>
                <w:sz w:val="20"/>
                <w:szCs w:val="20"/>
                <w:color w:val="auto"/>
              </w:rPr>
            </w:pPr>
            <w:r>
              <w:rPr>
                <w:rFonts w:ascii="Arial" w:cs="Arial" w:eastAsia="Arial" w:hAnsi="Arial"/>
                <w:sz w:val="17"/>
                <w:szCs w:val="17"/>
                <w:color w:val="auto"/>
                <w:w w:val="89"/>
              </w:rPr>
              <w:t>1,137</w:t>
            </w:r>
          </w:p>
        </w:tc>
        <w:tc>
          <w:tcPr>
            <w:tcW w:w="480" w:type="dxa"/>
            <w:vAlign w:val="bottom"/>
            <w:gridSpan w:val="2"/>
          </w:tcPr>
          <w:p>
            <w:pPr>
              <w:jc w:val="right"/>
              <w:ind w:right="260"/>
              <w:spacing w:after="0"/>
              <w:rPr>
                <w:sz w:val="20"/>
                <w:szCs w:val="20"/>
                <w:color w:val="auto"/>
              </w:rPr>
            </w:pPr>
            <w:r>
              <w:rPr>
                <w:rFonts w:ascii="Arial" w:cs="Arial" w:eastAsia="Arial" w:hAnsi="Arial"/>
                <w:sz w:val="17"/>
                <w:szCs w:val="17"/>
                <w:color w:val="auto"/>
              </w:rPr>
              <w:t>$</w:t>
            </w:r>
          </w:p>
        </w:tc>
        <w:tc>
          <w:tcPr>
            <w:tcW w:w="1140" w:type="dxa"/>
            <w:vAlign w:val="bottom"/>
          </w:tcPr>
          <w:p>
            <w:pPr>
              <w:jc w:val="right"/>
              <w:ind w:right="120"/>
              <w:spacing w:after="0"/>
              <w:rPr>
                <w:sz w:val="20"/>
                <w:szCs w:val="20"/>
                <w:color w:val="auto"/>
              </w:rPr>
            </w:pPr>
            <w:r>
              <w:rPr>
                <w:rFonts w:ascii="Arial" w:cs="Arial" w:eastAsia="Arial" w:hAnsi="Arial"/>
                <w:sz w:val="17"/>
                <w:szCs w:val="17"/>
                <w:color w:val="auto"/>
              </w:rPr>
              <w:t>3,850</w:t>
            </w:r>
          </w:p>
        </w:tc>
        <w:tc>
          <w:tcPr>
            <w:tcW w:w="460" w:type="dxa"/>
            <w:vAlign w:val="bottom"/>
            <w:gridSpan w:val="2"/>
          </w:tcPr>
          <w:p>
            <w:pPr>
              <w:jc w:val="right"/>
              <w:ind w:right="260"/>
              <w:spacing w:after="0"/>
              <w:rPr>
                <w:sz w:val="20"/>
                <w:szCs w:val="20"/>
                <w:color w:val="auto"/>
              </w:rPr>
            </w:pPr>
            <w:r>
              <w:rPr>
                <w:rFonts w:ascii="Arial" w:cs="Arial" w:eastAsia="Arial" w:hAnsi="Arial"/>
                <w:sz w:val="17"/>
                <w:szCs w:val="17"/>
                <w:color w:val="auto"/>
              </w:rPr>
              <w:t>$</w:t>
            </w:r>
          </w:p>
        </w:tc>
        <w:tc>
          <w:tcPr>
            <w:tcW w:w="1140" w:type="dxa"/>
            <w:vAlign w:val="bottom"/>
          </w:tcPr>
          <w:p>
            <w:pPr>
              <w:jc w:val="right"/>
              <w:ind w:right="118"/>
              <w:spacing w:after="0"/>
              <w:rPr>
                <w:sz w:val="20"/>
                <w:szCs w:val="20"/>
                <w:color w:val="auto"/>
              </w:rPr>
            </w:pPr>
            <w:r>
              <w:rPr>
                <w:rFonts w:ascii="Arial" w:cs="Arial" w:eastAsia="Arial" w:hAnsi="Arial"/>
                <w:sz w:val="17"/>
                <w:szCs w:val="17"/>
                <w:color w:val="auto"/>
              </w:rPr>
              <w:t>1,963</w:t>
            </w:r>
          </w:p>
        </w:tc>
        <w:tc>
          <w:tcPr>
            <w:tcW w:w="0" w:type="dxa"/>
            <w:vAlign w:val="bottom"/>
          </w:tcPr>
          <w:p>
            <w:pPr>
              <w:spacing w:after="0"/>
              <w:rPr>
                <w:sz w:val="1"/>
                <w:szCs w:val="1"/>
                <w:color w:val="auto"/>
              </w:rPr>
            </w:pPr>
          </w:p>
        </w:tc>
      </w:tr>
      <w:tr>
        <w:trPr>
          <w:trHeight w:val="221"/>
        </w:trPr>
        <w:tc>
          <w:tcPr>
            <w:tcW w:w="492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Claim severity</w:t>
            </w:r>
          </w:p>
        </w:tc>
        <w:tc>
          <w:tcPr>
            <w:tcW w:w="90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58 %</w:t>
            </w: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50 %</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58 %</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43 %</w:t>
            </w:r>
          </w:p>
        </w:tc>
        <w:tc>
          <w:tcPr>
            <w:tcW w:w="0" w:type="dxa"/>
            <w:vAlign w:val="bottom"/>
          </w:tcPr>
          <w:p>
            <w:pPr>
              <w:spacing w:after="0"/>
              <w:rPr>
                <w:sz w:val="1"/>
                <w:szCs w:val="1"/>
                <w:color w:val="auto"/>
              </w:rPr>
            </w:pPr>
          </w:p>
        </w:tc>
      </w:tr>
    </w:tbl>
    <w:p>
      <w:pPr>
        <w:spacing w:after="0" w:line="286" w:lineRule="exact"/>
        <w:rPr>
          <w:sz w:val="20"/>
          <w:szCs w:val="20"/>
          <w:color w:val="auto"/>
        </w:rPr>
      </w:pPr>
    </w:p>
    <w:p>
      <w:pPr>
        <w:ind w:left="620"/>
        <w:spacing w:after="0"/>
        <w:rPr>
          <w:sz w:val="20"/>
          <w:szCs w:val="20"/>
          <w:color w:val="auto"/>
        </w:rPr>
      </w:pPr>
      <w:r>
        <w:rPr>
          <w:rFonts w:ascii="Arial" w:cs="Arial" w:eastAsia="Arial" w:hAnsi="Arial"/>
          <w:sz w:val="17"/>
          <w:szCs w:val="17"/>
          <w:b w:val="1"/>
          <w:bCs w:val="1"/>
          <w:i w:val="1"/>
          <w:iCs w:val="1"/>
          <w:color w:val="auto"/>
        </w:rPr>
        <w:t>Other Underwriting and Operating Expenses</w:t>
      </w:r>
    </w:p>
    <w:p>
      <w:pPr>
        <w:spacing w:after="0" w:line="220" w:lineRule="exact"/>
        <w:rPr>
          <w:sz w:val="20"/>
          <w:szCs w:val="20"/>
          <w:color w:val="auto"/>
        </w:rPr>
      </w:pPr>
    </w:p>
    <w:p>
      <w:pPr>
        <w:ind w:left="620"/>
        <w:spacing w:after="0"/>
        <w:rPr>
          <w:sz w:val="20"/>
          <w:szCs w:val="20"/>
          <w:color w:val="auto"/>
        </w:rPr>
      </w:pPr>
      <w:r>
        <w:rPr>
          <w:rFonts w:ascii="Arial" w:cs="Arial" w:eastAsia="Arial" w:hAnsi="Arial"/>
          <w:sz w:val="17"/>
          <w:szCs w:val="17"/>
          <w:color w:val="auto"/>
        </w:rPr>
        <w:t>Following are the components of our other underwriting and operating expenses for the periods indicated:</w:t>
      </w: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2140" w:type="dxa"/>
            <w:vAlign w:val="bottom"/>
            <w:tcBorders>
              <w:bottom w:val="single" w:sz="8" w:color="auto"/>
            </w:tcBorders>
            <w:gridSpan w:val="6"/>
          </w:tcPr>
          <w:p>
            <w:pPr>
              <w:jc w:val="right"/>
              <w:ind w:right="280"/>
              <w:spacing w:after="0"/>
              <w:rPr>
                <w:sz w:val="20"/>
                <w:szCs w:val="20"/>
                <w:color w:val="auto"/>
              </w:rPr>
            </w:pPr>
            <w:r>
              <w:rPr>
                <w:rFonts w:ascii="Arial" w:cs="Arial" w:eastAsia="Arial" w:hAnsi="Arial"/>
                <w:sz w:val="14"/>
                <w:szCs w:val="14"/>
                <w:b w:val="1"/>
                <w:bCs w:val="1"/>
                <w:color w:val="auto"/>
                <w:w w:val="92"/>
              </w:rPr>
              <w:t>Three Months Ended June 30,</w:t>
            </w:r>
          </w:p>
        </w:tc>
        <w:tc>
          <w:tcPr>
            <w:tcW w:w="7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20" w:type="dxa"/>
            <w:vAlign w:val="bottom"/>
            <w:tcBorders>
              <w:bottom w:val="single" w:sz="8" w:color="auto"/>
            </w:tcBorders>
            <w:gridSpan w:val="5"/>
          </w:tcPr>
          <w:p>
            <w:pPr>
              <w:jc w:val="right"/>
              <w:ind w:right="340"/>
              <w:spacing w:after="0"/>
              <w:rPr>
                <w:sz w:val="20"/>
                <w:szCs w:val="20"/>
                <w:color w:val="auto"/>
              </w:rPr>
            </w:pPr>
            <w:r>
              <w:rPr>
                <w:rFonts w:ascii="Arial" w:cs="Arial" w:eastAsia="Arial" w:hAnsi="Arial"/>
                <w:sz w:val="14"/>
                <w:szCs w:val="14"/>
                <w:b w:val="1"/>
                <w:bCs w:val="1"/>
                <w:color w:val="auto"/>
                <w:w w:val="91"/>
              </w:rPr>
              <w:t>Six Months Ended June 30,</w:t>
            </w:r>
          </w:p>
        </w:tc>
        <w:tc>
          <w:tcPr>
            <w:tcW w:w="8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3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2023</w:t>
            </w:r>
          </w:p>
        </w:tc>
        <w:tc>
          <w:tcPr>
            <w:tcW w:w="8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b w:val="1"/>
                <w:bCs w:val="1"/>
                <w:color w:val="auto"/>
              </w:rPr>
              <w:t>2022</w:t>
            </w:r>
          </w:p>
        </w:tc>
        <w:tc>
          <w:tcPr>
            <w:tcW w:w="7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2023</w:t>
            </w:r>
          </w:p>
        </w:tc>
        <w:tc>
          <w:tcPr>
            <w:tcW w:w="8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b w:val="1"/>
                <w:bCs w:val="1"/>
                <w:color w:val="auto"/>
              </w:rPr>
              <w:t>2022</w:t>
            </w:r>
          </w:p>
        </w:tc>
        <w:tc>
          <w:tcPr>
            <w:tcW w:w="8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31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 in thousands)</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379"/>
              <w:spacing w:after="0"/>
              <w:rPr>
                <w:sz w:val="20"/>
                <w:szCs w:val="20"/>
                <w:color w:val="auto"/>
              </w:rPr>
            </w:pPr>
            <w:r>
              <w:rPr>
                <w:rFonts w:ascii="Arial" w:cs="Arial" w:eastAsia="Arial" w:hAnsi="Arial"/>
                <w:sz w:val="14"/>
                <w:szCs w:val="14"/>
                <w:b w:val="1"/>
                <w:bCs w:val="1"/>
                <w:color w:val="auto"/>
              </w:rPr>
              <w:t>$</w:t>
            </w:r>
          </w:p>
        </w:tc>
        <w:tc>
          <w:tcPr>
            <w:tcW w:w="120" w:type="dxa"/>
            <w:vAlign w:val="bottom"/>
            <w:tcBorders>
              <w:bottom w:val="single" w:sz="8" w:color="CCEEFF"/>
            </w:tcBorders>
          </w:tcPr>
          <w:p>
            <w:pPr>
              <w:spacing w:after="0"/>
              <w:rPr>
                <w:sz w:val="16"/>
                <w:szCs w:val="16"/>
                <w:color w:val="auto"/>
              </w:rPr>
            </w:pPr>
          </w:p>
        </w:tc>
        <w:tc>
          <w:tcPr>
            <w:tcW w:w="800" w:type="dxa"/>
            <w:vAlign w:val="bottom"/>
            <w:tcBorders>
              <w:bottom w:val="single" w:sz="8" w:color="auto"/>
            </w:tcBorders>
          </w:tcPr>
          <w:p>
            <w:pPr>
              <w:jc w:val="right"/>
              <w:ind w:right="257"/>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399"/>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16"/>
                <w:szCs w:val="16"/>
                <w:color w:val="auto"/>
              </w:rPr>
            </w:pPr>
          </w:p>
        </w:tc>
        <w:tc>
          <w:tcPr>
            <w:tcW w:w="780" w:type="dxa"/>
            <w:vAlign w:val="bottom"/>
            <w:tcBorders>
              <w:bottom w:val="single" w:sz="8" w:color="auto"/>
            </w:tcBorders>
          </w:tcPr>
          <w:p>
            <w:pPr>
              <w:jc w:val="right"/>
              <w:ind w:right="237"/>
              <w:spacing w:after="0"/>
              <w:rPr>
                <w:sz w:val="20"/>
                <w:szCs w:val="20"/>
                <w:color w:val="auto"/>
              </w:rPr>
            </w:pPr>
            <w:r>
              <w:rPr>
                <w:rFonts w:ascii="Arial" w:cs="Arial" w:eastAsia="Arial" w:hAnsi="Arial"/>
                <w:sz w:val="14"/>
                <w:szCs w:val="14"/>
                <w:b w:val="1"/>
                <w:bCs w:val="1"/>
                <w:color w:val="auto"/>
              </w:rPr>
              <w:t>%</w:t>
            </w: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379"/>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16"/>
                <w:szCs w:val="16"/>
                <w:color w:val="auto"/>
              </w:rPr>
            </w:pPr>
          </w:p>
        </w:tc>
        <w:tc>
          <w:tcPr>
            <w:tcW w:w="800" w:type="dxa"/>
            <w:vAlign w:val="bottom"/>
            <w:tcBorders>
              <w:bottom w:val="single" w:sz="8" w:color="auto"/>
            </w:tcBorders>
          </w:tcPr>
          <w:p>
            <w:pPr>
              <w:jc w:val="right"/>
              <w:ind w:right="238"/>
              <w:spacing w:after="0"/>
              <w:rPr>
                <w:sz w:val="20"/>
                <w:szCs w:val="20"/>
                <w:color w:val="auto"/>
              </w:rPr>
            </w:pPr>
            <w:r>
              <w:rPr>
                <w:rFonts w:ascii="Arial" w:cs="Arial" w:eastAsia="Arial" w:hAnsi="Arial"/>
                <w:sz w:val="14"/>
                <w:szCs w:val="14"/>
                <w:b w:val="1"/>
                <w:bCs w:val="1"/>
                <w:color w:val="auto"/>
              </w:rPr>
              <w:t>%</w:t>
            </w: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399"/>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16"/>
                <w:szCs w:val="16"/>
                <w:color w:val="auto"/>
              </w:rPr>
            </w:pPr>
          </w:p>
        </w:tc>
        <w:tc>
          <w:tcPr>
            <w:tcW w:w="800" w:type="dxa"/>
            <w:vAlign w:val="bottom"/>
            <w:tcBorders>
              <w:bottom w:val="single" w:sz="8" w:color="auto"/>
            </w:tcBorders>
          </w:tcPr>
          <w:p>
            <w:pPr>
              <w:jc w:val="right"/>
              <w:ind w:right="236"/>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21"/>
        </w:trPr>
        <w:tc>
          <w:tcPr>
            <w:tcW w:w="328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Compensation and benefits</w:t>
            </w:r>
          </w:p>
        </w:tc>
        <w:tc>
          <w:tcPr>
            <w:tcW w:w="300" w:type="dxa"/>
            <w:vAlign w:val="bottom"/>
            <w:shd w:val="clear" w:color="auto" w:fill="CCEEFF"/>
          </w:tcPr>
          <w:p>
            <w:pPr>
              <w:jc w:val="right"/>
              <w:ind w:right="93"/>
              <w:spacing w:after="0"/>
              <w:rPr>
                <w:sz w:val="20"/>
                <w:szCs w:val="20"/>
                <w:color w:val="auto"/>
              </w:rPr>
            </w:pPr>
            <w:r>
              <w:rPr>
                <w:rFonts w:ascii="Arial" w:cs="Arial" w:eastAsia="Arial" w:hAnsi="Arial"/>
                <w:sz w:val="17"/>
                <w:szCs w:val="17"/>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24,530</w:t>
            </w: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58 %</w:t>
            </w:r>
          </w:p>
        </w:tc>
        <w:tc>
          <w:tcPr>
            <w:tcW w:w="3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25,291</w:t>
            </w: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60 %</w:t>
            </w:r>
          </w:p>
        </w:tc>
        <w:tc>
          <w:tcPr>
            <w:tcW w:w="4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51,159</w:t>
            </w: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57 %</w:t>
            </w:r>
          </w:p>
        </w:tc>
        <w:tc>
          <w:tcPr>
            <w:tcW w:w="4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50,121</w:t>
            </w: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61 %</w:t>
            </w:r>
          </w:p>
        </w:tc>
        <w:tc>
          <w:tcPr>
            <w:tcW w:w="0" w:type="dxa"/>
            <w:vAlign w:val="bottom"/>
          </w:tcPr>
          <w:p>
            <w:pPr>
              <w:spacing w:after="0"/>
              <w:rPr>
                <w:sz w:val="1"/>
                <w:szCs w:val="1"/>
                <w:color w:val="auto"/>
              </w:rPr>
            </w:pPr>
          </w:p>
        </w:tc>
      </w:tr>
      <w:tr>
        <w:trPr>
          <w:trHeight w:val="221"/>
        </w:trPr>
        <w:tc>
          <w:tcPr>
            <w:tcW w:w="3280" w:type="dxa"/>
            <w:vAlign w:val="bottom"/>
            <w:gridSpan w:val="2"/>
          </w:tcPr>
          <w:p>
            <w:pPr>
              <w:ind w:left="20"/>
              <w:spacing w:after="0"/>
              <w:rPr>
                <w:sz w:val="20"/>
                <w:szCs w:val="20"/>
                <w:color w:val="auto"/>
              </w:rPr>
            </w:pPr>
            <w:r>
              <w:rPr>
                <w:rFonts w:ascii="Arial" w:cs="Arial" w:eastAsia="Arial" w:hAnsi="Arial"/>
                <w:sz w:val="17"/>
                <w:szCs w:val="17"/>
                <w:color w:val="auto"/>
              </w:rPr>
              <w:t>Premium taxes</w:t>
            </w:r>
          </w:p>
        </w:tc>
        <w:tc>
          <w:tcPr>
            <w:tcW w:w="3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4,738</w:t>
            </w:r>
          </w:p>
        </w:tc>
        <w:tc>
          <w:tcPr>
            <w:tcW w:w="120" w:type="dxa"/>
            <w:vAlign w:val="bottom"/>
          </w:tcPr>
          <w:p>
            <w:pPr>
              <w:spacing w:after="0"/>
              <w:rPr>
                <w:sz w:val="19"/>
                <w:szCs w:val="19"/>
                <w:color w:val="auto"/>
              </w:rPr>
            </w:pPr>
          </w:p>
        </w:tc>
        <w:tc>
          <w:tcPr>
            <w:tcW w:w="800" w:type="dxa"/>
            <w:vAlign w:val="bottom"/>
          </w:tcPr>
          <w:p>
            <w:pPr>
              <w:jc w:val="right"/>
              <w:ind w:right="117"/>
              <w:spacing w:after="0"/>
              <w:rPr>
                <w:sz w:val="20"/>
                <w:szCs w:val="20"/>
                <w:color w:val="auto"/>
              </w:rPr>
            </w:pPr>
            <w:r>
              <w:rPr>
                <w:rFonts w:ascii="Arial" w:cs="Arial" w:eastAsia="Arial" w:hAnsi="Arial"/>
                <w:sz w:val="17"/>
                <w:szCs w:val="17"/>
                <w:color w:val="auto"/>
              </w:rPr>
              <w:t>11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4,545</w:t>
            </w:r>
          </w:p>
        </w:tc>
        <w:tc>
          <w:tcPr>
            <w:tcW w:w="100" w:type="dxa"/>
            <w:vAlign w:val="bottom"/>
          </w:tcPr>
          <w:p>
            <w:pPr>
              <w:spacing w:after="0"/>
              <w:rPr>
                <w:sz w:val="19"/>
                <w:szCs w:val="19"/>
                <w:color w:val="auto"/>
              </w:rPr>
            </w:pPr>
          </w:p>
        </w:tc>
        <w:tc>
          <w:tcPr>
            <w:tcW w:w="780" w:type="dxa"/>
            <w:vAlign w:val="bottom"/>
          </w:tcPr>
          <w:p>
            <w:pPr>
              <w:jc w:val="right"/>
              <w:ind w:right="117"/>
              <w:spacing w:after="0"/>
              <w:rPr>
                <w:sz w:val="20"/>
                <w:szCs w:val="20"/>
                <w:color w:val="auto"/>
              </w:rPr>
            </w:pPr>
            <w:r>
              <w:rPr>
                <w:rFonts w:ascii="Arial" w:cs="Arial" w:eastAsia="Arial" w:hAnsi="Arial"/>
                <w:sz w:val="17"/>
                <w:szCs w:val="17"/>
                <w:color w:val="auto"/>
              </w:rPr>
              <w:t>11</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9,391</w:t>
            </w:r>
          </w:p>
        </w:tc>
        <w:tc>
          <w:tcPr>
            <w:tcW w:w="100" w:type="dxa"/>
            <w:vAlign w:val="bottom"/>
          </w:tcPr>
          <w:p>
            <w:pPr>
              <w:spacing w:after="0"/>
              <w:rPr>
                <w:sz w:val="19"/>
                <w:szCs w:val="19"/>
                <w:color w:val="auto"/>
              </w:rPr>
            </w:pPr>
          </w:p>
        </w:tc>
        <w:tc>
          <w:tcPr>
            <w:tcW w:w="800" w:type="dxa"/>
            <w:vAlign w:val="bottom"/>
          </w:tcPr>
          <w:p>
            <w:pPr>
              <w:jc w:val="right"/>
              <w:ind w:right="118"/>
              <w:spacing w:after="0"/>
              <w:rPr>
                <w:sz w:val="20"/>
                <w:szCs w:val="20"/>
                <w:color w:val="auto"/>
              </w:rPr>
            </w:pPr>
            <w:r>
              <w:rPr>
                <w:rFonts w:ascii="Arial" w:cs="Arial" w:eastAsia="Arial" w:hAnsi="Arial"/>
                <w:sz w:val="17"/>
                <w:szCs w:val="17"/>
                <w:color w:val="auto"/>
              </w:rPr>
              <w:t>10</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8,513</w:t>
            </w:r>
          </w:p>
        </w:tc>
        <w:tc>
          <w:tcPr>
            <w:tcW w:w="100" w:type="dxa"/>
            <w:vAlign w:val="bottom"/>
          </w:tcPr>
          <w:p>
            <w:pPr>
              <w:spacing w:after="0"/>
              <w:rPr>
                <w:sz w:val="19"/>
                <w:szCs w:val="19"/>
                <w:color w:val="auto"/>
              </w:rPr>
            </w:pPr>
          </w:p>
        </w:tc>
        <w:tc>
          <w:tcPr>
            <w:tcW w:w="800" w:type="dxa"/>
            <w:vAlign w:val="bottom"/>
          </w:tcPr>
          <w:p>
            <w:pPr>
              <w:jc w:val="right"/>
              <w:ind w:right="116"/>
              <w:spacing w:after="0"/>
              <w:rPr>
                <w:sz w:val="20"/>
                <w:szCs w:val="20"/>
                <w:color w:val="auto"/>
              </w:rPr>
            </w:pPr>
            <w:r>
              <w:rPr>
                <w:rFonts w:ascii="Arial" w:cs="Arial" w:eastAsia="Arial" w:hAnsi="Arial"/>
                <w:sz w:val="17"/>
                <w:szCs w:val="17"/>
                <w:color w:val="auto"/>
              </w:rPr>
              <w:t>10</w:t>
            </w:r>
          </w:p>
        </w:tc>
        <w:tc>
          <w:tcPr>
            <w:tcW w:w="0" w:type="dxa"/>
            <w:vAlign w:val="bottom"/>
          </w:tcPr>
          <w:p>
            <w:pPr>
              <w:spacing w:after="0"/>
              <w:rPr>
                <w:sz w:val="1"/>
                <w:szCs w:val="1"/>
                <w:color w:val="auto"/>
              </w:rPr>
            </w:pPr>
          </w:p>
        </w:tc>
      </w:tr>
      <w:tr>
        <w:trPr>
          <w:trHeight w:val="234"/>
        </w:trPr>
        <w:tc>
          <w:tcPr>
            <w:tcW w:w="328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Other</w:t>
            </w:r>
          </w:p>
        </w:tc>
        <w:tc>
          <w:tcPr>
            <w:tcW w:w="300" w:type="dxa"/>
            <w:vAlign w:val="bottom"/>
            <w:tcBorders>
              <w:bottom w:val="single" w:sz="8" w:color="auto"/>
            </w:tcBorders>
            <w:shd w:val="clear" w:color="auto" w:fill="CCEEFF"/>
          </w:tcPr>
          <w:p>
            <w:pPr>
              <w:spacing w:after="0"/>
              <w:rPr>
                <w:sz w:val="20"/>
                <w:szCs w:val="20"/>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12,906</w:t>
            </w:r>
          </w:p>
        </w:tc>
        <w:tc>
          <w:tcPr>
            <w:tcW w:w="120" w:type="dxa"/>
            <w:vAlign w:val="bottom"/>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jc w:val="right"/>
              <w:ind w:right="117"/>
              <w:spacing w:after="0"/>
              <w:rPr>
                <w:sz w:val="20"/>
                <w:szCs w:val="20"/>
                <w:color w:val="auto"/>
              </w:rPr>
            </w:pPr>
            <w:r>
              <w:rPr>
                <w:rFonts w:ascii="Arial" w:cs="Arial" w:eastAsia="Arial" w:hAnsi="Arial"/>
                <w:sz w:val="17"/>
                <w:szCs w:val="17"/>
                <w:color w:val="auto"/>
              </w:rPr>
              <w:t>31</w:t>
            </w:r>
          </w:p>
        </w:tc>
        <w:tc>
          <w:tcPr>
            <w:tcW w:w="100" w:type="dxa"/>
            <w:vAlign w:val="bottom"/>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12,062</w:t>
            </w:r>
          </w:p>
        </w:tc>
        <w:tc>
          <w:tcPr>
            <w:tcW w:w="100" w:type="dxa"/>
            <w:vAlign w:val="bottom"/>
            <w:shd w:val="clear" w:color="auto" w:fill="CCEEFF"/>
          </w:tcPr>
          <w:p>
            <w:pPr>
              <w:spacing w:after="0"/>
              <w:rPr>
                <w:sz w:val="20"/>
                <w:szCs w:val="20"/>
                <w:color w:val="auto"/>
              </w:rPr>
            </w:pPr>
          </w:p>
        </w:tc>
        <w:tc>
          <w:tcPr>
            <w:tcW w:w="780" w:type="dxa"/>
            <w:vAlign w:val="bottom"/>
            <w:tcBorders>
              <w:bottom w:val="single" w:sz="8" w:color="auto"/>
            </w:tcBorders>
            <w:shd w:val="clear" w:color="auto" w:fill="CCEEFF"/>
          </w:tcPr>
          <w:p>
            <w:pPr>
              <w:jc w:val="right"/>
              <w:ind w:right="117"/>
              <w:spacing w:after="0"/>
              <w:rPr>
                <w:sz w:val="20"/>
                <w:szCs w:val="20"/>
                <w:color w:val="auto"/>
              </w:rPr>
            </w:pPr>
            <w:r>
              <w:rPr>
                <w:rFonts w:ascii="Arial" w:cs="Arial" w:eastAsia="Arial" w:hAnsi="Arial"/>
                <w:sz w:val="17"/>
                <w:szCs w:val="17"/>
                <w:color w:val="auto"/>
              </w:rPr>
              <w:t>29</w:t>
            </w:r>
          </w:p>
        </w:tc>
        <w:tc>
          <w:tcPr>
            <w:tcW w:w="120" w:type="dxa"/>
            <w:vAlign w:val="bottom"/>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29,819</w:t>
            </w:r>
          </w:p>
        </w:tc>
        <w:tc>
          <w:tcPr>
            <w:tcW w:w="100" w:type="dxa"/>
            <w:vAlign w:val="bottom"/>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jc w:val="right"/>
              <w:ind w:right="118"/>
              <w:spacing w:after="0"/>
              <w:rPr>
                <w:sz w:val="20"/>
                <w:szCs w:val="20"/>
                <w:color w:val="auto"/>
              </w:rPr>
            </w:pPr>
            <w:r>
              <w:rPr>
                <w:rFonts w:ascii="Arial" w:cs="Arial" w:eastAsia="Arial" w:hAnsi="Arial"/>
                <w:sz w:val="17"/>
                <w:szCs w:val="17"/>
                <w:color w:val="auto"/>
              </w:rPr>
              <w:t>33</w:t>
            </w:r>
          </w:p>
        </w:tc>
        <w:tc>
          <w:tcPr>
            <w:tcW w:w="120" w:type="dxa"/>
            <w:vAlign w:val="bottom"/>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24,060</w:t>
            </w:r>
          </w:p>
        </w:tc>
        <w:tc>
          <w:tcPr>
            <w:tcW w:w="100" w:type="dxa"/>
            <w:vAlign w:val="bottom"/>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jc w:val="right"/>
              <w:ind w:right="116"/>
              <w:spacing w:after="0"/>
              <w:rPr>
                <w:sz w:val="20"/>
                <w:szCs w:val="20"/>
                <w:color w:val="auto"/>
              </w:rPr>
            </w:pPr>
            <w:r>
              <w:rPr>
                <w:rFonts w:ascii="Arial" w:cs="Arial" w:eastAsia="Arial" w:hAnsi="Arial"/>
                <w:sz w:val="17"/>
                <w:szCs w:val="17"/>
                <w:color w:val="auto"/>
              </w:rPr>
              <w:t>29</w:t>
            </w:r>
          </w:p>
        </w:tc>
        <w:tc>
          <w:tcPr>
            <w:tcW w:w="0" w:type="dxa"/>
            <w:vAlign w:val="bottom"/>
          </w:tcPr>
          <w:p>
            <w:pPr>
              <w:spacing w:after="0"/>
              <w:rPr>
                <w:sz w:val="1"/>
                <w:szCs w:val="1"/>
                <w:color w:val="auto"/>
              </w:rPr>
            </w:pPr>
          </w:p>
        </w:tc>
      </w:tr>
      <w:tr>
        <w:trPr>
          <w:trHeight w:val="149"/>
        </w:trPr>
        <w:tc>
          <w:tcPr>
            <w:tcW w:w="3280" w:type="dxa"/>
            <w:vAlign w:val="bottom"/>
            <w:gridSpan w:val="2"/>
          </w:tcPr>
          <w:p>
            <w:pPr>
              <w:ind w:left="20"/>
              <w:spacing w:after="0" w:line="150" w:lineRule="exact"/>
              <w:rPr>
                <w:sz w:val="20"/>
                <w:szCs w:val="20"/>
                <w:color w:val="auto"/>
              </w:rPr>
            </w:pPr>
            <w:r>
              <w:rPr>
                <w:rFonts w:ascii="Arial" w:cs="Arial" w:eastAsia="Arial" w:hAnsi="Arial"/>
                <w:sz w:val="17"/>
                <w:szCs w:val="17"/>
                <w:color w:val="auto"/>
              </w:rPr>
              <w:t>Total other underwriting and operating</w:t>
            </w:r>
          </w:p>
        </w:tc>
        <w:tc>
          <w:tcPr>
            <w:tcW w:w="300" w:type="dxa"/>
            <w:vAlign w:val="bottom"/>
            <w:vMerge w:val="restart"/>
          </w:tcPr>
          <w:p>
            <w:pPr>
              <w:jc w:val="right"/>
              <w:ind w:right="93"/>
              <w:spacing w:after="0"/>
              <w:rPr>
                <w:sz w:val="20"/>
                <w:szCs w:val="20"/>
                <w:color w:val="auto"/>
              </w:rPr>
            </w:pPr>
            <w:r>
              <w:rPr>
                <w:rFonts w:ascii="Arial" w:cs="Arial" w:eastAsia="Arial" w:hAnsi="Arial"/>
                <w:sz w:val="17"/>
                <w:szCs w:val="17"/>
                <w:color w:val="auto"/>
              </w:rPr>
              <w:t>$</w:t>
            </w:r>
          </w:p>
        </w:tc>
        <w:tc>
          <w:tcPr>
            <w:tcW w:w="700" w:type="dxa"/>
            <w:vAlign w:val="bottom"/>
            <w:vMerge w:val="restart"/>
          </w:tcPr>
          <w:p>
            <w:pPr>
              <w:jc w:val="right"/>
              <w:spacing w:after="0"/>
              <w:rPr>
                <w:sz w:val="20"/>
                <w:szCs w:val="20"/>
                <w:color w:val="auto"/>
              </w:rPr>
            </w:pPr>
            <w:r>
              <w:rPr>
                <w:rFonts w:ascii="Arial" w:cs="Arial" w:eastAsia="Arial" w:hAnsi="Arial"/>
                <w:sz w:val="17"/>
                <w:szCs w:val="17"/>
                <w:color w:val="auto"/>
              </w:rPr>
              <w:t>42,174</w:t>
            </w:r>
          </w:p>
        </w:tc>
        <w:tc>
          <w:tcPr>
            <w:tcW w:w="120" w:type="dxa"/>
            <w:vAlign w:val="bottom"/>
          </w:tcPr>
          <w:p>
            <w:pPr>
              <w:spacing w:after="0"/>
              <w:rPr>
                <w:sz w:val="12"/>
                <w:szCs w:val="12"/>
                <w:color w:val="auto"/>
              </w:rPr>
            </w:pPr>
          </w:p>
        </w:tc>
        <w:tc>
          <w:tcPr>
            <w:tcW w:w="800" w:type="dxa"/>
            <w:vAlign w:val="bottom"/>
            <w:vMerge w:val="restart"/>
          </w:tcPr>
          <w:p>
            <w:pPr>
              <w:jc w:val="right"/>
              <w:spacing w:after="0"/>
              <w:rPr>
                <w:sz w:val="20"/>
                <w:szCs w:val="20"/>
                <w:color w:val="auto"/>
              </w:rPr>
            </w:pPr>
            <w:r>
              <w:rPr>
                <w:rFonts w:ascii="Arial" w:cs="Arial" w:eastAsia="Arial" w:hAnsi="Arial"/>
                <w:sz w:val="17"/>
                <w:szCs w:val="17"/>
                <w:color w:val="auto"/>
              </w:rPr>
              <w:t>100 %</w:t>
            </w:r>
          </w:p>
        </w:tc>
        <w:tc>
          <w:tcPr>
            <w:tcW w:w="380" w:type="dxa"/>
            <w:vAlign w:val="bottom"/>
            <w:gridSpan w:val="2"/>
            <w:vMerge w:val="restart"/>
          </w:tcPr>
          <w:p>
            <w:pPr>
              <w:jc w:val="right"/>
              <w:ind w:right="180"/>
              <w:spacing w:after="0"/>
              <w:rPr>
                <w:sz w:val="20"/>
                <w:szCs w:val="20"/>
                <w:color w:val="auto"/>
              </w:rPr>
            </w:pPr>
            <w:r>
              <w:rPr>
                <w:rFonts w:ascii="Arial" w:cs="Arial" w:eastAsia="Arial" w:hAnsi="Arial"/>
                <w:sz w:val="17"/>
                <w:szCs w:val="17"/>
                <w:color w:val="auto"/>
              </w:rPr>
              <w:t>$</w:t>
            </w:r>
          </w:p>
        </w:tc>
        <w:tc>
          <w:tcPr>
            <w:tcW w:w="740" w:type="dxa"/>
            <w:vAlign w:val="bottom"/>
            <w:vMerge w:val="restart"/>
          </w:tcPr>
          <w:p>
            <w:pPr>
              <w:jc w:val="right"/>
              <w:spacing w:after="0"/>
              <w:rPr>
                <w:sz w:val="20"/>
                <w:szCs w:val="20"/>
                <w:color w:val="auto"/>
              </w:rPr>
            </w:pPr>
            <w:r>
              <w:rPr>
                <w:rFonts w:ascii="Arial" w:cs="Arial" w:eastAsia="Arial" w:hAnsi="Arial"/>
                <w:sz w:val="17"/>
                <w:szCs w:val="17"/>
                <w:color w:val="auto"/>
              </w:rPr>
              <w:t>41,898</w:t>
            </w:r>
          </w:p>
        </w:tc>
        <w:tc>
          <w:tcPr>
            <w:tcW w:w="100" w:type="dxa"/>
            <w:vAlign w:val="bottom"/>
          </w:tcPr>
          <w:p>
            <w:pPr>
              <w:spacing w:after="0"/>
              <w:rPr>
                <w:sz w:val="12"/>
                <w:szCs w:val="12"/>
                <w:color w:val="auto"/>
              </w:rPr>
            </w:pPr>
          </w:p>
        </w:tc>
        <w:tc>
          <w:tcPr>
            <w:tcW w:w="780" w:type="dxa"/>
            <w:vAlign w:val="bottom"/>
            <w:vMerge w:val="restart"/>
          </w:tcPr>
          <w:p>
            <w:pPr>
              <w:jc w:val="right"/>
              <w:spacing w:after="0"/>
              <w:rPr>
                <w:sz w:val="20"/>
                <w:szCs w:val="20"/>
                <w:color w:val="auto"/>
              </w:rPr>
            </w:pPr>
            <w:r>
              <w:rPr>
                <w:rFonts w:ascii="Arial" w:cs="Arial" w:eastAsia="Arial" w:hAnsi="Arial"/>
                <w:sz w:val="17"/>
                <w:szCs w:val="17"/>
                <w:color w:val="auto"/>
              </w:rPr>
              <w:t>100 %</w:t>
            </w:r>
          </w:p>
        </w:tc>
        <w:tc>
          <w:tcPr>
            <w:tcW w:w="400" w:type="dxa"/>
            <w:vAlign w:val="bottom"/>
            <w:gridSpan w:val="2"/>
            <w:vMerge w:val="restart"/>
          </w:tcPr>
          <w:p>
            <w:pPr>
              <w:jc w:val="right"/>
              <w:ind w:right="180"/>
              <w:spacing w:after="0"/>
              <w:rPr>
                <w:sz w:val="20"/>
                <w:szCs w:val="20"/>
                <w:color w:val="auto"/>
              </w:rPr>
            </w:pPr>
            <w:r>
              <w:rPr>
                <w:rFonts w:ascii="Arial" w:cs="Arial" w:eastAsia="Arial" w:hAnsi="Arial"/>
                <w:sz w:val="17"/>
                <w:szCs w:val="17"/>
                <w:color w:val="auto"/>
              </w:rPr>
              <w:t>$</w:t>
            </w:r>
          </w:p>
        </w:tc>
        <w:tc>
          <w:tcPr>
            <w:tcW w:w="720" w:type="dxa"/>
            <w:vAlign w:val="bottom"/>
            <w:vMerge w:val="restart"/>
          </w:tcPr>
          <w:p>
            <w:pPr>
              <w:jc w:val="right"/>
              <w:spacing w:after="0"/>
              <w:rPr>
                <w:sz w:val="20"/>
                <w:szCs w:val="20"/>
                <w:color w:val="auto"/>
              </w:rPr>
            </w:pPr>
            <w:r>
              <w:rPr>
                <w:rFonts w:ascii="Arial" w:cs="Arial" w:eastAsia="Arial" w:hAnsi="Arial"/>
                <w:sz w:val="17"/>
                <w:szCs w:val="17"/>
                <w:color w:val="auto"/>
              </w:rPr>
              <w:t>90,369</w:t>
            </w:r>
          </w:p>
        </w:tc>
        <w:tc>
          <w:tcPr>
            <w:tcW w:w="100" w:type="dxa"/>
            <w:vAlign w:val="bottom"/>
          </w:tcPr>
          <w:p>
            <w:pPr>
              <w:spacing w:after="0"/>
              <w:rPr>
                <w:sz w:val="12"/>
                <w:szCs w:val="12"/>
                <w:color w:val="auto"/>
              </w:rPr>
            </w:pPr>
          </w:p>
        </w:tc>
        <w:tc>
          <w:tcPr>
            <w:tcW w:w="800" w:type="dxa"/>
            <w:vAlign w:val="bottom"/>
            <w:vMerge w:val="restart"/>
          </w:tcPr>
          <w:p>
            <w:pPr>
              <w:jc w:val="right"/>
              <w:spacing w:after="0"/>
              <w:rPr>
                <w:sz w:val="20"/>
                <w:szCs w:val="20"/>
                <w:color w:val="auto"/>
              </w:rPr>
            </w:pPr>
            <w:r>
              <w:rPr>
                <w:rFonts w:ascii="Arial" w:cs="Arial" w:eastAsia="Arial" w:hAnsi="Arial"/>
                <w:sz w:val="17"/>
                <w:szCs w:val="17"/>
                <w:color w:val="auto"/>
              </w:rPr>
              <w:t>100 %</w:t>
            </w:r>
          </w:p>
        </w:tc>
        <w:tc>
          <w:tcPr>
            <w:tcW w:w="400" w:type="dxa"/>
            <w:vAlign w:val="bottom"/>
            <w:gridSpan w:val="2"/>
            <w:vMerge w:val="restart"/>
          </w:tcPr>
          <w:p>
            <w:pPr>
              <w:jc w:val="right"/>
              <w:ind w:right="180"/>
              <w:spacing w:after="0"/>
              <w:rPr>
                <w:sz w:val="20"/>
                <w:szCs w:val="20"/>
                <w:color w:val="auto"/>
              </w:rPr>
            </w:pPr>
            <w:r>
              <w:rPr>
                <w:rFonts w:ascii="Arial" w:cs="Arial" w:eastAsia="Arial" w:hAnsi="Arial"/>
                <w:sz w:val="17"/>
                <w:szCs w:val="17"/>
                <w:color w:val="auto"/>
              </w:rPr>
              <w:t>$</w:t>
            </w:r>
          </w:p>
        </w:tc>
        <w:tc>
          <w:tcPr>
            <w:tcW w:w="720" w:type="dxa"/>
            <w:vAlign w:val="bottom"/>
            <w:vMerge w:val="restart"/>
          </w:tcPr>
          <w:p>
            <w:pPr>
              <w:jc w:val="right"/>
              <w:spacing w:after="0"/>
              <w:rPr>
                <w:sz w:val="20"/>
                <w:szCs w:val="20"/>
                <w:color w:val="auto"/>
              </w:rPr>
            </w:pPr>
            <w:r>
              <w:rPr>
                <w:rFonts w:ascii="Arial" w:cs="Arial" w:eastAsia="Arial" w:hAnsi="Arial"/>
                <w:sz w:val="17"/>
                <w:szCs w:val="17"/>
                <w:color w:val="auto"/>
              </w:rPr>
              <w:t>82,694</w:t>
            </w:r>
          </w:p>
        </w:tc>
        <w:tc>
          <w:tcPr>
            <w:tcW w:w="100" w:type="dxa"/>
            <w:vAlign w:val="bottom"/>
          </w:tcPr>
          <w:p>
            <w:pPr>
              <w:spacing w:after="0"/>
              <w:rPr>
                <w:sz w:val="12"/>
                <w:szCs w:val="12"/>
                <w:color w:val="auto"/>
              </w:rPr>
            </w:pPr>
          </w:p>
        </w:tc>
        <w:tc>
          <w:tcPr>
            <w:tcW w:w="800" w:type="dxa"/>
            <w:vAlign w:val="bottom"/>
            <w:vMerge w:val="restart"/>
          </w:tcPr>
          <w:p>
            <w:pPr>
              <w:jc w:val="right"/>
              <w:spacing w:after="0"/>
              <w:rPr>
                <w:sz w:val="20"/>
                <w:szCs w:val="20"/>
                <w:color w:val="auto"/>
              </w:rPr>
            </w:pPr>
            <w:r>
              <w:rPr>
                <w:rFonts w:ascii="Arial" w:cs="Arial" w:eastAsia="Arial" w:hAnsi="Arial"/>
                <w:sz w:val="17"/>
                <w:szCs w:val="17"/>
                <w:color w:val="auto"/>
              </w:rPr>
              <w:t>100 %</w:t>
            </w:r>
          </w:p>
        </w:tc>
        <w:tc>
          <w:tcPr>
            <w:tcW w:w="0" w:type="dxa"/>
            <w:vAlign w:val="bottom"/>
          </w:tcPr>
          <w:p>
            <w:pPr>
              <w:spacing w:after="0"/>
              <w:rPr>
                <w:sz w:val="1"/>
                <w:szCs w:val="1"/>
                <w:color w:val="auto"/>
              </w:rPr>
            </w:pPr>
          </w:p>
        </w:tc>
      </w:tr>
      <w:tr>
        <w:trPr>
          <w:trHeight w:val="207"/>
        </w:trPr>
        <w:tc>
          <w:tcPr>
            <w:tcW w:w="3280" w:type="dxa"/>
            <w:vAlign w:val="bottom"/>
            <w:gridSpan w:val="2"/>
          </w:tcPr>
          <w:p>
            <w:pPr>
              <w:ind w:left="180"/>
              <w:spacing w:after="0"/>
              <w:rPr>
                <w:sz w:val="20"/>
                <w:szCs w:val="20"/>
                <w:color w:val="auto"/>
              </w:rPr>
            </w:pPr>
            <w:r>
              <w:rPr>
                <w:rFonts w:ascii="Arial" w:cs="Arial" w:eastAsia="Arial" w:hAnsi="Arial"/>
                <w:sz w:val="17"/>
                <w:szCs w:val="17"/>
                <w:color w:val="auto"/>
              </w:rPr>
              <w:t>expenses</w:t>
            </w:r>
          </w:p>
        </w:tc>
        <w:tc>
          <w:tcPr>
            <w:tcW w:w="300" w:type="dxa"/>
            <w:vAlign w:val="bottom"/>
            <w:vMerge w:val="continue"/>
          </w:tcPr>
          <w:p>
            <w:pPr>
              <w:spacing w:after="0"/>
              <w:rPr>
                <w:sz w:val="18"/>
                <w:szCs w:val="18"/>
                <w:color w:val="auto"/>
              </w:rPr>
            </w:pPr>
          </w:p>
        </w:tc>
        <w:tc>
          <w:tcPr>
            <w:tcW w:w="70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380" w:type="dxa"/>
            <w:vAlign w:val="bottom"/>
            <w:gridSpan w:val="2"/>
            <w:vMerge w:val="continue"/>
          </w:tcPr>
          <w:p>
            <w:pPr>
              <w:spacing w:after="0"/>
              <w:rPr>
                <w:sz w:val="18"/>
                <w:szCs w:val="18"/>
                <w:color w:val="auto"/>
              </w:rPr>
            </w:pPr>
          </w:p>
        </w:tc>
        <w:tc>
          <w:tcPr>
            <w:tcW w:w="7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400" w:type="dxa"/>
            <w:vAlign w:val="bottom"/>
            <w:gridSpan w:val="2"/>
            <w:vMerge w:val="continue"/>
          </w:tcPr>
          <w:p>
            <w:pPr>
              <w:spacing w:after="0"/>
              <w:rPr>
                <w:sz w:val="18"/>
                <w:szCs w:val="18"/>
                <w:color w:val="auto"/>
              </w:rPr>
            </w:pPr>
          </w:p>
        </w:tc>
        <w:tc>
          <w:tcPr>
            <w:tcW w:w="7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400" w:type="dxa"/>
            <w:vAlign w:val="bottom"/>
            <w:gridSpan w:val="2"/>
            <w:vMerge w:val="continue"/>
          </w:tcPr>
          <w:p>
            <w:pPr>
              <w:spacing w:after="0"/>
              <w:rPr>
                <w:sz w:val="18"/>
                <w:szCs w:val="18"/>
                <w:color w:val="auto"/>
              </w:rPr>
            </w:pPr>
          </w:p>
        </w:tc>
        <w:tc>
          <w:tcPr>
            <w:tcW w:w="7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1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3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3280" w:type="dxa"/>
            <w:vAlign w:val="bottom"/>
            <w:gridSpan w:val="2"/>
          </w:tcPr>
          <w:p>
            <w:pPr>
              <w:ind w:left="20"/>
              <w:spacing w:after="0"/>
              <w:rPr>
                <w:sz w:val="20"/>
                <w:szCs w:val="20"/>
                <w:color w:val="auto"/>
              </w:rPr>
            </w:pPr>
            <w:r>
              <w:rPr>
                <w:rFonts w:ascii="Arial" w:cs="Arial" w:eastAsia="Arial" w:hAnsi="Arial"/>
                <w:sz w:val="17"/>
                <w:szCs w:val="17"/>
                <w:color w:val="auto"/>
              </w:rPr>
              <w:t>Number of employees at end of period</w:t>
            </w:r>
          </w:p>
        </w:tc>
        <w:tc>
          <w:tcPr>
            <w:tcW w:w="3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ind w:right="118"/>
              <w:spacing w:after="0"/>
              <w:rPr>
                <w:sz w:val="20"/>
                <w:szCs w:val="20"/>
                <w:color w:val="auto"/>
              </w:rPr>
            </w:pPr>
            <w:r>
              <w:rPr>
                <w:rFonts w:ascii="Arial" w:cs="Arial" w:eastAsia="Arial" w:hAnsi="Arial"/>
                <w:sz w:val="17"/>
                <w:szCs w:val="17"/>
                <w:color w:val="auto"/>
              </w:rPr>
              <w:t>347</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ind w:right="116"/>
              <w:spacing w:after="0"/>
              <w:rPr>
                <w:sz w:val="20"/>
                <w:szCs w:val="20"/>
                <w:color w:val="auto"/>
              </w:rPr>
            </w:pPr>
            <w:r>
              <w:rPr>
                <w:rFonts w:ascii="Arial" w:cs="Arial" w:eastAsia="Arial" w:hAnsi="Arial"/>
                <w:sz w:val="17"/>
                <w:szCs w:val="17"/>
                <w:color w:val="auto"/>
              </w:rPr>
              <w:t>349</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68580</wp:posOffset>
            </wp:positionV>
            <wp:extent cx="7162800" cy="419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1" w:name="page42"/>
    <w:bookmarkEnd w:id="41"/>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344" w:lineRule="exact"/>
        <w:rPr>
          <w:sz w:val="20"/>
          <w:szCs w:val="20"/>
          <w:color w:val="auto"/>
        </w:rPr>
      </w:pPr>
    </w:p>
    <w:p>
      <w:pPr>
        <w:ind w:left="620"/>
        <w:spacing w:after="0"/>
        <w:rPr>
          <w:sz w:val="20"/>
          <w:szCs w:val="20"/>
          <w:color w:val="auto"/>
        </w:rPr>
      </w:pPr>
      <w:r>
        <w:rPr>
          <w:rFonts w:ascii="Arial" w:cs="Arial" w:eastAsia="Arial" w:hAnsi="Arial"/>
          <w:sz w:val="17"/>
          <w:szCs w:val="17"/>
          <w:color w:val="auto"/>
        </w:rPr>
        <w:t>The significant factors contributing to the change in other underwriting and operating expenses are:</w:t>
      </w:r>
    </w:p>
    <w:p>
      <w:pPr>
        <w:spacing w:after="0" w:line="220" w:lineRule="exact"/>
        <w:rPr>
          <w:sz w:val="20"/>
          <w:szCs w:val="20"/>
          <w:color w:val="auto"/>
        </w:rPr>
      </w:pPr>
    </w:p>
    <w:p>
      <w:pPr>
        <w:ind w:left="620" w:right="60" w:hanging="305"/>
        <w:spacing w:after="0" w:line="286" w:lineRule="auto"/>
        <w:tabs>
          <w:tab w:leader="none" w:pos="620" w:val="left"/>
        </w:tabs>
        <w:numPr>
          <w:ilvl w:val="0"/>
          <w:numId w:val="19"/>
        </w:numPr>
        <w:rPr>
          <w:rFonts w:ascii="Arial" w:cs="Arial" w:eastAsia="Arial" w:hAnsi="Arial"/>
          <w:sz w:val="16"/>
          <w:szCs w:val="16"/>
          <w:color w:val="auto"/>
        </w:rPr>
      </w:pPr>
      <w:r>
        <w:rPr>
          <w:rFonts w:ascii="Arial" w:cs="Arial" w:eastAsia="Arial" w:hAnsi="Arial"/>
          <w:sz w:val="16"/>
          <w:szCs w:val="16"/>
          <w:color w:val="auto"/>
        </w:rPr>
        <w:t>Compensation and benefits decreased in the three months ended June 30, 2023 as compared to the three months ended June 30, 2022 primarily due to decreases in incentive compensation, salaries and overtime. Compensation and benefits increased in the six months ended June 30, 2023 as compared to the six months ended June 30, 2022 primarily due to increased salaries and stock compensation expense associated with shares granted in 2023 and 2022. Compensation and benefits includes salaries, wages and bonus, stock compensation expense, benefits and payroll taxes.</w:t>
      </w:r>
    </w:p>
    <w:p>
      <w:pPr>
        <w:spacing w:after="0" w:line="187" w:lineRule="exact"/>
        <w:rPr>
          <w:rFonts w:ascii="Arial" w:cs="Arial" w:eastAsia="Arial" w:hAnsi="Arial"/>
          <w:sz w:val="16"/>
          <w:szCs w:val="16"/>
          <w:color w:val="auto"/>
        </w:rPr>
      </w:pPr>
    </w:p>
    <w:p>
      <w:pPr>
        <w:ind w:left="620" w:hanging="305"/>
        <w:spacing w:after="0"/>
        <w:tabs>
          <w:tab w:leader="none" w:pos="620" w:val="left"/>
        </w:tabs>
        <w:numPr>
          <w:ilvl w:val="0"/>
          <w:numId w:val="19"/>
        </w:numPr>
        <w:rPr>
          <w:rFonts w:ascii="Arial" w:cs="Arial" w:eastAsia="Arial" w:hAnsi="Arial"/>
          <w:sz w:val="17"/>
          <w:szCs w:val="17"/>
          <w:color w:val="auto"/>
        </w:rPr>
      </w:pPr>
      <w:r>
        <w:rPr>
          <w:rFonts w:ascii="Arial" w:cs="Arial" w:eastAsia="Arial" w:hAnsi="Arial"/>
          <w:sz w:val="17"/>
          <w:szCs w:val="17"/>
          <w:color w:val="auto"/>
        </w:rPr>
        <w:t>Premium taxes increased primarily due to an increase in our effective premium tax rate.</w:t>
      </w:r>
    </w:p>
    <w:p>
      <w:pPr>
        <w:spacing w:after="0" w:line="245" w:lineRule="exact"/>
        <w:rPr>
          <w:rFonts w:ascii="Arial" w:cs="Arial" w:eastAsia="Arial" w:hAnsi="Arial"/>
          <w:sz w:val="17"/>
          <w:szCs w:val="17"/>
          <w:color w:val="auto"/>
        </w:rPr>
      </w:pPr>
    </w:p>
    <w:p>
      <w:pPr>
        <w:ind w:left="620" w:right="260" w:hanging="305"/>
        <w:spacing w:after="0" w:line="286" w:lineRule="auto"/>
        <w:tabs>
          <w:tab w:leader="none" w:pos="620" w:val="left"/>
        </w:tabs>
        <w:numPr>
          <w:ilvl w:val="0"/>
          <w:numId w:val="19"/>
        </w:numPr>
        <w:rPr>
          <w:rFonts w:ascii="Arial" w:cs="Arial" w:eastAsia="Arial" w:hAnsi="Arial"/>
          <w:sz w:val="16"/>
          <w:szCs w:val="16"/>
          <w:color w:val="auto"/>
        </w:rPr>
      </w:pPr>
      <w:r>
        <w:rPr>
          <w:rFonts w:ascii="Arial" w:cs="Arial" w:eastAsia="Arial" w:hAnsi="Arial"/>
          <w:sz w:val="16"/>
          <w:szCs w:val="16"/>
          <w:color w:val="auto"/>
        </w:rPr>
        <w:t>Other expenses increased primarily as a result of increases in professional fees and software related expenses partially offset by an increase in ceding commission earned under the QSR Agreement. In the three and six months ended June 30, 2023, other expenses included approximately $0.7 million and $4.1 million, respectively, of transaction costs associated with the Company's announced title business acquisition. Other expenses include professional fees, travel, marketing, hardware, software, rent, depreciation and amortization and other facilities expenses.</w:t>
      </w:r>
    </w:p>
    <w:p>
      <w:pPr>
        <w:spacing w:after="0" w:line="187" w:lineRule="exact"/>
        <w:rPr>
          <w:rFonts w:ascii="Arial" w:cs="Arial" w:eastAsia="Arial" w:hAnsi="Arial"/>
          <w:sz w:val="16"/>
          <w:szCs w:val="16"/>
          <w:color w:val="auto"/>
        </w:rPr>
      </w:pPr>
    </w:p>
    <w:p>
      <w:pPr>
        <w:ind w:left="620"/>
        <w:spacing w:after="0"/>
        <w:rPr>
          <w:rFonts w:ascii="Arial" w:cs="Arial" w:eastAsia="Arial" w:hAnsi="Arial"/>
          <w:sz w:val="16"/>
          <w:szCs w:val="16"/>
          <w:color w:val="auto"/>
        </w:rPr>
      </w:pPr>
      <w:r>
        <w:rPr>
          <w:rFonts w:ascii="Arial" w:cs="Arial" w:eastAsia="Arial" w:hAnsi="Arial"/>
          <w:sz w:val="17"/>
          <w:szCs w:val="17"/>
          <w:b w:val="1"/>
          <w:bCs w:val="1"/>
          <w:i w:val="1"/>
          <w:iCs w:val="1"/>
          <w:color w:val="auto"/>
        </w:rPr>
        <w:t>Interest Expense</w:t>
      </w:r>
    </w:p>
    <w:p>
      <w:pPr>
        <w:spacing w:after="0" w:line="246" w:lineRule="exact"/>
        <w:rPr>
          <w:sz w:val="20"/>
          <w:szCs w:val="20"/>
          <w:color w:val="auto"/>
        </w:rPr>
      </w:pPr>
    </w:p>
    <w:p>
      <w:pPr>
        <w:ind w:right="80" w:firstLine="623"/>
        <w:spacing w:after="0" w:line="286" w:lineRule="auto"/>
        <w:rPr>
          <w:sz w:val="20"/>
          <w:szCs w:val="20"/>
          <w:color w:val="auto"/>
        </w:rPr>
      </w:pPr>
      <w:r>
        <w:rPr>
          <w:rFonts w:ascii="Arial" w:cs="Arial" w:eastAsia="Arial" w:hAnsi="Arial"/>
          <w:sz w:val="16"/>
          <w:szCs w:val="16"/>
          <w:color w:val="auto"/>
        </w:rPr>
        <w:t>For the three and six months ended June 30, 2023, we incurred interest expense of $7.4 million and $14.3 million, respectively, as compared to $2.9 million and $5.1 million for the three and six months ended June 30, 2022, respectively. The decreases were primarily due to an increase in the weighted average interest rate for borrowings outstanding. For the three and six months ended June 30, 2023, the borrowings under the Credit Facility had a weighted average interest rate of 6.71% and 6.49%, respectively, as compared to 2.47% and 2.16% for the three and six months ended June 30, 2022, respectively.</w:t>
      </w:r>
    </w:p>
    <w:p>
      <w:pPr>
        <w:spacing w:after="0" w:line="187" w:lineRule="exact"/>
        <w:rPr>
          <w:sz w:val="20"/>
          <w:szCs w:val="20"/>
          <w:color w:val="auto"/>
        </w:rPr>
      </w:pPr>
    </w:p>
    <w:p>
      <w:pPr>
        <w:ind w:left="620"/>
        <w:spacing w:after="0"/>
        <w:rPr>
          <w:sz w:val="20"/>
          <w:szCs w:val="20"/>
          <w:color w:val="auto"/>
        </w:rPr>
      </w:pPr>
      <w:r>
        <w:rPr>
          <w:rFonts w:ascii="Arial" w:cs="Arial" w:eastAsia="Arial" w:hAnsi="Arial"/>
          <w:sz w:val="17"/>
          <w:szCs w:val="17"/>
          <w:b w:val="1"/>
          <w:bCs w:val="1"/>
          <w:i w:val="1"/>
          <w:iCs w:val="1"/>
          <w:color w:val="auto"/>
        </w:rPr>
        <w:t>Income Taxes</w:t>
      </w:r>
    </w:p>
    <w:p>
      <w:pPr>
        <w:spacing w:after="0" w:line="220" w:lineRule="exact"/>
        <w:rPr>
          <w:sz w:val="20"/>
          <w:szCs w:val="20"/>
          <w:color w:val="auto"/>
        </w:rPr>
      </w:pPr>
    </w:p>
    <w:p>
      <w:pPr>
        <w:ind w:firstLine="623"/>
        <w:spacing w:after="0" w:line="276" w:lineRule="auto"/>
        <w:rPr>
          <w:sz w:val="20"/>
          <w:szCs w:val="20"/>
          <w:color w:val="auto"/>
        </w:rPr>
      </w:pPr>
      <w:r>
        <w:rPr>
          <w:rFonts w:ascii="Arial" w:cs="Arial" w:eastAsia="Arial" w:hAnsi="Arial"/>
          <w:sz w:val="16"/>
          <w:szCs w:val="16"/>
          <w:color w:val="auto"/>
        </w:rPr>
        <w:t>Our subsidiaries in the United States file a consolidated U.S. Federal income tax return. Our income tax expense was $37.1 million and $44.1 million for the three months ended June 30, 2023 and 2022, respectively, and $67.5 million and $98.3 million for the six months ended June 30, 2023 and 2022, respectively. The provision for income taxes for the six months ended June 30, 2023 was calculated using an estimated annual effective tax rate of 15.2% as compared to an estimated annual effective tax rate of 16.0% for the six months ended June 30, 2022. For the six months ended June 30, 2023 income tax expense includes $1.3 million of discrete tax benefit associated with realized and unrealized losses recognized during the period partially offset by excess tax deficits associated with the vesting of common shares and common share units. For the six months ended June 30, 2023, income tax expense also includes $5.3 million of net expense associated with prior year tax returns. For the six months ended June 30, 2022, income tax expense includes $6.8 million of discrete tax expense associated with realized and unrealized gains and losses. The tax effects associated with the realized and unrealized gains and losses, vesting of common shares and common share units, and prior year tax return items are treated as discrete items in the reporting period in which they occur and are not considered in determining the annual effective tax rate.</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Liquidity and Capital Resources</w:t>
      </w:r>
    </w:p>
    <w:p>
      <w:pPr>
        <w:spacing w:after="0" w:line="226" w:lineRule="exact"/>
        <w:rPr>
          <w:sz w:val="20"/>
          <w:szCs w:val="20"/>
          <w:color w:val="auto"/>
        </w:rPr>
      </w:pPr>
    </w:p>
    <w:p>
      <w:pPr>
        <w:ind w:left="620"/>
        <w:spacing w:after="0"/>
        <w:rPr>
          <w:sz w:val="20"/>
          <w:szCs w:val="20"/>
          <w:color w:val="auto"/>
        </w:rPr>
      </w:pPr>
      <w:r>
        <w:rPr>
          <w:rFonts w:ascii="Arial" w:cs="Arial" w:eastAsia="Arial" w:hAnsi="Arial"/>
          <w:sz w:val="17"/>
          <w:szCs w:val="17"/>
          <w:b w:val="1"/>
          <w:bCs w:val="1"/>
          <w:i w:val="1"/>
          <w:iCs w:val="1"/>
          <w:color w:val="auto"/>
        </w:rPr>
        <w:t>Overview</w:t>
      </w:r>
    </w:p>
    <w:p>
      <w:pPr>
        <w:spacing w:after="0" w:line="220" w:lineRule="exact"/>
        <w:rPr>
          <w:sz w:val="20"/>
          <w:szCs w:val="20"/>
          <w:color w:val="auto"/>
        </w:rPr>
      </w:pPr>
    </w:p>
    <w:p>
      <w:pPr>
        <w:ind w:left="620"/>
        <w:spacing w:after="0"/>
        <w:rPr>
          <w:sz w:val="20"/>
          <w:szCs w:val="20"/>
          <w:color w:val="auto"/>
        </w:rPr>
      </w:pPr>
      <w:r>
        <w:rPr>
          <w:rFonts w:ascii="Arial" w:cs="Arial" w:eastAsia="Arial" w:hAnsi="Arial"/>
          <w:sz w:val="17"/>
          <w:szCs w:val="17"/>
          <w:color w:val="auto"/>
        </w:rPr>
        <w:t>Our sources of funds consist primarily of:</w:t>
      </w:r>
    </w:p>
    <w:p>
      <w:pPr>
        <w:spacing w:after="0" w:line="220" w:lineRule="exact"/>
        <w:rPr>
          <w:sz w:val="20"/>
          <w:szCs w:val="20"/>
          <w:color w:val="auto"/>
        </w:rPr>
      </w:pPr>
    </w:p>
    <w:p>
      <w:pPr>
        <w:ind w:left="620" w:hanging="305"/>
        <w:spacing w:after="0"/>
        <w:tabs>
          <w:tab w:leader="none" w:pos="620" w:val="left"/>
        </w:tabs>
        <w:numPr>
          <w:ilvl w:val="0"/>
          <w:numId w:val="20"/>
        </w:numPr>
        <w:rPr>
          <w:rFonts w:ascii="Arial" w:cs="Arial" w:eastAsia="Arial" w:hAnsi="Arial"/>
          <w:sz w:val="17"/>
          <w:szCs w:val="17"/>
          <w:color w:val="auto"/>
        </w:rPr>
      </w:pPr>
      <w:r>
        <w:rPr>
          <w:rFonts w:ascii="Arial" w:cs="Arial" w:eastAsia="Arial" w:hAnsi="Arial"/>
          <w:sz w:val="17"/>
          <w:szCs w:val="17"/>
          <w:color w:val="auto"/>
        </w:rPr>
        <w:t>our investment portfolio and interest income on the portfolio;</w:t>
      </w:r>
    </w:p>
    <w:p>
      <w:pPr>
        <w:spacing w:after="0" w:line="245" w:lineRule="exact"/>
        <w:rPr>
          <w:rFonts w:ascii="Arial" w:cs="Arial" w:eastAsia="Arial" w:hAnsi="Arial"/>
          <w:sz w:val="17"/>
          <w:szCs w:val="17"/>
          <w:color w:val="auto"/>
        </w:rPr>
      </w:pPr>
    </w:p>
    <w:p>
      <w:pPr>
        <w:ind w:left="620" w:hanging="305"/>
        <w:spacing w:after="0"/>
        <w:tabs>
          <w:tab w:leader="none" w:pos="620" w:val="left"/>
        </w:tabs>
        <w:numPr>
          <w:ilvl w:val="0"/>
          <w:numId w:val="20"/>
        </w:numPr>
        <w:rPr>
          <w:rFonts w:ascii="Arial" w:cs="Arial" w:eastAsia="Arial" w:hAnsi="Arial"/>
          <w:sz w:val="17"/>
          <w:szCs w:val="17"/>
          <w:color w:val="auto"/>
        </w:rPr>
      </w:pPr>
      <w:r>
        <w:rPr>
          <w:rFonts w:ascii="Arial" w:cs="Arial" w:eastAsia="Arial" w:hAnsi="Arial"/>
          <w:sz w:val="17"/>
          <w:szCs w:val="17"/>
          <w:color w:val="auto"/>
        </w:rPr>
        <w:t>net premiums that we will receive from our existing IIF as well as policies that we write in the future;</w:t>
      </w:r>
    </w:p>
    <w:p>
      <w:pPr>
        <w:spacing w:after="0" w:line="245" w:lineRule="exact"/>
        <w:rPr>
          <w:rFonts w:ascii="Arial" w:cs="Arial" w:eastAsia="Arial" w:hAnsi="Arial"/>
          <w:sz w:val="17"/>
          <w:szCs w:val="17"/>
          <w:color w:val="auto"/>
        </w:rPr>
      </w:pPr>
    </w:p>
    <w:p>
      <w:pPr>
        <w:ind w:left="620" w:hanging="305"/>
        <w:spacing w:after="0"/>
        <w:tabs>
          <w:tab w:leader="none" w:pos="620" w:val="left"/>
        </w:tabs>
        <w:numPr>
          <w:ilvl w:val="0"/>
          <w:numId w:val="20"/>
        </w:numPr>
        <w:rPr>
          <w:rFonts w:ascii="Arial" w:cs="Arial" w:eastAsia="Arial" w:hAnsi="Arial"/>
          <w:sz w:val="17"/>
          <w:szCs w:val="17"/>
          <w:color w:val="auto"/>
        </w:rPr>
      </w:pPr>
      <w:r>
        <w:rPr>
          <w:rFonts w:ascii="Arial" w:cs="Arial" w:eastAsia="Arial" w:hAnsi="Arial"/>
          <w:sz w:val="17"/>
          <w:szCs w:val="17"/>
          <w:color w:val="auto"/>
        </w:rPr>
        <w:t>borrowings under our Credit Facility; and</w:t>
      </w:r>
    </w:p>
    <w:p>
      <w:pPr>
        <w:spacing w:after="0" w:line="245" w:lineRule="exact"/>
        <w:rPr>
          <w:rFonts w:ascii="Arial" w:cs="Arial" w:eastAsia="Arial" w:hAnsi="Arial"/>
          <w:sz w:val="17"/>
          <w:szCs w:val="17"/>
          <w:color w:val="auto"/>
        </w:rPr>
      </w:pPr>
    </w:p>
    <w:p>
      <w:pPr>
        <w:ind w:left="620" w:hanging="305"/>
        <w:spacing w:after="0"/>
        <w:tabs>
          <w:tab w:leader="none" w:pos="620" w:val="left"/>
        </w:tabs>
        <w:numPr>
          <w:ilvl w:val="0"/>
          <w:numId w:val="20"/>
        </w:numPr>
        <w:rPr>
          <w:rFonts w:ascii="Arial" w:cs="Arial" w:eastAsia="Arial" w:hAnsi="Arial"/>
          <w:sz w:val="17"/>
          <w:szCs w:val="17"/>
          <w:color w:val="auto"/>
        </w:rPr>
      </w:pPr>
      <w:r>
        <w:rPr>
          <w:rFonts w:ascii="Arial" w:cs="Arial" w:eastAsia="Arial" w:hAnsi="Arial"/>
          <w:sz w:val="17"/>
          <w:szCs w:val="17"/>
          <w:color w:val="auto"/>
        </w:rPr>
        <w:t>issuance of capital shares.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68580</wp:posOffset>
            </wp:positionV>
            <wp:extent cx="7162800" cy="4191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42" w:name="page43"/>
    <w:bookmarkEnd w:id="42"/>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344" w:lineRule="exact"/>
        <w:rPr>
          <w:sz w:val="20"/>
          <w:szCs w:val="20"/>
          <w:color w:val="auto"/>
        </w:rPr>
      </w:pPr>
    </w:p>
    <w:p>
      <w:pPr>
        <w:ind w:left="620"/>
        <w:spacing w:after="0"/>
        <w:rPr>
          <w:sz w:val="20"/>
          <w:szCs w:val="20"/>
          <w:color w:val="auto"/>
        </w:rPr>
      </w:pPr>
      <w:r>
        <w:rPr>
          <w:rFonts w:ascii="Arial" w:cs="Arial" w:eastAsia="Arial" w:hAnsi="Arial"/>
          <w:sz w:val="17"/>
          <w:szCs w:val="17"/>
          <w:color w:val="auto"/>
        </w:rPr>
        <w:t>Our obligations consist primarily of:</w:t>
      </w:r>
    </w:p>
    <w:p>
      <w:pPr>
        <w:spacing w:after="0" w:line="246" w:lineRule="exact"/>
        <w:rPr>
          <w:sz w:val="20"/>
          <w:szCs w:val="20"/>
          <w:color w:val="auto"/>
        </w:rPr>
      </w:pPr>
    </w:p>
    <w:p>
      <w:pPr>
        <w:ind w:left="620" w:hanging="305"/>
        <w:spacing w:after="0"/>
        <w:tabs>
          <w:tab w:leader="none" w:pos="620" w:val="left"/>
        </w:tabs>
        <w:numPr>
          <w:ilvl w:val="0"/>
          <w:numId w:val="21"/>
        </w:numPr>
        <w:rPr>
          <w:rFonts w:ascii="Arial" w:cs="Arial" w:eastAsia="Arial" w:hAnsi="Arial"/>
          <w:sz w:val="17"/>
          <w:szCs w:val="17"/>
          <w:color w:val="auto"/>
        </w:rPr>
      </w:pPr>
      <w:r>
        <w:rPr>
          <w:rFonts w:ascii="Arial" w:cs="Arial" w:eastAsia="Arial" w:hAnsi="Arial"/>
          <w:sz w:val="17"/>
          <w:szCs w:val="17"/>
          <w:color w:val="auto"/>
        </w:rPr>
        <w:t>claim payments under our policies;</w:t>
      </w:r>
    </w:p>
    <w:p>
      <w:pPr>
        <w:spacing w:after="0" w:line="245" w:lineRule="exact"/>
        <w:rPr>
          <w:rFonts w:ascii="Arial" w:cs="Arial" w:eastAsia="Arial" w:hAnsi="Arial"/>
          <w:sz w:val="17"/>
          <w:szCs w:val="17"/>
          <w:color w:val="auto"/>
        </w:rPr>
      </w:pPr>
    </w:p>
    <w:p>
      <w:pPr>
        <w:ind w:left="620" w:hanging="305"/>
        <w:spacing w:after="0"/>
        <w:tabs>
          <w:tab w:leader="none" w:pos="620" w:val="left"/>
        </w:tabs>
        <w:numPr>
          <w:ilvl w:val="0"/>
          <w:numId w:val="21"/>
        </w:numPr>
        <w:rPr>
          <w:rFonts w:ascii="Arial" w:cs="Arial" w:eastAsia="Arial" w:hAnsi="Arial"/>
          <w:sz w:val="17"/>
          <w:szCs w:val="17"/>
          <w:color w:val="auto"/>
        </w:rPr>
      </w:pPr>
      <w:r>
        <w:rPr>
          <w:rFonts w:ascii="Arial" w:cs="Arial" w:eastAsia="Arial" w:hAnsi="Arial"/>
          <w:sz w:val="17"/>
          <w:szCs w:val="17"/>
          <w:color w:val="auto"/>
        </w:rPr>
        <w:t>interest payments and repayment of borrowings under our Credit Facility;</w:t>
      </w:r>
    </w:p>
    <w:p>
      <w:pPr>
        <w:spacing w:after="0" w:line="245" w:lineRule="exact"/>
        <w:rPr>
          <w:rFonts w:ascii="Arial" w:cs="Arial" w:eastAsia="Arial" w:hAnsi="Arial"/>
          <w:sz w:val="17"/>
          <w:szCs w:val="17"/>
          <w:color w:val="auto"/>
        </w:rPr>
      </w:pPr>
    </w:p>
    <w:p>
      <w:pPr>
        <w:ind w:left="620" w:hanging="305"/>
        <w:spacing w:after="0"/>
        <w:tabs>
          <w:tab w:leader="none" w:pos="620"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other costs and operating expenses of our business;</w:t>
      </w:r>
    </w:p>
    <w:p>
      <w:pPr>
        <w:spacing w:after="0" w:line="245" w:lineRule="exact"/>
        <w:rPr>
          <w:rFonts w:ascii="Arial" w:cs="Arial" w:eastAsia="Arial" w:hAnsi="Arial"/>
          <w:sz w:val="17"/>
          <w:szCs w:val="17"/>
          <w:color w:val="auto"/>
        </w:rPr>
      </w:pPr>
    </w:p>
    <w:p>
      <w:pPr>
        <w:ind w:left="620" w:hanging="305"/>
        <w:spacing w:after="0"/>
        <w:tabs>
          <w:tab w:leader="none" w:pos="620"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repurchase of common shares under the share repurchase plan approved by our Board of Directors; and</w:t>
      </w:r>
    </w:p>
    <w:p>
      <w:pPr>
        <w:spacing w:after="0" w:line="245" w:lineRule="exact"/>
        <w:rPr>
          <w:rFonts w:ascii="Arial" w:cs="Arial" w:eastAsia="Arial" w:hAnsi="Arial"/>
          <w:sz w:val="17"/>
          <w:szCs w:val="17"/>
          <w:color w:val="auto"/>
        </w:rPr>
      </w:pPr>
    </w:p>
    <w:p>
      <w:pPr>
        <w:ind w:left="620" w:hanging="305"/>
        <w:spacing w:after="0"/>
        <w:tabs>
          <w:tab w:leader="none" w:pos="620"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payment of dividends on our common shares.</w:t>
      </w:r>
    </w:p>
    <w:p>
      <w:pPr>
        <w:spacing w:after="0" w:line="220" w:lineRule="exact"/>
        <w:rPr>
          <w:sz w:val="20"/>
          <w:szCs w:val="20"/>
          <w:color w:val="auto"/>
        </w:rPr>
      </w:pPr>
    </w:p>
    <w:p>
      <w:pPr>
        <w:ind w:right="20" w:firstLine="623"/>
        <w:spacing w:after="0" w:line="261" w:lineRule="auto"/>
        <w:rPr>
          <w:sz w:val="20"/>
          <w:szCs w:val="20"/>
          <w:color w:val="auto"/>
        </w:rPr>
      </w:pPr>
      <w:r>
        <w:rPr>
          <w:rFonts w:ascii="Arial" w:cs="Arial" w:eastAsia="Arial" w:hAnsi="Arial"/>
          <w:sz w:val="17"/>
          <w:szCs w:val="17"/>
          <w:color w:val="auto"/>
        </w:rPr>
        <w:t>As of June 30, 2023, we had substantial liquidity with cash of $68.1 million, short-term investments of $583.5 million and fixed maturity investments of $4.4 billion. We also had $400 million available capacity under the revolving credit component of our Credit Facility, with $425 million of borrowings outstanding under our Credit Facility. Borrowings under the Credit Facility contractually mature on December 10, 2026. Holding company net cash and investments available for sale totaled $739.5 million at June 30, 2023. In addition, Essent Guaranty is a member of the Federal Home Loan Bank of Pittsburgh (the “FHLBank”) and has access to secured borrowing capacity with the FHLBank to provide Essent Guaranty with supplemental liquidity. Essent Guaranty had no outstanding borrowings with the FHLBank at June 30, 2023.</w:t>
      </w:r>
    </w:p>
    <w:p>
      <w:pPr>
        <w:spacing w:after="0" w:line="204" w:lineRule="exact"/>
        <w:rPr>
          <w:sz w:val="20"/>
          <w:szCs w:val="20"/>
          <w:color w:val="auto"/>
        </w:rPr>
      </w:pPr>
    </w:p>
    <w:p>
      <w:pPr>
        <w:ind w:right="660" w:firstLine="623"/>
        <w:spacing w:after="0" w:line="285" w:lineRule="auto"/>
        <w:rPr>
          <w:sz w:val="20"/>
          <w:szCs w:val="20"/>
          <w:color w:val="auto"/>
        </w:rPr>
      </w:pPr>
      <w:r>
        <w:rPr>
          <w:rFonts w:ascii="Arial" w:cs="Arial" w:eastAsia="Arial" w:hAnsi="Arial"/>
          <w:sz w:val="17"/>
          <w:szCs w:val="17"/>
          <w:color w:val="auto"/>
        </w:rPr>
        <w:t>Management believes that the Company has sufficient liquidity available both at its holding companies and in its insurance and other operating subsidiaries to meet its operating cash needs and obligations and committed capital expenditures for the next 12 months.</w:t>
      </w:r>
    </w:p>
    <w:p>
      <w:pPr>
        <w:spacing w:after="0" w:line="146" w:lineRule="exact"/>
        <w:rPr>
          <w:sz w:val="20"/>
          <w:szCs w:val="20"/>
          <w:color w:val="auto"/>
        </w:rPr>
      </w:pPr>
    </w:p>
    <w:p>
      <w:pPr>
        <w:ind w:firstLine="623"/>
        <w:spacing w:after="0"/>
        <w:rPr>
          <w:sz w:val="20"/>
          <w:szCs w:val="20"/>
          <w:color w:val="auto"/>
        </w:rPr>
      </w:pPr>
      <w:r>
        <w:rPr>
          <w:rFonts w:ascii="Arial" w:cs="Arial" w:eastAsia="Arial" w:hAnsi="Arial"/>
          <w:sz w:val="17"/>
          <w:szCs w:val="17"/>
          <w:color w:val="auto"/>
        </w:rPr>
        <w:t>While the Company and all of its subsidiaries are expected to have sufficient liquidity to meet all their expected obligations, additional capital may be required to meet any new capital requirements that are adopted by regulatory authorities or the GSEs, to respond to changes in the business or economic environment, to provide additional capital related to the growth of our risk in force in our mortgage insurance portfolio, or to fund new business initiatives. We regularly review potential investments and acquisitions, some of which may be material, that, if consummated, would expand our existing business or result in new lines of business, and at any given time we may be in discussions concerning possible transactions. Effective July 1, 2023, Essent US Holdings acquired all of the issued and outstanding shares of capital stock of Agents National Title Holding Company (“Agents National Title”) and the issued and outstanding membership interests of Boston National Holdings LLC (“Boston National Title”) for $92.6 million in cash using existing cash and short-term investments. We continually evaluate opportunities based upon market conditions to further increase our financial flexibility through the issuance of equity or debt, or other options including reinsurance or credit risk transfer transactions. There can be no guarantee that any such opportunities will be available on acceptable terms or at all.</w:t>
      </w:r>
    </w:p>
    <w:p>
      <w:pPr>
        <w:spacing w:after="0" w:line="200" w:lineRule="exact"/>
        <w:rPr>
          <w:sz w:val="20"/>
          <w:szCs w:val="20"/>
          <w:color w:val="auto"/>
        </w:rPr>
      </w:pPr>
    </w:p>
    <w:p>
      <w:pPr>
        <w:ind w:left="180"/>
        <w:spacing w:after="0"/>
        <w:rPr>
          <w:sz w:val="20"/>
          <w:szCs w:val="20"/>
          <w:color w:val="auto"/>
        </w:rPr>
      </w:pPr>
      <w:r>
        <w:rPr>
          <w:rFonts w:ascii="Arial" w:cs="Arial" w:eastAsia="Arial" w:hAnsi="Arial"/>
          <w:sz w:val="17"/>
          <w:szCs w:val="17"/>
          <w:color w:val="auto"/>
        </w:rPr>
        <w:t>At the operating subsidiary level, liquidity could be impacted by any one of the following factors:</w:t>
      </w:r>
    </w:p>
    <w:p>
      <w:pPr>
        <w:spacing w:after="0" w:line="220" w:lineRule="exact"/>
        <w:rPr>
          <w:sz w:val="20"/>
          <w:szCs w:val="20"/>
          <w:color w:val="auto"/>
        </w:rPr>
      </w:pPr>
    </w:p>
    <w:p>
      <w:pPr>
        <w:ind w:left="620" w:hanging="305"/>
        <w:spacing w:after="0"/>
        <w:tabs>
          <w:tab w:leader="none" w:pos="620" w:val="left"/>
        </w:tabs>
        <w:numPr>
          <w:ilvl w:val="0"/>
          <w:numId w:val="22"/>
        </w:numPr>
        <w:rPr>
          <w:rFonts w:ascii="Arial" w:cs="Arial" w:eastAsia="Arial" w:hAnsi="Arial"/>
          <w:sz w:val="17"/>
          <w:szCs w:val="17"/>
          <w:color w:val="auto"/>
        </w:rPr>
      </w:pPr>
      <w:r>
        <w:rPr>
          <w:rFonts w:ascii="Arial" w:cs="Arial" w:eastAsia="Arial" w:hAnsi="Arial"/>
          <w:sz w:val="17"/>
          <w:szCs w:val="17"/>
          <w:color w:val="auto"/>
        </w:rPr>
        <w:t>significant decline in the value of our investments;</w:t>
      </w:r>
    </w:p>
    <w:p>
      <w:pPr>
        <w:spacing w:after="0" w:line="245" w:lineRule="exact"/>
        <w:rPr>
          <w:rFonts w:ascii="Arial" w:cs="Arial" w:eastAsia="Arial" w:hAnsi="Arial"/>
          <w:sz w:val="17"/>
          <w:szCs w:val="17"/>
          <w:color w:val="auto"/>
        </w:rPr>
      </w:pPr>
    </w:p>
    <w:p>
      <w:pPr>
        <w:ind w:left="620" w:hanging="305"/>
        <w:spacing w:after="0"/>
        <w:tabs>
          <w:tab w:leader="none" w:pos="620" w:val="left"/>
        </w:tabs>
        <w:numPr>
          <w:ilvl w:val="0"/>
          <w:numId w:val="22"/>
        </w:numPr>
        <w:rPr>
          <w:rFonts w:ascii="Arial" w:cs="Arial" w:eastAsia="Arial" w:hAnsi="Arial"/>
          <w:sz w:val="17"/>
          <w:szCs w:val="17"/>
          <w:color w:val="auto"/>
        </w:rPr>
      </w:pPr>
      <w:r>
        <w:rPr>
          <w:rFonts w:ascii="Arial" w:cs="Arial" w:eastAsia="Arial" w:hAnsi="Arial"/>
          <w:sz w:val="17"/>
          <w:szCs w:val="17"/>
          <w:color w:val="auto"/>
        </w:rPr>
        <w:t>inability to sell investment assets to provide cash to fund operating needs;</w:t>
      </w:r>
    </w:p>
    <w:p>
      <w:pPr>
        <w:spacing w:after="0" w:line="245" w:lineRule="exact"/>
        <w:rPr>
          <w:rFonts w:ascii="Arial" w:cs="Arial" w:eastAsia="Arial" w:hAnsi="Arial"/>
          <w:sz w:val="17"/>
          <w:szCs w:val="17"/>
          <w:color w:val="auto"/>
        </w:rPr>
      </w:pPr>
    </w:p>
    <w:p>
      <w:pPr>
        <w:ind w:left="620" w:hanging="305"/>
        <w:spacing w:after="0"/>
        <w:tabs>
          <w:tab w:leader="none" w:pos="620" w:val="left"/>
        </w:tabs>
        <w:numPr>
          <w:ilvl w:val="0"/>
          <w:numId w:val="22"/>
        </w:numPr>
        <w:rPr>
          <w:rFonts w:ascii="Arial" w:cs="Arial" w:eastAsia="Arial" w:hAnsi="Arial"/>
          <w:sz w:val="17"/>
          <w:szCs w:val="17"/>
          <w:color w:val="auto"/>
        </w:rPr>
      </w:pPr>
      <w:r>
        <w:rPr>
          <w:rFonts w:ascii="Arial" w:cs="Arial" w:eastAsia="Arial" w:hAnsi="Arial"/>
          <w:sz w:val="17"/>
          <w:szCs w:val="17"/>
          <w:color w:val="auto"/>
        </w:rPr>
        <w:t>decline in expected revenues generated from operations;</w:t>
      </w:r>
    </w:p>
    <w:p>
      <w:pPr>
        <w:spacing w:after="0" w:line="245" w:lineRule="exact"/>
        <w:rPr>
          <w:rFonts w:ascii="Arial" w:cs="Arial" w:eastAsia="Arial" w:hAnsi="Arial"/>
          <w:sz w:val="17"/>
          <w:szCs w:val="17"/>
          <w:color w:val="auto"/>
        </w:rPr>
      </w:pPr>
    </w:p>
    <w:p>
      <w:pPr>
        <w:ind w:left="620" w:hanging="305"/>
        <w:spacing w:after="0"/>
        <w:tabs>
          <w:tab w:leader="none" w:pos="620" w:val="left"/>
        </w:tabs>
        <w:numPr>
          <w:ilvl w:val="0"/>
          <w:numId w:val="22"/>
        </w:numPr>
        <w:rPr>
          <w:rFonts w:ascii="Arial" w:cs="Arial" w:eastAsia="Arial" w:hAnsi="Arial"/>
          <w:sz w:val="17"/>
          <w:szCs w:val="17"/>
          <w:color w:val="auto"/>
        </w:rPr>
      </w:pPr>
      <w:r>
        <w:rPr>
          <w:rFonts w:ascii="Arial" w:cs="Arial" w:eastAsia="Arial" w:hAnsi="Arial"/>
          <w:sz w:val="17"/>
          <w:szCs w:val="17"/>
          <w:color w:val="auto"/>
        </w:rPr>
        <w:t>increase in expected claim payments related to our IIF; or</w:t>
      </w:r>
    </w:p>
    <w:p>
      <w:pPr>
        <w:spacing w:after="0" w:line="245" w:lineRule="exact"/>
        <w:rPr>
          <w:rFonts w:ascii="Arial" w:cs="Arial" w:eastAsia="Arial" w:hAnsi="Arial"/>
          <w:sz w:val="17"/>
          <w:szCs w:val="17"/>
          <w:color w:val="auto"/>
        </w:rPr>
      </w:pPr>
    </w:p>
    <w:p>
      <w:pPr>
        <w:ind w:left="620" w:hanging="305"/>
        <w:spacing w:after="0"/>
        <w:tabs>
          <w:tab w:leader="none" w:pos="620" w:val="left"/>
        </w:tabs>
        <w:numPr>
          <w:ilvl w:val="0"/>
          <w:numId w:val="22"/>
        </w:numPr>
        <w:rPr>
          <w:rFonts w:ascii="Arial" w:cs="Arial" w:eastAsia="Arial" w:hAnsi="Arial"/>
          <w:sz w:val="17"/>
          <w:szCs w:val="17"/>
          <w:color w:val="auto"/>
        </w:rPr>
      </w:pPr>
      <w:r>
        <w:rPr>
          <w:rFonts w:ascii="Arial" w:cs="Arial" w:eastAsia="Arial" w:hAnsi="Arial"/>
          <w:sz w:val="17"/>
          <w:szCs w:val="17"/>
          <w:color w:val="auto"/>
        </w:rPr>
        <w:t>increase in operating expenses.</w:t>
      </w:r>
    </w:p>
    <w:p>
      <w:pPr>
        <w:spacing w:after="0" w:line="246" w:lineRule="exact"/>
        <w:rPr>
          <w:sz w:val="20"/>
          <w:szCs w:val="20"/>
          <w:color w:val="auto"/>
        </w:rPr>
      </w:pPr>
    </w:p>
    <w:p>
      <w:pPr>
        <w:ind w:right="40" w:firstLine="623"/>
        <w:spacing w:after="0" w:line="298" w:lineRule="auto"/>
        <w:rPr>
          <w:sz w:val="20"/>
          <w:szCs w:val="20"/>
          <w:color w:val="auto"/>
        </w:rPr>
      </w:pPr>
      <w:r>
        <w:rPr>
          <w:rFonts w:ascii="Arial" w:cs="Arial" w:eastAsia="Arial" w:hAnsi="Arial"/>
          <w:sz w:val="15"/>
          <w:szCs w:val="15"/>
          <w:color w:val="auto"/>
        </w:rPr>
        <w:t>Our U.S. insurance subsidiaries are subject to certain capital and dividend rules and regulations prescribed by jurisdictions in which they are authorized to operate and the GSEs. Under the insurance laws of the Commonwealth of Pennsylvania, the insurance subsidiaries may pay dividends during any twelve-month period in an amount equal to the greater of (i) 10% of the preceding year-end statutory policyholders' surplus or (ii) the preceding year’s statutory net income. The Pennsylvania statute also requires that dividends and other distributions be paid out of positive unassigned surplus without prior approval. At June 30, 2023, Essent Guaranty had unassigned surplus of approximately $273.2 million and Essent PA had unassigned surplus of approximately $11.7 million. As of June 30, 2023, Essent Guaranty and Essent PA could pay additional ordinary dividends in 2023 of $273.2 million and $5.3 million, respectively. Essent Re is subject to certain dividend restrictions as prescribed by the Bermuda Monetary Authority and under certain agreements with counterparties. In connection with a quota share reinsurance agreement with Essent Guaranty, Essent Re has agreed to maintain a minimum total equity of $100</w:t>
      </w:r>
    </w:p>
    <w:p>
      <w:pPr>
        <w:spacing w:after="0" w:line="200" w:lineRule="exact"/>
        <w:rPr>
          <w:sz w:val="20"/>
          <w:szCs w:val="20"/>
          <w:color w:val="auto"/>
        </w:rPr>
      </w:pPr>
    </w:p>
    <w:p>
      <w:pPr>
        <w:spacing w:after="0" w:line="280"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68580</wp:posOffset>
            </wp:positionV>
            <wp:extent cx="7162800" cy="4191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00"/>
          </w:cols>
          <w:pgMar w:left="320" w:top="127" w:right="379" w:bottom="1440" w:gutter="0" w:footer="0" w:header="0"/>
        </w:sectPr>
      </w:pPr>
    </w:p>
    <w:bookmarkStart w:id="43" w:name="page44"/>
    <w:bookmarkEnd w:id="43"/>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344" w:lineRule="exact"/>
        <w:rPr>
          <w:sz w:val="20"/>
          <w:szCs w:val="20"/>
          <w:color w:val="auto"/>
        </w:rPr>
      </w:pPr>
    </w:p>
    <w:p>
      <w:pPr>
        <w:ind w:right="340"/>
        <w:spacing w:after="0" w:line="270" w:lineRule="auto"/>
        <w:rPr>
          <w:sz w:val="20"/>
          <w:szCs w:val="20"/>
          <w:color w:val="auto"/>
        </w:rPr>
      </w:pPr>
      <w:r>
        <w:rPr>
          <w:rFonts w:ascii="Arial" w:cs="Arial" w:eastAsia="Arial" w:hAnsi="Arial"/>
          <w:sz w:val="17"/>
          <w:szCs w:val="17"/>
          <w:color w:val="auto"/>
        </w:rPr>
        <w:t>million. As of June 30, 2023, Essent Re had total equity of $1.6 billion. In connection with its insurance and reinsurance activities, Essent Re is required to maintain assets in trusts for the benefit of its contractual counterparties. See Note 3 to our condensed consolidated financial statements. At June 30, 2023, our insurance subsidiaries were in compliance with these rules, regulations and agreements.</w:t>
      </w:r>
    </w:p>
    <w:p>
      <w:pPr>
        <w:spacing w:after="0" w:line="171" w:lineRule="exact"/>
        <w:rPr>
          <w:sz w:val="20"/>
          <w:szCs w:val="20"/>
          <w:color w:val="auto"/>
        </w:rPr>
      </w:pPr>
    </w:p>
    <w:p>
      <w:pPr>
        <w:ind w:left="620"/>
        <w:spacing w:after="0"/>
        <w:rPr>
          <w:sz w:val="20"/>
          <w:szCs w:val="20"/>
          <w:color w:val="auto"/>
        </w:rPr>
      </w:pPr>
      <w:r>
        <w:rPr>
          <w:rFonts w:ascii="Arial" w:cs="Arial" w:eastAsia="Arial" w:hAnsi="Arial"/>
          <w:sz w:val="17"/>
          <w:szCs w:val="17"/>
          <w:b w:val="1"/>
          <w:bCs w:val="1"/>
          <w:i w:val="1"/>
          <w:iCs w:val="1"/>
          <w:color w:val="auto"/>
        </w:rPr>
        <w:t>Cash Flows</w:t>
      </w:r>
    </w:p>
    <w:p>
      <w:pPr>
        <w:spacing w:after="0" w:line="220" w:lineRule="exact"/>
        <w:rPr>
          <w:sz w:val="20"/>
          <w:szCs w:val="20"/>
          <w:color w:val="auto"/>
        </w:rPr>
      </w:pPr>
    </w:p>
    <w:p>
      <w:pPr>
        <w:ind w:left="620"/>
        <w:spacing w:after="0"/>
        <w:rPr>
          <w:sz w:val="20"/>
          <w:szCs w:val="20"/>
          <w:color w:val="auto"/>
        </w:rPr>
      </w:pPr>
      <w:r>
        <w:rPr>
          <w:rFonts w:ascii="Arial" w:cs="Arial" w:eastAsia="Arial" w:hAnsi="Arial"/>
          <w:sz w:val="17"/>
          <w:szCs w:val="17"/>
          <w:color w:val="auto"/>
        </w:rPr>
        <w:t>The following table summarizes our consolidated cash flows from operating, investing and financing activities:</w:t>
      </w: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3220" w:type="dxa"/>
            <w:vAlign w:val="bottom"/>
            <w:tcBorders>
              <w:bottom w:val="single" w:sz="8" w:color="auto"/>
            </w:tcBorders>
            <w:gridSpan w:val="4"/>
          </w:tcPr>
          <w:p>
            <w:pPr>
              <w:jc w:val="right"/>
              <w:ind w:right="937"/>
              <w:spacing w:after="0"/>
              <w:rPr>
                <w:sz w:val="20"/>
                <w:szCs w:val="20"/>
                <w:color w:val="auto"/>
              </w:rPr>
            </w:pPr>
            <w:r>
              <w:rPr>
                <w:rFonts w:ascii="Arial" w:cs="Arial" w:eastAsia="Arial" w:hAnsi="Arial"/>
                <w:sz w:val="14"/>
                <w:szCs w:val="14"/>
                <w:b w:val="1"/>
                <w:bCs w:val="1"/>
                <w:color w:val="auto"/>
              </w:rPr>
              <w:t>Six Months Ended June 30,</w:t>
            </w:r>
          </w:p>
        </w:tc>
      </w:tr>
      <w:tr>
        <w:trPr>
          <w:trHeight w:val="188"/>
        </w:trPr>
        <w:tc>
          <w:tcPr>
            <w:tcW w:w="74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639"/>
              <w:spacing w:after="0"/>
              <w:rPr>
                <w:sz w:val="20"/>
                <w:szCs w:val="20"/>
                <w:color w:val="auto"/>
              </w:rPr>
            </w:pPr>
            <w:r>
              <w:rPr>
                <w:rFonts w:ascii="Arial" w:cs="Arial" w:eastAsia="Arial" w:hAnsi="Arial"/>
                <w:sz w:val="14"/>
                <w:szCs w:val="14"/>
                <w:b w:val="1"/>
                <w:bCs w:val="1"/>
                <w:color w:val="auto"/>
              </w:rPr>
              <w:t>2023</w:t>
            </w:r>
          </w:p>
        </w:tc>
        <w:tc>
          <w:tcPr>
            <w:tcW w:w="12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677"/>
              <w:spacing w:after="0"/>
              <w:rPr>
                <w:sz w:val="20"/>
                <w:szCs w:val="20"/>
                <w:color w:val="auto"/>
              </w:rPr>
            </w:pPr>
            <w:r>
              <w:rPr>
                <w:rFonts w:ascii="Arial" w:cs="Arial" w:eastAsia="Arial" w:hAnsi="Arial"/>
                <w:sz w:val="14"/>
                <w:szCs w:val="14"/>
                <w:b w:val="1"/>
                <w:bCs w:val="1"/>
                <w:color w:val="auto"/>
              </w:rPr>
              <w:t>2022</w:t>
            </w:r>
          </w:p>
        </w:tc>
      </w:tr>
      <w:tr>
        <w:trPr>
          <w:trHeight w:val="221"/>
        </w:trPr>
        <w:tc>
          <w:tcPr>
            <w:tcW w:w="760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Net cash provided by operating activities</w:t>
            </w:r>
          </w:p>
        </w:tc>
        <w:tc>
          <w:tcPr>
            <w:tcW w:w="420" w:type="dxa"/>
            <w:vAlign w:val="bottom"/>
            <w:shd w:val="clear" w:color="auto" w:fill="CCEEFF"/>
          </w:tcPr>
          <w:p>
            <w:pPr>
              <w:jc w:val="right"/>
              <w:ind w:right="233"/>
              <w:spacing w:after="0"/>
              <w:rPr>
                <w:sz w:val="20"/>
                <w:szCs w:val="20"/>
                <w:color w:val="auto"/>
              </w:rPr>
            </w:pPr>
            <w:r>
              <w:rPr>
                <w:rFonts w:ascii="Arial" w:cs="Arial" w:eastAsia="Arial" w:hAnsi="Arial"/>
                <w:sz w:val="17"/>
                <w:szCs w:val="17"/>
                <w:color w:val="auto"/>
                <w:w w:val="84"/>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352,500</w:t>
            </w:r>
          </w:p>
        </w:tc>
        <w:tc>
          <w:tcPr>
            <w:tcW w:w="54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243,898</w:t>
            </w:r>
          </w:p>
        </w:tc>
      </w:tr>
      <w:tr>
        <w:trPr>
          <w:trHeight w:val="227"/>
        </w:trPr>
        <w:tc>
          <w:tcPr>
            <w:tcW w:w="7600" w:type="dxa"/>
            <w:vAlign w:val="bottom"/>
            <w:gridSpan w:val="2"/>
          </w:tcPr>
          <w:p>
            <w:pPr>
              <w:ind w:left="20"/>
              <w:spacing w:after="0"/>
              <w:rPr>
                <w:sz w:val="20"/>
                <w:szCs w:val="20"/>
                <w:color w:val="auto"/>
              </w:rPr>
            </w:pPr>
            <w:r>
              <w:rPr>
                <w:rFonts w:ascii="Arial" w:cs="Arial" w:eastAsia="Arial" w:hAnsi="Arial"/>
                <w:sz w:val="17"/>
                <w:szCs w:val="17"/>
                <w:color w:val="auto"/>
              </w:rPr>
              <w:t>Net cash used in investing activities</w:t>
            </w:r>
          </w:p>
        </w:tc>
        <w:tc>
          <w:tcPr>
            <w:tcW w:w="4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(261,507)</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(105,597)</w:t>
            </w:r>
          </w:p>
        </w:tc>
      </w:tr>
      <w:tr>
        <w:trPr>
          <w:trHeight w:val="227"/>
        </w:trPr>
        <w:tc>
          <w:tcPr>
            <w:tcW w:w="760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Net cash used in financing activities</w:t>
            </w:r>
          </w:p>
        </w:tc>
        <w:tc>
          <w:tcPr>
            <w:tcW w:w="4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(104,132)</w:t>
            </w:r>
          </w:p>
        </w:tc>
        <w:tc>
          <w:tcPr>
            <w:tcW w:w="12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(141,940)</w:t>
            </w:r>
          </w:p>
        </w:tc>
      </w:tr>
      <w:tr>
        <w:trPr>
          <w:trHeight w:val="214"/>
        </w:trPr>
        <w:tc>
          <w:tcPr>
            <w:tcW w:w="7600" w:type="dxa"/>
            <w:vAlign w:val="bottom"/>
            <w:gridSpan w:val="2"/>
          </w:tcPr>
          <w:p>
            <w:pPr>
              <w:ind w:left="20"/>
              <w:spacing w:after="0"/>
              <w:rPr>
                <w:sz w:val="20"/>
                <w:szCs w:val="20"/>
                <w:color w:val="auto"/>
              </w:rPr>
            </w:pPr>
            <w:r>
              <w:rPr>
                <w:rFonts w:ascii="Arial" w:cs="Arial" w:eastAsia="Arial" w:hAnsi="Arial"/>
                <w:sz w:val="17"/>
                <w:szCs w:val="17"/>
                <w:color w:val="auto"/>
              </w:rPr>
              <w:t>Net decrease in cash</w:t>
            </w:r>
          </w:p>
        </w:tc>
        <w:tc>
          <w:tcPr>
            <w:tcW w:w="420" w:type="dxa"/>
            <w:vAlign w:val="bottom"/>
          </w:tcPr>
          <w:p>
            <w:pPr>
              <w:jc w:val="right"/>
              <w:ind w:right="233"/>
              <w:spacing w:after="0"/>
              <w:rPr>
                <w:sz w:val="20"/>
                <w:szCs w:val="20"/>
                <w:color w:val="auto"/>
              </w:rPr>
            </w:pPr>
            <w:r>
              <w:rPr>
                <w:rFonts w:ascii="Arial" w:cs="Arial" w:eastAsia="Arial" w:hAnsi="Arial"/>
                <w:sz w:val="17"/>
                <w:szCs w:val="17"/>
                <w:color w:val="auto"/>
                <w:w w:val="84"/>
              </w:rPr>
              <w:t>$</w:t>
            </w:r>
          </w:p>
        </w:tc>
        <w:tc>
          <w:tcPr>
            <w:tcW w:w="1320" w:type="dxa"/>
            <w:vAlign w:val="bottom"/>
          </w:tcPr>
          <w:p>
            <w:pPr>
              <w:jc w:val="right"/>
              <w:spacing w:after="0"/>
              <w:rPr>
                <w:sz w:val="20"/>
                <w:szCs w:val="20"/>
                <w:color w:val="auto"/>
              </w:rPr>
            </w:pPr>
            <w:r>
              <w:rPr>
                <w:rFonts w:ascii="Arial" w:cs="Arial" w:eastAsia="Arial" w:hAnsi="Arial"/>
                <w:sz w:val="17"/>
                <w:szCs w:val="17"/>
                <w:color w:val="auto"/>
              </w:rPr>
              <w:t>(13,139)</w:t>
            </w:r>
          </w:p>
        </w:tc>
        <w:tc>
          <w:tcPr>
            <w:tcW w:w="540" w:type="dxa"/>
            <w:vAlign w:val="bottom"/>
            <w:gridSpan w:val="2"/>
          </w:tcPr>
          <w:p>
            <w:pPr>
              <w:jc w:val="right"/>
              <w:ind w:right="300"/>
              <w:spacing w:after="0"/>
              <w:rPr>
                <w:sz w:val="20"/>
                <w:szCs w:val="20"/>
                <w:color w:val="auto"/>
              </w:rPr>
            </w:pPr>
            <w:r>
              <w:rPr>
                <w:rFonts w:ascii="Arial" w:cs="Arial" w:eastAsia="Arial" w:hAnsi="Arial"/>
                <w:sz w:val="17"/>
                <w:szCs w:val="17"/>
                <w:color w:val="auto"/>
              </w:rPr>
              <w:t>$</w:t>
            </w:r>
          </w:p>
        </w:tc>
        <w:tc>
          <w:tcPr>
            <w:tcW w:w="1360" w:type="dxa"/>
            <w:vAlign w:val="bottom"/>
          </w:tcPr>
          <w:p>
            <w:pPr>
              <w:jc w:val="right"/>
              <w:spacing w:after="0"/>
              <w:rPr>
                <w:sz w:val="20"/>
                <w:szCs w:val="20"/>
                <w:color w:val="auto"/>
              </w:rPr>
            </w:pPr>
            <w:r>
              <w:rPr>
                <w:rFonts w:ascii="Arial" w:cs="Arial" w:eastAsia="Arial" w:hAnsi="Arial"/>
                <w:sz w:val="17"/>
                <w:szCs w:val="17"/>
                <w:color w:val="auto"/>
              </w:rPr>
              <w:t>(3,639)</w:t>
            </w:r>
          </w:p>
        </w:tc>
      </w:tr>
      <w:tr>
        <w:trPr>
          <w:trHeight w:val="20"/>
        </w:trPr>
        <w:tc>
          <w:tcPr>
            <w:tcW w:w="7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r>
    </w:tbl>
    <w:p>
      <w:pPr>
        <w:spacing w:after="0" w:line="286" w:lineRule="exact"/>
        <w:rPr>
          <w:sz w:val="20"/>
          <w:szCs w:val="20"/>
          <w:color w:val="auto"/>
        </w:rPr>
      </w:pPr>
    </w:p>
    <w:p>
      <w:pPr>
        <w:ind w:left="620"/>
        <w:spacing w:after="0"/>
        <w:rPr>
          <w:sz w:val="20"/>
          <w:szCs w:val="20"/>
          <w:color w:val="auto"/>
        </w:rPr>
      </w:pPr>
      <w:r>
        <w:rPr>
          <w:rFonts w:ascii="Arial" w:cs="Arial" w:eastAsia="Arial" w:hAnsi="Arial"/>
          <w:sz w:val="17"/>
          <w:szCs w:val="17"/>
          <w:b w:val="1"/>
          <w:bCs w:val="1"/>
          <w:i w:val="1"/>
          <w:iCs w:val="1"/>
          <w:color w:val="auto"/>
        </w:rPr>
        <w:t>Operating Activities</w:t>
      </w:r>
    </w:p>
    <w:p>
      <w:pPr>
        <w:spacing w:after="0" w:line="220" w:lineRule="exact"/>
        <w:rPr>
          <w:sz w:val="20"/>
          <w:szCs w:val="20"/>
          <w:color w:val="auto"/>
        </w:rPr>
      </w:pPr>
    </w:p>
    <w:p>
      <w:pPr>
        <w:ind w:right="220" w:firstLine="623"/>
        <w:spacing w:after="0" w:line="294" w:lineRule="auto"/>
        <w:rPr>
          <w:sz w:val="20"/>
          <w:szCs w:val="20"/>
          <w:color w:val="auto"/>
        </w:rPr>
      </w:pPr>
      <w:r>
        <w:rPr>
          <w:rFonts w:ascii="Arial" w:cs="Arial" w:eastAsia="Arial" w:hAnsi="Arial"/>
          <w:sz w:val="16"/>
          <w:szCs w:val="16"/>
          <w:color w:val="auto"/>
        </w:rPr>
        <w:t>Cash flow provided by operating activities totaled $352.5 million for the six months ended June 30, 2023, as compared to $243.9 million for the six months ended June 30, 2022. The increase in cash flow provided by operating activities was primarily due to an increase in prepayments, a component of other assets, in the six months ended June 30, 2022 and an increase in investment income in the six months ended June 30, 2023.</w:t>
      </w:r>
    </w:p>
    <w:p>
      <w:pPr>
        <w:spacing w:after="0" w:line="155" w:lineRule="exact"/>
        <w:rPr>
          <w:sz w:val="20"/>
          <w:szCs w:val="20"/>
          <w:color w:val="auto"/>
        </w:rPr>
      </w:pPr>
    </w:p>
    <w:p>
      <w:pPr>
        <w:ind w:left="620"/>
        <w:spacing w:after="0"/>
        <w:rPr>
          <w:sz w:val="20"/>
          <w:szCs w:val="20"/>
          <w:color w:val="auto"/>
        </w:rPr>
      </w:pPr>
      <w:r>
        <w:rPr>
          <w:rFonts w:ascii="Arial" w:cs="Arial" w:eastAsia="Arial" w:hAnsi="Arial"/>
          <w:sz w:val="17"/>
          <w:szCs w:val="17"/>
          <w:b w:val="1"/>
          <w:bCs w:val="1"/>
          <w:i w:val="1"/>
          <w:iCs w:val="1"/>
          <w:color w:val="auto"/>
        </w:rPr>
        <w:t>Investing Activities</w:t>
      </w:r>
    </w:p>
    <w:p>
      <w:pPr>
        <w:spacing w:after="0" w:line="220" w:lineRule="exact"/>
        <w:rPr>
          <w:sz w:val="20"/>
          <w:szCs w:val="20"/>
          <w:color w:val="auto"/>
        </w:rPr>
      </w:pPr>
    </w:p>
    <w:p>
      <w:pPr>
        <w:ind w:right="100" w:firstLine="623"/>
        <w:spacing w:after="0" w:line="318" w:lineRule="auto"/>
        <w:rPr>
          <w:sz w:val="20"/>
          <w:szCs w:val="20"/>
          <w:color w:val="auto"/>
        </w:rPr>
      </w:pPr>
      <w:r>
        <w:rPr>
          <w:rFonts w:ascii="Arial" w:cs="Arial" w:eastAsia="Arial" w:hAnsi="Arial"/>
          <w:sz w:val="16"/>
          <w:szCs w:val="16"/>
          <w:color w:val="auto"/>
        </w:rPr>
        <w:t>Cash flow used in investing activities totaled $261.5 million for six months ended June 30, 2023 compared to $105.6 million used in investing activities for the six months ended June 30, 2022. In both periods, cash flow used in investing activities related to investing cash flows from operations.</w:t>
      </w:r>
    </w:p>
    <w:p>
      <w:pPr>
        <w:spacing w:after="0" w:line="161" w:lineRule="exact"/>
        <w:rPr>
          <w:sz w:val="20"/>
          <w:szCs w:val="20"/>
          <w:color w:val="auto"/>
        </w:rPr>
      </w:pPr>
    </w:p>
    <w:p>
      <w:pPr>
        <w:ind w:left="620"/>
        <w:spacing w:after="0"/>
        <w:rPr>
          <w:sz w:val="20"/>
          <w:szCs w:val="20"/>
          <w:color w:val="auto"/>
        </w:rPr>
      </w:pPr>
      <w:r>
        <w:rPr>
          <w:rFonts w:ascii="Arial" w:cs="Arial" w:eastAsia="Arial" w:hAnsi="Arial"/>
          <w:sz w:val="17"/>
          <w:szCs w:val="17"/>
          <w:b w:val="1"/>
          <w:bCs w:val="1"/>
          <w:i w:val="1"/>
          <w:iCs w:val="1"/>
          <w:color w:val="auto"/>
        </w:rPr>
        <w:t>Financing Activities</w:t>
      </w:r>
    </w:p>
    <w:p>
      <w:pPr>
        <w:spacing w:after="0" w:line="220" w:lineRule="exact"/>
        <w:rPr>
          <w:sz w:val="20"/>
          <w:szCs w:val="20"/>
          <w:color w:val="auto"/>
        </w:rPr>
      </w:pPr>
    </w:p>
    <w:p>
      <w:pPr>
        <w:ind w:firstLine="623"/>
        <w:spacing w:after="0" w:line="270" w:lineRule="auto"/>
        <w:rPr>
          <w:sz w:val="20"/>
          <w:szCs w:val="20"/>
          <w:color w:val="auto"/>
        </w:rPr>
      </w:pPr>
      <w:r>
        <w:rPr>
          <w:rFonts w:ascii="Arial" w:cs="Arial" w:eastAsia="Arial" w:hAnsi="Arial"/>
          <w:sz w:val="17"/>
          <w:szCs w:val="17"/>
          <w:color w:val="auto"/>
        </w:rPr>
        <w:t>Cash flow used in financing activities totaled $104.1 million and $141.9 million for the six months ended June 30, 2023 and 2022, respectively, primarily related to the quarterly cash dividends paid, repurchases of common stock under our share repurchase plans and treasury stock acquired from employees to satisfy tax withholding obligations.</w:t>
      </w:r>
    </w:p>
    <w:p>
      <w:pPr>
        <w:spacing w:after="0" w:line="171" w:lineRule="exact"/>
        <w:rPr>
          <w:sz w:val="20"/>
          <w:szCs w:val="20"/>
          <w:color w:val="auto"/>
        </w:rPr>
      </w:pPr>
    </w:p>
    <w:p>
      <w:pPr>
        <w:ind w:left="620"/>
        <w:spacing w:after="0"/>
        <w:rPr>
          <w:sz w:val="20"/>
          <w:szCs w:val="20"/>
          <w:color w:val="auto"/>
        </w:rPr>
      </w:pPr>
      <w:r>
        <w:rPr>
          <w:rFonts w:ascii="Arial" w:cs="Arial" w:eastAsia="Arial" w:hAnsi="Arial"/>
          <w:sz w:val="17"/>
          <w:szCs w:val="17"/>
          <w:b w:val="1"/>
          <w:bCs w:val="1"/>
          <w:i w:val="1"/>
          <w:iCs w:val="1"/>
          <w:color w:val="auto"/>
        </w:rPr>
        <w:t>Insurance Company Capital</w:t>
      </w:r>
    </w:p>
    <w:p>
      <w:pPr>
        <w:spacing w:after="0" w:line="220" w:lineRule="exact"/>
        <w:rPr>
          <w:sz w:val="20"/>
          <w:szCs w:val="20"/>
          <w:color w:val="auto"/>
        </w:rPr>
      </w:pPr>
    </w:p>
    <w:p>
      <w:pPr>
        <w:ind w:right="40" w:firstLine="623"/>
        <w:spacing w:after="0" w:line="259" w:lineRule="auto"/>
        <w:rPr>
          <w:sz w:val="20"/>
          <w:szCs w:val="20"/>
          <w:color w:val="auto"/>
        </w:rPr>
      </w:pPr>
      <w:r>
        <w:rPr>
          <w:rFonts w:ascii="Arial" w:cs="Arial" w:eastAsia="Arial" w:hAnsi="Arial"/>
          <w:sz w:val="17"/>
          <w:szCs w:val="17"/>
          <w:color w:val="auto"/>
        </w:rPr>
        <w:t>We compute a risk-to-capital ratio for our U.S. insurance companies on a separate company statutory basis, as well as for our combined insurance operations. The risk-to-capital ratio is our net risk in force divided by our statutory capital. Our net risk in force represents risk in force net of reinsurance ceded, if any, and net of exposures on policies for which loss reserves have been established. Statutory capital consists primarily of statutory policyholders’ surplus (which increases as a result of statutory net income and decreases as a result of statutory net loss and dividends paid), plus the statutory contingency reserve. The statutory contingency reserve is reported as a liability on the statutory balance sheet. A mortgage insurance company is required to make annual contributions to the contingency reserve of 50% of net premiums earned. These contributions must generally be maintained for a period of ten years. However, with regulatory approval, a mortgage insurance company may make early withdrawals from the contingency reserve when incurred losses exceed 35% of net premiums earned in a calendar year.</w:t>
      </w:r>
    </w:p>
    <w:p>
      <w:pPr>
        <w:spacing w:after="0" w:line="207" w:lineRule="exact"/>
        <w:rPr>
          <w:sz w:val="20"/>
          <w:szCs w:val="20"/>
          <w:color w:val="auto"/>
        </w:rPr>
      </w:pPr>
    </w:p>
    <w:p>
      <w:pPr>
        <w:ind w:right="220" w:firstLine="623"/>
        <w:spacing w:after="0" w:line="285" w:lineRule="auto"/>
        <w:rPr>
          <w:sz w:val="20"/>
          <w:szCs w:val="20"/>
          <w:color w:val="auto"/>
        </w:rPr>
      </w:pPr>
      <w:r>
        <w:rPr>
          <w:rFonts w:ascii="Arial" w:cs="Arial" w:eastAsia="Arial" w:hAnsi="Arial"/>
          <w:sz w:val="17"/>
          <w:szCs w:val="17"/>
          <w:color w:val="auto"/>
        </w:rPr>
        <w:t>During the six months ended June 30, 2023 and 2022, no capital contributions were made to our U.S. insurance subsidiaries and Essent Guaranty paid dividends to Essent US Holdings, Inc. of $180 million and $200 million, respectively.</w:t>
      </w:r>
    </w:p>
    <w:p>
      <w:pPr>
        <w:spacing w:after="0" w:line="172" w:lineRule="exact"/>
        <w:rPr>
          <w:sz w:val="20"/>
          <w:szCs w:val="20"/>
          <w:color w:val="auto"/>
        </w:rPr>
      </w:pPr>
    </w:p>
    <w:p>
      <w:pPr>
        <w:ind w:firstLine="173"/>
        <w:spacing w:after="0" w:line="293" w:lineRule="auto"/>
        <w:rPr>
          <w:sz w:val="20"/>
          <w:szCs w:val="20"/>
          <w:color w:val="auto"/>
        </w:rPr>
      </w:pPr>
      <w:r>
        <w:rPr>
          <w:rFonts w:ascii="Arial" w:cs="Arial" w:eastAsia="Arial" w:hAnsi="Arial"/>
          <w:sz w:val="15"/>
          <w:szCs w:val="15"/>
          <w:color w:val="auto"/>
        </w:rPr>
        <w:t>Essent Guaranty has entered into reinsurance agreements that provide excess of loss reinsurance coverage for new defaults on portfolios of mortgage insurance policies issued in 2017 through December 31, 2022. The aggregate excess of loss reinsurance coverages decrease over a ten-year period as the underlying covered mortgages amortize. Based on the level of delinquencies reported to us, the insurance-linked note transactions (the "ILNs") that Essent Guaranty has entered into prior to March 31, 2020 became subject to a "trigger event" as of June 25, 2020. The aggregate excess of loss reinsurance coverage will</w:t>
      </w: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68580</wp:posOffset>
            </wp:positionV>
            <wp:extent cx="7162800" cy="4191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4" w:name="page45"/>
    <w:bookmarkEnd w:id="44"/>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17"/>
          <w:szCs w:val="17"/>
          <w:color w:val="auto"/>
        </w:rPr>
        <w:t>not amortize during the continuation of a trigger event. Radnor Re 2020-1 was no longer subject to a trigger event as of July 25, 2022.</w:t>
      </w:r>
    </w:p>
    <w:p>
      <w:pPr>
        <w:spacing w:after="0" w:line="246" w:lineRule="exact"/>
        <w:rPr>
          <w:sz w:val="20"/>
          <w:szCs w:val="20"/>
          <w:color w:val="auto"/>
        </w:rPr>
      </w:pPr>
    </w:p>
    <w:p>
      <w:pPr>
        <w:ind w:right="120" w:firstLine="623"/>
        <w:spacing w:after="0" w:line="305" w:lineRule="auto"/>
        <w:rPr>
          <w:sz w:val="20"/>
          <w:szCs w:val="20"/>
          <w:color w:val="auto"/>
        </w:rPr>
      </w:pPr>
      <w:r>
        <w:rPr>
          <w:rFonts w:ascii="Arial" w:cs="Arial" w:eastAsia="Arial" w:hAnsi="Arial"/>
          <w:sz w:val="15"/>
          <w:szCs w:val="15"/>
          <w:color w:val="auto"/>
        </w:rPr>
        <w:t>Essent Guaranty has entered into a quota share reinsurance agreement with a panel of third-party reinsurers ("QSR" agreement"). Each of the third-party reinsurers has an insurer minimum financial strength rating of A- or better by S&amp;P Global Ratings, A.M. Best or both. Under each QSR agreement, Essent Guaranty will cede premiums on a percentage of risk on all eligible policies written during a specified period, in exchange for reimbursement of ceded claims and claims expenses on covered policies, a specific ceding commission, as well as a profit commission that varies directly and inversely with ceded claims. These reinsurance coverages also reduces net risk in force and PMIERs Minimum Required Assets. See Note 4 to our condensed consolidated financial statements.</w:t>
      </w:r>
    </w:p>
    <w:p>
      <w:pPr>
        <w:spacing w:after="0" w:line="150" w:lineRule="exact"/>
        <w:rPr>
          <w:sz w:val="20"/>
          <w:szCs w:val="20"/>
          <w:color w:val="auto"/>
        </w:rPr>
      </w:pPr>
    </w:p>
    <w:p>
      <w:pPr>
        <w:ind w:left="400"/>
        <w:spacing w:after="0"/>
        <w:rPr>
          <w:sz w:val="20"/>
          <w:szCs w:val="20"/>
          <w:color w:val="auto"/>
        </w:rPr>
      </w:pPr>
      <w:r>
        <w:rPr>
          <w:rFonts w:ascii="Arial" w:cs="Arial" w:eastAsia="Arial" w:hAnsi="Arial"/>
          <w:sz w:val="17"/>
          <w:szCs w:val="17"/>
          <w:color w:val="auto"/>
        </w:rPr>
        <w:t>The following tables summarizes Essent Guaranty's QSR agreements as of June 30, 2023:</w:t>
      </w:r>
    </w:p>
    <w:p>
      <w:pPr>
        <w:spacing w:after="0" w:line="41" w:lineRule="exact"/>
        <w:rPr>
          <w:sz w:val="20"/>
          <w:szCs w:val="20"/>
          <w:color w:val="auto"/>
        </w:rPr>
      </w:pPr>
    </w:p>
    <w:tbl>
      <w:tblPr>
        <w:tblLayout w:type="fixed"/>
        <w:tblInd w:w="400" w:type="dxa"/>
        <w:tblCellMar>
          <w:top w:w="0" w:type="dxa"/>
          <w:left w:w="0" w:type="dxa"/>
          <w:bottom w:w="0" w:type="dxa"/>
          <w:right w:w="0" w:type="dxa"/>
        </w:tblCellMar>
      </w:tblPr>
      <w:tr>
        <w:trPr>
          <w:trHeight w:val="179"/>
        </w:trPr>
        <w:tc>
          <w:tcPr>
            <w:tcW w:w="2140" w:type="dxa"/>
            <w:vAlign w:val="bottom"/>
          </w:tcPr>
          <w:p>
            <w:pPr>
              <w:jc w:val="center"/>
              <w:spacing w:after="0"/>
              <w:rPr>
                <w:sz w:val="20"/>
                <w:szCs w:val="20"/>
                <w:color w:val="auto"/>
              </w:rPr>
            </w:pPr>
            <w:r>
              <w:rPr>
                <w:rFonts w:ascii="Arial" w:cs="Arial" w:eastAsia="Arial" w:hAnsi="Arial"/>
                <w:sz w:val="14"/>
                <w:szCs w:val="14"/>
                <w:b w:val="1"/>
                <w:bCs w:val="1"/>
                <w:color w:val="auto"/>
                <w:w w:val="89"/>
              </w:rPr>
              <w:t>QSR Agreement</w:t>
            </w:r>
          </w:p>
        </w:tc>
        <w:tc>
          <w:tcPr>
            <w:tcW w:w="100" w:type="dxa"/>
            <w:vAlign w:val="bottom"/>
          </w:tcPr>
          <w:p>
            <w:pPr>
              <w:spacing w:after="0"/>
              <w:rPr>
                <w:sz w:val="15"/>
                <w:szCs w:val="15"/>
                <w:color w:val="auto"/>
              </w:rPr>
            </w:pPr>
          </w:p>
        </w:tc>
        <w:tc>
          <w:tcPr>
            <w:tcW w:w="4340" w:type="dxa"/>
            <w:vAlign w:val="bottom"/>
          </w:tcPr>
          <w:p>
            <w:pPr>
              <w:jc w:val="center"/>
              <w:spacing w:after="0"/>
              <w:rPr>
                <w:sz w:val="20"/>
                <w:szCs w:val="20"/>
                <w:color w:val="auto"/>
              </w:rPr>
            </w:pPr>
            <w:r>
              <w:rPr>
                <w:rFonts w:ascii="Arial" w:cs="Arial" w:eastAsia="Arial" w:hAnsi="Arial"/>
                <w:sz w:val="14"/>
                <w:szCs w:val="14"/>
                <w:b w:val="1"/>
                <w:bCs w:val="1"/>
                <w:color w:val="auto"/>
                <w:w w:val="88"/>
              </w:rPr>
              <w:t>Eligible Policy Period</w:t>
            </w:r>
          </w:p>
        </w:tc>
        <w:tc>
          <w:tcPr>
            <w:tcW w:w="120" w:type="dxa"/>
            <w:vAlign w:val="bottom"/>
          </w:tcPr>
          <w:p>
            <w:pPr>
              <w:spacing w:after="0"/>
              <w:rPr>
                <w:sz w:val="15"/>
                <w:szCs w:val="15"/>
                <w:color w:val="auto"/>
              </w:rPr>
            </w:pPr>
          </w:p>
        </w:tc>
        <w:tc>
          <w:tcPr>
            <w:tcW w:w="1220" w:type="dxa"/>
            <w:vAlign w:val="bottom"/>
          </w:tcPr>
          <w:p>
            <w:pPr>
              <w:ind w:left="40"/>
              <w:spacing w:after="0"/>
              <w:rPr>
                <w:sz w:val="20"/>
                <w:szCs w:val="20"/>
                <w:color w:val="auto"/>
              </w:rPr>
            </w:pPr>
            <w:r>
              <w:rPr>
                <w:rFonts w:ascii="Arial" w:cs="Arial" w:eastAsia="Arial" w:hAnsi="Arial"/>
                <w:sz w:val="14"/>
                <w:szCs w:val="14"/>
                <w:b w:val="1"/>
                <w:bCs w:val="1"/>
                <w:color w:val="auto"/>
                <w:w w:val="91"/>
              </w:rPr>
              <w:t>Ceding Percentage</w:t>
            </w:r>
          </w:p>
        </w:tc>
        <w:tc>
          <w:tcPr>
            <w:tcW w:w="80" w:type="dxa"/>
            <w:vAlign w:val="bottom"/>
          </w:tcPr>
          <w:p>
            <w:pPr>
              <w:spacing w:after="0"/>
              <w:rPr>
                <w:sz w:val="15"/>
                <w:szCs w:val="15"/>
                <w:color w:val="auto"/>
              </w:rPr>
            </w:pPr>
          </w:p>
        </w:tc>
        <w:tc>
          <w:tcPr>
            <w:tcW w:w="1400" w:type="dxa"/>
            <w:vAlign w:val="bottom"/>
          </w:tcPr>
          <w:p>
            <w:pPr>
              <w:jc w:val="center"/>
              <w:spacing w:after="0"/>
              <w:rPr>
                <w:sz w:val="20"/>
                <w:szCs w:val="20"/>
                <w:color w:val="auto"/>
              </w:rPr>
            </w:pPr>
            <w:r>
              <w:rPr>
                <w:rFonts w:ascii="Arial" w:cs="Arial" w:eastAsia="Arial" w:hAnsi="Arial"/>
                <w:sz w:val="14"/>
                <w:szCs w:val="14"/>
                <w:b w:val="1"/>
                <w:bCs w:val="1"/>
                <w:color w:val="auto"/>
                <w:w w:val="88"/>
              </w:rPr>
              <w:t>Ceding Commission</w:t>
            </w:r>
          </w:p>
        </w:tc>
        <w:tc>
          <w:tcPr>
            <w:tcW w:w="100" w:type="dxa"/>
            <w:vAlign w:val="bottom"/>
          </w:tcPr>
          <w:p>
            <w:pPr>
              <w:spacing w:after="0"/>
              <w:rPr>
                <w:sz w:val="15"/>
                <w:szCs w:val="15"/>
                <w:color w:val="auto"/>
              </w:rPr>
            </w:pPr>
          </w:p>
        </w:tc>
        <w:tc>
          <w:tcPr>
            <w:tcW w:w="1440" w:type="dxa"/>
            <w:vAlign w:val="bottom"/>
            <w:gridSpan w:val="2"/>
          </w:tcPr>
          <w:p>
            <w:pPr>
              <w:jc w:val="right"/>
              <w:spacing w:after="0"/>
              <w:rPr>
                <w:sz w:val="20"/>
                <w:szCs w:val="20"/>
                <w:color w:val="auto"/>
              </w:rPr>
            </w:pPr>
            <w:r>
              <w:rPr>
                <w:rFonts w:ascii="Arial" w:cs="Arial" w:eastAsia="Arial" w:hAnsi="Arial"/>
                <w:sz w:val="14"/>
                <w:szCs w:val="14"/>
                <w:b w:val="1"/>
                <w:bCs w:val="1"/>
                <w:color w:val="auto"/>
              </w:rPr>
              <w:t>Profit Commission</w:t>
            </w:r>
          </w:p>
        </w:tc>
      </w:tr>
      <w:tr>
        <w:trPr>
          <w:trHeight w:val="25"/>
        </w:trPr>
        <w:tc>
          <w:tcPr>
            <w:tcW w:w="2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r>
      <w:tr>
        <w:trPr>
          <w:trHeight w:val="214"/>
        </w:trPr>
        <w:tc>
          <w:tcPr>
            <w:tcW w:w="214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2"/>
              </w:rPr>
              <w:t>QSR-2019</w:t>
            </w:r>
          </w:p>
        </w:tc>
        <w:tc>
          <w:tcPr>
            <w:tcW w:w="100" w:type="dxa"/>
            <w:vAlign w:val="bottom"/>
            <w:shd w:val="clear" w:color="auto" w:fill="CCEEFF"/>
          </w:tcPr>
          <w:p>
            <w:pPr>
              <w:spacing w:after="0"/>
              <w:rPr>
                <w:sz w:val="18"/>
                <w:szCs w:val="18"/>
                <w:color w:val="auto"/>
              </w:rPr>
            </w:pPr>
          </w:p>
        </w:tc>
        <w:tc>
          <w:tcPr>
            <w:tcW w:w="434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1"/>
              </w:rPr>
              <w:t>September 1, 2019 - December 31, 2020</w:t>
            </w: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jc w:val="center"/>
              <w:spacing w:after="0"/>
              <w:rPr>
                <w:sz w:val="20"/>
                <w:szCs w:val="20"/>
                <w:color w:val="auto"/>
              </w:rPr>
            </w:pPr>
            <w:r>
              <w:rPr>
                <w:rFonts w:ascii="Arial" w:cs="Arial" w:eastAsia="Arial" w:hAnsi="Arial"/>
                <w:sz w:val="17"/>
                <w:szCs w:val="17"/>
                <w:b w:val="1"/>
                <w:bCs w:val="1"/>
                <w:color w:val="auto"/>
                <w:w w:val="96"/>
              </w:rPr>
              <w:t>(1)</w:t>
            </w:r>
          </w:p>
        </w:tc>
        <w:tc>
          <w:tcPr>
            <w:tcW w:w="1480" w:type="dxa"/>
            <w:vAlign w:val="bottom"/>
            <w:gridSpan w:val="2"/>
            <w:shd w:val="clear" w:color="auto" w:fill="CCEEFF"/>
          </w:tcPr>
          <w:p>
            <w:pPr>
              <w:jc w:val="center"/>
              <w:spacing w:after="0"/>
              <w:rPr>
                <w:sz w:val="20"/>
                <w:szCs w:val="20"/>
                <w:color w:val="auto"/>
              </w:rPr>
            </w:pPr>
            <w:r>
              <w:rPr>
                <w:rFonts w:ascii="Arial" w:cs="Arial" w:eastAsia="Arial" w:hAnsi="Arial"/>
                <w:sz w:val="17"/>
                <w:szCs w:val="17"/>
                <w:color w:val="auto"/>
                <w:w w:val="93"/>
              </w:rPr>
              <w:t>20%</w:t>
            </w:r>
          </w:p>
        </w:tc>
        <w:tc>
          <w:tcPr>
            <w:tcW w:w="1160" w:type="dxa"/>
            <w:vAlign w:val="bottom"/>
            <w:gridSpan w:val="2"/>
            <w:shd w:val="clear" w:color="auto" w:fill="CCEEFF"/>
          </w:tcPr>
          <w:p>
            <w:pPr>
              <w:jc w:val="right"/>
              <w:ind w:right="211"/>
              <w:spacing w:after="0"/>
              <w:rPr>
                <w:sz w:val="20"/>
                <w:szCs w:val="20"/>
                <w:color w:val="auto"/>
              </w:rPr>
            </w:pPr>
            <w:r>
              <w:rPr>
                <w:rFonts w:ascii="Arial" w:cs="Arial" w:eastAsia="Arial" w:hAnsi="Arial"/>
                <w:sz w:val="17"/>
                <w:szCs w:val="17"/>
                <w:color w:val="auto"/>
              </w:rPr>
              <w:t>63%</w:t>
            </w:r>
          </w:p>
        </w:tc>
        <w:tc>
          <w:tcPr>
            <w:tcW w:w="38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(2</w:t>
            </w:r>
          </w:p>
        </w:tc>
      </w:tr>
      <w:tr>
        <w:trPr>
          <w:trHeight w:val="221"/>
        </w:trPr>
        <w:tc>
          <w:tcPr>
            <w:tcW w:w="2140" w:type="dxa"/>
            <w:vAlign w:val="bottom"/>
          </w:tcPr>
          <w:p>
            <w:pPr>
              <w:jc w:val="center"/>
              <w:spacing w:after="0"/>
              <w:rPr>
                <w:sz w:val="20"/>
                <w:szCs w:val="20"/>
                <w:color w:val="auto"/>
              </w:rPr>
            </w:pPr>
            <w:r>
              <w:rPr>
                <w:rFonts w:ascii="Arial" w:cs="Arial" w:eastAsia="Arial" w:hAnsi="Arial"/>
                <w:sz w:val="17"/>
                <w:szCs w:val="17"/>
                <w:color w:val="auto"/>
                <w:w w:val="92"/>
              </w:rPr>
              <w:t>QSR-2022</w:t>
            </w:r>
          </w:p>
        </w:tc>
        <w:tc>
          <w:tcPr>
            <w:tcW w:w="100" w:type="dxa"/>
            <w:vAlign w:val="bottom"/>
          </w:tcPr>
          <w:p>
            <w:pPr>
              <w:spacing w:after="0"/>
              <w:rPr>
                <w:sz w:val="19"/>
                <w:szCs w:val="19"/>
                <w:color w:val="auto"/>
              </w:rPr>
            </w:pPr>
          </w:p>
        </w:tc>
        <w:tc>
          <w:tcPr>
            <w:tcW w:w="4340" w:type="dxa"/>
            <w:vAlign w:val="bottom"/>
          </w:tcPr>
          <w:p>
            <w:pPr>
              <w:jc w:val="center"/>
              <w:spacing w:after="0"/>
              <w:rPr>
                <w:sz w:val="20"/>
                <w:szCs w:val="20"/>
                <w:color w:val="auto"/>
              </w:rPr>
            </w:pPr>
            <w:r>
              <w:rPr>
                <w:rFonts w:ascii="Arial" w:cs="Arial" w:eastAsia="Arial" w:hAnsi="Arial"/>
                <w:sz w:val="17"/>
                <w:szCs w:val="17"/>
                <w:color w:val="auto"/>
                <w:w w:val="90"/>
              </w:rPr>
              <w:t>January 1, 2022 - December 31, 2022</w:t>
            </w:r>
          </w:p>
        </w:tc>
        <w:tc>
          <w:tcPr>
            <w:tcW w:w="1340" w:type="dxa"/>
            <w:vAlign w:val="bottom"/>
            <w:gridSpan w:val="2"/>
          </w:tcPr>
          <w:p>
            <w:pPr>
              <w:jc w:val="center"/>
              <w:ind w:left="13"/>
              <w:spacing w:after="0"/>
              <w:rPr>
                <w:sz w:val="20"/>
                <w:szCs w:val="20"/>
                <w:color w:val="auto"/>
              </w:rPr>
            </w:pPr>
            <w:r>
              <w:rPr>
                <w:rFonts w:ascii="Arial" w:cs="Arial" w:eastAsia="Arial" w:hAnsi="Arial"/>
                <w:sz w:val="17"/>
                <w:szCs w:val="17"/>
                <w:color w:val="auto"/>
                <w:w w:val="93"/>
              </w:rPr>
              <w:t>20%</w:t>
            </w:r>
          </w:p>
        </w:tc>
        <w:tc>
          <w:tcPr>
            <w:tcW w:w="1480" w:type="dxa"/>
            <w:vAlign w:val="bottom"/>
            <w:gridSpan w:val="2"/>
          </w:tcPr>
          <w:p>
            <w:pPr>
              <w:jc w:val="center"/>
              <w:spacing w:after="0"/>
              <w:rPr>
                <w:sz w:val="20"/>
                <w:szCs w:val="20"/>
                <w:color w:val="auto"/>
              </w:rPr>
            </w:pPr>
            <w:r>
              <w:rPr>
                <w:rFonts w:ascii="Arial" w:cs="Arial" w:eastAsia="Arial" w:hAnsi="Arial"/>
                <w:sz w:val="17"/>
                <w:szCs w:val="17"/>
                <w:color w:val="auto"/>
                <w:w w:val="93"/>
              </w:rPr>
              <w:t>20%</w:t>
            </w:r>
          </w:p>
        </w:tc>
        <w:tc>
          <w:tcPr>
            <w:tcW w:w="1160" w:type="dxa"/>
            <w:vAlign w:val="bottom"/>
            <w:gridSpan w:val="2"/>
          </w:tcPr>
          <w:p>
            <w:pPr>
              <w:jc w:val="right"/>
              <w:ind w:right="211"/>
              <w:spacing w:after="0"/>
              <w:rPr>
                <w:sz w:val="20"/>
                <w:szCs w:val="20"/>
                <w:color w:val="auto"/>
              </w:rPr>
            </w:pPr>
            <w:r>
              <w:rPr>
                <w:rFonts w:ascii="Arial" w:cs="Arial" w:eastAsia="Arial" w:hAnsi="Arial"/>
                <w:sz w:val="17"/>
                <w:szCs w:val="17"/>
                <w:color w:val="auto"/>
              </w:rPr>
              <w:t>62%</w:t>
            </w:r>
          </w:p>
        </w:tc>
        <w:tc>
          <w:tcPr>
            <w:tcW w:w="380" w:type="dxa"/>
            <w:vAlign w:val="bottom"/>
          </w:tcPr>
          <w:p>
            <w:pPr>
              <w:spacing w:after="0"/>
              <w:rPr>
                <w:sz w:val="19"/>
                <w:szCs w:val="19"/>
                <w:color w:val="auto"/>
              </w:rPr>
            </w:pPr>
          </w:p>
        </w:tc>
      </w:tr>
      <w:tr>
        <w:trPr>
          <w:trHeight w:val="234"/>
        </w:trPr>
        <w:tc>
          <w:tcPr>
            <w:tcW w:w="214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2"/>
              </w:rPr>
              <w:t>QSR-2023</w:t>
            </w:r>
          </w:p>
        </w:tc>
        <w:tc>
          <w:tcPr>
            <w:tcW w:w="100" w:type="dxa"/>
            <w:vAlign w:val="bottom"/>
            <w:shd w:val="clear" w:color="auto" w:fill="CCEEFF"/>
          </w:tcPr>
          <w:p>
            <w:pPr>
              <w:spacing w:after="0"/>
              <w:rPr>
                <w:sz w:val="20"/>
                <w:szCs w:val="20"/>
                <w:color w:val="auto"/>
              </w:rPr>
            </w:pPr>
          </w:p>
        </w:tc>
        <w:tc>
          <w:tcPr>
            <w:tcW w:w="434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0"/>
              </w:rPr>
              <w:t>January 1, 2023 - December 31, 2023</w:t>
            </w:r>
          </w:p>
        </w:tc>
        <w:tc>
          <w:tcPr>
            <w:tcW w:w="1340" w:type="dxa"/>
            <w:vAlign w:val="bottom"/>
            <w:gridSpan w:val="2"/>
            <w:shd w:val="clear" w:color="auto" w:fill="CCEEFF"/>
          </w:tcPr>
          <w:p>
            <w:pPr>
              <w:jc w:val="center"/>
              <w:ind w:left="13"/>
              <w:spacing w:after="0"/>
              <w:rPr>
                <w:sz w:val="20"/>
                <w:szCs w:val="20"/>
                <w:color w:val="auto"/>
              </w:rPr>
            </w:pPr>
            <w:r>
              <w:rPr>
                <w:rFonts w:ascii="Arial" w:cs="Arial" w:eastAsia="Arial" w:hAnsi="Arial"/>
                <w:sz w:val="17"/>
                <w:szCs w:val="17"/>
                <w:color w:val="auto"/>
                <w:w w:val="91"/>
              </w:rPr>
              <w:t>17.5%</w:t>
            </w:r>
          </w:p>
        </w:tc>
        <w:tc>
          <w:tcPr>
            <w:tcW w:w="1480" w:type="dxa"/>
            <w:vAlign w:val="bottom"/>
            <w:gridSpan w:val="2"/>
            <w:shd w:val="clear" w:color="auto" w:fill="CCEEFF"/>
          </w:tcPr>
          <w:p>
            <w:pPr>
              <w:jc w:val="center"/>
              <w:spacing w:after="0"/>
              <w:rPr>
                <w:sz w:val="20"/>
                <w:szCs w:val="20"/>
                <w:color w:val="auto"/>
              </w:rPr>
            </w:pPr>
            <w:r>
              <w:rPr>
                <w:rFonts w:ascii="Arial" w:cs="Arial" w:eastAsia="Arial" w:hAnsi="Arial"/>
                <w:sz w:val="17"/>
                <w:szCs w:val="17"/>
                <w:color w:val="auto"/>
                <w:w w:val="93"/>
              </w:rPr>
              <w:t>20%</w:t>
            </w:r>
          </w:p>
        </w:tc>
        <w:tc>
          <w:tcPr>
            <w:tcW w:w="1160" w:type="dxa"/>
            <w:vAlign w:val="bottom"/>
            <w:gridSpan w:val="2"/>
            <w:shd w:val="clear" w:color="auto" w:fill="CCEEFF"/>
          </w:tcPr>
          <w:p>
            <w:pPr>
              <w:jc w:val="right"/>
              <w:ind w:right="211"/>
              <w:spacing w:after="0"/>
              <w:rPr>
                <w:sz w:val="20"/>
                <w:szCs w:val="20"/>
                <w:color w:val="auto"/>
              </w:rPr>
            </w:pPr>
            <w:r>
              <w:rPr>
                <w:rFonts w:ascii="Arial" w:cs="Arial" w:eastAsia="Arial" w:hAnsi="Arial"/>
                <w:sz w:val="17"/>
                <w:szCs w:val="17"/>
                <w:color w:val="auto"/>
              </w:rPr>
              <w:t>58%</w:t>
            </w:r>
          </w:p>
        </w:tc>
        <w:tc>
          <w:tcPr>
            <w:tcW w:w="380" w:type="dxa"/>
            <w:vAlign w:val="bottom"/>
            <w:shd w:val="clear" w:color="auto" w:fill="CCEEFF"/>
          </w:tcPr>
          <w:p>
            <w:pPr>
              <w:spacing w:after="0"/>
              <w:rPr>
                <w:sz w:val="20"/>
                <w:szCs w:val="20"/>
                <w:color w:val="auto"/>
              </w:rPr>
            </w:pPr>
          </w:p>
        </w:tc>
      </w:tr>
    </w:tbl>
    <w:p>
      <w:pPr>
        <w:spacing w:after="0" w:line="59"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_______________________________________________________________________________</w:t>
      </w:r>
    </w:p>
    <w:p>
      <w:pPr>
        <w:spacing w:after="0" w:line="14" w:lineRule="exact"/>
        <w:rPr>
          <w:sz w:val="20"/>
          <w:szCs w:val="20"/>
          <w:color w:val="auto"/>
        </w:rPr>
      </w:pPr>
    </w:p>
    <w:p>
      <w:pPr>
        <w:ind w:left="400" w:hanging="396"/>
        <w:spacing w:after="0"/>
        <w:tabs>
          <w:tab w:leader="none" w:pos="400" w:val="left"/>
        </w:tabs>
        <w:numPr>
          <w:ilvl w:val="0"/>
          <w:numId w:val="23"/>
        </w:numPr>
        <w:rPr>
          <w:rFonts w:ascii="Arial" w:cs="Arial" w:eastAsia="Arial" w:hAnsi="Arial"/>
          <w:sz w:val="17"/>
          <w:szCs w:val="17"/>
          <w:color w:val="auto"/>
        </w:rPr>
      </w:pPr>
      <w:r>
        <w:rPr>
          <w:rFonts w:ascii="Arial" w:cs="Arial" w:eastAsia="Arial" w:hAnsi="Arial"/>
          <w:sz w:val="17"/>
          <w:szCs w:val="17"/>
          <w:color w:val="auto"/>
        </w:rPr>
        <w:t>Under QSR-2019, Essent Guaranty cedes 40% of premiums on singles policies and 20% on all other policies.</w:t>
      </w:r>
    </w:p>
    <w:p>
      <w:pPr>
        <w:spacing w:after="0" w:line="24" w:lineRule="exact"/>
        <w:rPr>
          <w:rFonts w:ascii="Arial" w:cs="Arial" w:eastAsia="Arial" w:hAnsi="Arial"/>
          <w:sz w:val="17"/>
          <w:szCs w:val="17"/>
          <w:color w:val="auto"/>
        </w:rPr>
      </w:pPr>
    </w:p>
    <w:p>
      <w:pPr>
        <w:ind w:left="400" w:right="840" w:hanging="396"/>
        <w:spacing w:after="0" w:line="301" w:lineRule="auto"/>
        <w:tabs>
          <w:tab w:leader="none" w:pos="400"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The initial profit commission on QSR-2019 was up to 60%. Since Essent Guaranty did not exercise its option to terminate this QSR agreement on December 31, 2021, the maximum profit commission that Essent Guaranty could earn increased to 63% in 2022 and thereafter.</w:t>
      </w:r>
    </w:p>
    <w:p>
      <w:pPr>
        <w:spacing w:after="0" w:line="175" w:lineRule="exact"/>
        <w:rPr>
          <w:sz w:val="20"/>
          <w:szCs w:val="20"/>
          <w:color w:val="auto"/>
        </w:rPr>
      </w:pPr>
    </w:p>
    <w:p>
      <w:pPr>
        <w:ind w:left="620"/>
        <w:spacing w:after="0"/>
        <w:rPr>
          <w:sz w:val="20"/>
          <w:szCs w:val="20"/>
          <w:color w:val="auto"/>
        </w:rPr>
      </w:pPr>
      <w:r>
        <w:rPr>
          <w:rFonts w:ascii="Arial" w:cs="Arial" w:eastAsia="Arial" w:hAnsi="Arial"/>
          <w:sz w:val="17"/>
          <w:szCs w:val="17"/>
          <w:color w:val="auto"/>
        </w:rPr>
        <w:t>Our combined risk-to-capital calculation for our U.S. insurance subsidiaries as of June 30, 2023 was as follows:</w:t>
      </w:r>
    </w:p>
    <w:p>
      <w:pPr>
        <w:spacing w:after="0" w:line="324"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Combined statutory capital:</w:t>
      </w:r>
    </w:p>
    <w:p>
      <w:pPr>
        <w:ind w:left="20"/>
        <w:spacing w:after="0"/>
        <w:rPr>
          <w:sz w:val="20"/>
          <w:szCs w:val="20"/>
          <w:color w:val="auto"/>
        </w:rPr>
      </w:pPr>
      <w:r>
        <w:rPr>
          <w:rFonts w:ascii="Arial" w:cs="Arial" w:eastAsia="Arial" w:hAnsi="Arial"/>
          <w:sz w:val="14"/>
          <w:szCs w:val="14"/>
          <w:b w:val="1"/>
          <w:bCs w:val="1"/>
          <w:color w:val="auto"/>
        </w:rPr>
        <w:t>($ in thousands)</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2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Policyholders’ surplus</w:t>
            </w:r>
          </w:p>
        </w:tc>
        <w:tc>
          <w:tcPr>
            <w:tcW w:w="520" w:type="dxa"/>
            <w:vAlign w:val="bottom"/>
            <w:tcBorders>
              <w:top w:val="single" w:sz="8" w:color="auto"/>
            </w:tcBorders>
            <w:shd w:val="clear" w:color="auto" w:fill="CCEEFF"/>
          </w:tcPr>
          <w:p>
            <w:pPr>
              <w:jc w:val="right"/>
              <w:ind w:right="333"/>
              <w:spacing w:after="0"/>
              <w:rPr>
                <w:sz w:val="20"/>
                <w:szCs w:val="20"/>
                <w:color w:val="auto"/>
              </w:rPr>
            </w:pPr>
            <w:r>
              <w:rPr>
                <w:rFonts w:ascii="Arial" w:cs="Arial" w:eastAsia="Arial" w:hAnsi="Arial"/>
                <w:sz w:val="17"/>
                <w:szCs w:val="17"/>
                <w:color w:val="auto"/>
                <w:w w:val="84"/>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1,029,167</w:t>
            </w:r>
          </w:p>
        </w:tc>
        <w:tc>
          <w:tcPr>
            <w:tcW w:w="0" w:type="dxa"/>
            <w:vAlign w:val="bottom"/>
          </w:tcPr>
          <w:p>
            <w:pPr>
              <w:spacing w:after="0"/>
              <w:rPr>
                <w:sz w:val="1"/>
                <w:szCs w:val="1"/>
                <w:color w:val="auto"/>
              </w:rPr>
            </w:pPr>
          </w:p>
        </w:tc>
      </w:tr>
      <w:tr>
        <w:trPr>
          <w:trHeight w:val="234"/>
        </w:trPr>
        <w:tc>
          <w:tcPr>
            <w:tcW w:w="924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Contingency reserves</w:t>
            </w:r>
          </w:p>
        </w:tc>
        <w:tc>
          <w:tcPr>
            <w:tcW w:w="5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2,213,919</w:t>
            </w:r>
          </w:p>
        </w:tc>
        <w:tc>
          <w:tcPr>
            <w:tcW w:w="0" w:type="dxa"/>
            <w:vAlign w:val="bottom"/>
          </w:tcPr>
          <w:p>
            <w:pPr>
              <w:spacing w:after="0"/>
              <w:rPr>
                <w:sz w:val="1"/>
                <w:szCs w:val="1"/>
                <w:color w:val="auto"/>
              </w:rPr>
            </w:pPr>
          </w:p>
        </w:tc>
      </w:tr>
      <w:tr>
        <w:trPr>
          <w:trHeight w:val="239"/>
        </w:trPr>
        <w:tc>
          <w:tcPr>
            <w:tcW w:w="9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Combined statutory capital</w:t>
            </w:r>
          </w:p>
        </w:tc>
        <w:tc>
          <w:tcPr>
            <w:tcW w:w="520" w:type="dxa"/>
            <w:vAlign w:val="bottom"/>
            <w:tcBorders>
              <w:bottom w:val="single" w:sz="8" w:color="auto"/>
            </w:tcBorders>
            <w:shd w:val="clear" w:color="auto" w:fill="CCEEFF"/>
          </w:tcPr>
          <w:p>
            <w:pPr>
              <w:jc w:val="right"/>
              <w:ind w:right="333"/>
              <w:spacing w:after="0"/>
              <w:rPr>
                <w:sz w:val="20"/>
                <w:szCs w:val="20"/>
                <w:color w:val="auto"/>
              </w:rPr>
            </w:pPr>
            <w:r>
              <w:rPr>
                <w:rFonts w:ascii="Arial" w:cs="Arial" w:eastAsia="Arial" w:hAnsi="Arial"/>
                <w:sz w:val="17"/>
                <w:szCs w:val="17"/>
                <w:color w:val="auto"/>
                <w:w w:val="84"/>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3,243,086</w:t>
            </w:r>
          </w:p>
        </w:tc>
        <w:tc>
          <w:tcPr>
            <w:tcW w:w="0" w:type="dxa"/>
            <w:vAlign w:val="bottom"/>
          </w:tcPr>
          <w:p>
            <w:pPr>
              <w:spacing w:after="0"/>
              <w:rPr>
                <w:sz w:val="1"/>
                <w:szCs w:val="1"/>
                <w:color w:val="auto"/>
              </w:rPr>
            </w:pPr>
          </w:p>
        </w:tc>
      </w:tr>
      <w:tr>
        <w:trPr>
          <w:trHeight w:val="20"/>
        </w:trPr>
        <w:tc>
          <w:tcPr>
            <w:tcW w:w="92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7"/>
                <w:szCs w:val="17"/>
                <w:color w:val="auto"/>
              </w:rPr>
              <w:t>Combined net risk in force</w:t>
            </w: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9240" w:type="dxa"/>
            <w:vAlign w:val="bottom"/>
            <w:vMerge w:val="continue"/>
          </w:tcPr>
          <w:p>
            <w:pPr>
              <w:spacing w:after="0"/>
              <w:rPr>
                <w:sz w:val="16"/>
                <w:szCs w:val="16"/>
                <w:color w:val="auto"/>
              </w:rPr>
            </w:pPr>
          </w:p>
        </w:tc>
        <w:tc>
          <w:tcPr>
            <w:tcW w:w="520" w:type="dxa"/>
            <w:vAlign w:val="bottom"/>
            <w:tcBorders>
              <w:bottom w:val="single" w:sz="8" w:color="auto"/>
            </w:tcBorders>
          </w:tcPr>
          <w:p>
            <w:pPr>
              <w:jc w:val="right"/>
              <w:ind w:right="333"/>
              <w:spacing w:after="0" w:line="193" w:lineRule="exact"/>
              <w:rPr>
                <w:sz w:val="20"/>
                <w:szCs w:val="20"/>
                <w:color w:val="auto"/>
              </w:rPr>
            </w:pPr>
            <w:r>
              <w:rPr>
                <w:rFonts w:ascii="Arial" w:cs="Arial" w:eastAsia="Arial" w:hAnsi="Arial"/>
                <w:sz w:val="17"/>
                <w:szCs w:val="17"/>
                <w:color w:val="auto"/>
                <w:w w:val="84"/>
              </w:rPr>
              <w:t>$</w:t>
            </w:r>
          </w:p>
        </w:tc>
        <w:tc>
          <w:tcPr>
            <w:tcW w:w="1260" w:type="dxa"/>
            <w:vAlign w:val="bottom"/>
            <w:tcBorders>
              <w:bottom w:val="single" w:sz="8" w:color="auto"/>
            </w:tcBorders>
          </w:tcPr>
          <w:p>
            <w:pPr>
              <w:jc w:val="right"/>
              <w:spacing w:after="0" w:line="193" w:lineRule="exact"/>
              <w:rPr>
                <w:sz w:val="20"/>
                <w:szCs w:val="20"/>
                <w:color w:val="auto"/>
              </w:rPr>
            </w:pPr>
            <w:r>
              <w:rPr>
                <w:rFonts w:ascii="Arial" w:cs="Arial" w:eastAsia="Arial" w:hAnsi="Arial"/>
                <w:sz w:val="17"/>
                <w:szCs w:val="17"/>
                <w:color w:val="auto"/>
              </w:rPr>
              <w:t>34,019,643</w:t>
            </w:r>
          </w:p>
        </w:tc>
        <w:tc>
          <w:tcPr>
            <w:tcW w:w="0" w:type="dxa"/>
            <w:vAlign w:val="bottom"/>
          </w:tcPr>
          <w:p>
            <w:pPr>
              <w:spacing w:after="0"/>
              <w:rPr>
                <w:sz w:val="1"/>
                <w:szCs w:val="1"/>
                <w:color w:val="auto"/>
              </w:rPr>
            </w:pPr>
          </w:p>
        </w:tc>
      </w:tr>
      <w:tr>
        <w:trPr>
          <w:trHeight w:val="252"/>
        </w:trPr>
        <w:tc>
          <w:tcPr>
            <w:tcW w:w="9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Combined risk-to-capital ratio</w:t>
            </w:r>
          </w:p>
        </w:tc>
        <w:tc>
          <w:tcPr>
            <w:tcW w:w="52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10.5:1</w:t>
            </w:r>
          </w:p>
        </w:tc>
        <w:tc>
          <w:tcPr>
            <w:tcW w:w="0" w:type="dxa"/>
            <w:vAlign w:val="bottom"/>
          </w:tcPr>
          <w:p>
            <w:pPr>
              <w:spacing w:after="0"/>
              <w:rPr>
                <w:sz w:val="1"/>
                <w:szCs w:val="1"/>
                <w:color w:val="auto"/>
              </w:rPr>
            </w:pPr>
          </w:p>
        </w:tc>
      </w:tr>
      <w:tr>
        <w:trPr>
          <w:trHeight w:val="20"/>
        </w:trPr>
        <w:tc>
          <w:tcPr>
            <w:tcW w:w="924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3" w:lineRule="exact"/>
        <w:rPr>
          <w:sz w:val="20"/>
          <w:szCs w:val="20"/>
          <w:color w:val="auto"/>
        </w:rPr>
      </w:pPr>
    </w:p>
    <w:p>
      <w:pPr>
        <w:ind w:right="120" w:firstLine="623"/>
        <w:spacing w:after="0" w:line="280" w:lineRule="auto"/>
        <w:rPr>
          <w:sz w:val="20"/>
          <w:szCs w:val="20"/>
          <w:color w:val="auto"/>
        </w:rPr>
      </w:pPr>
      <w:r>
        <w:rPr>
          <w:rFonts w:ascii="Arial" w:cs="Arial" w:eastAsia="Arial" w:hAnsi="Arial"/>
          <w:sz w:val="16"/>
          <w:szCs w:val="16"/>
          <w:color w:val="auto"/>
        </w:rPr>
        <w:t>For additional information regarding regulatory capital, see Note 14 to our condensed consolidated financial statements. Our combined statutory capital equals the sum of statutory capital of Essent Guaranty plus Essent PA, after eliminating the impact of intercompany transactions. The combined risk-to-capital ratio equals the sum of the net risk in force of Essent Guaranty and Essent PA divided by combined statutory capital. The information above has been derived from the annual and quarterly statements of our insurance subsidiaries, which have been prepared in conformity with accounting practices prescribed or permitted by the Pennsylvania Insurance Department and the National Association of Insurance Commissioners Accounting Practices and Procedures Manual. Such practices vary from accounting principles generally accepted in the United States.</w:t>
      </w:r>
    </w:p>
    <w:p>
      <w:pPr>
        <w:spacing w:after="0" w:line="166" w:lineRule="exact"/>
        <w:rPr>
          <w:sz w:val="20"/>
          <w:szCs w:val="20"/>
          <w:color w:val="auto"/>
        </w:rPr>
      </w:pPr>
    </w:p>
    <w:p>
      <w:pPr>
        <w:ind w:right="160" w:firstLine="623"/>
        <w:spacing w:after="0" w:line="311" w:lineRule="auto"/>
        <w:rPr>
          <w:sz w:val="20"/>
          <w:szCs w:val="20"/>
          <w:color w:val="auto"/>
        </w:rPr>
      </w:pPr>
      <w:r>
        <w:rPr>
          <w:rFonts w:ascii="Arial" w:cs="Arial" w:eastAsia="Arial" w:hAnsi="Arial"/>
          <w:sz w:val="15"/>
          <w:szCs w:val="15"/>
          <w:color w:val="auto"/>
        </w:rPr>
        <w:t>Essent Re has entered into GSE and other risk share transactions, including insurance and reinsurance transactions with Freddie Mac and Fannie Mae. Under a quota share reinsurance agreement, Essent Re reinsures 25% of Essent Guaranty’s NIW through December 31, 2020 and 35% of Essent Guaranty’s NIW after December 31, 2020. During the six months ended June 30, 2023 and 2022, Essent Re paid no dividends to Essent Group and Essent Group made no capital contributions to Essent Re. As of June 30, 2023, Essent Re had total stockholders’ equity of $1.6 billion and net risk in force of $21.3 billion.</w:t>
      </w:r>
    </w:p>
    <w:p>
      <w:pPr>
        <w:spacing w:after="0" w:line="144" w:lineRule="exact"/>
        <w:rPr>
          <w:sz w:val="20"/>
          <w:szCs w:val="20"/>
          <w:color w:val="auto"/>
        </w:rPr>
      </w:pPr>
    </w:p>
    <w:p>
      <w:pPr>
        <w:ind w:left="620"/>
        <w:spacing w:after="0"/>
        <w:rPr>
          <w:sz w:val="20"/>
          <w:szCs w:val="20"/>
          <w:color w:val="auto"/>
        </w:rPr>
      </w:pPr>
      <w:r>
        <w:rPr>
          <w:rFonts w:ascii="Arial" w:cs="Arial" w:eastAsia="Arial" w:hAnsi="Arial"/>
          <w:sz w:val="17"/>
          <w:szCs w:val="17"/>
          <w:b w:val="1"/>
          <w:bCs w:val="1"/>
          <w:i w:val="1"/>
          <w:iCs w:val="1"/>
          <w:color w:val="auto"/>
        </w:rPr>
        <w:t>Financial Strength Ratings</w:t>
      </w:r>
    </w:p>
    <w:p>
      <w:pPr>
        <w:spacing w:after="0" w:line="220" w:lineRule="exact"/>
        <w:rPr>
          <w:sz w:val="20"/>
          <w:szCs w:val="20"/>
          <w:color w:val="auto"/>
        </w:rPr>
      </w:pPr>
    </w:p>
    <w:p>
      <w:pPr>
        <w:ind w:right="280" w:firstLine="623"/>
        <w:spacing w:after="0" w:line="270" w:lineRule="auto"/>
        <w:rPr>
          <w:sz w:val="20"/>
          <w:szCs w:val="20"/>
          <w:color w:val="auto"/>
        </w:rPr>
      </w:pPr>
      <w:r>
        <w:rPr>
          <w:rFonts w:ascii="Arial" w:cs="Arial" w:eastAsia="Arial" w:hAnsi="Arial"/>
          <w:sz w:val="17"/>
          <w:szCs w:val="17"/>
          <w:color w:val="auto"/>
        </w:rPr>
        <w:t>The insurer financial strength rating of Essent Guaranty, our principal mortgage insurance subsidiary, is rated A3 with a stable outlook by Moody’s Investors Service (“Moody's”), BBB+ with a stable outlook by S&amp;P and A (Excellent) with stable outlook by A.M. Best. The insurer financial strength rating of Essent Re is BBB+ with a stable outlook by S&amp;P and A (Excellent) with stable outlook by A.M. Best.</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68580</wp:posOffset>
            </wp:positionV>
            <wp:extent cx="7162800" cy="4191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340"/>
          </w:cols>
          <w:pgMar w:left="320" w:top="127" w:right="239" w:bottom="1440" w:gutter="0" w:footer="0" w:header="0"/>
        </w:sectPr>
      </w:pPr>
    </w:p>
    <w:bookmarkStart w:id="45" w:name="page46"/>
    <w:bookmarkEnd w:id="45"/>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344" w:lineRule="exact"/>
        <w:rPr>
          <w:sz w:val="20"/>
          <w:szCs w:val="20"/>
          <w:color w:val="auto"/>
        </w:rPr>
      </w:pPr>
    </w:p>
    <w:p>
      <w:pPr>
        <w:ind w:left="620"/>
        <w:spacing w:after="0"/>
        <w:rPr>
          <w:sz w:val="20"/>
          <w:szCs w:val="20"/>
          <w:color w:val="auto"/>
        </w:rPr>
      </w:pPr>
      <w:r>
        <w:rPr>
          <w:rFonts w:ascii="Arial" w:cs="Arial" w:eastAsia="Arial" w:hAnsi="Arial"/>
          <w:sz w:val="17"/>
          <w:szCs w:val="17"/>
          <w:b w:val="1"/>
          <w:bCs w:val="1"/>
          <w:i w:val="1"/>
          <w:iCs w:val="1"/>
          <w:color w:val="auto"/>
        </w:rPr>
        <w:t>Private Mortgage Insurer Eligibility Requirements</w:t>
      </w:r>
    </w:p>
    <w:p>
      <w:pPr>
        <w:spacing w:after="0" w:line="220" w:lineRule="exact"/>
        <w:rPr>
          <w:sz w:val="20"/>
          <w:szCs w:val="20"/>
          <w:color w:val="auto"/>
        </w:rPr>
      </w:pPr>
    </w:p>
    <w:p>
      <w:pPr>
        <w:ind w:right="40" w:firstLine="623"/>
        <w:spacing w:after="0" w:line="276" w:lineRule="auto"/>
        <w:rPr>
          <w:sz w:val="20"/>
          <w:szCs w:val="20"/>
          <w:color w:val="auto"/>
        </w:rPr>
      </w:pPr>
      <w:r>
        <w:rPr>
          <w:rFonts w:ascii="Arial" w:cs="Arial" w:eastAsia="Arial" w:hAnsi="Arial"/>
          <w:sz w:val="16"/>
          <w:szCs w:val="16"/>
          <w:color w:val="auto"/>
        </w:rPr>
        <w:t>Effective December 31, 2015, Fannie Mae and Freddie Mac, at the direction of the FHFA, implemented new coordinated Private Mortgage Insurer Eligibility Requirements, which we refer to as the "PMIERs." The PMIERs represent the standards by which private mortgage insurers are eligible to provide mortgage insurance on loans owned or guaranteed by Fannie Mae and Freddie Mac. The PMIERs include financial strength requirements incorporating a risk-based framework that require approved insurers to have a sufficient level of liquid assets from which to pay claims. This risk-based framework provides that an insurer must hold a substantially higher level of required assets for insured loans that are in default compared to a performing loan. The PMIERs also include enhanced operational performance expectations and define remedial actions that apply should an approved insurer fail to comply with these requirements. In 2018, the GSEs released revised PMIERs framework ("PMIERs 2.0") which became effective on March 31, 2019. As of June 30, 2023, Essent Guaranty, our GSE-approved mortgage insurance company, was in compliance with PMIERs 2.0. As of June 30, 2023, Essent Guaranty's Available Assets were $3.25 billion or 163% of its Minimum Required Assets of $1.99 billion based on our interpretation of PMIERs 2.0.</w:t>
      </w:r>
    </w:p>
    <w:p>
      <w:pPr>
        <w:spacing w:after="0" w:line="198" w:lineRule="exact"/>
        <w:rPr>
          <w:sz w:val="20"/>
          <w:szCs w:val="20"/>
          <w:color w:val="auto"/>
        </w:rPr>
      </w:pPr>
    </w:p>
    <w:p>
      <w:pPr>
        <w:ind w:firstLine="623"/>
        <w:spacing w:after="0" w:line="274" w:lineRule="auto"/>
        <w:rPr>
          <w:sz w:val="20"/>
          <w:szCs w:val="20"/>
          <w:color w:val="auto"/>
        </w:rPr>
      </w:pPr>
      <w:r>
        <w:rPr>
          <w:rFonts w:ascii="Arial" w:cs="Arial" w:eastAsia="Arial" w:hAnsi="Arial"/>
          <w:sz w:val="16"/>
          <w:szCs w:val="16"/>
          <w:color w:val="auto"/>
        </w:rPr>
        <w:t>Under PMIERs guidance issued by the GSEs effective June 30, 2020, Essent will apply a 0.30 multiplier to the risk-based required asset amount factor for each insured loan in default backed by a property located in a Federal Emergency Management Agency (“FEMA”) Declared Major Disaster Area eligible for Individual Assistance and that either 1) is subject to a forbearance plan granted in response to a FEMA Declared Major Disaster, the terms of which are materially consistent with terms of forbearance plans, repayment plans or loan modification trial period offered by Fannie Mae or Freddie Mac, or 2) has an initial missed payment occurring up to either (i) 30 days prior to the first day of the incident period specified in the FEMA Major Disaster Declaration or (ii) 90 days following the last day of the incident period specified in the FEMA Major Disaster Declaration, not to exceed 180 days from the first day of the incident period specified in the FEMA Major Disaster Declaration. In the case of the foregoing, the 0.30 multiplier shall be applied to the risk-based required asset amount factor for a non-performing primary mortgage guaranty insurance loan for no longer than three calendar months beginning with the month the loan becomes a non-performing primary mortgage guaranty insurance loan by reaching two missed monthly payments absent a forbearance plan described in 1) above. Further, under temporary provisions provided by the PMIERs guidance, Essent will apply a 0.30 multiplier to the risk-based required asset amount factor for each insured loan in default backed by a property that has an initial missed payment occurring on or after March 1, 2020 and prior to April 1, 2021 (COVID-19 Crisis Period). The 0.30 multiplier will be applicable for insured loans in default 1) subject to a forbearance plan granted in response to a financial hardship related to COVID-19 (which shall be assumed to be the case for any loan that has an initial missed payment occurring during the COVID-19 Crisis Period and is subject to a forbearance plan, repayment plan or loan modification trial period), the terms of which are materially consistent with terms offered by Fannie Mae or Freddie Mac or 2) for no longer than three calendar months beginning with the month the loan becomes a non-performing primary mortgage guaranty insurance loan by reaching two missed monthly payments.</w:t>
      </w:r>
    </w:p>
    <w:p>
      <w:pPr>
        <w:spacing w:after="0" w:line="19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Financial Condition</w:t>
      </w:r>
    </w:p>
    <w:p>
      <w:pPr>
        <w:spacing w:after="0" w:line="226" w:lineRule="exact"/>
        <w:rPr>
          <w:sz w:val="20"/>
          <w:szCs w:val="20"/>
          <w:color w:val="auto"/>
        </w:rPr>
      </w:pPr>
    </w:p>
    <w:p>
      <w:pPr>
        <w:ind w:left="620"/>
        <w:spacing w:after="0"/>
        <w:rPr>
          <w:sz w:val="20"/>
          <w:szCs w:val="20"/>
          <w:color w:val="auto"/>
        </w:rPr>
      </w:pPr>
      <w:r>
        <w:rPr>
          <w:rFonts w:ascii="Arial" w:cs="Arial" w:eastAsia="Arial" w:hAnsi="Arial"/>
          <w:sz w:val="17"/>
          <w:szCs w:val="17"/>
          <w:b w:val="1"/>
          <w:bCs w:val="1"/>
          <w:i w:val="1"/>
          <w:iCs w:val="1"/>
          <w:color w:val="auto"/>
        </w:rPr>
        <w:t>Stockholders’ Equity</w:t>
      </w:r>
    </w:p>
    <w:p>
      <w:pPr>
        <w:spacing w:after="0" w:line="220" w:lineRule="exact"/>
        <w:rPr>
          <w:sz w:val="20"/>
          <w:szCs w:val="20"/>
          <w:color w:val="auto"/>
        </w:rPr>
      </w:pPr>
    </w:p>
    <w:p>
      <w:pPr>
        <w:ind w:right="340" w:firstLine="623"/>
        <w:spacing w:after="0" w:line="270" w:lineRule="auto"/>
        <w:rPr>
          <w:sz w:val="20"/>
          <w:szCs w:val="20"/>
          <w:color w:val="auto"/>
        </w:rPr>
      </w:pPr>
      <w:r>
        <w:rPr>
          <w:rFonts w:ascii="Arial" w:cs="Arial" w:eastAsia="Arial" w:hAnsi="Arial"/>
          <w:sz w:val="17"/>
          <w:szCs w:val="17"/>
          <w:color w:val="auto"/>
        </w:rPr>
        <w:t>As of June 30, 2023, stockholders’ equity was $4.73 billion, compared to $4.46 billion as of December 31, 2022. Stockholders' equity increased primarily due to net income generated in 2023 and a decrease in accumulated other comprehensive loss related to a decrease in our net unrealized investment losses, partially offset by dividends paid and the repurchase of common shares under our share repurchase plan.</w:t>
      </w:r>
    </w:p>
    <w:p>
      <w:pPr>
        <w:spacing w:after="0" w:line="197" w:lineRule="exact"/>
        <w:rPr>
          <w:sz w:val="20"/>
          <w:szCs w:val="20"/>
          <w:color w:val="auto"/>
        </w:rPr>
      </w:pPr>
    </w:p>
    <w:p>
      <w:pPr>
        <w:ind w:left="620"/>
        <w:spacing w:after="0"/>
        <w:rPr>
          <w:sz w:val="20"/>
          <w:szCs w:val="20"/>
          <w:color w:val="auto"/>
        </w:rPr>
      </w:pPr>
      <w:r>
        <w:rPr>
          <w:rFonts w:ascii="Arial" w:cs="Arial" w:eastAsia="Arial" w:hAnsi="Arial"/>
          <w:sz w:val="17"/>
          <w:szCs w:val="17"/>
          <w:b w:val="1"/>
          <w:bCs w:val="1"/>
          <w:i w:val="1"/>
          <w:iCs w:val="1"/>
          <w:color w:val="auto"/>
        </w:rPr>
        <w:t>Investments</w:t>
      </w:r>
    </w:p>
    <w:p>
      <w:pPr>
        <w:spacing w:after="0" w:line="220" w:lineRule="exact"/>
        <w:rPr>
          <w:sz w:val="20"/>
          <w:szCs w:val="20"/>
          <w:color w:val="auto"/>
        </w:rPr>
      </w:pPr>
    </w:p>
    <w:p>
      <w:pPr>
        <w:jc w:val="both"/>
        <w:ind w:right="40" w:firstLine="623"/>
        <w:spacing w:after="0" w:line="270" w:lineRule="auto"/>
        <w:rPr>
          <w:sz w:val="20"/>
          <w:szCs w:val="20"/>
          <w:color w:val="auto"/>
        </w:rPr>
      </w:pPr>
      <w:r>
        <w:rPr>
          <w:rFonts w:ascii="Arial" w:cs="Arial" w:eastAsia="Arial" w:hAnsi="Arial"/>
          <w:sz w:val="17"/>
          <w:szCs w:val="17"/>
          <w:color w:val="auto"/>
        </w:rPr>
        <w:t>As of June 30, 2023, investments totaled $5.3 billion compared to $5.0 billion as of December 31, 2022. In addition, our total cash was $68.1 million as of June 30, 2023, compared to $81.2 million as of December 31, 2022. The increase in investments was primarily due to investing net cash flows from operations during the six months ended June 30, 2023 and a decrease in our net unrealized investment losses.</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68580</wp:posOffset>
            </wp:positionV>
            <wp:extent cx="7162800" cy="4191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46" w:name="page47"/>
    <w:bookmarkEnd w:id="46"/>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Investments Available for Sale by Asset Class</w:t>
      </w:r>
    </w:p>
    <w:p>
      <w:pPr>
        <w:spacing w:after="0" w:line="34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280" w:type="dxa"/>
            <w:vAlign w:val="bottom"/>
            <w:gridSpan w:val="4"/>
          </w:tcPr>
          <w:p>
            <w:pPr>
              <w:ind w:left="20"/>
              <w:spacing w:after="0"/>
              <w:rPr>
                <w:sz w:val="20"/>
                <w:szCs w:val="20"/>
                <w:color w:val="auto"/>
              </w:rPr>
            </w:pPr>
            <w:r>
              <w:rPr>
                <w:rFonts w:ascii="Arial" w:cs="Arial" w:eastAsia="Arial" w:hAnsi="Arial"/>
                <w:sz w:val="14"/>
                <w:szCs w:val="14"/>
                <w:b w:val="1"/>
                <w:bCs w:val="1"/>
                <w:color w:val="auto"/>
              </w:rPr>
              <w:t>Asset Class</w:t>
            </w:r>
          </w:p>
        </w:tc>
        <w:tc>
          <w:tcPr>
            <w:tcW w:w="280" w:type="dxa"/>
            <w:vAlign w:val="bottom"/>
            <w:tcBorders>
              <w:bottom w:val="single" w:sz="8" w:color="auto"/>
            </w:tcBorders>
          </w:tcPr>
          <w:p>
            <w:pPr>
              <w:spacing w:after="0"/>
              <w:rPr>
                <w:sz w:val="16"/>
                <w:szCs w:val="16"/>
                <w:color w:val="auto"/>
              </w:rPr>
            </w:pPr>
          </w:p>
        </w:tc>
        <w:tc>
          <w:tcPr>
            <w:tcW w:w="1940" w:type="dxa"/>
            <w:vAlign w:val="bottom"/>
            <w:tcBorders>
              <w:bottom w:val="single" w:sz="8" w:color="auto"/>
            </w:tcBorders>
            <w:gridSpan w:val="3"/>
          </w:tcPr>
          <w:p>
            <w:pPr>
              <w:ind w:left="1020"/>
              <w:spacing w:after="0"/>
              <w:rPr>
                <w:sz w:val="20"/>
                <w:szCs w:val="20"/>
                <w:color w:val="auto"/>
              </w:rPr>
            </w:pPr>
            <w:r>
              <w:rPr>
                <w:rFonts w:ascii="Arial" w:cs="Arial" w:eastAsia="Arial" w:hAnsi="Arial"/>
                <w:sz w:val="14"/>
                <w:szCs w:val="14"/>
                <w:b w:val="1"/>
                <w:bCs w:val="1"/>
                <w:color w:val="auto"/>
                <w:w w:val="98"/>
              </w:rPr>
              <w:t>June 30, 2023</w:t>
            </w:r>
          </w:p>
        </w:tc>
        <w:tc>
          <w:tcPr>
            <w:tcW w:w="12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980" w:type="dxa"/>
            <w:vAlign w:val="bottom"/>
            <w:tcBorders>
              <w:bottom w:val="single" w:sz="8" w:color="auto"/>
            </w:tcBorders>
            <w:gridSpan w:val="7"/>
          </w:tcPr>
          <w:p>
            <w:pPr>
              <w:jc w:val="right"/>
              <w:ind w:right="1160"/>
              <w:spacing w:after="0"/>
              <w:rPr>
                <w:sz w:val="20"/>
                <w:szCs w:val="20"/>
                <w:color w:val="auto"/>
              </w:rPr>
            </w:pPr>
            <w:r>
              <w:rPr>
                <w:rFonts w:ascii="Arial" w:cs="Arial" w:eastAsia="Arial" w:hAnsi="Arial"/>
                <w:sz w:val="14"/>
                <w:szCs w:val="14"/>
                <w:b w:val="1"/>
                <w:bCs w:val="1"/>
                <w:color w:val="auto"/>
              </w:rPr>
              <w:t>December 31, 2022</w:t>
            </w:r>
          </w:p>
        </w:tc>
        <w:tc>
          <w:tcPr>
            <w:tcW w:w="0" w:type="dxa"/>
            <w:vAlign w:val="bottom"/>
          </w:tcPr>
          <w:p>
            <w:pPr>
              <w:spacing w:after="0"/>
              <w:rPr>
                <w:sz w:val="1"/>
                <w:szCs w:val="1"/>
                <w:color w:val="auto"/>
              </w:rPr>
            </w:pPr>
          </w:p>
        </w:tc>
      </w:tr>
      <w:tr>
        <w:trPr>
          <w:trHeight w:val="188"/>
        </w:trPr>
        <w:tc>
          <w:tcPr>
            <w:tcW w:w="418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rPr>
              <w:t>($ in thousands)</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396"/>
              <w:spacing w:after="0"/>
              <w:rPr>
                <w:sz w:val="20"/>
                <w:szCs w:val="20"/>
                <w:color w:val="auto"/>
              </w:rPr>
            </w:pPr>
            <w:r>
              <w:rPr>
                <w:rFonts w:ascii="Arial" w:cs="Arial" w:eastAsia="Arial" w:hAnsi="Arial"/>
                <w:sz w:val="14"/>
                <w:szCs w:val="14"/>
                <w:b w:val="1"/>
                <w:bCs w:val="1"/>
                <w:color w:val="auto"/>
              </w:rPr>
              <w:t>Fair Value</w:t>
            </w:r>
          </w:p>
        </w:tc>
        <w:tc>
          <w:tcPr>
            <w:tcW w:w="120" w:type="dxa"/>
            <w:vAlign w:val="bottom"/>
            <w:tcBorders>
              <w:bottom w:val="single" w:sz="8" w:color="CCEEFF"/>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5"/>
              <w:spacing w:after="0"/>
              <w:rPr>
                <w:sz w:val="20"/>
                <w:szCs w:val="20"/>
                <w:color w:val="auto"/>
              </w:rPr>
            </w:pPr>
            <w:r>
              <w:rPr>
                <w:rFonts w:ascii="Arial" w:cs="Arial" w:eastAsia="Arial" w:hAnsi="Arial"/>
                <w:sz w:val="14"/>
                <w:szCs w:val="14"/>
                <w:b w:val="1"/>
                <w:bCs w:val="1"/>
                <w:color w:val="auto"/>
              </w:rPr>
              <w:t>Percent</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05"/>
              <w:spacing w:after="0"/>
              <w:rPr>
                <w:sz w:val="20"/>
                <w:szCs w:val="20"/>
                <w:color w:val="auto"/>
              </w:rPr>
            </w:pPr>
            <w:r>
              <w:rPr>
                <w:rFonts w:ascii="Arial" w:cs="Arial" w:eastAsia="Arial" w:hAnsi="Arial"/>
                <w:sz w:val="14"/>
                <w:szCs w:val="14"/>
                <w:b w:val="1"/>
                <w:bCs w:val="1"/>
                <w:color w:val="auto"/>
                <w:w w:val="92"/>
              </w:rPr>
              <w:t>Fair Value</w:t>
            </w:r>
          </w:p>
        </w:tc>
        <w:tc>
          <w:tcPr>
            <w:tcW w:w="120" w:type="dxa"/>
            <w:vAlign w:val="bottom"/>
            <w:tcBorders>
              <w:bottom w:val="single" w:sz="8" w:color="CCEEFF"/>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2"/>
          </w:tcPr>
          <w:p>
            <w:pPr>
              <w:jc w:val="center"/>
              <w:ind w:right="200"/>
              <w:spacing w:after="0"/>
              <w:rPr>
                <w:sz w:val="20"/>
                <w:szCs w:val="20"/>
                <w:color w:val="auto"/>
              </w:rPr>
            </w:pPr>
            <w:r>
              <w:rPr>
                <w:rFonts w:ascii="Arial" w:cs="Arial" w:eastAsia="Arial" w:hAnsi="Arial"/>
                <w:sz w:val="14"/>
                <w:szCs w:val="14"/>
                <w:b w:val="1"/>
                <w:bCs w:val="1"/>
                <w:color w:val="auto"/>
                <w:w w:val="85"/>
              </w:rPr>
              <w:t>Percent</w:t>
            </w:r>
          </w:p>
        </w:tc>
        <w:tc>
          <w:tcPr>
            <w:tcW w:w="0" w:type="dxa"/>
            <w:vAlign w:val="bottom"/>
          </w:tcPr>
          <w:p>
            <w:pPr>
              <w:spacing w:after="0"/>
              <w:rPr>
                <w:sz w:val="1"/>
                <w:szCs w:val="1"/>
                <w:color w:val="auto"/>
              </w:rPr>
            </w:pPr>
          </w:p>
        </w:tc>
      </w:tr>
      <w:tr>
        <w:trPr>
          <w:trHeight w:val="221"/>
        </w:trPr>
        <w:tc>
          <w:tcPr>
            <w:tcW w:w="4280" w:type="dxa"/>
            <w:vAlign w:val="bottom"/>
            <w:gridSpan w:val="4"/>
            <w:shd w:val="clear" w:color="auto" w:fill="CCEEFF"/>
          </w:tcPr>
          <w:p>
            <w:pPr>
              <w:ind w:left="20"/>
              <w:spacing w:after="0"/>
              <w:rPr>
                <w:sz w:val="20"/>
                <w:szCs w:val="20"/>
                <w:color w:val="auto"/>
              </w:rPr>
            </w:pPr>
            <w:r>
              <w:rPr>
                <w:rFonts w:ascii="Arial" w:cs="Arial" w:eastAsia="Arial" w:hAnsi="Arial"/>
                <w:sz w:val="17"/>
                <w:szCs w:val="17"/>
                <w:color w:val="auto"/>
              </w:rPr>
              <w:t>U.S. Treasury securities</w:t>
            </w:r>
          </w:p>
        </w:tc>
        <w:tc>
          <w:tcPr>
            <w:tcW w:w="280" w:type="dxa"/>
            <w:vAlign w:val="bottom"/>
            <w:shd w:val="clear" w:color="auto" w:fill="CCEEFF"/>
          </w:tcPr>
          <w:p>
            <w:pPr>
              <w:jc w:val="right"/>
              <w:ind w:right="93"/>
              <w:spacing w:after="0"/>
              <w:rPr>
                <w:sz w:val="20"/>
                <w:szCs w:val="20"/>
                <w:color w:val="auto"/>
              </w:rPr>
            </w:pPr>
            <w:r>
              <w:rPr>
                <w:rFonts w:ascii="Arial" w:cs="Arial" w:eastAsia="Arial" w:hAnsi="Arial"/>
                <w:sz w:val="17"/>
                <w:szCs w:val="17"/>
                <w:color w:val="auto"/>
                <w:w w:val="84"/>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643,586</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12.8 %</w:t>
            </w:r>
          </w:p>
        </w:tc>
        <w:tc>
          <w:tcPr>
            <w:tcW w:w="440" w:type="dxa"/>
            <w:vAlign w:val="bottom"/>
            <w:gridSpan w:val="2"/>
            <w:shd w:val="clear" w:color="auto" w:fill="CCEEFF"/>
          </w:tcPr>
          <w:p>
            <w:pPr>
              <w:jc w:val="right"/>
              <w:ind w:right="153"/>
              <w:spacing w:after="0"/>
              <w:rPr>
                <w:sz w:val="20"/>
                <w:szCs w:val="20"/>
                <w:color w:val="auto"/>
              </w:rPr>
            </w:pPr>
            <w:r>
              <w:rPr>
                <w:rFonts w:ascii="Arial" w:cs="Arial" w:eastAsia="Arial" w:hAnsi="Arial"/>
                <w:sz w:val="17"/>
                <w:szCs w:val="17"/>
                <w:color w:val="auto"/>
              </w:rPr>
              <w:t>$</w:t>
            </w:r>
          </w:p>
        </w:tc>
        <w:tc>
          <w:tcPr>
            <w:tcW w:w="124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556,438</w:t>
            </w:r>
          </w:p>
        </w:tc>
        <w:tc>
          <w:tcPr>
            <w:tcW w:w="1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680" w:type="dxa"/>
            <w:vAlign w:val="bottom"/>
            <w:gridSpan w:val="4"/>
            <w:shd w:val="clear" w:color="auto" w:fill="CCEEFF"/>
          </w:tcPr>
          <w:p>
            <w:pPr>
              <w:jc w:val="right"/>
              <w:ind w:right="60"/>
              <w:spacing w:after="0"/>
              <w:rPr>
                <w:sz w:val="20"/>
                <w:szCs w:val="20"/>
                <w:color w:val="auto"/>
              </w:rPr>
            </w:pPr>
            <w:r>
              <w:rPr>
                <w:rFonts w:ascii="Arial" w:cs="Arial" w:eastAsia="Arial" w:hAnsi="Arial"/>
                <w:sz w:val="17"/>
                <w:szCs w:val="17"/>
                <w:color w:val="auto"/>
              </w:rPr>
              <w:t>11.7 %</w:t>
            </w:r>
          </w:p>
        </w:tc>
        <w:tc>
          <w:tcPr>
            <w:tcW w:w="0" w:type="dxa"/>
            <w:vAlign w:val="bottom"/>
          </w:tcPr>
          <w:p>
            <w:pPr>
              <w:spacing w:after="0"/>
              <w:rPr>
                <w:sz w:val="1"/>
                <w:szCs w:val="1"/>
                <w:color w:val="auto"/>
              </w:rPr>
            </w:pPr>
          </w:p>
        </w:tc>
      </w:tr>
      <w:tr>
        <w:trPr>
          <w:trHeight w:val="227"/>
        </w:trPr>
        <w:tc>
          <w:tcPr>
            <w:tcW w:w="4280" w:type="dxa"/>
            <w:vAlign w:val="bottom"/>
            <w:gridSpan w:val="4"/>
          </w:tcPr>
          <w:p>
            <w:pPr>
              <w:ind w:left="20"/>
              <w:spacing w:after="0"/>
              <w:rPr>
                <w:sz w:val="20"/>
                <w:szCs w:val="20"/>
                <w:color w:val="auto"/>
              </w:rPr>
            </w:pPr>
            <w:r>
              <w:rPr>
                <w:rFonts w:ascii="Arial" w:cs="Arial" w:eastAsia="Arial" w:hAnsi="Arial"/>
                <w:sz w:val="17"/>
                <w:szCs w:val="17"/>
                <w:color w:val="auto"/>
              </w:rPr>
              <w:t>U.S. agency securities</w:t>
            </w:r>
          </w:p>
        </w:tc>
        <w:tc>
          <w:tcPr>
            <w:tcW w:w="2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9,671</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0" w:type="dxa"/>
            <w:vAlign w:val="bottom"/>
          </w:tcPr>
          <w:p>
            <w:pPr>
              <w:jc w:val="right"/>
              <w:ind w:right="155"/>
              <w:spacing w:after="0"/>
              <w:rPr>
                <w:sz w:val="20"/>
                <w:szCs w:val="20"/>
                <w:color w:val="auto"/>
              </w:rPr>
            </w:pPr>
            <w:r>
              <w:rPr>
                <w:rFonts w:ascii="Arial" w:cs="Arial" w:eastAsia="Arial" w:hAnsi="Arial"/>
                <w:sz w:val="17"/>
                <w:szCs w:val="17"/>
                <w:color w:val="auto"/>
              </w:rPr>
              <w:t>0.2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40" w:type="dxa"/>
            <w:vAlign w:val="bottom"/>
            <w:gridSpan w:val="3"/>
          </w:tcPr>
          <w:p>
            <w:pPr>
              <w:jc w:val="right"/>
              <w:spacing w:after="0"/>
              <w:rPr>
                <w:sz w:val="20"/>
                <w:szCs w:val="20"/>
                <w:color w:val="auto"/>
              </w:rPr>
            </w:pPr>
            <w:r>
              <w:rPr>
                <w:rFonts w:ascii="Arial" w:cs="Arial" w:eastAsia="Arial" w:hAnsi="Arial"/>
                <w:sz w:val="17"/>
                <w:szCs w:val="17"/>
                <w:color w:val="auto"/>
              </w:rPr>
              <w:t>49,058</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80" w:type="dxa"/>
            <w:vAlign w:val="bottom"/>
            <w:gridSpan w:val="3"/>
          </w:tcPr>
          <w:p>
            <w:pPr>
              <w:jc w:val="right"/>
              <w:spacing w:after="0"/>
              <w:rPr>
                <w:sz w:val="20"/>
                <w:szCs w:val="20"/>
                <w:color w:val="auto"/>
              </w:rPr>
            </w:pPr>
            <w:r>
              <w:rPr>
                <w:rFonts w:ascii="Arial" w:cs="Arial" w:eastAsia="Arial" w:hAnsi="Arial"/>
                <w:sz w:val="17"/>
                <w:szCs w:val="17"/>
                <w:color w:val="auto"/>
              </w:rPr>
              <w:t>1.0</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280" w:type="dxa"/>
            <w:vAlign w:val="bottom"/>
            <w:gridSpan w:val="4"/>
            <w:shd w:val="clear" w:color="auto" w:fill="CCEEFF"/>
          </w:tcPr>
          <w:p>
            <w:pPr>
              <w:ind w:left="20"/>
              <w:spacing w:after="0"/>
              <w:rPr>
                <w:sz w:val="20"/>
                <w:szCs w:val="20"/>
                <w:color w:val="auto"/>
              </w:rPr>
            </w:pPr>
            <w:r>
              <w:rPr>
                <w:rFonts w:ascii="Arial" w:cs="Arial" w:eastAsia="Arial" w:hAnsi="Arial"/>
                <w:sz w:val="17"/>
                <w:szCs w:val="17"/>
                <w:color w:val="auto"/>
              </w:rPr>
              <w:t>U.S. agency mortgage-backed securities</w:t>
            </w:r>
          </w:p>
        </w:tc>
        <w:tc>
          <w:tcPr>
            <w:tcW w:w="2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810,108</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55"/>
              <w:spacing w:after="0"/>
              <w:rPr>
                <w:sz w:val="20"/>
                <w:szCs w:val="20"/>
                <w:color w:val="auto"/>
              </w:rPr>
            </w:pPr>
            <w:r>
              <w:rPr>
                <w:rFonts w:ascii="Arial" w:cs="Arial" w:eastAsia="Arial" w:hAnsi="Arial"/>
                <w:sz w:val="17"/>
                <w:szCs w:val="17"/>
                <w:color w:val="auto"/>
              </w:rPr>
              <w:t>16.1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4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783,743</w:t>
            </w:r>
          </w:p>
        </w:tc>
        <w:tc>
          <w:tcPr>
            <w:tcW w:w="1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8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16.5</w:t>
            </w:r>
          </w:p>
        </w:tc>
        <w:tc>
          <w:tcPr>
            <w:tcW w:w="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4280" w:type="dxa"/>
            <w:vAlign w:val="bottom"/>
            <w:gridSpan w:val="4"/>
          </w:tcPr>
          <w:p>
            <w:pPr>
              <w:ind w:left="20"/>
              <w:spacing w:after="0"/>
              <w:rPr>
                <w:sz w:val="20"/>
                <w:szCs w:val="20"/>
                <w:color w:val="auto"/>
              </w:rPr>
            </w:pPr>
            <w:r>
              <w:rPr>
                <w:rFonts w:ascii="Arial" w:cs="Arial" w:eastAsia="Arial" w:hAnsi="Arial"/>
                <w:sz w:val="17"/>
                <w:szCs w:val="17"/>
                <w:color w:val="auto"/>
              </w:rPr>
              <w:t>Municipal debt securities(1)</w:t>
            </w:r>
          </w:p>
        </w:tc>
        <w:tc>
          <w:tcPr>
            <w:tcW w:w="2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600,162</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0" w:type="dxa"/>
            <w:vAlign w:val="bottom"/>
          </w:tcPr>
          <w:p>
            <w:pPr>
              <w:jc w:val="right"/>
              <w:ind w:right="155"/>
              <w:spacing w:after="0"/>
              <w:rPr>
                <w:sz w:val="20"/>
                <w:szCs w:val="20"/>
                <w:color w:val="auto"/>
              </w:rPr>
            </w:pPr>
            <w:r>
              <w:rPr>
                <w:rFonts w:ascii="Arial" w:cs="Arial" w:eastAsia="Arial" w:hAnsi="Arial"/>
                <w:sz w:val="17"/>
                <w:szCs w:val="17"/>
                <w:color w:val="auto"/>
              </w:rPr>
              <w:t>12.0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40" w:type="dxa"/>
            <w:vAlign w:val="bottom"/>
            <w:gridSpan w:val="3"/>
          </w:tcPr>
          <w:p>
            <w:pPr>
              <w:jc w:val="right"/>
              <w:spacing w:after="0"/>
              <w:rPr>
                <w:sz w:val="20"/>
                <w:szCs w:val="20"/>
                <w:color w:val="auto"/>
              </w:rPr>
            </w:pPr>
            <w:r>
              <w:rPr>
                <w:rFonts w:ascii="Arial" w:cs="Arial" w:eastAsia="Arial" w:hAnsi="Arial"/>
                <w:sz w:val="17"/>
                <w:szCs w:val="17"/>
                <w:color w:val="auto"/>
              </w:rPr>
              <w:t>602,690</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80" w:type="dxa"/>
            <w:vAlign w:val="bottom"/>
            <w:gridSpan w:val="3"/>
          </w:tcPr>
          <w:p>
            <w:pPr>
              <w:jc w:val="right"/>
              <w:spacing w:after="0"/>
              <w:rPr>
                <w:sz w:val="20"/>
                <w:szCs w:val="20"/>
                <w:color w:val="auto"/>
              </w:rPr>
            </w:pPr>
            <w:r>
              <w:rPr>
                <w:rFonts w:ascii="Arial" w:cs="Arial" w:eastAsia="Arial" w:hAnsi="Arial"/>
                <w:sz w:val="17"/>
                <w:szCs w:val="17"/>
                <w:color w:val="auto"/>
              </w:rPr>
              <w:t>12.8</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4280" w:type="dxa"/>
            <w:vAlign w:val="bottom"/>
            <w:gridSpan w:val="4"/>
            <w:shd w:val="clear" w:color="auto" w:fill="CCEEFF"/>
          </w:tcPr>
          <w:p>
            <w:pPr>
              <w:ind w:left="20"/>
              <w:spacing w:after="0"/>
              <w:rPr>
                <w:sz w:val="20"/>
                <w:szCs w:val="20"/>
                <w:color w:val="auto"/>
              </w:rPr>
            </w:pPr>
            <w:r>
              <w:rPr>
                <w:rFonts w:ascii="Arial" w:cs="Arial" w:eastAsia="Arial" w:hAnsi="Arial"/>
                <w:sz w:val="17"/>
                <w:szCs w:val="17"/>
                <w:color w:val="auto"/>
              </w:rPr>
              <w:t>Non-U.S. government securities</w:t>
            </w:r>
          </w:p>
        </w:tc>
        <w:tc>
          <w:tcPr>
            <w:tcW w:w="280" w:type="dxa"/>
            <w:vAlign w:val="bottom"/>
            <w:shd w:val="clear" w:color="auto" w:fill="CCEEFF"/>
          </w:tcPr>
          <w:p>
            <w:pPr>
              <w:spacing w:after="0"/>
              <w:rPr>
                <w:sz w:val="20"/>
                <w:szCs w:val="20"/>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50,553</w:t>
            </w:r>
          </w:p>
        </w:tc>
        <w:tc>
          <w:tcPr>
            <w:tcW w:w="12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1200" w:type="dxa"/>
            <w:vAlign w:val="bottom"/>
            <w:shd w:val="clear" w:color="auto" w:fill="CCEEFF"/>
          </w:tcPr>
          <w:p>
            <w:pPr>
              <w:jc w:val="right"/>
              <w:ind w:right="155"/>
              <w:spacing w:after="0"/>
              <w:rPr>
                <w:sz w:val="20"/>
                <w:szCs w:val="20"/>
                <w:color w:val="auto"/>
              </w:rPr>
            </w:pPr>
            <w:r>
              <w:rPr>
                <w:rFonts w:ascii="Arial" w:cs="Arial" w:eastAsia="Arial" w:hAnsi="Arial"/>
                <w:sz w:val="17"/>
                <w:szCs w:val="17"/>
                <w:color w:val="auto"/>
              </w:rPr>
              <w:t>1.0</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24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62,399</w:t>
            </w:r>
          </w:p>
        </w:tc>
        <w:tc>
          <w:tcPr>
            <w:tcW w:w="1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48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1.3</w:t>
            </w:r>
          </w:p>
        </w:tc>
        <w:tc>
          <w:tcPr>
            <w:tcW w:w="2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1"/>
        </w:trPr>
        <w:tc>
          <w:tcPr>
            <w:tcW w:w="4280" w:type="dxa"/>
            <w:vAlign w:val="bottom"/>
            <w:gridSpan w:val="4"/>
          </w:tcPr>
          <w:p>
            <w:pPr>
              <w:ind w:left="20"/>
              <w:spacing w:after="0"/>
              <w:rPr>
                <w:sz w:val="20"/>
                <w:szCs w:val="20"/>
                <w:color w:val="auto"/>
              </w:rPr>
            </w:pPr>
            <w:r>
              <w:rPr>
                <w:rFonts w:ascii="Arial" w:cs="Arial" w:eastAsia="Arial" w:hAnsi="Arial"/>
                <w:sz w:val="17"/>
                <w:szCs w:val="17"/>
                <w:color w:val="auto"/>
              </w:rPr>
              <w:t>Corporate debt securities(2)</w:t>
            </w:r>
          </w:p>
        </w:tc>
        <w:tc>
          <w:tcPr>
            <w:tcW w:w="2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1,349,221</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0" w:type="dxa"/>
            <w:vAlign w:val="bottom"/>
          </w:tcPr>
          <w:p>
            <w:pPr>
              <w:jc w:val="right"/>
              <w:ind w:right="155"/>
              <w:spacing w:after="0"/>
              <w:rPr>
                <w:sz w:val="20"/>
                <w:szCs w:val="20"/>
                <w:color w:val="auto"/>
              </w:rPr>
            </w:pPr>
            <w:r>
              <w:rPr>
                <w:rFonts w:ascii="Arial" w:cs="Arial" w:eastAsia="Arial" w:hAnsi="Arial"/>
                <w:sz w:val="17"/>
                <w:szCs w:val="17"/>
                <w:color w:val="auto"/>
              </w:rPr>
              <w:t>26.9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40" w:type="dxa"/>
            <w:vAlign w:val="bottom"/>
            <w:gridSpan w:val="3"/>
          </w:tcPr>
          <w:p>
            <w:pPr>
              <w:jc w:val="right"/>
              <w:spacing w:after="0"/>
              <w:rPr>
                <w:sz w:val="20"/>
                <w:szCs w:val="20"/>
                <w:color w:val="auto"/>
              </w:rPr>
            </w:pPr>
            <w:r>
              <w:rPr>
                <w:rFonts w:ascii="Arial" w:cs="Arial" w:eastAsia="Arial" w:hAnsi="Arial"/>
                <w:sz w:val="17"/>
                <w:szCs w:val="17"/>
                <w:color w:val="auto"/>
              </w:rPr>
              <w:t>1,414,321</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80" w:type="dxa"/>
            <w:vAlign w:val="bottom"/>
            <w:gridSpan w:val="3"/>
          </w:tcPr>
          <w:p>
            <w:pPr>
              <w:jc w:val="right"/>
              <w:spacing w:after="0"/>
              <w:rPr>
                <w:sz w:val="20"/>
                <w:szCs w:val="20"/>
                <w:color w:val="auto"/>
              </w:rPr>
            </w:pPr>
            <w:r>
              <w:rPr>
                <w:rFonts w:ascii="Arial" w:cs="Arial" w:eastAsia="Arial" w:hAnsi="Arial"/>
                <w:sz w:val="17"/>
                <w:szCs w:val="17"/>
                <w:color w:val="auto"/>
              </w:rPr>
              <w:t>29.8</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4280" w:type="dxa"/>
            <w:vAlign w:val="bottom"/>
            <w:gridSpan w:val="4"/>
            <w:shd w:val="clear" w:color="auto" w:fill="CCEEFF"/>
          </w:tcPr>
          <w:p>
            <w:pPr>
              <w:ind w:left="20"/>
              <w:spacing w:after="0"/>
              <w:rPr>
                <w:sz w:val="20"/>
                <w:szCs w:val="20"/>
                <w:color w:val="auto"/>
              </w:rPr>
            </w:pPr>
            <w:r>
              <w:rPr>
                <w:rFonts w:ascii="Arial" w:cs="Arial" w:eastAsia="Arial" w:hAnsi="Arial"/>
                <w:sz w:val="17"/>
                <w:szCs w:val="17"/>
                <w:color w:val="auto"/>
              </w:rPr>
              <w:t>Residential and commercial mortgage securities</w:t>
            </w:r>
          </w:p>
        </w:tc>
        <w:tc>
          <w:tcPr>
            <w:tcW w:w="2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510,350</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55"/>
              <w:spacing w:after="0"/>
              <w:rPr>
                <w:sz w:val="20"/>
                <w:szCs w:val="20"/>
                <w:color w:val="auto"/>
              </w:rPr>
            </w:pPr>
            <w:r>
              <w:rPr>
                <w:rFonts w:ascii="Arial" w:cs="Arial" w:eastAsia="Arial" w:hAnsi="Arial"/>
                <w:sz w:val="17"/>
                <w:szCs w:val="17"/>
                <w:color w:val="auto"/>
              </w:rPr>
              <w:t>10.2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4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511,824</w:t>
            </w:r>
          </w:p>
        </w:tc>
        <w:tc>
          <w:tcPr>
            <w:tcW w:w="1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8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10.8</w:t>
            </w:r>
          </w:p>
        </w:tc>
        <w:tc>
          <w:tcPr>
            <w:tcW w:w="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280" w:type="dxa"/>
            <w:vAlign w:val="bottom"/>
            <w:gridSpan w:val="4"/>
          </w:tcPr>
          <w:p>
            <w:pPr>
              <w:ind w:left="20"/>
              <w:spacing w:after="0"/>
              <w:rPr>
                <w:sz w:val="20"/>
                <w:szCs w:val="20"/>
                <w:color w:val="auto"/>
              </w:rPr>
            </w:pPr>
            <w:r>
              <w:rPr>
                <w:rFonts w:ascii="Arial" w:cs="Arial" w:eastAsia="Arial" w:hAnsi="Arial"/>
                <w:sz w:val="17"/>
                <w:szCs w:val="17"/>
                <w:color w:val="auto"/>
              </w:rPr>
              <w:t>Asset-backed securities</w:t>
            </w:r>
          </w:p>
        </w:tc>
        <w:tc>
          <w:tcPr>
            <w:tcW w:w="2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634,910</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0" w:type="dxa"/>
            <w:vAlign w:val="bottom"/>
          </w:tcPr>
          <w:p>
            <w:pPr>
              <w:jc w:val="right"/>
              <w:ind w:right="155"/>
              <w:spacing w:after="0"/>
              <w:rPr>
                <w:sz w:val="20"/>
                <w:szCs w:val="20"/>
                <w:color w:val="auto"/>
              </w:rPr>
            </w:pPr>
            <w:r>
              <w:rPr>
                <w:rFonts w:ascii="Arial" w:cs="Arial" w:eastAsia="Arial" w:hAnsi="Arial"/>
                <w:sz w:val="17"/>
                <w:szCs w:val="17"/>
                <w:color w:val="auto"/>
              </w:rPr>
              <w:t>12.6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40" w:type="dxa"/>
            <w:vAlign w:val="bottom"/>
            <w:gridSpan w:val="3"/>
          </w:tcPr>
          <w:p>
            <w:pPr>
              <w:jc w:val="right"/>
              <w:spacing w:after="0"/>
              <w:rPr>
                <w:sz w:val="20"/>
                <w:szCs w:val="20"/>
                <w:color w:val="auto"/>
              </w:rPr>
            </w:pPr>
            <w:r>
              <w:rPr>
                <w:rFonts w:ascii="Arial" w:cs="Arial" w:eastAsia="Arial" w:hAnsi="Arial"/>
                <w:sz w:val="17"/>
                <w:szCs w:val="17"/>
                <w:color w:val="auto"/>
              </w:rPr>
              <w:t>624,561</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80" w:type="dxa"/>
            <w:vAlign w:val="bottom"/>
            <w:gridSpan w:val="3"/>
          </w:tcPr>
          <w:p>
            <w:pPr>
              <w:jc w:val="right"/>
              <w:spacing w:after="0"/>
              <w:rPr>
                <w:sz w:val="20"/>
                <w:szCs w:val="20"/>
                <w:color w:val="auto"/>
              </w:rPr>
            </w:pPr>
            <w:r>
              <w:rPr>
                <w:rFonts w:ascii="Arial" w:cs="Arial" w:eastAsia="Arial" w:hAnsi="Arial"/>
                <w:sz w:val="17"/>
                <w:szCs w:val="17"/>
                <w:color w:val="auto"/>
              </w:rPr>
              <w:t>13.2</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280" w:type="dxa"/>
            <w:vAlign w:val="bottom"/>
            <w:gridSpan w:val="4"/>
            <w:shd w:val="clear" w:color="auto" w:fill="CCEEFF"/>
          </w:tcPr>
          <w:p>
            <w:pPr>
              <w:ind w:left="20"/>
              <w:spacing w:after="0"/>
              <w:rPr>
                <w:sz w:val="20"/>
                <w:szCs w:val="20"/>
                <w:color w:val="auto"/>
              </w:rPr>
            </w:pPr>
            <w:r>
              <w:rPr>
                <w:rFonts w:ascii="Arial" w:cs="Arial" w:eastAsia="Arial" w:hAnsi="Arial"/>
                <w:sz w:val="17"/>
                <w:szCs w:val="17"/>
                <w:color w:val="auto"/>
              </w:rPr>
              <w:t>Money market funds</w:t>
            </w:r>
          </w:p>
        </w:tc>
        <w:tc>
          <w:tcPr>
            <w:tcW w:w="2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413,533</w:t>
            </w:r>
          </w:p>
        </w:tc>
        <w:tc>
          <w:tcPr>
            <w:tcW w:w="12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155"/>
              <w:spacing w:after="0"/>
              <w:rPr>
                <w:sz w:val="20"/>
                <w:szCs w:val="20"/>
                <w:color w:val="auto"/>
              </w:rPr>
            </w:pPr>
            <w:r>
              <w:rPr>
                <w:rFonts w:ascii="Arial" w:cs="Arial" w:eastAsia="Arial" w:hAnsi="Arial"/>
                <w:sz w:val="17"/>
                <w:szCs w:val="17"/>
                <w:color w:val="auto"/>
              </w:rPr>
              <w:t>8.2</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7"/>
                <w:szCs w:val="17"/>
                <w:color w:val="auto"/>
              </w:rPr>
              <w:t>136,591</w:t>
            </w:r>
          </w:p>
        </w:tc>
        <w:tc>
          <w:tcPr>
            <w:tcW w:w="120" w:type="dxa"/>
            <w:vAlign w:val="bottom"/>
            <w:shd w:val="clear" w:color="auto" w:fill="CCEEFF"/>
          </w:tcPr>
          <w:p>
            <w:pPr>
              <w:spacing w:after="0"/>
              <w:rPr>
                <w:sz w:val="19"/>
                <w:szCs w:val="19"/>
                <w:color w:val="auto"/>
              </w:rPr>
            </w:pPr>
          </w:p>
        </w:tc>
        <w:tc>
          <w:tcPr>
            <w:tcW w:w="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7"/>
                <w:szCs w:val="17"/>
                <w:color w:val="auto"/>
              </w:rPr>
              <w:t>2.9</w:t>
            </w:r>
          </w:p>
        </w:tc>
        <w:tc>
          <w:tcPr>
            <w:tcW w:w="20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4280" w:type="dxa"/>
            <w:vAlign w:val="bottom"/>
            <w:gridSpan w:val="4"/>
          </w:tcPr>
          <w:p>
            <w:pPr>
              <w:ind w:left="20"/>
              <w:spacing w:after="0"/>
              <w:rPr>
                <w:sz w:val="20"/>
                <w:szCs w:val="20"/>
                <w:color w:val="auto"/>
              </w:rPr>
            </w:pPr>
            <w:r>
              <w:rPr>
                <w:rFonts w:ascii="Arial" w:cs="Arial" w:eastAsia="Arial" w:hAnsi="Arial"/>
                <w:sz w:val="17"/>
                <w:szCs w:val="17"/>
                <w:b w:val="1"/>
                <w:bCs w:val="1"/>
                <w:color w:val="auto"/>
              </w:rPr>
              <w:t>Total Investments Available for Sale</w:t>
            </w:r>
          </w:p>
        </w:tc>
        <w:tc>
          <w:tcPr>
            <w:tcW w:w="280" w:type="dxa"/>
            <w:vAlign w:val="bottom"/>
            <w:tcBorders>
              <w:bottom w:val="single" w:sz="8" w:color="auto"/>
            </w:tcBorders>
          </w:tcPr>
          <w:p>
            <w:pPr>
              <w:jc w:val="right"/>
              <w:ind w:right="93"/>
              <w:spacing w:after="0"/>
              <w:rPr>
                <w:sz w:val="20"/>
                <w:szCs w:val="20"/>
                <w:color w:val="auto"/>
              </w:rPr>
            </w:pPr>
            <w:r>
              <w:rPr>
                <w:rFonts w:ascii="Arial" w:cs="Arial" w:eastAsia="Arial" w:hAnsi="Arial"/>
                <w:sz w:val="17"/>
                <w:szCs w:val="17"/>
                <w:b w:val="1"/>
                <w:bCs w:val="1"/>
                <w:color w:val="auto"/>
                <w:w w:val="84"/>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5,022,094</w:t>
            </w:r>
          </w:p>
        </w:tc>
        <w:tc>
          <w:tcPr>
            <w:tcW w:w="120" w:type="dxa"/>
            <w:vAlign w:val="bottom"/>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100.0 %</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53"/>
              <w:spacing w:after="0"/>
              <w:rPr>
                <w:sz w:val="20"/>
                <w:szCs w:val="20"/>
                <w:color w:val="auto"/>
              </w:rPr>
            </w:pPr>
            <w:r>
              <w:rPr>
                <w:rFonts w:ascii="Arial" w:cs="Arial" w:eastAsia="Arial" w:hAnsi="Arial"/>
                <w:sz w:val="17"/>
                <w:szCs w:val="17"/>
                <w:b w:val="1"/>
                <w:bCs w:val="1"/>
                <w:color w:val="auto"/>
                <w:w w:val="84"/>
              </w:rPr>
              <w:t>$</w:t>
            </w:r>
          </w:p>
        </w:tc>
        <w:tc>
          <w:tcPr>
            <w:tcW w:w="1240" w:type="dxa"/>
            <w:vAlign w:val="bottom"/>
            <w:tcBorders>
              <w:bottom w:val="single" w:sz="8" w:color="auto"/>
            </w:tcBorders>
            <w:gridSpan w:val="3"/>
          </w:tcPr>
          <w:p>
            <w:pPr>
              <w:jc w:val="right"/>
              <w:spacing w:after="0"/>
              <w:rPr>
                <w:sz w:val="20"/>
                <w:szCs w:val="20"/>
                <w:color w:val="auto"/>
              </w:rPr>
            </w:pPr>
            <w:r>
              <w:rPr>
                <w:rFonts w:ascii="Arial" w:cs="Arial" w:eastAsia="Arial" w:hAnsi="Arial"/>
                <w:sz w:val="17"/>
                <w:szCs w:val="17"/>
                <w:b w:val="1"/>
                <w:bCs w:val="1"/>
                <w:color w:val="auto"/>
              </w:rPr>
              <w:t>4,741,625</w:t>
            </w:r>
          </w:p>
        </w:tc>
        <w:tc>
          <w:tcPr>
            <w:tcW w:w="120" w:type="dxa"/>
            <w:vAlign w:val="bottom"/>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gridSpan w:val="4"/>
          </w:tcPr>
          <w:p>
            <w:pPr>
              <w:jc w:val="right"/>
              <w:ind w:right="40"/>
              <w:spacing w:after="0"/>
              <w:rPr>
                <w:sz w:val="20"/>
                <w:szCs w:val="20"/>
                <w:color w:val="auto"/>
              </w:rPr>
            </w:pPr>
            <w:r>
              <w:rPr>
                <w:rFonts w:ascii="Arial" w:cs="Arial" w:eastAsia="Arial" w:hAnsi="Arial"/>
                <w:sz w:val="17"/>
                <w:szCs w:val="17"/>
                <w:b w:val="1"/>
                <w:bCs w:val="1"/>
                <w:color w:val="auto"/>
              </w:rPr>
              <w:t>100.0 %</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8"/>
        </w:trPr>
        <w:tc>
          <w:tcPr>
            <w:tcW w:w="220" w:type="dxa"/>
            <w:vAlign w:val="bottom"/>
            <w:tcBorders>
              <w:bottom w:val="single" w:sz="8" w:color="auto"/>
            </w:tcBorders>
          </w:tcPr>
          <w:p>
            <w:pPr>
              <w:spacing w:after="0"/>
              <w:rPr>
                <w:sz w:val="12"/>
                <w:szCs w:val="12"/>
                <w:color w:val="auto"/>
              </w:rPr>
            </w:pPr>
          </w:p>
        </w:tc>
        <w:tc>
          <w:tcPr>
            <w:tcW w:w="1960" w:type="dxa"/>
            <w:vAlign w:val="bottom"/>
            <w:tcBorders>
              <w:bottom w:val="single" w:sz="8" w:color="auto"/>
            </w:tcBorders>
          </w:tcPr>
          <w:p>
            <w:pPr>
              <w:spacing w:after="0"/>
              <w:rPr>
                <w:sz w:val="12"/>
                <w:szCs w:val="12"/>
                <w:color w:val="auto"/>
              </w:rPr>
            </w:pPr>
          </w:p>
        </w:tc>
        <w:tc>
          <w:tcPr>
            <w:tcW w:w="2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gridSpan w:val="3"/>
            <w:vMerge w:val="restart"/>
          </w:tcPr>
          <w:p>
            <w:pPr>
              <w:jc w:val="center"/>
              <w:spacing w:after="0"/>
              <w:rPr>
                <w:sz w:val="20"/>
                <w:szCs w:val="20"/>
                <w:color w:val="auto"/>
              </w:rPr>
            </w:pPr>
            <w:r>
              <w:rPr>
                <w:rFonts w:ascii="Arial" w:cs="Arial" w:eastAsia="Arial" w:hAnsi="Arial"/>
                <w:sz w:val="14"/>
                <w:szCs w:val="14"/>
                <w:b w:val="1"/>
                <w:bCs w:val="1"/>
                <w:color w:val="auto"/>
                <w:w w:val="89"/>
              </w:rPr>
              <w:t>June 30,</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6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87"/>
              </w:rPr>
              <w:t>December 31,</w:t>
            </w:r>
          </w:p>
        </w:tc>
        <w:tc>
          <w:tcPr>
            <w:tcW w:w="0" w:type="dxa"/>
            <w:vAlign w:val="bottom"/>
          </w:tcPr>
          <w:p>
            <w:pPr>
              <w:spacing w:after="0"/>
              <w:rPr>
                <w:sz w:val="1"/>
                <w:szCs w:val="1"/>
                <w:color w:val="auto"/>
              </w:rPr>
            </w:pPr>
          </w:p>
        </w:tc>
      </w:tr>
      <w:tr>
        <w:trPr>
          <w:trHeight w:val="280"/>
        </w:trPr>
        <w:tc>
          <w:tcPr>
            <w:tcW w:w="22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gridSpan w:val="3"/>
            <w:vMerge w:val="continue"/>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01"/>
        </w:trPr>
        <w:tc>
          <w:tcPr>
            <w:tcW w:w="220" w:type="dxa"/>
            <w:vAlign w:val="bottom"/>
          </w:tcPr>
          <w:p>
            <w:pPr>
              <w:spacing w:after="0"/>
              <w:rPr>
                <w:sz w:val="17"/>
                <w:szCs w:val="17"/>
                <w:color w:val="auto"/>
              </w:rPr>
            </w:pPr>
          </w:p>
        </w:tc>
        <w:tc>
          <w:tcPr>
            <w:tcW w:w="4060" w:type="dxa"/>
            <w:vAlign w:val="bottom"/>
            <w:tcBorders>
              <w:bottom w:val="single" w:sz="8" w:color="auto"/>
            </w:tcBorders>
            <w:gridSpan w:val="3"/>
          </w:tcPr>
          <w:p>
            <w:pPr>
              <w:spacing w:after="0"/>
              <w:rPr>
                <w:sz w:val="20"/>
                <w:szCs w:val="20"/>
                <w:color w:val="auto"/>
              </w:rPr>
            </w:pPr>
            <w:r>
              <w:rPr>
                <w:rFonts w:ascii="Arial" w:cs="Arial" w:eastAsia="Arial" w:hAnsi="Arial"/>
                <w:sz w:val="14"/>
                <w:szCs w:val="14"/>
                <w:b w:val="1"/>
                <w:bCs w:val="1"/>
                <w:color w:val="auto"/>
                <w:w w:val="89"/>
              </w:rPr>
              <w:t>(1) The following table summarizes municipal debt securities as of :</w:t>
            </w:r>
          </w:p>
        </w:tc>
        <w:tc>
          <w:tcPr>
            <w:tcW w:w="28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20" w:type="dxa"/>
            <w:vAlign w:val="bottom"/>
            <w:gridSpan w:val="2"/>
          </w:tcPr>
          <w:p>
            <w:pPr>
              <w:spacing w:after="0"/>
              <w:rPr>
                <w:sz w:val="17"/>
                <w:szCs w:val="17"/>
                <w:color w:val="auto"/>
              </w:rPr>
            </w:pPr>
          </w:p>
        </w:tc>
        <w:tc>
          <w:tcPr>
            <w:tcW w:w="1120" w:type="dxa"/>
            <w:vAlign w:val="bottom"/>
            <w:tcBorders>
              <w:bottom w:val="single" w:sz="8" w:color="auto"/>
            </w:tcBorders>
          </w:tcPr>
          <w:p>
            <w:pPr>
              <w:jc w:val="center"/>
              <w:ind w:left="125"/>
              <w:spacing w:after="0"/>
              <w:rPr>
                <w:sz w:val="20"/>
                <w:szCs w:val="20"/>
                <w:color w:val="auto"/>
              </w:rPr>
            </w:pPr>
            <w:r>
              <w:rPr>
                <w:rFonts w:ascii="Arial" w:cs="Arial" w:eastAsia="Arial" w:hAnsi="Arial"/>
                <w:sz w:val="14"/>
                <w:szCs w:val="14"/>
                <w:b w:val="1"/>
                <w:bCs w:val="1"/>
                <w:color w:val="auto"/>
                <w:w w:val="89"/>
              </w:rPr>
              <w:t>2023</w:t>
            </w:r>
          </w:p>
        </w:tc>
        <w:tc>
          <w:tcPr>
            <w:tcW w:w="12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20" w:type="dxa"/>
            <w:vAlign w:val="bottom"/>
            <w:gridSpan w:val="2"/>
          </w:tcPr>
          <w:p>
            <w:pPr>
              <w:spacing w:after="0"/>
              <w:rPr>
                <w:sz w:val="17"/>
                <w:szCs w:val="17"/>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2022</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3"/>
        </w:trPr>
        <w:tc>
          <w:tcPr>
            <w:tcW w:w="220" w:type="dxa"/>
            <w:vAlign w:val="bottom"/>
          </w:tcPr>
          <w:p>
            <w:pPr>
              <w:spacing w:after="0"/>
              <w:rPr>
                <w:sz w:val="20"/>
                <w:szCs w:val="20"/>
                <w:color w:val="auto"/>
              </w:rPr>
            </w:pPr>
          </w:p>
        </w:tc>
        <w:tc>
          <w:tcPr>
            <w:tcW w:w="406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Special revenue bonds</w:t>
            </w:r>
          </w:p>
        </w:tc>
        <w:tc>
          <w:tcPr>
            <w:tcW w:w="28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420" w:type="dxa"/>
            <w:vAlign w:val="bottom"/>
            <w:gridSpan w:val="5"/>
            <w:shd w:val="clear" w:color="auto" w:fill="CCEEFF"/>
          </w:tcPr>
          <w:p>
            <w:pPr>
              <w:jc w:val="right"/>
              <w:spacing w:after="0"/>
              <w:rPr>
                <w:sz w:val="20"/>
                <w:szCs w:val="20"/>
                <w:color w:val="auto"/>
              </w:rPr>
            </w:pPr>
            <w:r>
              <w:rPr>
                <w:rFonts w:ascii="Arial" w:cs="Arial" w:eastAsia="Arial" w:hAnsi="Arial"/>
                <w:sz w:val="17"/>
                <w:szCs w:val="17"/>
                <w:color w:val="auto"/>
              </w:rPr>
              <w:t>81.2 %</w:t>
            </w:r>
          </w:p>
        </w:tc>
        <w:tc>
          <w:tcPr>
            <w:tcW w:w="148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79.0 %</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1"/>
        </w:trPr>
        <w:tc>
          <w:tcPr>
            <w:tcW w:w="220" w:type="dxa"/>
            <w:vAlign w:val="bottom"/>
          </w:tcPr>
          <w:p>
            <w:pPr>
              <w:spacing w:after="0"/>
              <w:rPr>
                <w:sz w:val="19"/>
                <w:szCs w:val="19"/>
                <w:color w:val="auto"/>
              </w:rPr>
            </w:pPr>
          </w:p>
        </w:tc>
        <w:tc>
          <w:tcPr>
            <w:tcW w:w="4060" w:type="dxa"/>
            <w:vAlign w:val="bottom"/>
            <w:gridSpan w:val="3"/>
          </w:tcPr>
          <w:p>
            <w:pPr>
              <w:spacing w:after="0"/>
              <w:rPr>
                <w:sz w:val="20"/>
                <w:szCs w:val="20"/>
                <w:color w:val="auto"/>
              </w:rPr>
            </w:pPr>
            <w:r>
              <w:rPr>
                <w:rFonts w:ascii="Arial" w:cs="Arial" w:eastAsia="Arial" w:hAnsi="Arial"/>
                <w:sz w:val="17"/>
                <w:szCs w:val="17"/>
                <w:color w:val="auto"/>
              </w:rPr>
              <w:t>General obligation bonds</w:t>
            </w:r>
          </w:p>
        </w:tc>
        <w:tc>
          <w:tcPr>
            <w:tcW w:w="2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40" w:type="dxa"/>
            <w:vAlign w:val="bottom"/>
            <w:gridSpan w:val="3"/>
          </w:tcPr>
          <w:p>
            <w:pPr>
              <w:jc w:val="right"/>
              <w:spacing w:after="0"/>
              <w:rPr>
                <w:sz w:val="20"/>
                <w:szCs w:val="20"/>
                <w:color w:val="auto"/>
              </w:rPr>
            </w:pPr>
            <w:r>
              <w:rPr>
                <w:rFonts w:ascii="Arial" w:cs="Arial" w:eastAsia="Arial" w:hAnsi="Arial"/>
                <w:sz w:val="17"/>
                <w:szCs w:val="17"/>
                <w:color w:val="auto"/>
              </w:rPr>
              <w:t>18.8</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80" w:type="dxa"/>
            <w:vAlign w:val="bottom"/>
            <w:gridSpan w:val="3"/>
          </w:tcPr>
          <w:p>
            <w:pPr>
              <w:jc w:val="right"/>
              <w:ind w:right="124"/>
              <w:spacing w:after="0"/>
              <w:rPr>
                <w:sz w:val="20"/>
                <w:szCs w:val="20"/>
                <w:color w:val="auto"/>
              </w:rPr>
            </w:pPr>
            <w:r>
              <w:rPr>
                <w:rFonts w:ascii="Arial" w:cs="Arial" w:eastAsia="Arial" w:hAnsi="Arial"/>
                <w:sz w:val="17"/>
                <w:szCs w:val="17"/>
                <w:color w:val="auto"/>
              </w:rPr>
              <w:t>20.9</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220" w:type="dxa"/>
            <w:vAlign w:val="bottom"/>
          </w:tcPr>
          <w:p>
            <w:pPr>
              <w:spacing w:after="0"/>
              <w:rPr>
                <w:sz w:val="19"/>
                <w:szCs w:val="19"/>
                <w:color w:val="auto"/>
              </w:rPr>
            </w:pPr>
          </w:p>
        </w:tc>
        <w:tc>
          <w:tcPr>
            <w:tcW w:w="406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Tax allocation bonds</w:t>
            </w:r>
          </w:p>
        </w:tc>
        <w:tc>
          <w:tcPr>
            <w:tcW w:w="2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00" w:type="dxa"/>
            <w:vAlign w:val="bottom"/>
            <w:tcBorders>
              <w:bottom w:val="single" w:sz="8" w:color="auto"/>
            </w:tcBorders>
            <w:gridSpan w:val="3"/>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20" w:type="dxa"/>
            <w:vAlign w:val="bottom"/>
            <w:gridSpan w:val="2"/>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ind w:right="124"/>
              <w:spacing w:after="0"/>
              <w:rPr>
                <w:sz w:val="20"/>
                <w:szCs w:val="20"/>
                <w:color w:val="auto"/>
              </w:rPr>
            </w:pPr>
            <w:r>
              <w:rPr>
                <w:rFonts w:ascii="Arial" w:cs="Arial" w:eastAsia="Arial" w:hAnsi="Arial"/>
                <w:sz w:val="17"/>
                <w:szCs w:val="17"/>
                <w:color w:val="auto"/>
              </w:rPr>
              <w:t>0.1</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20" w:type="dxa"/>
            <w:vAlign w:val="bottom"/>
          </w:tcPr>
          <w:p>
            <w:pPr>
              <w:spacing w:after="0"/>
              <w:rPr>
                <w:sz w:val="18"/>
                <w:szCs w:val="18"/>
                <w:color w:val="auto"/>
              </w:rPr>
            </w:pPr>
          </w:p>
        </w:tc>
        <w:tc>
          <w:tcPr>
            <w:tcW w:w="4060" w:type="dxa"/>
            <w:vAlign w:val="bottom"/>
            <w:gridSpan w:val="3"/>
          </w:tcPr>
          <w:p>
            <w:pPr>
              <w:ind w:left="120"/>
              <w:spacing w:after="0"/>
              <w:rPr>
                <w:sz w:val="20"/>
                <w:szCs w:val="20"/>
                <w:color w:val="auto"/>
              </w:rPr>
            </w:pPr>
            <w:r>
              <w:rPr>
                <w:rFonts w:ascii="Arial" w:cs="Arial" w:eastAsia="Arial" w:hAnsi="Arial"/>
                <w:sz w:val="17"/>
                <w:szCs w:val="17"/>
                <w:color w:val="auto"/>
              </w:rPr>
              <w:t>Total</w:t>
            </w:r>
          </w:p>
        </w:tc>
        <w:tc>
          <w:tcPr>
            <w:tcW w:w="2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gridSpan w:val="2"/>
          </w:tcPr>
          <w:p>
            <w:pPr>
              <w:spacing w:after="0"/>
              <w:rPr>
                <w:sz w:val="18"/>
                <w:szCs w:val="18"/>
                <w:color w:val="auto"/>
              </w:rPr>
            </w:pPr>
          </w:p>
        </w:tc>
        <w:tc>
          <w:tcPr>
            <w:tcW w:w="1300" w:type="dxa"/>
            <w:vAlign w:val="bottom"/>
            <w:tcBorders>
              <w:bottom w:val="single" w:sz="8" w:color="auto"/>
            </w:tcBorders>
            <w:gridSpan w:val="3"/>
          </w:tcPr>
          <w:p>
            <w:pPr>
              <w:jc w:val="right"/>
              <w:spacing w:after="0"/>
              <w:rPr>
                <w:sz w:val="20"/>
                <w:szCs w:val="20"/>
                <w:color w:val="auto"/>
              </w:rPr>
            </w:pPr>
            <w:r>
              <w:rPr>
                <w:rFonts w:ascii="Arial" w:cs="Arial" w:eastAsia="Arial" w:hAnsi="Arial"/>
                <w:sz w:val="17"/>
                <w:szCs w:val="17"/>
                <w:color w:val="auto"/>
              </w:rPr>
              <w:t>100.0 %</w:t>
            </w:r>
          </w:p>
        </w:tc>
        <w:tc>
          <w:tcPr>
            <w:tcW w:w="120" w:type="dxa"/>
            <w:vAlign w:val="bottom"/>
            <w:gridSpan w:val="2"/>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100.0 %</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Borders>
              <w:bottom w:val="single" w:sz="8" w:color="auto"/>
            </w:tcBorders>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2"/>
        </w:trPr>
        <w:tc>
          <w:tcPr>
            <w:tcW w:w="22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gridSpan w:val="3"/>
          </w:tcPr>
          <w:p>
            <w:pPr>
              <w:jc w:val="center"/>
              <w:spacing w:after="0"/>
              <w:rPr>
                <w:sz w:val="20"/>
                <w:szCs w:val="20"/>
                <w:color w:val="auto"/>
              </w:rPr>
            </w:pPr>
            <w:r>
              <w:rPr>
                <w:rFonts w:ascii="Arial" w:cs="Arial" w:eastAsia="Arial" w:hAnsi="Arial"/>
                <w:sz w:val="14"/>
                <w:szCs w:val="14"/>
                <w:b w:val="1"/>
                <w:bCs w:val="1"/>
                <w:color w:val="auto"/>
                <w:w w:val="85"/>
              </w:rPr>
              <w:t>June 30,</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7"/>
              </w:rPr>
              <w:t>December 31,</w:t>
            </w:r>
          </w:p>
        </w:tc>
        <w:tc>
          <w:tcPr>
            <w:tcW w:w="0" w:type="dxa"/>
            <w:vAlign w:val="bottom"/>
          </w:tcPr>
          <w:p>
            <w:pPr>
              <w:spacing w:after="0"/>
              <w:rPr>
                <w:sz w:val="1"/>
                <w:szCs w:val="1"/>
                <w:color w:val="auto"/>
              </w:rPr>
            </w:pPr>
          </w:p>
        </w:tc>
      </w:tr>
      <w:tr>
        <w:trPr>
          <w:trHeight w:val="201"/>
        </w:trPr>
        <w:tc>
          <w:tcPr>
            <w:tcW w:w="220" w:type="dxa"/>
            <w:vAlign w:val="bottom"/>
          </w:tcPr>
          <w:p>
            <w:pPr>
              <w:spacing w:after="0"/>
              <w:rPr>
                <w:sz w:val="17"/>
                <w:szCs w:val="17"/>
                <w:color w:val="auto"/>
              </w:rPr>
            </w:pPr>
          </w:p>
        </w:tc>
        <w:tc>
          <w:tcPr>
            <w:tcW w:w="4060" w:type="dxa"/>
            <w:vAlign w:val="bottom"/>
            <w:tcBorders>
              <w:bottom w:val="single" w:sz="8" w:color="auto"/>
            </w:tcBorders>
            <w:gridSpan w:val="3"/>
          </w:tcPr>
          <w:p>
            <w:pPr>
              <w:spacing w:after="0"/>
              <w:rPr>
                <w:sz w:val="20"/>
                <w:szCs w:val="20"/>
                <w:color w:val="auto"/>
              </w:rPr>
            </w:pPr>
            <w:r>
              <w:rPr>
                <w:rFonts w:ascii="Arial" w:cs="Arial" w:eastAsia="Arial" w:hAnsi="Arial"/>
                <w:sz w:val="14"/>
                <w:szCs w:val="14"/>
                <w:b w:val="1"/>
                <w:bCs w:val="1"/>
                <w:color w:val="auto"/>
                <w:w w:val="89"/>
              </w:rPr>
              <w:t>(2) The following table summarizes corporate debt securities as of :</w:t>
            </w:r>
          </w:p>
        </w:tc>
        <w:tc>
          <w:tcPr>
            <w:tcW w:w="28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Borders>
              <w:bottom w:val="single" w:sz="8" w:color="auto"/>
            </w:tcBorders>
          </w:tcPr>
          <w:p>
            <w:pPr>
              <w:jc w:val="center"/>
              <w:ind w:left="125"/>
              <w:spacing w:after="0"/>
              <w:rPr>
                <w:sz w:val="20"/>
                <w:szCs w:val="20"/>
                <w:color w:val="auto"/>
              </w:rPr>
            </w:pPr>
            <w:r>
              <w:rPr>
                <w:rFonts w:ascii="Arial" w:cs="Arial" w:eastAsia="Arial" w:hAnsi="Arial"/>
                <w:sz w:val="14"/>
                <w:szCs w:val="14"/>
                <w:b w:val="1"/>
                <w:bCs w:val="1"/>
                <w:color w:val="auto"/>
                <w:w w:val="89"/>
              </w:rPr>
              <w:t>2023</w:t>
            </w:r>
          </w:p>
        </w:tc>
        <w:tc>
          <w:tcPr>
            <w:tcW w:w="12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2022</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220" w:type="dxa"/>
            <w:vAlign w:val="bottom"/>
          </w:tcPr>
          <w:p>
            <w:pPr>
              <w:spacing w:after="0"/>
              <w:rPr>
                <w:sz w:val="19"/>
                <w:szCs w:val="19"/>
                <w:color w:val="auto"/>
              </w:rPr>
            </w:pPr>
          </w:p>
        </w:tc>
        <w:tc>
          <w:tcPr>
            <w:tcW w:w="406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Financial</w:t>
            </w:r>
          </w:p>
        </w:tc>
        <w:tc>
          <w:tcPr>
            <w:tcW w:w="2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420" w:type="dxa"/>
            <w:vAlign w:val="bottom"/>
            <w:gridSpan w:val="5"/>
            <w:shd w:val="clear" w:color="auto" w:fill="CCEEFF"/>
          </w:tcPr>
          <w:p>
            <w:pPr>
              <w:jc w:val="right"/>
              <w:spacing w:after="0"/>
              <w:rPr>
                <w:sz w:val="20"/>
                <w:szCs w:val="20"/>
                <w:color w:val="auto"/>
              </w:rPr>
            </w:pPr>
            <w:r>
              <w:rPr>
                <w:rFonts w:ascii="Arial" w:cs="Arial" w:eastAsia="Arial" w:hAnsi="Arial"/>
                <w:sz w:val="17"/>
                <w:szCs w:val="17"/>
                <w:color w:val="auto"/>
              </w:rPr>
              <w:t>43.7 %</w:t>
            </w:r>
          </w:p>
        </w:tc>
        <w:tc>
          <w:tcPr>
            <w:tcW w:w="148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40.5 %</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20" w:type="dxa"/>
            <w:vAlign w:val="bottom"/>
          </w:tcPr>
          <w:p>
            <w:pPr>
              <w:spacing w:after="0"/>
              <w:rPr>
                <w:sz w:val="19"/>
                <w:szCs w:val="19"/>
                <w:color w:val="auto"/>
              </w:rPr>
            </w:pPr>
          </w:p>
        </w:tc>
        <w:tc>
          <w:tcPr>
            <w:tcW w:w="4060" w:type="dxa"/>
            <w:vAlign w:val="bottom"/>
            <w:gridSpan w:val="3"/>
          </w:tcPr>
          <w:p>
            <w:pPr>
              <w:spacing w:after="0"/>
              <w:rPr>
                <w:sz w:val="20"/>
                <w:szCs w:val="20"/>
                <w:color w:val="auto"/>
              </w:rPr>
            </w:pPr>
            <w:r>
              <w:rPr>
                <w:rFonts w:ascii="Arial" w:cs="Arial" w:eastAsia="Arial" w:hAnsi="Arial"/>
                <w:sz w:val="17"/>
                <w:szCs w:val="17"/>
                <w:color w:val="auto"/>
              </w:rPr>
              <w:t>Consumer, non-cyclical</w:t>
            </w:r>
          </w:p>
        </w:tc>
        <w:tc>
          <w:tcPr>
            <w:tcW w:w="2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40" w:type="dxa"/>
            <w:vAlign w:val="bottom"/>
            <w:gridSpan w:val="3"/>
          </w:tcPr>
          <w:p>
            <w:pPr>
              <w:jc w:val="right"/>
              <w:spacing w:after="0"/>
              <w:rPr>
                <w:sz w:val="20"/>
                <w:szCs w:val="20"/>
                <w:color w:val="auto"/>
              </w:rPr>
            </w:pPr>
            <w:r>
              <w:rPr>
                <w:rFonts w:ascii="Arial" w:cs="Arial" w:eastAsia="Arial" w:hAnsi="Arial"/>
                <w:sz w:val="17"/>
                <w:szCs w:val="17"/>
                <w:color w:val="auto"/>
              </w:rPr>
              <w:t>15.8</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80" w:type="dxa"/>
            <w:vAlign w:val="bottom"/>
            <w:gridSpan w:val="3"/>
          </w:tcPr>
          <w:p>
            <w:pPr>
              <w:jc w:val="right"/>
              <w:ind w:right="124"/>
              <w:spacing w:after="0"/>
              <w:rPr>
                <w:sz w:val="20"/>
                <w:szCs w:val="20"/>
                <w:color w:val="auto"/>
              </w:rPr>
            </w:pPr>
            <w:r>
              <w:rPr>
                <w:rFonts w:ascii="Arial" w:cs="Arial" w:eastAsia="Arial" w:hAnsi="Arial"/>
                <w:sz w:val="17"/>
                <w:szCs w:val="17"/>
                <w:color w:val="auto"/>
              </w:rPr>
              <w:t>17.9</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20" w:type="dxa"/>
            <w:vAlign w:val="bottom"/>
          </w:tcPr>
          <w:p>
            <w:pPr>
              <w:spacing w:after="0"/>
              <w:rPr>
                <w:sz w:val="19"/>
                <w:szCs w:val="19"/>
                <w:color w:val="auto"/>
              </w:rPr>
            </w:pPr>
          </w:p>
        </w:tc>
        <w:tc>
          <w:tcPr>
            <w:tcW w:w="406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Consumer, cyclical</w:t>
            </w:r>
          </w:p>
        </w:tc>
        <w:tc>
          <w:tcPr>
            <w:tcW w:w="2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4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6.5</w:t>
            </w:r>
          </w:p>
        </w:tc>
        <w:tc>
          <w:tcPr>
            <w:tcW w:w="1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80" w:type="dxa"/>
            <w:vAlign w:val="bottom"/>
            <w:gridSpan w:val="3"/>
            <w:shd w:val="clear" w:color="auto" w:fill="CCEEFF"/>
          </w:tcPr>
          <w:p>
            <w:pPr>
              <w:jc w:val="right"/>
              <w:ind w:right="124"/>
              <w:spacing w:after="0"/>
              <w:rPr>
                <w:sz w:val="20"/>
                <w:szCs w:val="20"/>
                <w:color w:val="auto"/>
              </w:rPr>
            </w:pPr>
            <w:r>
              <w:rPr>
                <w:rFonts w:ascii="Arial" w:cs="Arial" w:eastAsia="Arial" w:hAnsi="Arial"/>
                <w:sz w:val="17"/>
                <w:szCs w:val="17"/>
                <w:color w:val="auto"/>
              </w:rPr>
              <w:t>6.8</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220" w:type="dxa"/>
            <w:vAlign w:val="bottom"/>
          </w:tcPr>
          <w:p>
            <w:pPr>
              <w:spacing w:after="0"/>
              <w:rPr>
                <w:sz w:val="19"/>
                <w:szCs w:val="19"/>
                <w:color w:val="auto"/>
              </w:rPr>
            </w:pPr>
          </w:p>
        </w:tc>
        <w:tc>
          <w:tcPr>
            <w:tcW w:w="4060" w:type="dxa"/>
            <w:vAlign w:val="bottom"/>
            <w:gridSpan w:val="3"/>
          </w:tcPr>
          <w:p>
            <w:pPr>
              <w:spacing w:after="0"/>
              <w:rPr>
                <w:sz w:val="20"/>
                <w:szCs w:val="20"/>
                <w:color w:val="auto"/>
              </w:rPr>
            </w:pPr>
            <w:r>
              <w:rPr>
                <w:rFonts w:ascii="Arial" w:cs="Arial" w:eastAsia="Arial" w:hAnsi="Arial"/>
                <w:sz w:val="17"/>
                <w:szCs w:val="17"/>
                <w:color w:val="auto"/>
              </w:rPr>
              <w:t>Industrial</w:t>
            </w:r>
          </w:p>
        </w:tc>
        <w:tc>
          <w:tcPr>
            <w:tcW w:w="2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40" w:type="dxa"/>
            <w:vAlign w:val="bottom"/>
            <w:gridSpan w:val="3"/>
          </w:tcPr>
          <w:p>
            <w:pPr>
              <w:jc w:val="right"/>
              <w:spacing w:after="0"/>
              <w:rPr>
                <w:sz w:val="20"/>
                <w:szCs w:val="20"/>
                <w:color w:val="auto"/>
              </w:rPr>
            </w:pPr>
            <w:r>
              <w:rPr>
                <w:rFonts w:ascii="Arial" w:cs="Arial" w:eastAsia="Arial" w:hAnsi="Arial"/>
                <w:sz w:val="17"/>
                <w:szCs w:val="17"/>
                <w:color w:val="auto"/>
              </w:rPr>
              <w:t>7.8</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80" w:type="dxa"/>
            <w:vAlign w:val="bottom"/>
            <w:gridSpan w:val="3"/>
          </w:tcPr>
          <w:p>
            <w:pPr>
              <w:jc w:val="right"/>
              <w:ind w:right="124"/>
              <w:spacing w:after="0"/>
              <w:rPr>
                <w:sz w:val="20"/>
                <w:szCs w:val="20"/>
                <w:color w:val="auto"/>
              </w:rPr>
            </w:pPr>
            <w:r>
              <w:rPr>
                <w:rFonts w:ascii="Arial" w:cs="Arial" w:eastAsia="Arial" w:hAnsi="Arial"/>
                <w:sz w:val="17"/>
                <w:szCs w:val="17"/>
                <w:color w:val="auto"/>
              </w:rPr>
              <w:t>6.8</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20" w:type="dxa"/>
            <w:vAlign w:val="bottom"/>
          </w:tcPr>
          <w:p>
            <w:pPr>
              <w:spacing w:after="0"/>
              <w:rPr>
                <w:sz w:val="20"/>
                <w:szCs w:val="20"/>
                <w:color w:val="auto"/>
              </w:rPr>
            </w:pPr>
          </w:p>
        </w:tc>
        <w:tc>
          <w:tcPr>
            <w:tcW w:w="406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Utilities</w:t>
            </w:r>
          </w:p>
        </w:tc>
        <w:tc>
          <w:tcPr>
            <w:tcW w:w="28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24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6.5</w:t>
            </w:r>
          </w:p>
        </w:tc>
        <w:tc>
          <w:tcPr>
            <w:tcW w:w="1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480" w:type="dxa"/>
            <w:vAlign w:val="bottom"/>
            <w:gridSpan w:val="3"/>
            <w:shd w:val="clear" w:color="auto" w:fill="CCEEFF"/>
          </w:tcPr>
          <w:p>
            <w:pPr>
              <w:jc w:val="right"/>
              <w:ind w:right="124"/>
              <w:spacing w:after="0"/>
              <w:rPr>
                <w:sz w:val="20"/>
                <w:szCs w:val="20"/>
                <w:color w:val="auto"/>
              </w:rPr>
            </w:pPr>
            <w:r>
              <w:rPr>
                <w:rFonts w:ascii="Arial" w:cs="Arial" w:eastAsia="Arial" w:hAnsi="Arial"/>
                <w:sz w:val="17"/>
                <w:szCs w:val="17"/>
                <w:color w:val="auto"/>
              </w:rPr>
              <w:t>6.1</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1"/>
        </w:trPr>
        <w:tc>
          <w:tcPr>
            <w:tcW w:w="220" w:type="dxa"/>
            <w:vAlign w:val="bottom"/>
          </w:tcPr>
          <w:p>
            <w:pPr>
              <w:spacing w:after="0"/>
              <w:rPr>
                <w:sz w:val="19"/>
                <w:szCs w:val="19"/>
                <w:color w:val="auto"/>
              </w:rPr>
            </w:pPr>
          </w:p>
        </w:tc>
        <w:tc>
          <w:tcPr>
            <w:tcW w:w="4060" w:type="dxa"/>
            <w:vAlign w:val="bottom"/>
            <w:gridSpan w:val="3"/>
          </w:tcPr>
          <w:p>
            <w:pPr>
              <w:spacing w:after="0"/>
              <w:rPr>
                <w:sz w:val="20"/>
                <w:szCs w:val="20"/>
                <w:color w:val="auto"/>
              </w:rPr>
            </w:pPr>
            <w:r>
              <w:rPr>
                <w:rFonts w:ascii="Arial" w:cs="Arial" w:eastAsia="Arial" w:hAnsi="Arial"/>
                <w:sz w:val="17"/>
                <w:szCs w:val="17"/>
                <w:color w:val="auto"/>
              </w:rPr>
              <w:t>Communications</w:t>
            </w:r>
          </w:p>
        </w:tc>
        <w:tc>
          <w:tcPr>
            <w:tcW w:w="2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40" w:type="dxa"/>
            <w:vAlign w:val="bottom"/>
            <w:gridSpan w:val="3"/>
          </w:tcPr>
          <w:p>
            <w:pPr>
              <w:jc w:val="right"/>
              <w:spacing w:after="0"/>
              <w:rPr>
                <w:sz w:val="20"/>
                <w:szCs w:val="20"/>
                <w:color w:val="auto"/>
              </w:rPr>
            </w:pPr>
            <w:r>
              <w:rPr>
                <w:rFonts w:ascii="Arial" w:cs="Arial" w:eastAsia="Arial" w:hAnsi="Arial"/>
                <w:sz w:val="17"/>
                <w:szCs w:val="17"/>
                <w:color w:val="auto"/>
              </w:rPr>
              <w:t>7.0</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80" w:type="dxa"/>
            <w:vAlign w:val="bottom"/>
            <w:gridSpan w:val="3"/>
          </w:tcPr>
          <w:p>
            <w:pPr>
              <w:jc w:val="right"/>
              <w:ind w:right="124"/>
              <w:spacing w:after="0"/>
              <w:rPr>
                <w:sz w:val="20"/>
                <w:szCs w:val="20"/>
                <w:color w:val="auto"/>
              </w:rPr>
            </w:pPr>
            <w:r>
              <w:rPr>
                <w:rFonts w:ascii="Arial" w:cs="Arial" w:eastAsia="Arial" w:hAnsi="Arial"/>
                <w:sz w:val="17"/>
                <w:szCs w:val="17"/>
                <w:color w:val="auto"/>
              </w:rPr>
              <w:t>8.4</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220" w:type="dxa"/>
            <w:vAlign w:val="bottom"/>
          </w:tcPr>
          <w:p>
            <w:pPr>
              <w:spacing w:after="0"/>
              <w:rPr>
                <w:sz w:val="19"/>
                <w:szCs w:val="19"/>
                <w:color w:val="auto"/>
              </w:rPr>
            </w:pPr>
          </w:p>
        </w:tc>
        <w:tc>
          <w:tcPr>
            <w:tcW w:w="406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Technology</w:t>
            </w:r>
          </w:p>
        </w:tc>
        <w:tc>
          <w:tcPr>
            <w:tcW w:w="2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4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5.4</w:t>
            </w:r>
          </w:p>
        </w:tc>
        <w:tc>
          <w:tcPr>
            <w:tcW w:w="1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80" w:type="dxa"/>
            <w:vAlign w:val="bottom"/>
            <w:gridSpan w:val="3"/>
            <w:shd w:val="clear" w:color="auto" w:fill="CCEEFF"/>
          </w:tcPr>
          <w:p>
            <w:pPr>
              <w:jc w:val="right"/>
              <w:ind w:right="124"/>
              <w:spacing w:after="0"/>
              <w:rPr>
                <w:sz w:val="20"/>
                <w:szCs w:val="20"/>
                <w:color w:val="auto"/>
              </w:rPr>
            </w:pPr>
            <w:r>
              <w:rPr>
                <w:rFonts w:ascii="Arial" w:cs="Arial" w:eastAsia="Arial" w:hAnsi="Arial"/>
                <w:sz w:val="17"/>
                <w:szCs w:val="17"/>
                <w:color w:val="auto"/>
              </w:rPr>
              <w:t>4.9</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20" w:type="dxa"/>
            <w:vAlign w:val="bottom"/>
          </w:tcPr>
          <w:p>
            <w:pPr>
              <w:spacing w:after="0"/>
              <w:rPr>
                <w:sz w:val="19"/>
                <w:szCs w:val="19"/>
                <w:color w:val="auto"/>
              </w:rPr>
            </w:pPr>
          </w:p>
        </w:tc>
        <w:tc>
          <w:tcPr>
            <w:tcW w:w="4060" w:type="dxa"/>
            <w:vAlign w:val="bottom"/>
            <w:gridSpan w:val="3"/>
          </w:tcPr>
          <w:p>
            <w:pPr>
              <w:spacing w:after="0"/>
              <w:rPr>
                <w:sz w:val="20"/>
                <w:szCs w:val="20"/>
                <w:color w:val="auto"/>
              </w:rPr>
            </w:pPr>
            <w:r>
              <w:rPr>
                <w:rFonts w:ascii="Arial" w:cs="Arial" w:eastAsia="Arial" w:hAnsi="Arial"/>
                <w:sz w:val="17"/>
                <w:szCs w:val="17"/>
                <w:color w:val="auto"/>
              </w:rPr>
              <w:t>Energy</w:t>
            </w:r>
          </w:p>
        </w:tc>
        <w:tc>
          <w:tcPr>
            <w:tcW w:w="2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40" w:type="dxa"/>
            <w:vAlign w:val="bottom"/>
            <w:gridSpan w:val="3"/>
          </w:tcPr>
          <w:p>
            <w:pPr>
              <w:jc w:val="right"/>
              <w:spacing w:after="0"/>
              <w:rPr>
                <w:sz w:val="20"/>
                <w:szCs w:val="20"/>
                <w:color w:val="auto"/>
              </w:rPr>
            </w:pPr>
            <w:r>
              <w:rPr>
                <w:rFonts w:ascii="Arial" w:cs="Arial" w:eastAsia="Arial" w:hAnsi="Arial"/>
                <w:sz w:val="17"/>
                <w:szCs w:val="17"/>
                <w:color w:val="auto"/>
              </w:rPr>
              <w:t>5.0</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80" w:type="dxa"/>
            <w:vAlign w:val="bottom"/>
            <w:gridSpan w:val="3"/>
          </w:tcPr>
          <w:p>
            <w:pPr>
              <w:jc w:val="right"/>
              <w:ind w:right="124"/>
              <w:spacing w:after="0"/>
              <w:rPr>
                <w:sz w:val="20"/>
                <w:szCs w:val="20"/>
                <w:color w:val="auto"/>
              </w:rPr>
            </w:pPr>
            <w:r>
              <w:rPr>
                <w:rFonts w:ascii="Arial" w:cs="Arial" w:eastAsia="Arial" w:hAnsi="Arial"/>
                <w:sz w:val="17"/>
                <w:szCs w:val="17"/>
                <w:color w:val="auto"/>
              </w:rPr>
              <w:t>6.4</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20" w:type="dxa"/>
            <w:vAlign w:val="bottom"/>
          </w:tcPr>
          <w:p>
            <w:pPr>
              <w:spacing w:after="0"/>
              <w:rPr>
                <w:sz w:val="19"/>
                <w:szCs w:val="19"/>
                <w:color w:val="auto"/>
              </w:rPr>
            </w:pPr>
          </w:p>
        </w:tc>
        <w:tc>
          <w:tcPr>
            <w:tcW w:w="406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Basic Materials</w:t>
            </w:r>
          </w:p>
        </w:tc>
        <w:tc>
          <w:tcPr>
            <w:tcW w:w="2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4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2.3</w:t>
            </w:r>
          </w:p>
        </w:tc>
        <w:tc>
          <w:tcPr>
            <w:tcW w:w="1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80" w:type="dxa"/>
            <w:vAlign w:val="bottom"/>
            <w:gridSpan w:val="3"/>
            <w:shd w:val="clear" w:color="auto" w:fill="CCEEFF"/>
          </w:tcPr>
          <w:p>
            <w:pPr>
              <w:jc w:val="right"/>
              <w:ind w:right="124"/>
              <w:spacing w:after="0"/>
              <w:rPr>
                <w:sz w:val="20"/>
                <w:szCs w:val="20"/>
                <w:color w:val="auto"/>
              </w:rPr>
            </w:pPr>
            <w:r>
              <w:rPr>
                <w:rFonts w:ascii="Arial" w:cs="Arial" w:eastAsia="Arial" w:hAnsi="Arial"/>
                <w:sz w:val="17"/>
                <w:szCs w:val="17"/>
                <w:color w:val="auto"/>
              </w:rPr>
              <w:t>2.1</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220" w:type="dxa"/>
            <w:vAlign w:val="bottom"/>
          </w:tcPr>
          <w:p>
            <w:pPr>
              <w:spacing w:after="0"/>
              <w:rPr>
                <w:sz w:val="19"/>
                <w:szCs w:val="19"/>
                <w:color w:val="auto"/>
              </w:rPr>
            </w:pPr>
          </w:p>
        </w:tc>
        <w:tc>
          <w:tcPr>
            <w:tcW w:w="4060" w:type="dxa"/>
            <w:vAlign w:val="bottom"/>
            <w:gridSpan w:val="3"/>
          </w:tcPr>
          <w:p>
            <w:pPr>
              <w:spacing w:after="0"/>
              <w:rPr>
                <w:sz w:val="20"/>
                <w:szCs w:val="20"/>
                <w:color w:val="auto"/>
              </w:rPr>
            </w:pPr>
            <w:r>
              <w:rPr>
                <w:rFonts w:ascii="Arial" w:cs="Arial" w:eastAsia="Arial" w:hAnsi="Arial"/>
                <w:sz w:val="17"/>
                <w:szCs w:val="17"/>
                <w:color w:val="auto"/>
              </w:rPr>
              <w:t>Government</w:t>
            </w:r>
          </w:p>
        </w:tc>
        <w:tc>
          <w:tcPr>
            <w:tcW w:w="2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tcBorders>
              <w:bottom w:val="single" w:sz="8" w:color="auto"/>
            </w:tcBorders>
            <w:gridSpan w:val="3"/>
          </w:tcPr>
          <w:p>
            <w:pPr>
              <w:jc w:val="right"/>
              <w:ind w:right="180"/>
              <w:spacing w:after="0"/>
              <w:rPr>
                <w:sz w:val="20"/>
                <w:szCs w:val="20"/>
                <w:color w:val="auto"/>
              </w:rPr>
            </w:pPr>
            <w:r>
              <w:rPr>
                <w:rFonts w:ascii="Arial" w:cs="Arial" w:eastAsia="Arial" w:hAnsi="Arial"/>
                <w:sz w:val="17"/>
                <w:szCs w:val="17"/>
                <w:color w:val="auto"/>
              </w:rPr>
              <w:t>—</w:t>
            </w:r>
          </w:p>
        </w:tc>
        <w:tc>
          <w:tcPr>
            <w:tcW w:w="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tcBorders>
              <w:bottom w:val="single" w:sz="8" w:color="auto"/>
            </w:tcBorders>
          </w:tcPr>
          <w:p>
            <w:pPr>
              <w:jc w:val="right"/>
              <w:ind w:right="124"/>
              <w:spacing w:after="0"/>
              <w:rPr>
                <w:sz w:val="20"/>
                <w:szCs w:val="20"/>
                <w:color w:val="auto"/>
              </w:rPr>
            </w:pPr>
            <w:r>
              <w:rPr>
                <w:rFonts w:ascii="Arial" w:cs="Arial" w:eastAsia="Arial" w:hAnsi="Arial"/>
                <w:sz w:val="17"/>
                <w:szCs w:val="17"/>
                <w:color w:val="auto"/>
              </w:rPr>
              <w:t>0.1</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220" w:type="dxa"/>
            <w:vAlign w:val="bottom"/>
          </w:tcPr>
          <w:p>
            <w:pPr>
              <w:spacing w:after="0"/>
              <w:rPr>
                <w:sz w:val="21"/>
                <w:szCs w:val="21"/>
                <w:color w:val="auto"/>
              </w:rPr>
            </w:pPr>
          </w:p>
        </w:tc>
        <w:tc>
          <w:tcPr>
            <w:tcW w:w="4060" w:type="dxa"/>
            <w:vAlign w:val="bottom"/>
            <w:gridSpan w:val="3"/>
            <w:shd w:val="clear" w:color="auto" w:fill="CCEEFF"/>
          </w:tcPr>
          <w:p>
            <w:pPr>
              <w:ind w:left="120"/>
              <w:spacing w:after="0"/>
              <w:rPr>
                <w:sz w:val="20"/>
                <w:szCs w:val="20"/>
                <w:color w:val="auto"/>
              </w:rPr>
            </w:pPr>
            <w:r>
              <w:rPr>
                <w:rFonts w:ascii="Arial" w:cs="Arial" w:eastAsia="Arial" w:hAnsi="Arial"/>
                <w:sz w:val="17"/>
                <w:szCs w:val="17"/>
                <w:color w:val="auto"/>
              </w:rPr>
              <w:t>Total</w:t>
            </w:r>
          </w:p>
        </w:tc>
        <w:tc>
          <w:tcPr>
            <w:tcW w:w="28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420" w:type="dxa"/>
            <w:vAlign w:val="bottom"/>
            <w:gridSpan w:val="5"/>
            <w:shd w:val="clear" w:color="auto" w:fill="CCEEFF"/>
          </w:tcPr>
          <w:p>
            <w:pPr>
              <w:jc w:val="right"/>
              <w:spacing w:after="0"/>
              <w:rPr>
                <w:sz w:val="20"/>
                <w:szCs w:val="20"/>
                <w:color w:val="auto"/>
              </w:rPr>
            </w:pPr>
            <w:r>
              <w:rPr>
                <w:rFonts w:ascii="Arial" w:cs="Arial" w:eastAsia="Arial" w:hAnsi="Arial"/>
                <w:sz w:val="17"/>
                <w:szCs w:val="17"/>
                <w:color w:val="auto"/>
              </w:rPr>
              <w:t>100.0 %</w:t>
            </w:r>
          </w:p>
        </w:tc>
        <w:tc>
          <w:tcPr>
            <w:tcW w:w="148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100.0 %</w:t>
            </w:r>
          </w:p>
        </w:tc>
        <w:tc>
          <w:tcPr>
            <w:tcW w:w="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1960" w:type="dxa"/>
            <w:vAlign w:val="bottom"/>
            <w:tcBorders>
              <w:top w:val="single" w:sz="8" w:color="CCEEFF"/>
            </w:tcBorders>
          </w:tcPr>
          <w:p>
            <w:pPr>
              <w:spacing w:after="0" w:line="20" w:lineRule="exact"/>
              <w:rPr>
                <w:sz w:val="1"/>
                <w:szCs w:val="1"/>
                <w:color w:val="auto"/>
              </w:rPr>
            </w:pPr>
          </w:p>
        </w:tc>
        <w:tc>
          <w:tcPr>
            <w:tcW w:w="20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68580</wp:posOffset>
            </wp:positionV>
            <wp:extent cx="7162800" cy="4191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7" w:name="page48"/>
    <w:bookmarkEnd w:id="47"/>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Investments Available for Sale by Rating</w:t>
      </w:r>
    </w:p>
    <w:p>
      <w:pPr>
        <w:spacing w:after="0" w:line="34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020" w:type="dxa"/>
            <w:vAlign w:val="bottom"/>
            <w:gridSpan w:val="3"/>
          </w:tcPr>
          <w:p>
            <w:pPr>
              <w:ind w:left="20"/>
              <w:spacing w:after="0"/>
              <w:rPr>
                <w:sz w:val="20"/>
                <w:szCs w:val="20"/>
                <w:color w:val="auto"/>
              </w:rPr>
            </w:pPr>
            <w:r>
              <w:rPr>
                <w:rFonts w:ascii="Arial" w:cs="Arial" w:eastAsia="Arial" w:hAnsi="Arial"/>
                <w:sz w:val="14"/>
                <w:szCs w:val="14"/>
                <w:b w:val="1"/>
                <w:bCs w:val="1"/>
                <w:color w:val="auto"/>
              </w:rPr>
              <w:t>Rating (1)</w:t>
            </w:r>
          </w:p>
        </w:tc>
        <w:tc>
          <w:tcPr>
            <w:tcW w:w="320" w:type="dxa"/>
            <w:vAlign w:val="bottom"/>
            <w:tcBorders>
              <w:bottom w:val="single" w:sz="8" w:color="auto"/>
            </w:tcBorders>
          </w:tcPr>
          <w:p>
            <w:pPr>
              <w:spacing w:after="0"/>
              <w:rPr>
                <w:sz w:val="16"/>
                <w:szCs w:val="16"/>
                <w:color w:val="auto"/>
              </w:rPr>
            </w:pPr>
          </w:p>
        </w:tc>
        <w:tc>
          <w:tcPr>
            <w:tcW w:w="2000" w:type="dxa"/>
            <w:vAlign w:val="bottom"/>
            <w:tcBorders>
              <w:bottom w:val="single" w:sz="8" w:color="auto"/>
            </w:tcBorders>
            <w:gridSpan w:val="3"/>
          </w:tcPr>
          <w:p>
            <w:pPr>
              <w:ind w:left="1060"/>
              <w:spacing w:after="0"/>
              <w:rPr>
                <w:sz w:val="20"/>
                <w:szCs w:val="20"/>
                <w:color w:val="auto"/>
              </w:rPr>
            </w:pPr>
            <w:r>
              <w:rPr>
                <w:rFonts w:ascii="Arial" w:cs="Arial" w:eastAsia="Arial" w:hAnsi="Arial"/>
                <w:sz w:val="14"/>
                <w:szCs w:val="14"/>
                <w:b w:val="1"/>
                <w:bCs w:val="1"/>
                <w:color w:val="auto"/>
              </w:rPr>
              <w:t>June 30, 2023</w:t>
            </w:r>
          </w:p>
        </w:tc>
        <w:tc>
          <w:tcPr>
            <w:tcW w:w="12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060" w:type="dxa"/>
            <w:vAlign w:val="bottom"/>
            <w:tcBorders>
              <w:bottom w:val="single" w:sz="8" w:color="auto"/>
            </w:tcBorders>
            <w:gridSpan w:val="3"/>
          </w:tcPr>
          <w:p>
            <w:pPr>
              <w:ind w:left="900"/>
              <w:spacing w:after="0"/>
              <w:rPr>
                <w:sz w:val="20"/>
                <w:szCs w:val="20"/>
                <w:color w:val="auto"/>
              </w:rPr>
            </w:pPr>
            <w:r>
              <w:rPr>
                <w:rFonts w:ascii="Arial" w:cs="Arial" w:eastAsia="Arial" w:hAnsi="Arial"/>
                <w:sz w:val="14"/>
                <w:szCs w:val="14"/>
                <w:b w:val="1"/>
                <w:bCs w:val="1"/>
                <w:color w:val="auto"/>
                <w:w w:val="90"/>
              </w:rPr>
              <w:t>December 31, 2022</w:t>
            </w:r>
          </w:p>
        </w:tc>
        <w:tc>
          <w:tcPr>
            <w:tcW w:w="1180" w:type="dxa"/>
            <w:vAlign w:val="bottom"/>
            <w:tcBorders>
              <w:bottom w:val="single" w:sz="8" w:color="auto"/>
            </w:tcBorders>
          </w:tcPr>
          <w:p>
            <w:pPr>
              <w:spacing w:after="0"/>
              <w:rPr>
                <w:sz w:val="16"/>
                <w:szCs w:val="16"/>
                <w:color w:val="auto"/>
              </w:rPr>
            </w:pPr>
          </w:p>
        </w:tc>
      </w:tr>
      <w:tr>
        <w:trPr>
          <w:trHeight w:val="188"/>
        </w:trPr>
        <w:tc>
          <w:tcPr>
            <w:tcW w:w="392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 in thousands)</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436"/>
              <w:spacing w:after="0"/>
              <w:rPr>
                <w:sz w:val="20"/>
                <w:szCs w:val="20"/>
                <w:color w:val="auto"/>
              </w:rPr>
            </w:pPr>
            <w:r>
              <w:rPr>
                <w:rFonts w:ascii="Arial" w:cs="Arial" w:eastAsia="Arial" w:hAnsi="Arial"/>
                <w:sz w:val="14"/>
                <w:szCs w:val="14"/>
                <w:b w:val="1"/>
                <w:bCs w:val="1"/>
                <w:color w:val="auto"/>
              </w:rPr>
              <w:t>Fair Value</w:t>
            </w:r>
          </w:p>
        </w:tc>
        <w:tc>
          <w:tcPr>
            <w:tcW w:w="120" w:type="dxa"/>
            <w:vAlign w:val="bottom"/>
            <w:tcBorders>
              <w:bottom w:val="single" w:sz="8" w:color="CCEEFF"/>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95"/>
              <w:spacing w:after="0"/>
              <w:rPr>
                <w:sz w:val="20"/>
                <w:szCs w:val="20"/>
                <w:color w:val="auto"/>
              </w:rPr>
            </w:pPr>
            <w:r>
              <w:rPr>
                <w:rFonts w:ascii="Arial" w:cs="Arial" w:eastAsia="Arial" w:hAnsi="Arial"/>
                <w:sz w:val="14"/>
                <w:szCs w:val="14"/>
                <w:b w:val="1"/>
                <w:bCs w:val="1"/>
                <w:color w:val="auto"/>
              </w:rPr>
              <w:t>Percent</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436"/>
              <w:spacing w:after="0"/>
              <w:rPr>
                <w:sz w:val="20"/>
                <w:szCs w:val="20"/>
                <w:color w:val="auto"/>
              </w:rPr>
            </w:pPr>
            <w:r>
              <w:rPr>
                <w:rFonts w:ascii="Arial" w:cs="Arial" w:eastAsia="Arial" w:hAnsi="Arial"/>
                <w:sz w:val="14"/>
                <w:szCs w:val="14"/>
                <w:b w:val="1"/>
                <w:bCs w:val="1"/>
                <w:color w:val="auto"/>
              </w:rPr>
              <w:t>Fair Value</w:t>
            </w:r>
          </w:p>
        </w:tc>
        <w:tc>
          <w:tcPr>
            <w:tcW w:w="100" w:type="dxa"/>
            <w:vAlign w:val="bottom"/>
            <w:tcBorders>
              <w:bottom w:val="single" w:sz="8" w:color="CCEEFF"/>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95"/>
              <w:spacing w:after="0"/>
              <w:rPr>
                <w:sz w:val="20"/>
                <w:szCs w:val="20"/>
                <w:color w:val="auto"/>
              </w:rPr>
            </w:pPr>
            <w:r>
              <w:rPr>
                <w:rFonts w:ascii="Arial" w:cs="Arial" w:eastAsia="Arial" w:hAnsi="Arial"/>
                <w:sz w:val="14"/>
                <w:szCs w:val="14"/>
                <w:b w:val="1"/>
                <w:bCs w:val="1"/>
                <w:color w:val="auto"/>
                <w:w w:val="93"/>
              </w:rPr>
              <w:t>Percent</w:t>
            </w:r>
          </w:p>
        </w:tc>
      </w:tr>
      <w:tr>
        <w:trPr>
          <w:trHeight w:val="221"/>
        </w:trPr>
        <w:tc>
          <w:tcPr>
            <w:tcW w:w="4020" w:type="dxa"/>
            <w:vAlign w:val="bottom"/>
            <w:gridSpan w:val="3"/>
            <w:shd w:val="clear" w:color="auto" w:fill="CCEEFF"/>
          </w:tcPr>
          <w:p>
            <w:pPr>
              <w:ind w:left="20"/>
              <w:spacing w:after="0"/>
              <w:rPr>
                <w:sz w:val="20"/>
                <w:szCs w:val="20"/>
                <w:color w:val="auto"/>
              </w:rPr>
            </w:pPr>
            <w:r>
              <w:rPr>
                <w:rFonts w:ascii="Arial" w:cs="Arial" w:eastAsia="Arial" w:hAnsi="Arial"/>
                <w:sz w:val="17"/>
                <w:szCs w:val="17"/>
                <w:color w:val="auto"/>
              </w:rPr>
              <w:t>Aaa</w:t>
            </w:r>
          </w:p>
        </w:tc>
        <w:tc>
          <w:tcPr>
            <w:tcW w:w="320" w:type="dxa"/>
            <w:vAlign w:val="bottom"/>
            <w:shd w:val="clear" w:color="auto" w:fill="CCEEFF"/>
          </w:tcPr>
          <w:p>
            <w:pPr>
              <w:jc w:val="right"/>
              <w:ind w:right="113"/>
              <w:spacing w:after="0"/>
              <w:rPr>
                <w:sz w:val="20"/>
                <w:szCs w:val="20"/>
                <w:color w:val="auto"/>
              </w:rPr>
            </w:pPr>
            <w:r>
              <w:rPr>
                <w:rFonts w:ascii="Arial" w:cs="Arial" w:eastAsia="Arial" w:hAnsi="Arial"/>
                <w:sz w:val="17"/>
                <w:szCs w:val="17"/>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2,251,533</w:t>
            </w: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48.9 %</w:t>
            </w:r>
          </w:p>
        </w:tc>
        <w:tc>
          <w:tcPr>
            <w:tcW w:w="4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2,122,599</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46.2 %</w:t>
            </w:r>
          </w:p>
        </w:tc>
      </w:tr>
      <w:tr>
        <w:trPr>
          <w:trHeight w:val="227"/>
        </w:trPr>
        <w:tc>
          <w:tcPr>
            <w:tcW w:w="4020" w:type="dxa"/>
            <w:vAlign w:val="bottom"/>
            <w:gridSpan w:val="3"/>
          </w:tcPr>
          <w:p>
            <w:pPr>
              <w:ind w:left="20"/>
              <w:spacing w:after="0"/>
              <w:rPr>
                <w:sz w:val="20"/>
                <w:szCs w:val="20"/>
                <w:color w:val="auto"/>
              </w:rPr>
            </w:pPr>
            <w:r>
              <w:rPr>
                <w:rFonts w:ascii="Arial" w:cs="Arial" w:eastAsia="Arial" w:hAnsi="Arial"/>
                <w:sz w:val="17"/>
                <w:szCs w:val="17"/>
                <w:color w:val="auto"/>
              </w:rPr>
              <w:t>Aa1</w:t>
            </w:r>
          </w:p>
        </w:tc>
        <w:tc>
          <w:tcPr>
            <w:tcW w:w="3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113,007</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40" w:type="dxa"/>
            <w:vAlign w:val="bottom"/>
          </w:tcPr>
          <w:p>
            <w:pPr>
              <w:jc w:val="right"/>
              <w:ind w:right="155"/>
              <w:spacing w:after="0"/>
              <w:rPr>
                <w:sz w:val="20"/>
                <w:szCs w:val="20"/>
                <w:color w:val="auto"/>
              </w:rPr>
            </w:pPr>
            <w:r>
              <w:rPr>
                <w:rFonts w:ascii="Arial" w:cs="Arial" w:eastAsia="Arial" w:hAnsi="Arial"/>
                <w:sz w:val="17"/>
                <w:szCs w:val="17"/>
                <w:color w:val="auto"/>
              </w:rPr>
              <w:t>2.5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111,262</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180" w:type="dxa"/>
            <w:vAlign w:val="bottom"/>
          </w:tcPr>
          <w:p>
            <w:pPr>
              <w:jc w:val="right"/>
              <w:ind w:right="155"/>
              <w:spacing w:after="0"/>
              <w:rPr>
                <w:sz w:val="20"/>
                <w:szCs w:val="20"/>
                <w:color w:val="auto"/>
              </w:rPr>
            </w:pPr>
            <w:r>
              <w:rPr>
                <w:rFonts w:ascii="Arial" w:cs="Arial" w:eastAsia="Arial" w:hAnsi="Arial"/>
                <w:sz w:val="17"/>
                <w:szCs w:val="17"/>
                <w:color w:val="auto"/>
              </w:rPr>
              <w:t>2.4</w:t>
            </w:r>
          </w:p>
        </w:tc>
      </w:tr>
      <w:tr>
        <w:trPr>
          <w:trHeight w:val="227"/>
        </w:trPr>
        <w:tc>
          <w:tcPr>
            <w:tcW w:w="4020" w:type="dxa"/>
            <w:vAlign w:val="bottom"/>
            <w:gridSpan w:val="3"/>
            <w:shd w:val="clear" w:color="auto" w:fill="CCEEFF"/>
          </w:tcPr>
          <w:p>
            <w:pPr>
              <w:ind w:left="20"/>
              <w:spacing w:after="0"/>
              <w:rPr>
                <w:sz w:val="20"/>
                <w:szCs w:val="20"/>
                <w:color w:val="auto"/>
              </w:rPr>
            </w:pPr>
            <w:r>
              <w:rPr>
                <w:rFonts w:ascii="Arial" w:cs="Arial" w:eastAsia="Arial" w:hAnsi="Arial"/>
                <w:sz w:val="17"/>
                <w:szCs w:val="17"/>
                <w:color w:val="auto"/>
              </w:rPr>
              <w:t>Aa2</w:t>
            </w:r>
          </w:p>
        </w:tc>
        <w:tc>
          <w:tcPr>
            <w:tcW w:w="3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305,630</w:t>
            </w: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55"/>
              <w:spacing w:after="0"/>
              <w:rPr>
                <w:sz w:val="20"/>
                <w:szCs w:val="20"/>
                <w:color w:val="auto"/>
              </w:rPr>
            </w:pPr>
            <w:r>
              <w:rPr>
                <w:rFonts w:ascii="Arial" w:cs="Arial" w:eastAsia="Arial" w:hAnsi="Arial"/>
                <w:sz w:val="17"/>
                <w:szCs w:val="17"/>
                <w:color w:val="auto"/>
              </w:rPr>
              <w:t>6.6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325,241</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55"/>
              <w:spacing w:after="0"/>
              <w:rPr>
                <w:sz w:val="20"/>
                <w:szCs w:val="20"/>
                <w:color w:val="auto"/>
              </w:rPr>
            </w:pPr>
            <w:r>
              <w:rPr>
                <w:rFonts w:ascii="Arial" w:cs="Arial" w:eastAsia="Arial" w:hAnsi="Arial"/>
                <w:sz w:val="17"/>
                <w:szCs w:val="17"/>
                <w:color w:val="auto"/>
              </w:rPr>
              <w:t>7.1</w:t>
            </w:r>
          </w:p>
        </w:tc>
      </w:tr>
      <w:tr>
        <w:trPr>
          <w:trHeight w:val="221"/>
        </w:trPr>
        <w:tc>
          <w:tcPr>
            <w:tcW w:w="4020" w:type="dxa"/>
            <w:vAlign w:val="bottom"/>
            <w:gridSpan w:val="3"/>
          </w:tcPr>
          <w:p>
            <w:pPr>
              <w:ind w:left="20"/>
              <w:spacing w:after="0"/>
              <w:rPr>
                <w:sz w:val="20"/>
                <w:szCs w:val="20"/>
                <w:color w:val="auto"/>
              </w:rPr>
            </w:pPr>
            <w:r>
              <w:rPr>
                <w:rFonts w:ascii="Arial" w:cs="Arial" w:eastAsia="Arial" w:hAnsi="Arial"/>
                <w:sz w:val="17"/>
                <w:szCs w:val="17"/>
                <w:color w:val="auto"/>
              </w:rPr>
              <w:t>Aa3</w:t>
            </w:r>
          </w:p>
        </w:tc>
        <w:tc>
          <w:tcPr>
            <w:tcW w:w="3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230,676</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40" w:type="dxa"/>
            <w:vAlign w:val="bottom"/>
          </w:tcPr>
          <w:p>
            <w:pPr>
              <w:jc w:val="right"/>
              <w:ind w:right="155"/>
              <w:spacing w:after="0"/>
              <w:rPr>
                <w:sz w:val="20"/>
                <w:szCs w:val="20"/>
                <w:color w:val="auto"/>
              </w:rPr>
            </w:pPr>
            <w:r>
              <w:rPr>
                <w:rFonts w:ascii="Arial" w:cs="Arial" w:eastAsia="Arial" w:hAnsi="Arial"/>
                <w:sz w:val="17"/>
                <w:szCs w:val="17"/>
                <w:color w:val="auto"/>
              </w:rPr>
              <w:t>5.0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232,500</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180" w:type="dxa"/>
            <w:vAlign w:val="bottom"/>
          </w:tcPr>
          <w:p>
            <w:pPr>
              <w:jc w:val="right"/>
              <w:ind w:right="155"/>
              <w:spacing w:after="0"/>
              <w:rPr>
                <w:sz w:val="20"/>
                <w:szCs w:val="20"/>
                <w:color w:val="auto"/>
              </w:rPr>
            </w:pPr>
            <w:r>
              <w:rPr>
                <w:rFonts w:ascii="Arial" w:cs="Arial" w:eastAsia="Arial" w:hAnsi="Arial"/>
                <w:sz w:val="17"/>
                <w:szCs w:val="17"/>
                <w:color w:val="auto"/>
              </w:rPr>
              <w:t>5.0</w:t>
            </w:r>
          </w:p>
        </w:tc>
      </w:tr>
      <w:tr>
        <w:trPr>
          <w:trHeight w:val="234"/>
        </w:trPr>
        <w:tc>
          <w:tcPr>
            <w:tcW w:w="4020" w:type="dxa"/>
            <w:vAlign w:val="bottom"/>
            <w:gridSpan w:val="3"/>
            <w:shd w:val="clear" w:color="auto" w:fill="CCEEFF"/>
          </w:tcPr>
          <w:p>
            <w:pPr>
              <w:ind w:left="20"/>
              <w:spacing w:after="0"/>
              <w:rPr>
                <w:sz w:val="20"/>
                <w:szCs w:val="20"/>
                <w:color w:val="auto"/>
              </w:rPr>
            </w:pPr>
            <w:r>
              <w:rPr>
                <w:rFonts w:ascii="Arial" w:cs="Arial" w:eastAsia="Arial" w:hAnsi="Arial"/>
                <w:sz w:val="17"/>
                <w:szCs w:val="17"/>
                <w:color w:val="auto"/>
              </w:rPr>
              <w:t>A1</w:t>
            </w:r>
          </w:p>
        </w:tc>
        <w:tc>
          <w:tcPr>
            <w:tcW w:w="320" w:type="dxa"/>
            <w:vAlign w:val="bottom"/>
            <w:shd w:val="clear" w:color="auto" w:fill="CCEEFF"/>
          </w:tcPr>
          <w:p>
            <w:pPr>
              <w:spacing w:after="0"/>
              <w:rPr>
                <w:sz w:val="20"/>
                <w:szCs w:val="20"/>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401,624</w:t>
            </w:r>
          </w:p>
        </w:tc>
        <w:tc>
          <w:tcPr>
            <w:tcW w:w="12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1240" w:type="dxa"/>
            <w:vAlign w:val="bottom"/>
            <w:shd w:val="clear" w:color="auto" w:fill="CCEEFF"/>
          </w:tcPr>
          <w:p>
            <w:pPr>
              <w:jc w:val="right"/>
              <w:ind w:right="155"/>
              <w:spacing w:after="0"/>
              <w:rPr>
                <w:sz w:val="20"/>
                <w:szCs w:val="20"/>
                <w:color w:val="auto"/>
              </w:rPr>
            </w:pPr>
            <w:r>
              <w:rPr>
                <w:rFonts w:ascii="Arial" w:cs="Arial" w:eastAsia="Arial" w:hAnsi="Arial"/>
                <w:sz w:val="17"/>
                <w:szCs w:val="17"/>
                <w:color w:val="auto"/>
              </w:rPr>
              <w:t>8.7</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396,095</w:t>
            </w:r>
          </w:p>
        </w:tc>
        <w:tc>
          <w:tcPr>
            <w:tcW w:w="10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1180" w:type="dxa"/>
            <w:vAlign w:val="bottom"/>
            <w:shd w:val="clear" w:color="auto" w:fill="CCEEFF"/>
          </w:tcPr>
          <w:p>
            <w:pPr>
              <w:jc w:val="right"/>
              <w:ind w:right="155"/>
              <w:spacing w:after="0"/>
              <w:rPr>
                <w:sz w:val="20"/>
                <w:szCs w:val="20"/>
                <w:color w:val="auto"/>
              </w:rPr>
            </w:pPr>
            <w:r>
              <w:rPr>
                <w:rFonts w:ascii="Arial" w:cs="Arial" w:eastAsia="Arial" w:hAnsi="Arial"/>
                <w:sz w:val="17"/>
                <w:szCs w:val="17"/>
                <w:color w:val="auto"/>
              </w:rPr>
              <w:t>8.6</w:t>
            </w:r>
          </w:p>
        </w:tc>
      </w:tr>
      <w:tr>
        <w:trPr>
          <w:trHeight w:val="221"/>
        </w:trPr>
        <w:tc>
          <w:tcPr>
            <w:tcW w:w="4020" w:type="dxa"/>
            <w:vAlign w:val="bottom"/>
            <w:gridSpan w:val="3"/>
          </w:tcPr>
          <w:p>
            <w:pPr>
              <w:ind w:left="20"/>
              <w:spacing w:after="0"/>
              <w:rPr>
                <w:sz w:val="20"/>
                <w:szCs w:val="20"/>
                <w:color w:val="auto"/>
              </w:rPr>
            </w:pPr>
            <w:r>
              <w:rPr>
                <w:rFonts w:ascii="Arial" w:cs="Arial" w:eastAsia="Arial" w:hAnsi="Arial"/>
                <w:sz w:val="17"/>
                <w:szCs w:val="17"/>
                <w:color w:val="auto"/>
              </w:rPr>
              <w:t>A2</w:t>
            </w:r>
          </w:p>
        </w:tc>
        <w:tc>
          <w:tcPr>
            <w:tcW w:w="3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313,849</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40" w:type="dxa"/>
            <w:vAlign w:val="bottom"/>
          </w:tcPr>
          <w:p>
            <w:pPr>
              <w:jc w:val="right"/>
              <w:ind w:right="155"/>
              <w:spacing w:after="0"/>
              <w:rPr>
                <w:sz w:val="20"/>
                <w:szCs w:val="20"/>
                <w:color w:val="auto"/>
              </w:rPr>
            </w:pPr>
            <w:r>
              <w:rPr>
                <w:rFonts w:ascii="Arial" w:cs="Arial" w:eastAsia="Arial" w:hAnsi="Arial"/>
                <w:sz w:val="17"/>
                <w:szCs w:val="17"/>
                <w:color w:val="auto"/>
              </w:rPr>
              <w:t>6.8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410,163</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180" w:type="dxa"/>
            <w:vAlign w:val="bottom"/>
          </w:tcPr>
          <w:p>
            <w:pPr>
              <w:jc w:val="right"/>
              <w:ind w:right="155"/>
              <w:spacing w:after="0"/>
              <w:rPr>
                <w:sz w:val="20"/>
                <w:szCs w:val="20"/>
                <w:color w:val="auto"/>
              </w:rPr>
            </w:pPr>
            <w:r>
              <w:rPr>
                <w:rFonts w:ascii="Arial" w:cs="Arial" w:eastAsia="Arial" w:hAnsi="Arial"/>
                <w:sz w:val="17"/>
                <w:szCs w:val="17"/>
                <w:color w:val="auto"/>
              </w:rPr>
              <w:t>8.9</w:t>
            </w:r>
          </w:p>
        </w:tc>
      </w:tr>
      <w:tr>
        <w:trPr>
          <w:trHeight w:val="221"/>
        </w:trPr>
        <w:tc>
          <w:tcPr>
            <w:tcW w:w="4020" w:type="dxa"/>
            <w:vAlign w:val="bottom"/>
            <w:gridSpan w:val="3"/>
            <w:shd w:val="clear" w:color="auto" w:fill="CCEEFF"/>
          </w:tcPr>
          <w:p>
            <w:pPr>
              <w:ind w:left="20"/>
              <w:spacing w:after="0"/>
              <w:rPr>
                <w:sz w:val="20"/>
                <w:szCs w:val="20"/>
                <w:color w:val="auto"/>
              </w:rPr>
            </w:pPr>
            <w:r>
              <w:rPr>
                <w:rFonts w:ascii="Arial" w:cs="Arial" w:eastAsia="Arial" w:hAnsi="Arial"/>
                <w:sz w:val="17"/>
                <w:szCs w:val="17"/>
                <w:color w:val="auto"/>
              </w:rPr>
              <w:t>A3</w:t>
            </w:r>
          </w:p>
        </w:tc>
        <w:tc>
          <w:tcPr>
            <w:tcW w:w="3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263,496</w:t>
            </w: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55"/>
              <w:spacing w:after="0"/>
              <w:rPr>
                <w:sz w:val="20"/>
                <w:szCs w:val="20"/>
                <w:color w:val="auto"/>
              </w:rPr>
            </w:pPr>
            <w:r>
              <w:rPr>
                <w:rFonts w:ascii="Arial" w:cs="Arial" w:eastAsia="Arial" w:hAnsi="Arial"/>
                <w:sz w:val="17"/>
                <w:szCs w:val="17"/>
                <w:color w:val="auto"/>
              </w:rPr>
              <w:t>5.7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268,928</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55"/>
              <w:spacing w:after="0"/>
              <w:rPr>
                <w:sz w:val="20"/>
                <w:szCs w:val="20"/>
                <w:color w:val="auto"/>
              </w:rPr>
            </w:pPr>
            <w:r>
              <w:rPr>
                <w:rFonts w:ascii="Arial" w:cs="Arial" w:eastAsia="Arial" w:hAnsi="Arial"/>
                <w:sz w:val="17"/>
                <w:szCs w:val="17"/>
                <w:color w:val="auto"/>
              </w:rPr>
              <w:t>5.8</w:t>
            </w:r>
          </w:p>
        </w:tc>
      </w:tr>
      <w:tr>
        <w:trPr>
          <w:trHeight w:val="227"/>
        </w:trPr>
        <w:tc>
          <w:tcPr>
            <w:tcW w:w="4020" w:type="dxa"/>
            <w:vAlign w:val="bottom"/>
            <w:gridSpan w:val="3"/>
          </w:tcPr>
          <w:p>
            <w:pPr>
              <w:ind w:left="20"/>
              <w:spacing w:after="0"/>
              <w:rPr>
                <w:sz w:val="20"/>
                <w:szCs w:val="20"/>
                <w:color w:val="auto"/>
              </w:rPr>
            </w:pPr>
            <w:r>
              <w:rPr>
                <w:rFonts w:ascii="Arial" w:cs="Arial" w:eastAsia="Arial" w:hAnsi="Arial"/>
                <w:sz w:val="17"/>
                <w:szCs w:val="17"/>
                <w:color w:val="auto"/>
              </w:rPr>
              <w:t>Baa1</w:t>
            </w:r>
          </w:p>
        </w:tc>
        <w:tc>
          <w:tcPr>
            <w:tcW w:w="3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237,699</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40" w:type="dxa"/>
            <w:vAlign w:val="bottom"/>
          </w:tcPr>
          <w:p>
            <w:pPr>
              <w:jc w:val="right"/>
              <w:ind w:right="155"/>
              <w:spacing w:after="0"/>
              <w:rPr>
                <w:sz w:val="20"/>
                <w:szCs w:val="20"/>
                <w:color w:val="auto"/>
              </w:rPr>
            </w:pPr>
            <w:r>
              <w:rPr>
                <w:rFonts w:ascii="Arial" w:cs="Arial" w:eastAsia="Arial" w:hAnsi="Arial"/>
                <w:sz w:val="17"/>
                <w:szCs w:val="17"/>
                <w:color w:val="auto"/>
              </w:rPr>
              <w:t>5.2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236,793</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180" w:type="dxa"/>
            <w:vAlign w:val="bottom"/>
          </w:tcPr>
          <w:p>
            <w:pPr>
              <w:jc w:val="right"/>
              <w:ind w:right="155"/>
              <w:spacing w:after="0"/>
              <w:rPr>
                <w:sz w:val="20"/>
                <w:szCs w:val="20"/>
                <w:color w:val="auto"/>
              </w:rPr>
            </w:pPr>
            <w:r>
              <w:rPr>
                <w:rFonts w:ascii="Arial" w:cs="Arial" w:eastAsia="Arial" w:hAnsi="Arial"/>
                <w:sz w:val="17"/>
                <w:szCs w:val="17"/>
                <w:color w:val="auto"/>
              </w:rPr>
              <w:t>5.1</w:t>
            </w:r>
          </w:p>
        </w:tc>
      </w:tr>
      <w:tr>
        <w:trPr>
          <w:trHeight w:val="227"/>
        </w:trPr>
        <w:tc>
          <w:tcPr>
            <w:tcW w:w="4020" w:type="dxa"/>
            <w:vAlign w:val="bottom"/>
            <w:gridSpan w:val="3"/>
            <w:shd w:val="clear" w:color="auto" w:fill="CCEEFF"/>
          </w:tcPr>
          <w:p>
            <w:pPr>
              <w:ind w:left="20"/>
              <w:spacing w:after="0"/>
              <w:rPr>
                <w:sz w:val="20"/>
                <w:szCs w:val="20"/>
                <w:color w:val="auto"/>
              </w:rPr>
            </w:pPr>
            <w:r>
              <w:rPr>
                <w:rFonts w:ascii="Arial" w:cs="Arial" w:eastAsia="Arial" w:hAnsi="Arial"/>
                <w:sz w:val="17"/>
                <w:szCs w:val="17"/>
                <w:color w:val="auto"/>
              </w:rPr>
              <w:t>Baa2</w:t>
            </w:r>
          </w:p>
        </w:tc>
        <w:tc>
          <w:tcPr>
            <w:tcW w:w="3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241,926</w:t>
            </w: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55"/>
              <w:spacing w:after="0"/>
              <w:rPr>
                <w:sz w:val="20"/>
                <w:szCs w:val="20"/>
                <w:color w:val="auto"/>
              </w:rPr>
            </w:pPr>
            <w:r>
              <w:rPr>
                <w:rFonts w:ascii="Arial" w:cs="Arial" w:eastAsia="Arial" w:hAnsi="Arial"/>
                <w:sz w:val="17"/>
                <w:szCs w:val="17"/>
                <w:color w:val="auto"/>
              </w:rPr>
              <w:t>5.2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221,308</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55"/>
              <w:spacing w:after="0"/>
              <w:rPr>
                <w:sz w:val="20"/>
                <w:szCs w:val="20"/>
                <w:color w:val="auto"/>
              </w:rPr>
            </w:pPr>
            <w:r>
              <w:rPr>
                <w:rFonts w:ascii="Arial" w:cs="Arial" w:eastAsia="Arial" w:hAnsi="Arial"/>
                <w:sz w:val="17"/>
                <w:szCs w:val="17"/>
                <w:color w:val="auto"/>
              </w:rPr>
              <w:t>4.8</w:t>
            </w:r>
          </w:p>
        </w:tc>
      </w:tr>
      <w:tr>
        <w:trPr>
          <w:trHeight w:val="221"/>
        </w:trPr>
        <w:tc>
          <w:tcPr>
            <w:tcW w:w="4020" w:type="dxa"/>
            <w:vAlign w:val="bottom"/>
            <w:gridSpan w:val="3"/>
          </w:tcPr>
          <w:p>
            <w:pPr>
              <w:ind w:left="20"/>
              <w:spacing w:after="0"/>
              <w:rPr>
                <w:sz w:val="20"/>
                <w:szCs w:val="20"/>
                <w:color w:val="auto"/>
              </w:rPr>
            </w:pPr>
            <w:r>
              <w:rPr>
                <w:rFonts w:ascii="Arial" w:cs="Arial" w:eastAsia="Arial" w:hAnsi="Arial"/>
                <w:sz w:val="17"/>
                <w:szCs w:val="17"/>
                <w:color w:val="auto"/>
              </w:rPr>
              <w:t>Baa3</w:t>
            </w:r>
          </w:p>
        </w:tc>
        <w:tc>
          <w:tcPr>
            <w:tcW w:w="3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161,797</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40" w:type="dxa"/>
            <w:vAlign w:val="bottom"/>
          </w:tcPr>
          <w:p>
            <w:pPr>
              <w:jc w:val="right"/>
              <w:ind w:right="155"/>
              <w:spacing w:after="0"/>
              <w:rPr>
                <w:sz w:val="20"/>
                <w:szCs w:val="20"/>
                <w:color w:val="auto"/>
              </w:rPr>
            </w:pPr>
            <w:r>
              <w:rPr>
                <w:rFonts w:ascii="Arial" w:cs="Arial" w:eastAsia="Arial" w:hAnsi="Arial"/>
                <w:sz w:val="17"/>
                <w:szCs w:val="17"/>
                <w:color w:val="auto"/>
              </w:rPr>
              <w:t>3.5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187,117</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180" w:type="dxa"/>
            <w:vAlign w:val="bottom"/>
          </w:tcPr>
          <w:p>
            <w:pPr>
              <w:jc w:val="right"/>
              <w:ind w:right="155"/>
              <w:spacing w:after="0"/>
              <w:rPr>
                <w:sz w:val="20"/>
                <w:szCs w:val="20"/>
                <w:color w:val="auto"/>
              </w:rPr>
            </w:pPr>
            <w:r>
              <w:rPr>
                <w:rFonts w:ascii="Arial" w:cs="Arial" w:eastAsia="Arial" w:hAnsi="Arial"/>
                <w:sz w:val="17"/>
                <w:szCs w:val="17"/>
                <w:color w:val="auto"/>
              </w:rPr>
              <w:t>4.1</w:t>
            </w:r>
          </w:p>
        </w:tc>
      </w:tr>
      <w:tr>
        <w:trPr>
          <w:trHeight w:val="221"/>
        </w:trPr>
        <w:tc>
          <w:tcPr>
            <w:tcW w:w="402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7"/>
                <w:szCs w:val="17"/>
                <w:color w:val="auto"/>
              </w:rPr>
              <w:t>Below Baa3</w:t>
            </w:r>
          </w:p>
        </w:tc>
        <w:tc>
          <w:tcPr>
            <w:tcW w:w="3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87,324</w:t>
            </w:r>
          </w:p>
        </w:tc>
        <w:tc>
          <w:tcPr>
            <w:tcW w:w="12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155"/>
              <w:spacing w:after="0"/>
              <w:rPr>
                <w:sz w:val="20"/>
                <w:szCs w:val="20"/>
                <w:color w:val="auto"/>
              </w:rPr>
            </w:pPr>
            <w:r>
              <w:rPr>
                <w:rFonts w:ascii="Arial" w:cs="Arial" w:eastAsia="Arial" w:hAnsi="Arial"/>
                <w:sz w:val="17"/>
                <w:szCs w:val="17"/>
                <w:color w:val="auto"/>
              </w:rPr>
              <w:t>1.9</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93,028</w:t>
            </w:r>
          </w:p>
        </w:tc>
        <w:tc>
          <w:tcPr>
            <w:tcW w:w="10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155"/>
              <w:spacing w:after="0"/>
              <w:rPr>
                <w:sz w:val="20"/>
                <w:szCs w:val="20"/>
                <w:color w:val="auto"/>
              </w:rPr>
            </w:pPr>
            <w:r>
              <w:rPr>
                <w:rFonts w:ascii="Arial" w:cs="Arial" w:eastAsia="Arial" w:hAnsi="Arial"/>
                <w:sz w:val="17"/>
                <w:szCs w:val="17"/>
                <w:color w:val="auto"/>
              </w:rPr>
              <w:t>2.0</w:t>
            </w:r>
          </w:p>
        </w:tc>
      </w:tr>
      <w:tr>
        <w:trPr>
          <w:trHeight w:val="214"/>
        </w:trPr>
        <w:tc>
          <w:tcPr>
            <w:tcW w:w="4020" w:type="dxa"/>
            <w:vAlign w:val="bottom"/>
            <w:gridSpan w:val="3"/>
          </w:tcPr>
          <w:p>
            <w:pPr>
              <w:ind w:left="20"/>
              <w:spacing w:after="0"/>
              <w:rPr>
                <w:sz w:val="20"/>
                <w:szCs w:val="20"/>
                <w:color w:val="auto"/>
              </w:rPr>
            </w:pPr>
            <w:r>
              <w:rPr>
                <w:rFonts w:ascii="Arial" w:cs="Arial" w:eastAsia="Arial" w:hAnsi="Arial"/>
                <w:sz w:val="17"/>
                <w:szCs w:val="17"/>
                <w:b w:val="1"/>
                <w:bCs w:val="1"/>
                <w:color w:val="auto"/>
              </w:rPr>
              <w:t>Total (2)</w:t>
            </w:r>
          </w:p>
        </w:tc>
        <w:tc>
          <w:tcPr>
            <w:tcW w:w="320" w:type="dxa"/>
            <w:vAlign w:val="bottom"/>
          </w:tcPr>
          <w:p>
            <w:pPr>
              <w:jc w:val="right"/>
              <w:ind w:right="113"/>
              <w:spacing w:after="0"/>
              <w:rPr>
                <w:sz w:val="20"/>
                <w:szCs w:val="20"/>
                <w:color w:val="auto"/>
              </w:rPr>
            </w:pPr>
            <w:r>
              <w:rPr>
                <w:rFonts w:ascii="Arial" w:cs="Arial" w:eastAsia="Arial" w:hAnsi="Arial"/>
                <w:sz w:val="17"/>
                <w:szCs w:val="17"/>
                <w:b w:val="1"/>
                <w:bCs w:val="1"/>
                <w:color w:val="auto"/>
              </w:rPr>
              <w:t>$</w:t>
            </w:r>
          </w:p>
        </w:tc>
        <w:tc>
          <w:tcPr>
            <w:tcW w:w="1340" w:type="dxa"/>
            <w:vAlign w:val="bottom"/>
          </w:tcPr>
          <w:p>
            <w:pPr>
              <w:jc w:val="right"/>
              <w:spacing w:after="0"/>
              <w:rPr>
                <w:sz w:val="20"/>
                <w:szCs w:val="20"/>
                <w:color w:val="auto"/>
              </w:rPr>
            </w:pPr>
            <w:r>
              <w:rPr>
                <w:rFonts w:ascii="Arial" w:cs="Arial" w:eastAsia="Arial" w:hAnsi="Arial"/>
                <w:sz w:val="17"/>
                <w:szCs w:val="17"/>
                <w:b w:val="1"/>
                <w:bCs w:val="1"/>
                <w:color w:val="auto"/>
              </w:rPr>
              <w:t>4,608,561</w:t>
            </w: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7"/>
                <w:szCs w:val="17"/>
                <w:b w:val="1"/>
                <w:bCs w:val="1"/>
                <w:color w:val="auto"/>
              </w:rPr>
              <w:t>100.0 %</w:t>
            </w:r>
          </w:p>
        </w:tc>
        <w:tc>
          <w:tcPr>
            <w:tcW w:w="420" w:type="dxa"/>
            <w:vAlign w:val="bottom"/>
            <w:gridSpan w:val="2"/>
          </w:tcPr>
          <w:p>
            <w:pPr>
              <w:jc w:val="right"/>
              <w:ind w:right="220"/>
              <w:spacing w:after="0"/>
              <w:rPr>
                <w:sz w:val="20"/>
                <w:szCs w:val="20"/>
                <w:color w:val="auto"/>
              </w:rPr>
            </w:pPr>
            <w:r>
              <w:rPr>
                <w:rFonts w:ascii="Arial" w:cs="Arial" w:eastAsia="Arial" w:hAnsi="Arial"/>
                <w:sz w:val="17"/>
                <w:szCs w:val="17"/>
                <w:b w:val="1"/>
                <w:bCs w:val="1"/>
                <w:color w:val="auto"/>
              </w:rPr>
              <w:t>$</w:t>
            </w:r>
          </w:p>
        </w:tc>
        <w:tc>
          <w:tcPr>
            <w:tcW w:w="1340" w:type="dxa"/>
            <w:vAlign w:val="bottom"/>
          </w:tcPr>
          <w:p>
            <w:pPr>
              <w:jc w:val="right"/>
              <w:spacing w:after="0"/>
              <w:rPr>
                <w:sz w:val="20"/>
                <w:szCs w:val="20"/>
                <w:color w:val="auto"/>
              </w:rPr>
            </w:pPr>
            <w:r>
              <w:rPr>
                <w:rFonts w:ascii="Arial" w:cs="Arial" w:eastAsia="Arial" w:hAnsi="Arial"/>
                <w:sz w:val="17"/>
                <w:szCs w:val="17"/>
                <w:b w:val="1"/>
                <w:bCs w:val="1"/>
                <w:color w:val="auto"/>
              </w:rPr>
              <w:t>4,605,034</w:t>
            </w: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7"/>
                <w:szCs w:val="17"/>
                <w:b w:val="1"/>
                <w:bCs w:val="1"/>
                <w:color w:val="auto"/>
              </w:rPr>
              <w:t>100.0 %</w:t>
            </w:r>
          </w:p>
        </w:tc>
      </w:tr>
      <w:tr>
        <w:trPr>
          <w:trHeight w:val="20"/>
        </w:trPr>
        <w:tc>
          <w:tcPr>
            <w:tcW w:w="21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r>
      <w:tr>
        <w:trPr>
          <w:trHeight w:val="161"/>
        </w:trPr>
        <w:tc>
          <w:tcPr>
            <w:tcW w:w="2180" w:type="dxa"/>
            <w:vAlign w:val="bottom"/>
            <w:tcBorders>
              <w:bottom w:val="single" w:sz="8" w:color="auto"/>
            </w:tcBorders>
          </w:tcPr>
          <w:p>
            <w:pPr>
              <w:spacing w:after="0"/>
              <w:rPr>
                <w:sz w:val="13"/>
                <w:szCs w:val="13"/>
                <w:color w:val="auto"/>
              </w:rPr>
            </w:pPr>
          </w:p>
        </w:tc>
        <w:tc>
          <w:tcPr>
            <w:tcW w:w="1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180" w:type="dxa"/>
            <w:vAlign w:val="bottom"/>
          </w:tcPr>
          <w:p>
            <w:pPr>
              <w:spacing w:after="0"/>
              <w:rPr>
                <w:sz w:val="13"/>
                <w:szCs w:val="13"/>
                <w:color w:val="auto"/>
              </w:rPr>
            </w:pPr>
          </w:p>
        </w:tc>
      </w:tr>
    </w:tbl>
    <w:p>
      <w:pPr>
        <w:spacing w:after="0" w:line="65" w:lineRule="exact"/>
        <w:rPr>
          <w:sz w:val="20"/>
          <w:szCs w:val="20"/>
          <w:color w:val="auto"/>
        </w:rPr>
      </w:pPr>
    </w:p>
    <w:p>
      <w:pPr>
        <w:ind w:left="620" w:hanging="305"/>
        <w:spacing w:after="0"/>
        <w:tabs>
          <w:tab w:leader="none" w:pos="620" w:val="left"/>
        </w:tabs>
        <w:numPr>
          <w:ilvl w:val="0"/>
          <w:numId w:val="24"/>
        </w:numPr>
        <w:rPr>
          <w:rFonts w:ascii="Arial" w:cs="Arial" w:eastAsia="Arial" w:hAnsi="Arial"/>
          <w:sz w:val="17"/>
          <w:szCs w:val="17"/>
          <w:color w:val="auto"/>
        </w:rPr>
      </w:pPr>
      <w:r>
        <w:rPr>
          <w:rFonts w:ascii="Arial" w:cs="Arial" w:eastAsia="Arial" w:hAnsi="Arial"/>
          <w:sz w:val="17"/>
          <w:szCs w:val="17"/>
          <w:color w:val="auto"/>
        </w:rPr>
        <w:t>Based on ratings issued by Moody’s, if available. S&amp;P or Fitch Ratings ("Fitch") rating utilized if Moody’s not available.</w:t>
      </w:r>
    </w:p>
    <w:p>
      <w:pPr>
        <w:spacing w:after="0" w:line="24" w:lineRule="exact"/>
        <w:rPr>
          <w:rFonts w:ascii="Arial" w:cs="Arial" w:eastAsia="Arial" w:hAnsi="Arial"/>
          <w:sz w:val="17"/>
          <w:szCs w:val="17"/>
          <w:color w:val="auto"/>
        </w:rPr>
      </w:pPr>
    </w:p>
    <w:p>
      <w:pPr>
        <w:ind w:left="620" w:hanging="305"/>
        <w:spacing w:after="0"/>
        <w:tabs>
          <w:tab w:leader="none" w:pos="620" w:val="left"/>
        </w:tabs>
        <w:numPr>
          <w:ilvl w:val="0"/>
          <w:numId w:val="24"/>
        </w:numPr>
        <w:rPr>
          <w:rFonts w:ascii="Arial" w:cs="Arial" w:eastAsia="Arial" w:hAnsi="Arial"/>
          <w:sz w:val="17"/>
          <w:szCs w:val="17"/>
          <w:color w:val="auto"/>
        </w:rPr>
      </w:pPr>
      <w:r>
        <w:rPr>
          <w:rFonts w:ascii="Arial" w:cs="Arial" w:eastAsia="Arial" w:hAnsi="Arial"/>
          <w:sz w:val="17"/>
          <w:szCs w:val="17"/>
          <w:color w:val="auto"/>
        </w:rPr>
        <w:t>Excludes $413,533 and $136,591 of money market funds at June 30, 2023 and December 31, 2022, respectively.</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Investments Available for Sale by Effective Duration</w:t>
      </w:r>
    </w:p>
    <w:p>
      <w:pPr>
        <w:spacing w:after="0" w:line="346"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4040" w:type="dxa"/>
            <w:vAlign w:val="bottom"/>
            <w:gridSpan w:val="2"/>
          </w:tcPr>
          <w:p>
            <w:pPr>
              <w:ind w:left="20"/>
              <w:spacing w:after="0"/>
              <w:rPr>
                <w:sz w:val="20"/>
                <w:szCs w:val="20"/>
                <w:color w:val="auto"/>
              </w:rPr>
            </w:pPr>
            <w:r>
              <w:rPr>
                <w:rFonts w:ascii="Arial" w:cs="Arial" w:eastAsia="Arial" w:hAnsi="Arial"/>
                <w:sz w:val="14"/>
                <w:szCs w:val="14"/>
                <w:b w:val="1"/>
                <w:bCs w:val="1"/>
                <w:color w:val="auto"/>
              </w:rPr>
              <w:t>Effective Duration</w:t>
            </w:r>
          </w:p>
        </w:tc>
        <w:tc>
          <w:tcPr>
            <w:tcW w:w="300" w:type="dxa"/>
            <w:vAlign w:val="bottom"/>
          </w:tcPr>
          <w:p>
            <w:pPr>
              <w:spacing w:after="0"/>
              <w:rPr>
                <w:sz w:val="15"/>
                <w:szCs w:val="15"/>
                <w:color w:val="auto"/>
              </w:rPr>
            </w:pPr>
          </w:p>
        </w:tc>
        <w:tc>
          <w:tcPr>
            <w:tcW w:w="2000" w:type="dxa"/>
            <w:vAlign w:val="bottom"/>
            <w:gridSpan w:val="3"/>
          </w:tcPr>
          <w:p>
            <w:pPr>
              <w:ind w:left="1060"/>
              <w:spacing w:after="0"/>
              <w:rPr>
                <w:sz w:val="20"/>
                <w:szCs w:val="20"/>
                <w:color w:val="auto"/>
              </w:rPr>
            </w:pPr>
            <w:r>
              <w:rPr>
                <w:rFonts w:ascii="Arial" w:cs="Arial" w:eastAsia="Arial" w:hAnsi="Arial"/>
                <w:sz w:val="14"/>
                <w:szCs w:val="14"/>
                <w:b w:val="1"/>
                <w:bCs w:val="1"/>
                <w:color w:val="auto"/>
              </w:rPr>
              <w:t>June 30, 2023</w:t>
            </w: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60" w:type="dxa"/>
            <w:vAlign w:val="bottom"/>
            <w:gridSpan w:val="3"/>
          </w:tcPr>
          <w:p>
            <w:pPr>
              <w:ind w:left="900"/>
              <w:spacing w:after="0"/>
              <w:rPr>
                <w:sz w:val="20"/>
                <w:szCs w:val="20"/>
                <w:color w:val="auto"/>
              </w:rPr>
            </w:pPr>
            <w:r>
              <w:rPr>
                <w:rFonts w:ascii="Arial" w:cs="Arial" w:eastAsia="Arial" w:hAnsi="Arial"/>
                <w:sz w:val="14"/>
                <w:szCs w:val="14"/>
                <w:b w:val="1"/>
                <w:bCs w:val="1"/>
                <w:color w:val="auto"/>
                <w:w w:val="90"/>
              </w:rPr>
              <w:t>December 31, 2022</w:t>
            </w: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
        </w:trPr>
        <w:tc>
          <w:tcPr>
            <w:tcW w:w="39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 in thousands)</w:t>
            </w:r>
          </w:p>
        </w:tc>
        <w:tc>
          <w:tcPr>
            <w:tcW w:w="120" w:type="dxa"/>
            <w:vAlign w:val="bottom"/>
            <w:vMerge w:val="restart"/>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3"/>
        </w:trPr>
        <w:tc>
          <w:tcPr>
            <w:tcW w:w="3920" w:type="dxa"/>
            <w:vAlign w:val="bottom"/>
            <w:tcBorders>
              <w:bottom w:val="single" w:sz="8" w:color="auto"/>
            </w:tcBorders>
            <w:vMerge w:val="continue"/>
          </w:tcPr>
          <w:p>
            <w:pPr>
              <w:spacing w:after="0"/>
              <w:rPr>
                <w:sz w:val="15"/>
                <w:szCs w:val="15"/>
                <w:color w:val="auto"/>
              </w:rPr>
            </w:pPr>
          </w:p>
        </w:tc>
        <w:tc>
          <w:tcPr>
            <w:tcW w:w="120" w:type="dxa"/>
            <w:vAlign w:val="bottom"/>
            <w:vMerge w:val="continue"/>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ind w:right="417"/>
              <w:spacing w:after="0"/>
              <w:rPr>
                <w:sz w:val="20"/>
                <w:szCs w:val="20"/>
                <w:color w:val="auto"/>
              </w:rPr>
            </w:pPr>
            <w:r>
              <w:rPr>
                <w:rFonts w:ascii="Arial" w:cs="Arial" w:eastAsia="Arial" w:hAnsi="Arial"/>
                <w:sz w:val="14"/>
                <w:szCs w:val="14"/>
                <w:b w:val="1"/>
                <w:bCs w:val="1"/>
                <w:color w:val="auto"/>
              </w:rPr>
              <w:t>Fair Value</w:t>
            </w:r>
          </w:p>
        </w:tc>
        <w:tc>
          <w:tcPr>
            <w:tcW w:w="120" w:type="dxa"/>
            <w:vAlign w:val="bottom"/>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576"/>
              <w:spacing w:after="0"/>
              <w:rPr>
                <w:sz w:val="20"/>
                <w:szCs w:val="20"/>
                <w:color w:val="auto"/>
              </w:rPr>
            </w:pPr>
            <w:r>
              <w:rPr>
                <w:rFonts w:ascii="Arial" w:cs="Arial" w:eastAsia="Arial" w:hAnsi="Arial"/>
                <w:sz w:val="14"/>
                <w:szCs w:val="14"/>
                <w:b w:val="1"/>
                <w:bCs w:val="1"/>
                <w:color w:val="auto"/>
              </w:rPr>
              <w:t>Percent</w:t>
            </w:r>
          </w:p>
        </w:tc>
        <w:tc>
          <w:tcPr>
            <w:tcW w:w="10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ind w:right="437"/>
              <w:spacing w:after="0"/>
              <w:rPr>
                <w:sz w:val="20"/>
                <w:szCs w:val="20"/>
                <w:color w:val="auto"/>
              </w:rPr>
            </w:pPr>
            <w:r>
              <w:rPr>
                <w:rFonts w:ascii="Arial" w:cs="Arial" w:eastAsia="Arial" w:hAnsi="Arial"/>
                <w:sz w:val="14"/>
                <w:szCs w:val="14"/>
                <w:b w:val="1"/>
                <w:bCs w:val="1"/>
                <w:color w:val="auto"/>
              </w:rPr>
              <w:t>Fair Value</w:t>
            </w:r>
          </w:p>
        </w:tc>
        <w:tc>
          <w:tcPr>
            <w:tcW w:w="100" w:type="dxa"/>
            <w:vAlign w:val="bottom"/>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596"/>
              <w:spacing w:after="0"/>
              <w:rPr>
                <w:sz w:val="20"/>
                <w:szCs w:val="20"/>
                <w:color w:val="auto"/>
              </w:rPr>
            </w:pPr>
            <w:r>
              <w:rPr>
                <w:rFonts w:ascii="Arial" w:cs="Arial" w:eastAsia="Arial" w:hAnsi="Arial"/>
                <w:sz w:val="14"/>
                <w:szCs w:val="14"/>
                <w:b w:val="1"/>
                <w:bCs w:val="1"/>
                <w:color w:val="auto"/>
                <w:w w:val="93"/>
              </w:rPr>
              <w:t>Percent</w:t>
            </w:r>
          </w:p>
        </w:tc>
        <w:tc>
          <w:tcPr>
            <w:tcW w:w="0" w:type="dxa"/>
            <w:vAlign w:val="bottom"/>
          </w:tcPr>
          <w:p>
            <w:pPr>
              <w:spacing w:after="0"/>
              <w:rPr>
                <w:sz w:val="1"/>
                <w:szCs w:val="1"/>
                <w:color w:val="auto"/>
              </w:rPr>
            </w:pPr>
          </w:p>
        </w:tc>
      </w:tr>
      <w:tr>
        <w:trPr>
          <w:trHeight w:val="228"/>
        </w:trPr>
        <w:tc>
          <w:tcPr>
            <w:tcW w:w="404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&lt; 1 Year</w:t>
            </w:r>
          </w:p>
        </w:tc>
        <w:tc>
          <w:tcPr>
            <w:tcW w:w="300" w:type="dxa"/>
            <w:vAlign w:val="bottom"/>
            <w:shd w:val="clear" w:color="auto" w:fill="CCEEFF"/>
          </w:tcPr>
          <w:p>
            <w:pPr>
              <w:jc w:val="right"/>
              <w:ind w:right="113"/>
              <w:spacing w:after="0"/>
              <w:rPr>
                <w:sz w:val="20"/>
                <w:szCs w:val="20"/>
                <w:color w:val="auto"/>
              </w:rPr>
            </w:pPr>
            <w:r>
              <w:rPr>
                <w:rFonts w:ascii="Arial" w:cs="Arial" w:eastAsia="Arial" w:hAnsi="Arial"/>
                <w:sz w:val="17"/>
                <w:szCs w:val="17"/>
                <w:color w:val="auto"/>
                <w:w w:val="84"/>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1,511,281</w:t>
            </w: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30.1 %</w:t>
            </w:r>
          </w:p>
        </w:tc>
        <w:tc>
          <w:tcPr>
            <w:tcW w:w="42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1,245,839</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26.3 %</w:t>
            </w:r>
          </w:p>
        </w:tc>
        <w:tc>
          <w:tcPr>
            <w:tcW w:w="0" w:type="dxa"/>
            <w:vAlign w:val="bottom"/>
          </w:tcPr>
          <w:p>
            <w:pPr>
              <w:spacing w:after="0"/>
              <w:rPr>
                <w:sz w:val="1"/>
                <w:szCs w:val="1"/>
                <w:color w:val="auto"/>
              </w:rPr>
            </w:pPr>
          </w:p>
        </w:tc>
      </w:tr>
      <w:tr>
        <w:trPr>
          <w:trHeight w:val="221"/>
        </w:trPr>
        <w:tc>
          <w:tcPr>
            <w:tcW w:w="4040" w:type="dxa"/>
            <w:vAlign w:val="bottom"/>
            <w:gridSpan w:val="2"/>
          </w:tcPr>
          <w:p>
            <w:pPr>
              <w:ind w:left="20"/>
              <w:spacing w:after="0"/>
              <w:rPr>
                <w:sz w:val="20"/>
                <w:szCs w:val="20"/>
                <w:color w:val="auto"/>
              </w:rPr>
            </w:pPr>
            <w:r>
              <w:rPr>
                <w:rFonts w:ascii="Arial" w:cs="Arial" w:eastAsia="Arial" w:hAnsi="Arial"/>
                <w:sz w:val="17"/>
                <w:szCs w:val="17"/>
                <w:color w:val="auto"/>
              </w:rPr>
              <w:t>1 to &lt; 2 Years</w:t>
            </w:r>
          </w:p>
        </w:tc>
        <w:tc>
          <w:tcPr>
            <w:tcW w:w="3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545,993</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40" w:type="dxa"/>
            <w:vAlign w:val="bottom"/>
          </w:tcPr>
          <w:p>
            <w:pPr>
              <w:jc w:val="right"/>
              <w:ind w:right="156"/>
              <w:spacing w:after="0"/>
              <w:rPr>
                <w:sz w:val="20"/>
                <w:szCs w:val="20"/>
                <w:color w:val="auto"/>
              </w:rPr>
            </w:pPr>
            <w:r>
              <w:rPr>
                <w:rFonts w:ascii="Arial" w:cs="Arial" w:eastAsia="Arial" w:hAnsi="Arial"/>
                <w:sz w:val="17"/>
                <w:szCs w:val="17"/>
                <w:color w:val="auto"/>
              </w:rPr>
              <w:t>10.9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534,038</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180" w:type="dxa"/>
            <w:vAlign w:val="bottom"/>
          </w:tcPr>
          <w:p>
            <w:pPr>
              <w:jc w:val="right"/>
              <w:ind w:right="156"/>
              <w:spacing w:after="0"/>
              <w:rPr>
                <w:sz w:val="20"/>
                <w:szCs w:val="20"/>
                <w:color w:val="auto"/>
              </w:rPr>
            </w:pPr>
            <w:r>
              <w:rPr>
                <w:rFonts w:ascii="Arial" w:cs="Arial" w:eastAsia="Arial" w:hAnsi="Arial"/>
                <w:sz w:val="17"/>
                <w:szCs w:val="17"/>
                <w:color w:val="auto"/>
              </w:rPr>
              <w:t>11.3</w:t>
            </w:r>
          </w:p>
        </w:tc>
        <w:tc>
          <w:tcPr>
            <w:tcW w:w="0" w:type="dxa"/>
            <w:vAlign w:val="bottom"/>
          </w:tcPr>
          <w:p>
            <w:pPr>
              <w:spacing w:after="0"/>
              <w:rPr>
                <w:sz w:val="1"/>
                <w:szCs w:val="1"/>
                <w:color w:val="auto"/>
              </w:rPr>
            </w:pPr>
          </w:p>
        </w:tc>
      </w:tr>
      <w:tr>
        <w:trPr>
          <w:trHeight w:val="221"/>
        </w:trPr>
        <w:tc>
          <w:tcPr>
            <w:tcW w:w="404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2 to &lt; 3 Years</w:t>
            </w:r>
          </w:p>
        </w:tc>
        <w:tc>
          <w:tcPr>
            <w:tcW w:w="3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408,377</w:t>
            </w: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56"/>
              <w:spacing w:after="0"/>
              <w:rPr>
                <w:sz w:val="20"/>
                <w:szCs w:val="20"/>
                <w:color w:val="auto"/>
              </w:rPr>
            </w:pPr>
            <w:r>
              <w:rPr>
                <w:rFonts w:ascii="Arial" w:cs="Arial" w:eastAsia="Arial" w:hAnsi="Arial"/>
                <w:sz w:val="17"/>
                <w:szCs w:val="17"/>
                <w:color w:val="auto"/>
              </w:rPr>
              <w:t>8.1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511,701</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56"/>
              <w:spacing w:after="0"/>
              <w:rPr>
                <w:sz w:val="20"/>
                <w:szCs w:val="20"/>
                <w:color w:val="auto"/>
              </w:rPr>
            </w:pPr>
            <w:r>
              <w:rPr>
                <w:rFonts w:ascii="Arial" w:cs="Arial" w:eastAsia="Arial" w:hAnsi="Arial"/>
                <w:sz w:val="17"/>
                <w:szCs w:val="17"/>
                <w:color w:val="auto"/>
              </w:rPr>
              <w:t>10.8</w:t>
            </w:r>
          </w:p>
        </w:tc>
        <w:tc>
          <w:tcPr>
            <w:tcW w:w="0" w:type="dxa"/>
            <w:vAlign w:val="bottom"/>
          </w:tcPr>
          <w:p>
            <w:pPr>
              <w:spacing w:after="0"/>
              <w:rPr>
                <w:sz w:val="1"/>
                <w:szCs w:val="1"/>
                <w:color w:val="auto"/>
              </w:rPr>
            </w:pPr>
          </w:p>
        </w:tc>
      </w:tr>
      <w:tr>
        <w:trPr>
          <w:trHeight w:val="227"/>
        </w:trPr>
        <w:tc>
          <w:tcPr>
            <w:tcW w:w="4040" w:type="dxa"/>
            <w:vAlign w:val="bottom"/>
            <w:gridSpan w:val="2"/>
          </w:tcPr>
          <w:p>
            <w:pPr>
              <w:ind w:left="20"/>
              <w:spacing w:after="0"/>
              <w:rPr>
                <w:sz w:val="20"/>
                <w:szCs w:val="20"/>
                <w:color w:val="auto"/>
              </w:rPr>
            </w:pPr>
            <w:r>
              <w:rPr>
                <w:rFonts w:ascii="Arial" w:cs="Arial" w:eastAsia="Arial" w:hAnsi="Arial"/>
                <w:sz w:val="17"/>
                <w:szCs w:val="17"/>
                <w:color w:val="auto"/>
              </w:rPr>
              <w:t>3 to &lt; 4 Years</w:t>
            </w:r>
          </w:p>
        </w:tc>
        <w:tc>
          <w:tcPr>
            <w:tcW w:w="3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529,277</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40" w:type="dxa"/>
            <w:vAlign w:val="bottom"/>
          </w:tcPr>
          <w:p>
            <w:pPr>
              <w:jc w:val="right"/>
              <w:ind w:right="156"/>
              <w:spacing w:after="0"/>
              <w:rPr>
                <w:sz w:val="20"/>
                <w:szCs w:val="20"/>
                <w:color w:val="auto"/>
              </w:rPr>
            </w:pPr>
            <w:r>
              <w:rPr>
                <w:rFonts w:ascii="Arial" w:cs="Arial" w:eastAsia="Arial" w:hAnsi="Arial"/>
                <w:sz w:val="17"/>
                <w:szCs w:val="17"/>
                <w:color w:val="auto"/>
              </w:rPr>
              <w:t>10.5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525,683</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180" w:type="dxa"/>
            <w:vAlign w:val="bottom"/>
          </w:tcPr>
          <w:p>
            <w:pPr>
              <w:jc w:val="right"/>
              <w:ind w:right="156"/>
              <w:spacing w:after="0"/>
              <w:rPr>
                <w:sz w:val="20"/>
                <w:szCs w:val="20"/>
                <w:color w:val="auto"/>
              </w:rPr>
            </w:pPr>
            <w:r>
              <w:rPr>
                <w:rFonts w:ascii="Arial" w:cs="Arial" w:eastAsia="Arial" w:hAnsi="Arial"/>
                <w:sz w:val="17"/>
                <w:szCs w:val="17"/>
                <w:color w:val="auto"/>
              </w:rPr>
              <w:t>11.1</w:t>
            </w:r>
          </w:p>
        </w:tc>
        <w:tc>
          <w:tcPr>
            <w:tcW w:w="0" w:type="dxa"/>
            <w:vAlign w:val="bottom"/>
          </w:tcPr>
          <w:p>
            <w:pPr>
              <w:spacing w:after="0"/>
              <w:rPr>
                <w:sz w:val="1"/>
                <w:szCs w:val="1"/>
                <w:color w:val="auto"/>
              </w:rPr>
            </w:pPr>
          </w:p>
        </w:tc>
      </w:tr>
      <w:tr>
        <w:trPr>
          <w:trHeight w:val="227"/>
        </w:trPr>
        <w:tc>
          <w:tcPr>
            <w:tcW w:w="404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4 to &lt; 5 Years</w:t>
            </w:r>
          </w:p>
        </w:tc>
        <w:tc>
          <w:tcPr>
            <w:tcW w:w="3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395,775</w:t>
            </w: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56"/>
              <w:spacing w:after="0"/>
              <w:rPr>
                <w:sz w:val="20"/>
                <w:szCs w:val="20"/>
                <w:color w:val="auto"/>
              </w:rPr>
            </w:pPr>
            <w:r>
              <w:rPr>
                <w:rFonts w:ascii="Arial" w:cs="Arial" w:eastAsia="Arial" w:hAnsi="Arial"/>
                <w:sz w:val="17"/>
                <w:szCs w:val="17"/>
                <w:color w:val="auto"/>
              </w:rPr>
              <w:t>7.9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400,540</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56"/>
              <w:spacing w:after="0"/>
              <w:rPr>
                <w:sz w:val="20"/>
                <w:szCs w:val="20"/>
                <w:color w:val="auto"/>
              </w:rPr>
            </w:pPr>
            <w:r>
              <w:rPr>
                <w:rFonts w:ascii="Arial" w:cs="Arial" w:eastAsia="Arial" w:hAnsi="Arial"/>
                <w:sz w:val="17"/>
                <w:szCs w:val="17"/>
                <w:color w:val="auto"/>
              </w:rPr>
              <w:t>8.4</w:t>
            </w:r>
          </w:p>
        </w:tc>
        <w:tc>
          <w:tcPr>
            <w:tcW w:w="0" w:type="dxa"/>
            <w:vAlign w:val="bottom"/>
          </w:tcPr>
          <w:p>
            <w:pPr>
              <w:spacing w:after="0"/>
              <w:rPr>
                <w:sz w:val="1"/>
                <w:szCs w:val="1"/>
                <w:color w:val="auto"/>
              </w:rPr>
            </w:pPr>
          </w:p>
        </w:tc>
      </w:tr>
      <w:tr>
        <w:trPr>
          <w:trHeight w:val="221"/>
        </w:trPr>
        <w:tc>
          <w:tcPr>
            <w:tcW w:w="4040" w:type="dxa"/>
            <w:vAlign w:val="bottom"/>
            <w:gridSpan w:val="2"/>
          </w:tcPr>
          <w:p>
            <w:pPr>
              <w:ind w:left="20"/>
              <w:spacing w:after="0"/>
              <w:rPr>
                <w:sz w:val="20"/>
                <w:szCs w:val="20"/>
                <w:color w:val="auto"/>
              </w:rPr>
            </w:pPr>
            <w:r>
              <w:rPr>
                <w:rFonts w:ascii="Arial" w:cs="Arial" w:eastAsia="Arial" w:hAnsi="Arial"/>
                <w:sz w:val="17"/>
                <w:szCs w:val="17"/>
                <w:color w:val="auto"/>
              </w:rPr>
              <w:t>5 or more Years</w:t>
            </w:r>
          </w:p>
        </w:tc>
        <w:tc>
          <w:tcPr>
            <w:tcW w:w="3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1,631,391</w:t>
            </w:r>
          </w:p>
        </w:tc>
        <w:tc>
          <w:tcPr>
            <w:tcW w:w="120" w:type="dxa"/>
            <w:vAlign w:val="bottom"/>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156"/>
              <w:spacing w:after="0"/>
              <w:rPr>
                <w:sz w:val="20"/>
                <w:szCs w:val="20"/>
                <w:color w:val="auto"/>
              </w:rPr>
            </w:pPr>
            <w:r>
              <w:rPr>
                <w:rFonts w:ascii="Arial" w:cs="Arial" w:eastAsia="Arial" w:hAnsi="Arial"/>
                <w:sz w:val="17"/>
                <w:szCs w:val="17"/>
                <w:color w:val="auto"/>
              </w:rPr>
              <w:t>32.5</w:t>
            </w: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1,523,824</w:t>
            </w:r>
          </w:p>
        </w:tc>
        <w:tc>
          <w:tcPr>
            <w:tcW w:w="100" w:type="dxa"/>
            <w:vAlign w:val="bottom"/>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156"/>
              <w:spacing w:after="0"/>
              <w:rPr>
                <w:sz w:val="20"/>
                <w:szCs w:val="20"/>
                <w:color w:val="auto"/>
              </w:rPr>
            </w:pPr>
            <w:r>
              <w:rPr>
                <w:rFonts w:ascii="Arial" w:cs="Arial" w:eastAsia="Arial" w:hAnsi="Arial"/>
                <w:sz w:val="17"/>
                <w:szCs w:val="17"/>
                <w:color w:val="auto"/>
              </w:rPr>
              <w:t>32.1</w:t>
            </w:r>
          </w:p>
        </w:tc>
        <w:tc>
          <w:tcPr>
            <w:tcW w:w="0" w:type="dxa"/>
            <w:vAlign w:val="bottom"/>
          </w:tcPr>
          <w:p>
            <w:pPr>
              <w:spacing w:after="0"/>
              <w:rPr>
                <w:sz w:val="1"/>
                <w:szCs w:val="1"/>
                <w:color w:val="auto"/>
              </w:rPr>
            </w:pPr>
          </w:p>
        </w:tc>
      </w:tr>
      <w:tr>
        <w:trPr>
          <w:trHeight w:val="234"/>
        </w:trPr>
        <w:tc>
          <w:tcPr>
            <w:tcW w:w="4040" w:type="dxa"/>
            <w:vAlign w:val="bottom"/>
            <w:gridSpan w:val="2"/>
            <w:shd w:val="clear" w:color="auto" w:fill="CCEEFF"/>
          </w:tcPr>
          <w:p>
            <w:pPr>
              <w:ind w:left="20"/>
              <w:spacing w:after="0"/>
              <w:rPr>
                <w:sz w:val="20"/>
                <w:szCs w:val="20"/>
                <w:color w:val="auto"/>
              </w:rPr>
            </w:pPr>
            <w:r>
              <w:rPr>
                <w:rFonts w:ascii="Arial" w:cs="Arial" w:eastAsia="Arial" w:hAnsi="Arial"/>
                <w:sz w:val="17"/>
                <w:szCs w:val="17"/>
                <w:b w:val="1"/>
                <w:bCs w:val="1"/>
                <w:color w:val="auto"/>
              </w:rPr>
              <w:t>Total Investments Available for Sale</w:t>
            </w:r>
          </w:p>
        </w:tc>
        <w:tc>
          <w:tcPr>
            <w:tcW w:w="300" w:type="dxa"/>
            <w:vAlign w:val="bottom"/>
            <w:shd w:val="clear" w:color="auto" w:fill="CCEEFF"/>
          </w:tcPr>
          <w:p>
            <w:pPr>
              <w:jc w:val="right"/>
              <w:ind w:right="113"/>
              <w:spacing w:after="0"/>
              <w:rPr>
                <w:sz w:val="20"/>
                <w:szCs w:val="20"/>
                <w:color w:val="auto"/>
              </w:rPr>
            </w:pPr>
            <w:r>
              <w:rPr>
                <w:rFonts w:ascii="Arial" w:cs="Arial" w:eastAsia="Arial" w:hAnsi="Arial"/>
                <w:sz w:val="17"/>
                <w:szCs w:val="17"/>
                <w:b w:val="1"/>
                <w:bCs w:val="1"/>
                <w:color w:val="auto"/>
                <w:w w:val="84"/>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5,022,094</w:t>
            </w:r>
          </w:p>
        </w:tc>
        <w:tc>
          <w:tcPr>
            <w:tcW w:w="12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100.0 %</w:t>
            </w:r>
          </w:p>
        </w:tc>
        <w:tc>
          <w:tcPr>
            <w:tcW w:w="42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b w:val="1"/>
                <w:bCs w:val="1"/>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4,741,625</w:t>
            </w:r>
          </w:p>
        </w:tc>
        <w:tc>
          <w:tcPr>
            <w:tcW w:w="10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100.0 %</w:t>
            </w:r>
          </w:p>
        </w:tc>
        <w:tc>
          <w:tcPr>
            <w:tcW w:w="0" w:type="dxa"/>
            <w:vAlign w:val="bottom"/>
          </w:tcPr>
          <w:p>
            <w:pPr>
              <w:spacing w:after="0"/>
              <w:rPr>
                <w:sz w:val="1"/>
                <w:szCs w:val="1"/>
                <w:color w:val="auto"/>
              </w:rPr>
            </w:pPr>
          </w:p>
        </w:tc>
      </w:tr>
      <w:tr>
        <w:trPr>
          <w:trHeight w:val="20"/>
        </w:trPr>
        <w:tc>
          <w:tcPr>
            <w:tcW w:w="39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68580</wp:posOffset>
            </wp:positionV>
            <wp:extent cx="7162800" cy="4191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8" w:name="page49"/>
    <w:bookmarkEnd w:id="48"/>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338"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Top Ten Investments Available for Sale Holdings</w:t>
      </w:r>
    </w:p>
    <w:p>
      <w:pPr>
        <w:spacing w:after="0" w:line="34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June 30, 2023</w:t>
            </w: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2480" w:type="dxa"/>
            <w:vAlign w:val="bottom"/>
            <w:gridSpan w:val="3"/>
          </w:tcPr>
          <w:p>
            <w:pPr>
              <w:ind w:left="20"/>
              <w:spacing w:after="0" w:line="133" w:lineRule="exact"/>
              <w:rPr>
                <w:sz w:val="20"/>
                <w:szCs w:val="20"/>
                <w:color w:val="auto"/>
              </w:rPr>
            </w:pPr>
            <w:r>
              <w:rPr>
                <w:rFonts w:ascii="Arial" w:cs="Arial" w:eastAsia="Arial" w:hAnsi="Arial"/>
                <w:sz w:val="14"/>
                <w:szCs w:val="14"/>
                <w:b w:val="1"/>
                <w:bCs w:val="1"/>
                <w:color w:val="auto"/>
              </w:rPr>
              <w:t>Rank</w:t>
            </w:r>
          </w:p>
        </w:tc>
        <w:tc>
          <w:tcPr>
            <w:tcW w:w="3800" w:type="dxa"/>
            <w:vAlign w:val="bottom"/>
            <w:vMerge w:val="restart"/>
          </w:tcPr>
          <w:p>
            <w:pPr>
              <w:ind w:left="1660"/>
              <w:spacing w:after="0"/>
              <w:rPr>
                <w:sz w:val="20"/>
                <w:szCs w:val="20"/>
                <w:color w:val="auto"/>
              </w:rPr>
            </w:pPr>
            <w:r>
              <w:rPr>
                <w:rFonts w:ascii="Arial" w:cs="Arial" w:eastAsia="Arial" w:hAnsi="Arial"/>
                <w:sz w:val="14"/>
                <w:szCs w:val="14"/>
                <w:b w:val="1"/>
                <w:bCs w:val="1"/>
                <w:color w:val="auto"/>
              </w:rPr>
              <w:t>Security</w:t>
            </w: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00" w:type="dxa"/>
            <w:vAlign w:val="bottom"/>
            <w:vMerge w:val="restart"/>
          </w:tcPr>
          <w:p>
            <w:pPr>
              <w:jc w:val="right"/>
              <w:ind w:right="275"/>
              <w:spacing w:after="0"/>
              <w:rPr>
                <w:sz w:val="20"/>
                <w:szCs w:val="20"/>
                <w:color w:val="auto"/>
              </w:rPr>
            </w:pPr>
            <w:r>
              <w:rPr>
                <w:rFonts w:ascii="Arial" w:cs="Arial" w:eastAsia="Arial" w:hAnsi="Arial"/>
                <w:sz w:val="14"/>
                <w:szCs w:val="14"/>
                <w:b w:val="1"/>
                <w:bCs w:val="1"/>
                <w:color w:val="auto"/>
              </w:rPr>
              <w:t>Fair Value</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jc w:val="right"/>
              <w:ind w:right="96"/>
              <w:spacing w:after="0" w:line="133" w:lineRule="exact"/>
              <w:rPr>
                <w:sz w:val="20"/>
                <w:szCs w:val="20"/>
                <w:color w:val="auto"/>
              </w:rPr>
            </w:pPr>
            <w:r>
              <w:rPr>
                <w:rFonts w:ascii="Arial" w:cs="Arial" w:eastAsia="Arial" w:hAnsi="Arial"/>
                <w:sz w:val="14"/>
                <w:szCs w:val="14"/>
                <w:b w:val="1"/>
                <w:bCs w:val="1"/>
                <w:color w:val="auto"/>
                <w:w w:val="96"/>
              </w:rPr>
              <w:t>Amortized</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40" w:type="dxa"/>
            <w:vAlign w:val="bottom"/>
          </w:tcPr>
          <w:p>
            <w:pPr>
              <w:jc w:val="right"/>
              <w:ind w:right="256"/>
              <w:spacing w:after="0" w:line="133" w:lineRule="exact"/>
              <w:rPr>
                <w:sz w:val="20"/>
                <w:szCs w:val="20"/>
                <w:color w:val="auto"/>
              </w:rPr>
            </w:pPr>
            <w:r>
              <w:rPr>
                <w:rFonts w:ascii="Arial" w:cs="Arial" w:eastAsia="Arial" w:hAnsi="Arial"/>
                <w:sz w:val="14"/>
                <w:szCs w:val="14"/>
                <w:b w:val="1"/>
                <w:bCs w:val="1"/>
                <w:color w:val="auto"/>
              </w:rPr>
              <w:t>Unrealized</w:t>
            </w:r>
          </w:p>
        </w:tc>
        <w:tc>
          <w:tcPr>
            <w:tcW w:w="100" w:type="dxa"/>
            <w:vAlign w:val="bottom"/>
          </w:tcPr>
          <w:p>
            <w:pPr>
              <w:spacing w:after="0"/>
              <w:rPr>
                <w:sz w:val="11"/>
                <w:szCs w:val="11"/>
                <w:color w:val="auto"/>
              </w:rPr>
            </w:pPr>
          </w:p>
        </w:tc>
        <w:tc>
          <w:tcPr>
            <w:tcW w:w="86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93"/>
              </w:rPr>
              <w:t>Credit</w:t>
            </w:r>
          </w:p>
        </w:tc>
        <w:tc>
          <w:tcPr>
            <w:tcW w:w="0" w:type="dxa"/>
            <w:vAlign w:val="bottom"/>
          </w:tcPr>
          <w:p>
            <w:pPr>
              <w:spacing w:after="0"/>
              <w:rPr>
                <w:sz w:val="1"/>
                <w:szCs w:val="1"/>
                <w:color w:val="auto"/>
              </w:rPr>
            </w:pPr>
          </w:p>
        </w:tc>
      </w:tr>
      <w:tr>
        <w:trPr>
          <w:trHeight w:val="179"/>
        </w:trPr>
        <w:tc>
          <w:tcPr>
            <w:tcW w:w="2480" w:type="dxa"/>
            <w:vAlign w:val="bottom"/>
            <w:gridSpan w:val="3"/>
          </w:tcPr>
          <w:p>
            <w:pPr>
              <w:ind w:left="20"/>
              <w:spacing w:after="0"/>
              <w:rPr>
                <w:sz w:val="20"/>
                <w:szCs w:val="20"/>
                <w:color w:val="auto"/>
              </w:rPr>
            </w:pPr>
            <w:r>
              <w:rPr>
                <w:rFonts w:ascii="Arial" w:cs="Arial" w:eastAsia="Arial" w:hAnsi="Arial"/>
                <w:sz w:val="14"/>
                <w:szCs w:val="14"/>
                <w:b w:val="1"/>
                <w:bCs w:val="1"/>
                <w:color w:val="auto"/>
              </w:rPr>
              <w:t>($ in thousands)</w:t>
            </w:r>
          </w:p>
        </w:tc>
        <w:tc>
          <w:tcPr>
            <w:tcW w:w="380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jc w:val="right"/>
              <w:ind w:right="276"/>
              <w:spacing w:after="0"/>
              <w:rPr>
                <w:sz w:val="20"/>
                <w:szCs w:val="20"/>
                <w:color w:val="auto"/>
              </w:rPr>
            </w:pPr>
            <w:r>
              <w:rPr>
                <w:rFonts w:ascii="Arial" w:cs="Arial" w:eastAsia="Arial" w:hAnsi="Arial"/>
                <w:sz w:val="14"/>
                <w:szCs w:val="14"/>
                <w:b w:val="1"/>
                <w:bCs w:val="1"/>
                <w:color w:val="auto"/>
              </w:rPr>
              <w:t>Cost</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40" w:type="dxa"/>
            <w:vAlign w:val="bottom"/>
          </w:tcPr>
          <w:p>
            <w:pPr>
              <w:jc w:val="right"/>
              <w:ind w:right="136"/>
              <w:spacing w:after="0"/>
              <w:rPr>
                <w:sz w:val="20"/>
                <w:szCs w:val="20"/>
                <w:color w:val="auto"/>
              </w:rPr>
            </w:pPr>
            <w:r>
              <w:rPr>
                <w:rFonts w:ascii="Arial" w:cs="Arial" w:eastAsia="Arial" w:hAnsi="Arial"/>
                <w:sz w:val="14"/>
                <w:szCs w:val="14"/>
                <w:b w:val="1"/>
                <w:bCs w:val="1"/>
                <w:color w:val="auto"/>
                <w:w w:val="95"/>
              </w:rPr>
              <w:t>Gain (Loss)(1)</w:t>
            </w:r>
          </w:p>
        </w:tc>
        <w:tc>
          <w:tcPr>
            <w:tcW w:w="100" w:type="dxa"/>
            <w:vAlign w:val="bottom"/>
          </w:tcPr>
          <w:p>
            <w:pPr>
              <w:spacing w:after="0"/>
              <w:rPr>
                <w:sz w:val="15"/>
                <w:szCs w:val="15"/>
                <w:color w:val="auto"/>
              </w:rPr>
            </w:pP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w w:val="92"/>
              </w:rPr>
              <w:t>Rating(2)</w:t>
            </w:r>
          </w:p>
        </w:tc>
        <w:tc>
          <w:tcPr>
            <w:tcW w:w="0" w:type="dxa"/>
            <w:vAlign w:val="bottom"/>
          </w:tcPr>
          <w:p>
            <w:pPr>
              <w:spacing w:after="0"/>
              <w:rPr>
                <w:sz w:val="1"/>
                <w:szCs w:val="1"/>
                <w:color w:val="auto"/>
              </w:rPr>
            </w:pPr>
          </w:p>
        </w:tc>
      </w:tr>
      <w:tr>
        <w:trPr>
          <w:trHeight w:val="25"/>
        </w:trPr>
        <w:tc>
          <w:tcPr>
            <w:tcW w:w="21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4"/>
        </w:trPr>
        <w:tc>
          <w:tcPr>
            <w:tcW w:w="2180" w:type="dxa"/>
            <w:vAlign w:val="bottom"/>
            <w:shd w:val="clear" w:color="auto" w:fill="CCEEFF"/>
          </w:tcPr>
          <w:p>
            <w:pPr>
              <w:ind w:left="20"/>
              <w:spacing w:after="0"/>
              <w:rPr>
                <w:sz w:val="20"/>
                <w:szCs w:val="20"/>
                <w:color w:val="auto"/>
              </w:rPr>
            </w:pPr>
            <w:r>
              <w:rPr>
                <w:rFonts w:ascii="Arial" w:cs="Arial" w:eastAsia="Arial" w:hAnsi="Arial"/>
                <w:sz w:val="17"/>
                <w:szCs w:val="17"/>
                <w:color w:val="auto"/>
              </w:rPr>
              <w:t>1</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0" w:type="dxa"/>
            <w:vAlign w:val="bottom"/>
            <w:shd w:val="clear" w:color="auto" w:fill="CCEEFF"/>
          </w:tcPr>
          <w:p>
            <w:pPr>
              <w:ind w:left="20"/>
              <w:spacing w:after="0"/>
              <w:rPr>
                <w:sz w:val="20"/>
                <w:szCs w:val="20"/>
                <w:color w:val="auto"/>
              </w:rPr>
            </w:pPr>
            <w:r>
              <w:rPr>
                <w:rFonts w:ascii="Arial" w:cs="Arial" w:eastAsia="Arial" w:hAnsi="Arial"/>
                <w:sz w:val="17"/>
                <w:szCs w:val="17"/>
                <w:color w:val="auto"/>
              </w:rPr>
              <w:t>US Treasury 2.875% 06/15/2025</w:t>
            </w:r>
          </w:p>
        </w:tc>
        <w:tc>
          <w:tcPr>
            <w:tcW w:w="360" w:type="dxa"/>
            <w:vAlign w:val="bottom"/>
            <w:gridSpan w:val="2"/>
            <w:shd w:val="clear" w:color="auto" w:fill="CCEEFF"/>
          </w:tcPr>
          <w:p>
            <w:pPr>
              <w:ind w:left="140"/>
              <w:spacing w:after="0"/>
              <w:rPr>
                <w:sz w:val="20"/>
                <w:szCs w:val="20"/>
                <w:color w:val="auto"/>
              </w:rPr>
            </w:pPr>
            <w:r>
              <w:rPr>
                <w:rFonts w:ascii="Arial" w:cs="Arial" w:eastAsia="Arial" w:hAnsi="Arial"/>
                <w:sz w:val="17"/>
                <w:szCs w:val="17"/>
                <w:color w:val="auto"/>
              </w:rPr>
              <w:t>$</w:t>
            </w:r>
          </w:p>
        </w:tc>
        <w:tc>
          <w:tcPr>
            <w:tcW w:w="1100" w:type="dxa"/>
            <w:vAlign w:val="bottom"/>
            <w:shd w:val="clear" w:color="auto" w:fill="CCEEFF"/>
          </w:tcPr>
          <w:p>
            <w:pPr>
              <w:jc w:val="right"/>
              <w:ind w:right="155"/>
              <w:spacing w:after="0"/>
              <w:rPr>
                <w:sz w:val="20"/>
                <w:szCs w:val="20"/>
                <w:color w:val="auto"/>
              </w:rPr>
            </w:pPr>
            <w:r>
              <w:rPr>
                <w:rFonts w:ascii="Arial" w:cs="Arial" w:eastAsia="Arial" w:hAnsi="Arial"/>
                <w:sz w:val="17"/>
                <w:szCs w:val="17"/>
                <w:color w:val="auto"/>
              </w:rPr>
              <w:t>39,701</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40,985</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(1,284)</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2"/>
              </w:rPr>
              <w:t>Aaa</w:t>
            </w:r>
          </w:p>
        </w:tc>
        <w:tc>
          <w:tcPr>
            <w:tcW w:w="0" w:type="dxa"/>
            <w:vAlign w:val="bottom"/>
          </w:tcPr>
          <w:p>
            <w:pPr>
              <w:spacing w:after="0"/>
              <w:rPr>
                <w:sz w:val="1"/>
                <w:szCs w:val="1"/>
                <w:color w:val="auto"/>
              </w:rPr>
            </w:pPr>
          </w:p>
        </w:tc>
      </w:tr>
      <w:tr>
        <w:trPr>
          <w:trHeight w:val="221"/>
        </w:trPr>
        <w:tc>
          <w:tcPr>
            <w:tcW w:w="2180" w:type="dxa"/>
            <w:vAlign w:val="bottom"/>
          </w:tcPr>
          <w:p>
            <w:pPr>
              <w:ind w:left="20"/>
              <w:spacing w:after="0"/>
              <w:rPr>
                <w:sz w:val="20"/>
                <w:szCs w:val="20"/>
                <w:color w:val="auto"/>
              </w:rPr>
            </w:pPr>
            <w:r>
              <w:rPr>
                <w:rFonts w:ascii="Arial" w:cs="Arial" w:eastAsia="Arial" w:hAnsi="Arial"/>
                <w:sz w:val="17"/>
                <w:szCs w:val="17"/>
                <w:color w:val="auto"/>
              </w:rPr>
              <w:t>2</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0" w:type="dxa"/>
            <w:vAlign w:val="bottom"/>
          </w:tcPr>
          <w:p>
            <w:pPr>
              <w:ind w:left="20"/>
              <w:spacing w:after="0"/>
              <w:rPr>
                <w:sz w:val="20"/>
                <w:szCs w:val="20"/>
                <w:color w:val="auto"/>
              </w:rPr>
            </w:pPr>
            <w:r>
              <w:rPr>
                <w:rFonts w:ascii="Arial" w:cs="Arial" w:eastAsia="Arial" w:hAnsi="Arial"/>
                <w:sz w:val="17"/>
                <w:szCs w:val="17"/>
                <w:color w:val="auto"/>
              </w:rPr>
              <w:t>US Treasury 1.500% 08/15/2026</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ind w:right="155"/>
              <w:spacing w:after="0"/>
              <w:rPr>
                <w:sz w:val="20"/>
                <w:szCs w:val="20"/>
                <w:color w:val="auto"/>
              </w:rPr>
            </w:pPr>
            <w:r>
              <w:rPr>
                <w:rFonts w:ascii="Arial" w:cs="Arial" w:eastAsia="Arial" w:hAnsi="Arial"/>
                <w:sz w:val="17"/>
                <w:szCs w:val="17"/>
                <w:color w:val="auto"/>
              </w:rPr>
              <w:t>31,078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34,357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(3,279)</w:t>
            </w:r>
          </w:p>
        </w:tc>
        <w:tc>
          <w:tcPr>
            <w:tcW w:w="100" w:type="dxa"/>
            <w:vAlign w:val="bottom"/>
          </w:tcPr>
          <w:p>
            <w:pPr>
              <w:spacing w:after="0"/>
              <w:rPr>
                <w:sz w:val="19"/>
                <w:szCs w:val="19"/>
                <w:color w:val="auto"/>
              </w:rPr>
            </w:pPr>
          </w:p>
        </w:tc>
        <w:tc>
          <w:tcPr>
            <w:tcW w:w="860" w:type="dxa"/>
            <w:vAlign w:val="bottom"/>
          </w:tcPr>
          <w:p>
            <w:pPr>
              <w:jc w:val="center"/>
              <w:spacing w:after="0"/>
              <w:rPr>
                <w:sz w:val="20"/>
                <w:szCs w:val="20"/>
                <w:color w:val="auto"/>
              </w:rPr>
            </w:pPr>
            <w:r>
              <w:rPr>
                <w:rFonts w:ascii="Arial" w:cs="Arial" w:eastAsia="Arial" w:hAnsi="Arial"/>
                <w:sz w:val="17"/>
                <w:szCs w:val="17"/>
                <w:color w:val="auto"/>
                <w:w w:val="92"/>
              </w:rPr>
              <w:t>Aaa</w:t>
            </w:r>
          </w:p>
        </w:tc>
        <w:tc>
          <w:tcPr>
            <w:tcW w:w="0" w:type="dxa"/>
            <w:vAlign w:val="bottom"/>
          </w:tcPr>
          <w:p>
            <w:pPr>
              <w:spacing w:after="0"/>
              <w:rPr>
                <w:sz w:val="1"/>
                <w:szCs w:val="1"/>
                <w:color w:val="auto"/>
              </w:rPr>
            </w:pPr>
          </w:p>
        </w:tc>
      </w:tr>
      <w:tr>
        <w:trPr>
          <w:trHeight w:val="234"/>
        </w:trPr>
        <w:tc>
          <w:tcPr>
            <w:tcW w:w="2180" w:type="dxa"/>
            <w:vAlign w:val="bottom"/>
            <w:shd w:val="clear" w:color="auto" w:fill="CCEEFF"/>
          </w:tcPr>
          <w:p>
            <w:pPr>
              <w:ind w:left="20"/>
              <w:spacing w:after="0"/>
              <w:rPr>
                <w:sz w:val="20"/>
                <w:szCs w:val="20"/>
                <w:color w:val="auto"/>
              </w:rPr>
            </w:pPr>
            <w:r>
              <w:rPr>
                <w:rFonts w:ascii="Arial" w:cs="Arial" w:eastAsia="Arial" w:hAnsi="Arial"/>
                <w:sz w:val="17"/>
                <w:szCs w:val="17"/>
                <w:color w:val="auto"/>
              </w:rPr>
              <w:t>3</w:t>
            </w:r>
          </w:p>
        </w:tc>
        <w:tc>
          <w:tcPr>
            <w:tcW w:w="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800" w:type="dxa"/>
            <w:vAlign w:val="bottom"/>
            <w:shd w:val="clear" w:color="auto" w:fill="CCEEFF"/>
          </w:tcPr>
          <w:p>
            <w:pPr>
              <w:ind w:left="20"/>
              <w:spacing w:after="0"/>
              <w:rPr>
                <w:sz w:val="20"/>
                <w:szCs w:val="20"/>
                <w:color w:val="auto"/>
              </w:rPr>
            </w:pPr>
            <w:r>
              <w:rPr>
                <w:rFonts w:ascii="Arial" w:cs="Arial" w:eastAsia="Arial" w:hAnsi="Arial"/>
                <w:sz w:val="17"/>
                <w:szCs w:val="17"/>
                <w:color w:val="auto"/>
              </w:rPr>
              <w:t>Freddie Mac 5.500% 11/01/2052</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00" w:type="dxa"/>
            <w:vAlign w:val="bottom"/>
            <w:shd w:val="clear" w:color="auto" w:fill="CCEEFF"/>
          </w:tcPr>
          <w:p>
            <w:pPr>
              <w:jc w:val="right"/>
              <w:ind w:right="155"/>
              <w:spacing w:after="0"/>
              <w:rPr>
                <w:sz w:val="20"/>
                <w:szCs w:val="20"/>
                <w:color w:val="auto"/>
              </w:rPr>
            </w:pPr>
            <w:r>
              <w:rPr>
                <w:rFonts w:ascii="Arial" w:cs="Arial" w:eastAsia="Arial" w:hAnsi="Arial"/>
                <w:sz w:val="17"/>
                <w:szCs w:val="17"/>
                <w:color w:val="auto"/>
              </w:rPr>
              <w:t>28,710</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29,453</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(743)</w:t>
            </w:r>
          </w:p>
        </w:tc>
        <w:tc>
          <w:tcPr>
            <w:tcW w:w="100" w:type="dxa"/>
            <w:vAlign w:val="bottom"/>
            <w:shd w:val="clear" w:color="auto" w:fill="CCEEFF"/>
          </w:tcPr>
          <w:p>
            <w:pPr>
              <w:spacing w:after="0"/>
              <w:rPr>
                <w:sz w:val="20"/>
                <w:szCs w:val="20"/>
                <w:color w:val="auto"/>
              </w:rPr>
            </w:pPr>
          </w:p>
        </w:tc>
        <w:tc>
          <w:tcPr>
            <w:tcW w:w="86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2"/>
              </w:rPr>
              <w:t>Aaa</w:t>
            </w:r>
          </w:p>
        </w:tc>
        <w:tc>
          <w:tcPr>
            <w:tcW w:w="0" w:type="dxa"/>
            <w:vAlign w:val="bottom"/>
          </w:tcPr>
          <w:p>
            <w:pPr>
              <w:spacing w:after="0"/>
              <w:rPr>
                <w:sz w:val="1"/>
                <w:szCs w:val="1"/>
                <w:color w:val="auto"/>
              </w:rPr>
            </w:pPr>
          </w:p>
        </w:tc>
      </w:tr>
      <w:tr>
        <w:trPr>
          <w:trHeight w:val="221"/>
        </w:trPr>
        <w:tc>
          <w:tcPr>
            <w:tcW w:w="2180" w:type="dxa"/>
            <w:vAlign w:val="bottom"/>
          </w:tcPr>
          <w:p>
            <w:pPr>
              <w:ind w:left="20"/>
              <w:spacing w:after="0"/>
              <w:rPr>
                <w:sz w:val="20"/>
                <w:szCs w:val="20"/>
                <w:color w:val="auto"/>
              </w:rPr>
            </w:pPr>
            <w:r>
              <w:rPr>
                <w:rFonts w:ascii="Arial" w:cs="Arial" w:eastAsia="Arial" w:hAnsi="Arial"/>
                <w:sz w:val="17"/>
                <w:szCs w:val="17"/>
                <w:color w:val="auto"/>
              </w:rPr>
              <w:t>4</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0" w:type="dxa"/>
            <w:vAlign w:val="bottom"/>
          </w:tcPr>
          <w:p>
            <w:pPr>
              <w:ind w:left="20"/>
              <w:spacing w:after="0"/>
              <w:rPr>
                <w:sz w:val="20"/>
                <w:szCs w:val="20"/>
                <w:color w:val="auto"/>
              </w:rPr>
            </w:pPr>
            <w:r>
              <w:rPr>
                <w:rFonts w:ascii="Arial" w:cs="Arial" w:eastAsia="Arial" w:hAnsi="Arial"/>
                <w:sz w:val="17"/>
                <w:szCs w:val="17"/>
                <w:color w:val="auto"/>
              </w:rPr>
              <w:t>US Treasury 0.000% 12/28/2023</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ind w:right="155"/>
              <w:spacing w:after="0"/>
              <w:rPr>
                <w:sz w:val="20"/>
                <w:szCs w:val="20"/>
                <w:color w:val="auto"/>
              </w:rPr>
            </w:pPr>
            <w:r>
              <w:rPr>
                <w:rFonts w:ascii="Arial" w:cs="Arial" w:eastAsia="Arial" w:hAnsi="Arial"/>
                <w:sz w:val="17"/>
                <w:szCs w:val="17"/>
                <w:color w:val="auto"/>
              </w:rPr>
              <w:t>25,261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25,282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(21)</w:t>
            </w:r>
          </w:p>
        </w:tc>
        <w:tc>
          <w:tcPr>
            <w:tcW w:w="100" w:type="dxa"/>
            <w:vAlign w:val="bottom"/>
          </w:tcPr>
          <w:p>
            <w:pPr>
              <w:spacing w:after="0"/>
              <w:rPr>
                <w:sz w:val="19"/>
                <w:szCs w:val="19"/>
                <w:color w:val="auto"/>
              </w:rPr>
            </w:pPr>
          </w:p>
        </w:tc>
        <w:tc>
          <w:tcPr>
            <w:tcW w:w="860" w:type="dxa"/>
            <w:vAlign w:val="bottom"/>
          </w:tcPr>
          <w:p>
            <w:pPr>
              <w:jc w:val="center"/>
              <w:spacing w:after="0"/>
              <w:rPr>
                <w:sz w:val="20"/>
                <w:szCs w:val="20"/>
                <w:color w:val="auto"/>
              </w:rPr>
            </w:pPr>
            <w:r>
              <w:rPr>
                <w:rFonts w:ascii="Arial" w:cs="Arial" w:eastAsia="Arial" w:hAnsi="Arial"/>
                <w:sz w:val="17"/>
                <w:szCs w:val="17"/>
                <w:color w:val="auto"/>
                <w:w w:val="92"/>
              </w:rPr>
              <w:t>Aaa</w:t>
            </w:r>
          </w:p>
        </w:tc>
        <w:tc>
          <w:tcPr>
            <w:tcW w:w="0" w:type="dxa"/>
            <w:vAlign w:val="bottom"/>
          </w:tcPr>
          <w:p>
            <w:pPr>
              <w:spacing w:after="0"/>
              <w:rPr>
                <w:sz w:val="1"/>
                <w:szCs w:val="1"/>
                <w:color w:val="auto"/>
              </w:rPr>
            </w:pPr>
          </w:p>
        </w:tc>
      </w:tr>
      <w:tr>
        <w:trPr>
          <w:trHeight w:val="221"/>
        </w:trPr>
        <w:tc>
          <w:tcPr>
            <w:tcW w:w="2180" w:type="dxa"/>
            <w:vAlign w:val="bottom"/>
            <w:shd w:val="clear" w:color="auto" w:fill="CCEEFF"/>
          </w:tcPr>
          <w:p>
            <w:pPr>
              <w:ind w:left="20"/>
              <w:spacing w:after="0"/>
              <w:rPr>
                <w:sz w:val="20"/>
                <w:szCs w:val="20"/>
                <w:color w:val="auto"/>
              </w:rPr>
            </w:pPr>
            <w:r>
              <w:rPr>
                <w:rFonts w:ascii="Arial" w:cs="Arial" w:eastAsia="Arial" w:hAnsi="Arial"/>
                <w:sz w:val="17"/>
                <w:szCs w:val="17"/>
                <w:color w:val="auto"/>
              </w:rPr>
              <w:t>5</w:t>
            </w: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0" w:type="dxa"/>
            <w:vAlign w:val="bottom"/>
            <w:shd w:val="clear" w:color="auto" w:fill="CCEEFF"/>
          </w:tcPr>
          <w:p>
            <w:pPr>
              <w:ind w:left="20"/>
              <w:spacing w:after="0"/>
              <w:rPr>
                <w:sz w:val="20"/>
                <w:szCs w:val="20"/>
                <w:color w:val="auto"/>
              </w:rPr>
            </w:pPr>
            <w:r>
              <w:rPr>
                <w:rFonts w:ascii="Arial" w:cs="Arial" w:eastAsia="Arial" w:hAnsi="Arial"/>
                <w:sz w:val="17"/>
                <w:szCs w:val="17"/>
                <w:color w:val="auto"/>
              </w:rPr>
              <w:t>US Treasury 0.250% 05/31/2025</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55"/>
              <w:spacing w:after="0"/>
              <w:rPr>
                <w:sz w:val="20"/>
                <w:szCs w:val="20"/>
                <w:color w:val="auto"/>
              </w:rPr>
            </w:pPr>
            <w:r>
              <w:rPr>
                <w:rFonts w:ascii="Arial" w:cs="Arial" w:eastAsia="Arial" w:hAnsi="Arial"/>
                <w:sz w:val="17"/>
                <w:szCs w:val="17"/>
                <w:color w:val="auto"/>
              </w:rPr>
              <w:t>23,433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25,590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(2,157)</w:t>
            </w: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2"/>
              </w:rPr>
              <w:t>Aaa</w:t>
            </w:r>
          </w:p>
        </w:tc>
        <w:tc>
          <w:tcPr>
            <w:tcW w:w="0" w:type="dxa"/>
            <w:vAlign w:val="bottom"/>
          </w:tcPr>
          <w:p>
            <w:pPr>
              <w:spacing w:after="0"/>
              <w:rPr>
                <w:sz w:val="1"/>
                <w:szCs w:val="1"/>
                <w:color w:val="auto"/>
              </w:rPr>
            </w:pPr>
          </w:p>
        </w:tc>
      </w:tr>
      <w:tr>
        <w:trPr>
          <w:trHeight w:val="227"/>
        </w:trPr>
        <w:tc>
          <w:tcPr>
            <w:tcW w:w="2180" w:type="dxa"/>
            <w:vAlign w:val="bottom"/>
          </w:tcPr>
          <w:p>
            <w:pPr>
              <w:ind w:left="20"/>
              <w:spacing w:after="0"/>
              <w:rPr>
                <w:sz w:val="20"/>
                <w:szCs w:val="20"/>
                <w:color w:val="auto"/>
              </w:rPr>
            </w:pPr>
            <w:r>
              <w:rPr>
                <w:rFonts w:ascii="Arial" w:cs="Arial" w:eastAsia="Arial" w:hAnsi="Arial"/>
                <w:sz w:val="17"/>
                <w:szCs w:val="17"/>
                <w:color w:val="auto"/>
              </w:rPr>
              <w:t>6</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0" w:type="dxa"/>
            <w:vAlign w:val="bottom"/>
          </w:tcPr>
          <w:p>
            <w:pPr>
              <w:ind w:left="20"/>
              <w:spacing w:after="0"/>
              <w:rPr>
                <w:sz w:val="20"/>
                <w:szCs w:val="20"/>
                <w:color w:val="auto"/>
              </w:rPr>
            </w:pPr>
            <w:r>
              <w:rPr>
                <w:rFonts w:ascii="Arial" w:cs="Arial" w:eastAsia="Arial" w:hAnsi="Arial"/>
                <w:sz w:val="17"/>
                <w:szCs w:val="17"/>
                <w:color w:val="auto"/>
              </w:rPr>
              <w:t>US Treasury 0.000% 03/21/2024</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ind w:right="155"/>
              <w:spacing w:after="0"/>
              <w:rPr>
                <w:sz w:val="20"/>
                <w:szCs w:val="20"/>
                <w:color w:val="auto"/>
              </w:rPr>
            </w:pPr>
            <w:r>
              <w:rPr>
                <w:rFonts w:ascii="Arial" w:cs="Arial" w:eastAsia="Arial" w:hAnsi="Arial"/>
                <w:sz w:val="17"/>
                <w:szCs w:val="17"/>
                <w:color w:val="auto"/>
              </w:rPr>
              <w:t>20,992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21,095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(103)</w:t>
            </w:r>
          </w:p>
        </w:tc>
        <w:tc>
          <w:tcPr>
            <w:tcW w:w="100" w:type="dxa"/>
            <w:vAlign w:val="bottom"/>
          </w:tcPr>
          <w:p>
            <w:pPr>
              <w:spacing w:after="0"/>
              <w:rPr>
                <w:sz w:val="19"/>
                <w:szCs w:val="19"/>
                <w:color w:val="auto"/>
              </w:rPr>
            </w:pPr>
          </w:p>
        </w:tc>
        <w:tc>
          <w:tcPr>
            <w:tcW w:w="860" w:type="dxa"/>
            <w:vAlign w:val="bottom"/>
          </w:tcPr>
          <w:p>
            <w:pPr>
              <w:jc w:val="center"/>
              <w:spacing w:after="0"/>
              <w:rPr>
                <w:sz w:val="20"/>
                <w:szCs w:val="20"/>
                <w:color w:val="auto"/>
              </w:rPr>
            </w:pPr>
            <w:r>
              <w:rPr>
                <w:rFonts w:ascii="Arial" w:cs="Arial" w:eastAsia="Arial" w:hAnsi="Arial"/>
                <w:sz w:val="17"/>
                <w:szCs w:val="17"/>
                <w:color w:val="auto"/>
                <w:w w:val="92"/>
              </w:rPr>
              <w:t>Aaa</w:t>
            </w:r>
          </w:p>
        </w:tc>
        <w:tc>
          <w:tcPr>
            <w:tcW w:w="0" w:type="dxa"/>
            <w:vAlign w:val="bottom"/>
          </w:tcPr>
          <w:p>
            <w:pPr>
              <w:spacing w:after="0"/>
              <w:rPr>
                <w:sz w:val="1"/>
                <w:szCs w:val="1"/>
                <w:color w:val="auto"/>
              </w:rPr>
            </w:pPr>
          </w:p>
        </w:tc>
      </w:tr>
      <w:tr>
        <w:trPr>
          <w:trHeight w:val="227"/>
        </w:trPr>
        <w:tc>
          <w:tcPr>
            <w:tcW w:w="2180" w:type="dxa"/>
            <w:vAlign w:val="bottom"/>
            <w:shd w:val="clear" w:color="auto" w:fill="CCEEFF"/>
          </w:tcPr>
          <w:p>
            <w:pPr>
              <w:ind w:left="20"/>
              <w:spacing w:after="0"/>
              <w:rPr>
                <w:sz w:val="20"/>
                <w:szCs w:val="20"/>
                <w:color w:val="auto"/>
              </w:rPr>
            </w:pPr>
            <w:r>
              <w:rPr>
                <w:rFonts w:ascii="Arial" w:cs="Arial" w:eastAsia="Arial" w:hAnsi="Arial"/>
                <w:sz w:val="17"/>
                <w:szCs w:val="17"/>
                <w:color w:val="auto"/>
              </w:rPr>
              <w:t>7</w:t>
            </w: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0" w:type="dxa"/>
            <w:vAlign w:val="bottom"/>
            <w:shd w:val="clear" w:color="auto" w:fill="CCEEFF"/>
          </w:tcPr>
          <w:p>
            <w:pPr>
              <w:ind w:left="20"/>
              <w:spacing w:after="0"/>
              <w:rPr>
                <w:sz w:val="20"/>
                <w:szCs w:val="20"/>
                <w:color w:val="auto"/>
              </w:rPr>
            </w:pPr>
            <w:r>
              <w:rPr>
                <w:rFonts w:ascii="Arial" w:cs="Arial" w:eastAsia="Arial" w:hAnsi="Arial"/>
                <w:sz w:val="17"/>
                <w:szCs w:val="17"/>
                <w:color w:val="auto"/>
              </w:rPr>
              <w:t>US Treasury 2.500% 01/31/2024</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55"/>
              <w:spacing w:after="0"/>
              <w:rPr>
                <w:sz w:val="20"/>
                <w:szCs w:val="20"/>
                <w:color w:val="auto"/>
              </w:rPr>
            </w:pPr>
            <w:r>
              <w:rPr>
                <w:rFonts w:ascii="Arial" w:cs="Arial" w:eastAsia="Arial" w:hAnsi="Arial"/>
                <w:sz w:val="17"/>
                <w:szCs w:val="17"/>
                <w:color w:val="auto"/>
              </w:rPr>
              <w:t>20,057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20,392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(335)</w:t>
            </w: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2"/>
              </w:rPr>
              <w:t>Aaa</w:t>
            </w:r>
          </w:p>
        </w:tc>
        <w:tc>
          <w:tcPr>
            <w:tcW w:w="0" w:type="dxa"/>
            <w:vAlign w:val="bottom"/>
          </w:tcPr>
          <w:p>
            <w:pPr>
              <w:spacing w:after="0"/>
              <w:rPr>
                <w:sz w:val="1"/>
                <w:szCs w:val="1"/>
                <w:color w:val="auto"/>
              </w:rPr>
            </w:pPr>
          </w:p>
        </w:tc>
      </w:tr>
      <w:tr>
        <w:trPr>
          <w:trHeight w:val="221"/>
        </w:trPr>
        <w:tc>
          <w:tcPr>
            <w:tcW w:w="2180" w:type="dxa"/>
            <w:vAlign w:val="bottom"/>
          </w:tcPr>
          <w:p>
            <w:pPr>
              <w:ind w:left="20"/>
              <w:spacing w:after="0"/>
              <w:rPr>
                <w:sz w:val="20"/>
                <w:szCs w:val="20"/>
                <w:color w:val="auto"/>
              </w:rPr>
            </w:pPr>
            <w:r>
              <w:rPr>
                <w:rFonts w:ascii="Arial" w:cs="Arial" w:eastAsia="Arial" w:hAnsi="Arial"/>
                <w:sz w:val="17"/>
                <w:szCs w:val="17"/>
                <w:color w:val="auto"/>
              </w:rPr>
              <w:t>8</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0" w:type="dxa"/>
            <w:vAlign w:val="bottom"/>
          </w:tcPr>
          <w:p>
            <w:pPr>
              <w:ind w:left="20"/>
              <w:spacing w:after="0"/>
              <w:rPr>
                <w:sz w:val="20"/>
                <w:szCs w:val="20"/>
                <w:color w:val="auto"/>
              </w:rPr>
            </w:pPr>
            <w:r>
              <w:rPr>
                <w:rFonts w:ascii="Arial" w:cs="Arial" w:eastAsia="Arial" w:hAnsi="Arial"/>
                <w:sz w:val="17"/>
                <w:szCs w:val="17"/>
                <w:color w:val="auto"/>
              </w:rPr>
              <w:t>US Treasury 2.000% 04/30/2024</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ind w:right="155"/>
              <w:spacing w:after="0"/>
              <w:rPr>
                <w:sz w:val="20"/>
                <w:szCs w:val="20"/>
                <w:color w:val="auto"/>
              </w:rPr>
            </w:pPr>
            <w:r>
              <w:rPr>
                <w:rFonts w:ascii="Arial" w:cs="Arial" w:eastAsia="Arial" w:hAnsi="Arial"/>
                <w:sz w:val="17"/>
                <w:szCs w:val="17"/>
                <w:color w:val="auto"/>
              </w:rPr>
              <w:t>19,514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19,693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(179)</w:t>
            </w:r>
          </w:p>
        </w:tc>
        <w:tc>
          <w:tcPr>
            <w:tcW w:w="100" w:type="dxa"/>
            <w:vAlign w:val="bottom"/>
          </w:tcPr>
          <w:p>
            <w:pPr>
              <w:spacing w:after="0"/>
              <w:rPr>
                <w:sz w:val="19"/>
                <w:szCs w:val="19"/>
                <w:color w:val="auto"/>
              </w:rPr>
            </w:pPr>
          </w:p>
        </w:tc>
        <w:tc>
          <w:tcPr>
            <w:tcW w:w="860" w:type="dxa"/>
            <w:vAlign w:val="bottom"/>
          </w:tcPr>
          <w:p>
            <w:pPr>
              <w:jc w:val="center"/>
              <w:spacing w:after="0"/>
              <w:rPr>
                <w:sz w:val="20"/>
                <w:szCs w:val="20"/>
                <w:color w:val="auto"/>
              </w:rPr>
            </w:pPr>
            <w:r>
              <w:rPr>
                <w:rFonts w:ascii="Arial" w:cs="Arial" w:eastAsia="Arial" w:hAnsi="Arial"/>
                <w:sz w:val="17"/>
                <w:szCs w:val="17"/>
                <w:color w:val="auto"/>
                <w:w w:val="92"/>
              </w:rPr>
              <w:t>Aaa</w:t>
            </w:r>
          </w:p>
        </w:tc>
        <w:tc>
          <w:tcPr>
            <w:tcW w:w="0" w:type="dxa"/>
            <w:vAlign w:val="bottom"/>
          </w:tcPr>
          <w:p>
            <w:pPr>
              <w:spacing w:after="0"/>
              <w:rPr>
                <w:sz w:val="1"/>
                <w:szCs w:val="1"/>
                <w:color w:val="auto"/>
              </w:rPr>
            </w:pPr>
          </w:p>
        </w:tc>
      </w:tr>
      <w:tr>
        <w:trPr>
          <w:trHeight w:val="234"/>
        </w:trPr>
        <w:tc>
          <w:tcPr>
            <w:tcW w:w="2180" w:type="dxa"/>
            <w:vAlign w:val="bottom"/>
            <w:shd w:val="clear" w:color="auto" w:fill="CCEEFF"/>
          </w:tcPr>
          <w:p>
            <w:pPr>
              <w:ind w:left="20"/>
              <w:spacing w:after="0"/>
              <w:rPr>
                <w:sz w:val="20"/>
                <w:szCs w:val="20"/>
                <w:color w:val="auto"/>
              </w:rPr>
            </w:pPr>
            <w:r>
              <w:rPr>
                <w:rFonts w:ascii="Arial" w:cs="Arial" w:eastAsia="Arial" w:hAnsi="Arial"/>
                <w:sz w:val="17"/>
                <w:szCs w:val="17"/>
                <w:color w:val="auto"/>
              </w:rPr>
              <w:t>9</w:t>
            </w:r>
          </w:p>
        </w:tc>
        <w:tc>
          <w:tcPr>
            <w:tcW w:w="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800" w:type="dxa"/>
            <w:vAlign w:val="bottom"/>
            <w:shd w:val="clear" w:color="auto" w:fill="CCEEFF"/>
          </w:tcPr>
          <w:p>
            <w:pPr>
              <w:ind w:left="20"/>
              <w:spacing w:after="0"/>
              <w:rPr>
                <w:sz w:val="20"/>
                <w:szCs w:val="20"/>
                <w:color w:val="auto"/>
              </w:rPr>
            </w:pPr>
            <w:r>
              <w:rPr>
                <w:rFonts w:ascii="Arial" w:cs="Arial" w:eastAsia="Arial" w:hAnsi="Arial"/>
                <w:sz w:val="17"/>
                <w:szCs w:val="17"/>
                <w:color w:val="auto"/>
              </w:rPr>
              <w:t>US Treasury 0.875% 06/30/2026</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00" w:type="dxa"/>
            <w:vAlign w:val="bottom"/>
            <w:shd w:val="clear" w:color="auto" w:fill="CCEEFF"/>
          </w:tcPr>
          <w:p>
            <w:pPr>
              <w:jc w:val="right"/>
              <w:ind w:right="155"/>
              <w:spacing w:after="0"/>
              <w:rPr>
                <w:sz w:val="20"/>
                <w:szCs w:val="20"/>
                <w:color w:val="auto"/>
              </w:rPr>
            </w:pPr>
            <w:r>
              <w:rPr>
                <w:rFonts w:ascii="Arial" w:cs="Arial" w:eastAsia="Arial" w:hAnsi="Arial"/>
                <w:sz w:val="17"/>
                <w:szCs w:val="17"/>
                <w:color w:val="auto"/>
              </w:rPr>
              <w:t>17,703</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19,641</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(1,938)</w:t>
            </w:r>
          </w:p>
        </w:tc>
        <w:tc>
          <w:tcPr>
            <w:tcW w:w="100" w:type="dxa"/>
            <w:vAlign w:val="bottom"/>
            <w:shd w:val="clear" w:color="auto" w:fill="CCEEFF"/>
          </w:tcPr>
          <w:p>
            <w:pPr>
              <w:spacing w:after="0"/>
              <w:rPr>
                <w:sz w:val="20"/>
                <w:szCs w:val="20"/>
                <w:color w:val="auto"/>
              </w:rPr>
            </w:pPr>
          </w:p>
        </w:tc>
        <w:tc>
          <w:tcPr>
            <w:tcW w:w="86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2"/>
              </w:rPr>
              <w:t>Aaa</w:t>
            </w:r>
          </w:p>
        </w:tc>
        <w:tc>
          <w:tcPr>
            <w:tcW w:w="0" w:type="dxa"/>
            <w:vAlign w:val="bottom"/>
          </w:tcPr>
          <w:p>
            <w:pPr>
              <w:spacing w:after="0"/>
              <w:rPr>
                <w:sz w:val="1"/>
                <w:szCs w:val="1"/>
                <w:color w:val="auto"/>
              </w:rPr>
            </w:pPr>
          </w:p>
        </w:tc>
      </w:tr>
      <w:tr>
        <w:trPr>
          <w:trHeight w:val="221"/>
        </w:trPr>
        <w:tc>
          <w:tcPr>
            <w:tcW w:w="218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10</w:t>
            </w:r>
          </w:p>
        </w:tc>
        <w:tc>
          <w:tcPr>
            <w:tcW w:w="2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80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US Treasury 0.125% 10/15/2023</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55"/>
              <w:spacing w:after="0"/>
              <w:rPr>
                <w:sz w:val="20"/>
                <w:szCs w:val="20"/>
                <w:color w:val="auto"/>
              </w:rPr>
            </w:pPr>
            <w:r>
              <w:rPr>
                <w:rFonts w:ascii="Arial" w:cs="Arial" w:eastAsia="Arial" w:hAnsi="Arial"/>
                <w:sz w:val="17"/>
                <w:szCs w:val="17"/>
                <w:color w:val="auto"/>
              </w:rPr>
              <w:t>17,369</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17,622</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(253)</w:t>
            </w:r>
          </w:p>
        </w:tc>
        <w:tc>
          <w:tcPr>
            <w:tcW w:w="100" w:type="dxa"/>
            <w:vAlign w:val="bottom"/>
            <w:tcBorders>
              <w:bottom w:val="single" w:sz="8" w:color="CCEEFF"/>
            </w:tcBorders>
          </w:tcPr>
          <w:p>
            <w:pPr>
              <w:spacing w:after="0"/>
              <w:rPr>
                <w:sz w:val="19"/>
                <w:szCs w:val="19"/>
                <w:color w:val="auto"/>
              </w:rPr>
            </w:pPr>
          </w:p>
        </w:tc>
        <w:tc>
          <w:tcPr>
            <w:tcW w:w="860" w:type="dxa"/>
            <w:vAlign w:val="bottom"/>
            <w:tcBorders>
              <w:bottom w:val="single" w:sz="8" w:color="CCEEFF"/>
            </w:tcBorders>
          </w:tcPr>
          <w:p>
            <w:pPr>
              <w:jc w:val="center"/>
              <w:spacing w:after="0"/>
              <w:rPr>
                <w:sz w:val="20"/>
                <w:szCs w:val="20"/>
                <w:color w:val="auto"/>
              </w:rPr>
            </w:pPr>
            <w:r>
              <w:rPr>
                <w:rFonts w:ascii="Arial" w:cs="Arial" w:eastAsia="Arial" w:hAnsi="Arial"/>
                <w:sz w:val="17"/>
                <w:szCs w:val="17"/>
                <w:color w:val="auto"/>
                <w:w w:val="92"/>
              </w:rPr>
              <w:t>Aaa</w:t>
            </w:r>
          </w:p>
        </w:tc>
        <w:tc>
          <w:tcPr>
            <w:tcW w:w="0" w:type="dxa"/>
            <w:vAlign w:val="bottom"/>
          </w:tcPr>
          <w:p>
            <w:pPr>
              <w:spacing w:after="0"/>
              <w:rPr>
                <w:sz w:val="1"/>
                <w:szCs w:val="1"/>
                <w:color w:val="auto"/>
              </w:rPr>
            </w:pPr>
          </w:p>
        </w:tc>
      </w:tr>
      <w:tr>
        <w:trPr>
          <w:trHeight w:val="234"/>
        </w:trPr>
        <w:tc>
          <w:tcPr>
            <w:tcW w:w="2480" w:type="dxa"/>
            <w:vAlign w:val="bottom"/>
            <w:gridSpan w:val="3"/>
            <w:shd w:val="clear" w:color="auto" w:fill="CCEEFF"/>
          </w:tcPr>
          <w:p>
            <w:pPr>
              <w:ind w:left="20"/>
              <w:spacing w:after="0"/>
              <w:rPr>
                <w:sz w:val="20"/>
                <w:szCs w:val="20"/>
                <w:color w:val="auto"/>
              </w:rPr>
            </w:pPr>
            <w:r>
              <w:rPr>
                <w:rFonts w:ascii="Arial" w:cs="Arial" w:eastAsia="Arial" w:hAnsi="Arial"/>
                <w:sz w:val="17"/>
                <w:szCs w:val="17"/>
                <w:color w:val="auto"/>
              </w:rPr>
              <w:t>Total</w:t>
            </w:r>
          </w:p>
        </w:tc>
        <w:tc>
          <w:tcPr>
            <w:tcW w:w="3800" w:type="dxa"/>
            <w:vAlign w:val="bottom"/>
            <w:shd w:val="clear" w:color="auto" w:fill="CCEEFF"/>
          </w:tcPr>
          <w:p>
            <w:pPr>
              <w:spacing w:after="0"/>
              <w:rPr>
                <w:sz w:val="20"/>
                <w:szCs w:val="20"/>
                <w:color w:val="auto"/>
              </w:rPr>
            </w:pPr>
          </w:p>
        </w:tc>
        <w:tc>
          <w:tcPr>
            <w:tcW w:w="360" w:type="dxa"/>
            <w:vAlign w:val="bottom"/>
            <w:gridSpan w:val="2"/>
            <w:shd w:val="clear" w:color="auto" w:fill="CCEEFF"/>
          </w:tcPr>
          <w:p>
            <w:pPr>
              <w:ind w:left="140"/>
              <w:spacing w:after="0"/>
              <w:rPr>
                <w:sz w:val="20"/>
                <w:szCs w:val="20"/>
                <w:color w:val="auto"/>
              </w:rPr>
            </w:pPr>
            <w:r>
              <w:rPr>
                <w:rFonts w:ascii="Arial" w:cs="Arial" w:eastAsia="Arial" w:hAnsi="Arial"/>
                <w:sz w:val="17"/>
                <w:szCs w:val="17"/>
                <w:color w:val="auto"/>
              </w:rPr>
              <w:t>$</w:t>
            </w:r>
          </w:p>
        </w:tc>
        <w:tc>
          <w:tcPr>
            <w:tcW w:w="1100" w:type="dxa"/>
            <w:vAlign w:val="bottom"/>
            <w:shd w:val="clear" w:color="auto" w:fill="CCEEFF"/>
          </w:tcPr>
          <w:p>
            <w:pPr>
              <w:jc w:val="right"/>
              <w:ind w:right="155"/>
              <w:spacing w:after="0"/>
              <w:rPr>
                <w:sz w:val="20"/>
                <w:szCs w:val="20"/>
                <w:color w:val="auto"/>
              </w:rPr>
            </w:pPr>
            <w:r>
              <w:rPr>
                <w:rFonts w:ascii="Arial" w:cs="Arial" w:eastAsia="Arial" w:hAnsi="Arial"/>
                <w:sz w:val="17"/>
                <w:szCs w:val="17"/>
                <w:color w:val="auto"/>
              </w:rPr>
              <w:t>243,818</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254,110</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(10,292)</w:t>
            </w:r>
          </w:p>
        </w:tc>
        <w:tc>
          <w:tcPr>
            <w:tcW w:w="10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180" w:type="dxa"/>
            <w:vAlign w:val="bottom"/>
            <w:tcBorders>
              <w:top w:val="single" w:sz="8" w:color="CCEEFF"/>
            </w:tcBorders>
          </w:tcPr>
          <w:p>
            <w:pPr>
              <w:spacing w:after="0" w:line="20" w:lineRule="exact"/>
              <w:rPr>
                <w:sz w:val="1"/>
                <w:szCs w:val="1"/>
                <w:color w:val="auto"/>
              </w:rPr>
            </w:pPr>
          </w:p>
        </w:tc>
        <w:tc>
          <w:tcPr>
            <w:tcW w:w="4100" w:type="dxa"/>
            <w:vAlign w:val="bottom"/>
            <w:tcBorders>
              <w:top w:val="single" w:sz="8" w:color="CCEEFF"/>
            </w:tcBorders>
            <w:gridSpan w:val="3"/>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6280" w:type="dxa"/>
            <w:vAlign w:val="bottom"/>
            <w:gridSpan w:val="4"/>
          </w:tcPr>
          <w:p>
            <w:pPr>
              <w:ind w:left="20"/>
              <w:spacing w:after="0"/>
              <w:rPr>
                <w:sz w:val="20"/>
                <w:szCs w:val="20"/>
                <w:color w:val="auto"/>
              </w:rPr>
            </w:pPr>
            <w:r>
              <w:rPr>
                <w:rFonts w:ascii="Arial" w:cs="Arial" w:eastAsia="Arial" w:hAnsi="Arial"/>
                <w:sz w:val="17"/>
                <w:szCs w:val="17"/>
                <w:b w:val="1"/>
                <w:bCs w:val="1"/>
                <w:color w:val="auto"/>
              </w:rPr>
              <w:t>Percent of Investments Available for Sale</w:t>
            </w:r>
          </w:p>
        </w:tc>
        <w:tc>
          <w:tcPr>
            <w:tcW w:w="1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4.9 %</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8"/>
        </w:trPr>
        <w:tc>
          <w:tcPr>
            <w:tcW w:w="2180" w:type="dxa"/>
            <w:vAlign w:val="bottom"/>
            <w:tcBorders>
              <w:bottom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65" w:lineRule="exact"/>
        <w:rPr>
          <w:sz w:val="20"/>
          <w:szCs w:val="20"/>
          <w:color w:val="auto"/>
        </w:rPr>
      </w:pPr>
    </w:p>
    <w:p>
      <w:pPr>
        <w:ind w:left="620" w:right="260" w:hanging="305"/>
        <w:spacing w:after="0" w:line="265" w:lineRule="auto"/>
        <w:tabs>
          <w:tab w:leader="none" w:pos="620" w:val="left"/>
        </w:tabs>
        <w:numPr>
          <w:ilvl w:val="0"/>
          <w:numId w:val="25"/>
        </w:numPr>
        <w:rPr>
          <w:rFonts w:ascii="Arial" w:cs="Arial" w:eastAsia="Arial" w:hAnsi="Arial"/>
          <w:sz w:val="17"/>
          <w:szCs w:val="17"/>
          <w:color w:val="auto"/>
        </w:rPr>
      </w:pPr>
      <w:r>
        <w:rPr>
          <w:rFonts w:ascii="Arial" w:cs="Arial" w:eastAsia="Arial" w:hAnsi="Arial"/>
          <w:sz w:val="17"/>
          <w:szCs w:val="17"/>
          <w:color w:val="auto"/>
        </w:rPr>
        <w:t>As of June 30, 2023, for securities in an unrealized loss position, management believes the declines in fair value are principally associated with the changes in the interest rate environment subsequent to its purchase. Also, see Note 3 to our condensed consolidated financial statements, which summarizes the aggregate amount of gross unrealized losses by asset class in which the fair value of investments available for sale has been less than cost for less than 12 months and for 12 months or more.</w:t>
      </w:r>
    </w:p>
    <w:p>
      <w:pPr>
        <w:spacing w:after="0" w:line="200" w:lineRule="exact"/>
        <w:rPr>
          <w:rFonts w:ascii="Arial" w:cs="Arial" w:eastAsia="Arial" w:hAnsi="Arial"/>
          <w:sz w:val="17"/>
          <w:szCs w:val="17"/>
          <w:color w:val="auto"/>
        </w:rPr>
      </w:pPr>
    </w:p>
    <w:p>
      <w:pPr>
        <w:ind w:left="620" w:hanging="305"/>
        <w:spacing w:after="0"/>
        <w:tabs>
          <w:tab w:leader="none" w:pos="620" w:val="left"/>
        </w:tabs>
        <w:numPr>
          <w:ilvl w:val="0"/>
          <w:numId w:val="25"/>
        </w:numPr>
        <w:rPr>
          <w:rFonts w:ascii="Arial" w:cs="Arial" w:eastAsia="Arial" w:hAnsi="Arial"/>
          <w:sz w:val="17"/>
          <w:szCs w:val="17"/>
          <w:color w:val="auto"/>
        </w:rPr>
      </w:pPr>
      <w:r>
        <w:rPr>
          <w:rFonts w:ascii="Arial" w:cs="Arial" w:eastAsia="Arial" w:hAnsi="Arial"/>
          <w:sz w:val="17"/>
          <w:szCs w:val="17"/>
          <w:color w:val="auto"/>
        </w:rPr>
        <w:t>Based on ratings issued by Moody’s, if available. S&amp;P or Fitch rating utilized if Moody’s not available.</w:t>
      </w:r>
    </w:p>
    <w:p>
      <w:pPr>
        <w:spacing w:after="0" w:line="200" w:lineRule="exact"/>
        <w:rPr>
          <w:sz w:val="20"/>
          <w:szCs w:val="20"/>
          <w:color w:val="auto"/>
        </w:rPr>
      </w:pP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280" w:type="dxa"/>
            <w:vAlign w:val="bottom"/>
            <w:gridSpan w:val="2"/>
          </w:tcPr>
          <w:p>
            <w:pPr>
              <w:ind w:left="20"/>
              <w:spacing w:after="0"/>
              <w:rPr>
                <w:sz w:val="20"/>
                <w:szCs w:val="20"/>
                <w:color w:val="auto"/>
              </w:rPr>
            </w:pPr>
            <w:r>
              <w:rPr>
                <w:rFonts w:ascii="Arial" w:cs="Arial" w:eastAsia="Arial" w:hAnsi="Arial"/>
                <w:sz w:val="14"/>
                <w:szCs w:val="14"/>
                <w:b w:val="1"/>
                <w:bCs w:val="1"/>
                <w:color w:val="auto"/>
              </w:rPr>
              <w:t>Rank</w:t>
            </w:r>
          </w:p>
        </w:tc>
        <w:tc>
          <w:tcPr>
            <w:tcW w:w="6340" w:type="dxa"/>
            <w:vAlign w:val="bottom"/>
            <w:tcBorders>
              <w:bottom w:val="single" w:sz="8" w:color="auto"/>
            </w:tcBorders>
          </w:tcPr>
          <w:p>
            <w:pPr>
              <w:ind w:left="3400"/>
              <w:spacing w:after="0"/>
              <w:rPr>
                <w:sz w:val="20"/>
                <w:szCs w:val="20"/>
                <w:color w:val="auto"/>
              </w:rPr>
            </w:pPr>
            <w:r>
              <w:rPr>
                <w:rFonts w:ascii="Arial" w:cs="Arial" w:eastAsia="Arial" w:hAnsi="Arial"/>
                <w:sz w:val="14"/>
                <w:szCs w:val="14"/>
                <w:b w:val="1"/>
                <w:bCs w:val="1"/>
                <w:color w:val="auto"/>
              </w:rPr>
              <w:t>December 31, 2022</w:t>
            </w:r>
          </w:p>
        </w:tc>
        <w:tc>
          <w:tcPr>
            <w:tcW w:w="1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r>
      <w:tr>
        <w:trPr>
          <w:trHeight w:val="188"/>
        </w:trPr>
        <w:tc>
          <w:tcPr>
            <w:tcW w:w="31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 in thousands)</w:t>
            </w:r>
          </w:p>
        </w:tc>
        <w:tc>
          <w:tcPr>
            <w:tcW w:w="100" w:type="dxa"/>
            <w:vAlign w:val="bottom"/>
            <w:tcBorders>
              <w:bottom w:val="single" w:sz="8" w:color="CCEEFF"/>
            </w:tcBorders>
          </w:tcPr>
          <w:p>
            <w:pPr>
              <w:spacing w:after="0"/>
              <w:rPr>
                <w:sz w:val="16"/>
                <w:szCs w:val="16"/>
                <w:color w:val="auto"/>
              </w:rPr>
            </w:pPr>
          </w:p>
        </w:tc>
        <w:tc>
          <w:tcPr>
            <w:tcW w:w="6340" w:type="dxa"/>
            <w:vAlign w:val="bottom"/>
            <w:tcBorders>
              <w:bottom w:val="single" w:sz="8" w:color="auto"/>
            </w:tcBorders>
          </w:tcPr>
          <w:p>
            <w:pPr>
              <w:ind w:left="2920"/>
              <w:spacing w:after="0"/>
              <w:rPr>
                <w:sz w:val="20"/>
                <w:szCs w:val="20"/>
                <w:color w:val="auto"/>
              </w:rPr>
            </w:pPr>
            <w:r>
              <w:rPr>
                <w:rFonts w:ascii="Arial" w:cs="Arial" w:eastAsia="Arial" w:hAnsi="Arial"/>
                <w:sz w:val="14"/>
                <w:szCs w:val="14"/>
                <w:b w:val="1"/>
                <w:bCs w:val="1"/>
                <w:color w:val="auto"/>
              </w:rPr>
              <w:t>Security</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rPr>
              <w:t>Fair Value</w:t>
            </w:r>
          </w:p>
        </w:tc>
      </w:tr>
      <w:tr>
        <w:trPr>
          <w:trHeight w:val="221"/>
        </w:trPr>
        <w:tc>
          <w:tcPr>
            <w:tcW w:w="3180" w:type="dxa"/>
            <w:vAlign w:val="bottom"/>
            <w:shd w:val="clear" w:color="auto" w:fill="CCEEFF"/>
          </w:tcPr>
          <w:p>
            <w:pPr>
              <w:ind w:left="20"/>
              <w:spacing w:after="0"/>
              <w:rPr>
                <w:sz w:val="20"/>
                <w:szCs w:val="20"/>
                <w:color w:val="auto"/>
              </w:rPr>
            </w:pPr>
            <w:r>
              <w:rPr>
                <w:rFonts w:ascii="Arial" w:cs="Arial" w:eastAsia="Arial" w:hAnsi="Arial"/>
                <w:sz w:val="17"/>
                <w:szCs w:val="17"/>
                <w:color w:val="auto"/>
              </w:rPr>
              <w:t>1</w:t>
            </w:r>
          </w:p>
        </w:tc>
        <w:tc>
          <w:tcPr>
            <w:tcW w:w="100" w:type="dxa"/>
            <w:vAlign w:val="bottom"/>
            <w:shd w:val="clear" w:color="auto" w:fill="CCEEFF"/>
          </w:tcPr>
          <w:p>
            <w:pPr>
              <w:spacing w:after="0"/>
              <w:rPr>
                <w:sz w:val="19"/>
                <w:szCs w:val="19"/>
                <w:color w:val="auto"/>
              </w:rPr>
            </w:pPr>
          </w:p>
        </w:tc>
        <w:tc>
          <w:tcPr>
            <w:tcW w:w="6340" w:type="dxa"/>
            <w:vAlign w:val="bottom"/>
            <w:shd w:val="clear" w:color="auto" w:fill="CCEEFF"/>
          </w:tcPr>
          <w:p>
            <w:pPr>
              <w:ind w:left="20"/>
              <w:spacing w:after="0"/>
              <w:rPr>
                <w:sz w:val="20"/>
                <w:szCs w:val="20"/>
                <w:color w:val="auto"/>
              </w:rPr>
            </w:pPr>
            <w:r>
              <w:rPr>
                <w:rFonts w:ascii="Arial" w:cs="Arial" w:eastAsia="Arial" w:hAnsi="Arial"/>
                <w:sz w:val="17"/>
                <w:szCs w:val="17"/>
                <w:color w:val="auto"/>
              </w:rPr>
              <w:t>US Treasury 2.875% 06/15/2025</w:t>
            </w:r>
          </w:p>
        </w:tc>
        <w:tc>
          <w:tcPr>
            <w:tcW w:w="3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200" w:type="dxa"/>
            <w:vAlign w:val="bottom"/>
            <w:shd w:val="clear" w:color="auto" w:fill="CCEEFF"/>
          </w:tcPr>
          <w:p>
            <w:pPr>
              <w:jc w:val="right"/>
              <w:ind w:right="135"/>
              <w:spacing w:after="0"/>
              <w:rPr>
                <w:sz w:val="20"/>
                <w:szCs w:val="20"/>
                <w:color w:val="auto"/>
              </w:rPr>
            </w:pPr>
            <w:r>
              <w:rPr>
                <w:rFonts w:ascii="Arial" w:cs="Arial" w:eastAsia="Arial" w:hAnsi="Arial"/>
                <w:sz w:val="17"/>
                <w:szCs w:val="17"/>
                <w:color w:val="auto"/>
              </w:rPr>
              <w:t>39,908</w:t>
            </w:r>
          </w:p>
        </w:tc>
      </w:tr>
      <w:tr>
        <w:trPr>
          <w:trHeight w:val="227"/>
        </w:trPr>
        <w:tc>
          <w:tcPr>
            <w:tcW w:w="3180" w:type="dxa"/>
            <w:vAlign w:val="bottom"/>
          </w:tcPr>
          <w:p>
            <w:pPr>
              <w:ind w:left="20"/>
              <w:spacing w:after="0"/>
              <w:rPr>
                <w:sz w:val="20"/>
                <w:szCs w:val="20"/>
                <w:color w:val="auto"/>
              </w:rPr>
            </w:pPr>
            <w:r>
              <w:rPr>
                <w:rFonts w:ascii="Arial" w:cs="Arial" w:eastAsia="Arial" w:hAnsi="Arial"/>
                <w:sz w:val="17"/>
                <w:szCs w:val="17"/>
                <w:color w:val="auto"/>
              </w:rPr>
              <w:t>2</w:t>
            </w:r>
          </w:p>
        </w:tc>
        <w:tc>
          <w:tcPr>
            <w:tcW w:w="100" w:type="dxa"/>
            <w:vAlign w:val="bottom"/>
          </w:tcPr>
          <w:p>
            <w:pPr>
              <w:spacing w:after="0"/>
              <w:rPr>
                <w:sz w:val="19"/>
                <w:szCs w:val="19"/>
                <w:color w:val="auto"/>
              </w:rPr>
            </w:pPr>
          </w:p>
        </w:tc>
        <w:tc>
          <w:tcPr>
            <w:tcW w:w="6340" w:type="dxa"/>
            <w:vAlign w:val="bottom"/>
          </w:tcPr>
          <w:p>
            <w:pPr>
              <w:ind w:left="20"/>
              <w:spacing w:after="0"/>
              <w:rPr>
                <w:sz w:val="20"/>
                <w:szCs w:val="20"/>
                <w:color w:val="auto"/>
              </w:rPr>
            </w:pPr>
            <w:r>
              <w:rPr>
                <w:rFonts w:ascii="Arial" w:cs="Arial" w:eastAsia="Arial" w:hAnsi="Arial"/>
                <w:sz w:val="17"/>
                <w:szCs w:val="17"/>
                <w:color w:val="auto"/>
              </w:rPr>
              <w:t>US Treasury 1.500% 08/15/2026</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tcPr>
          <w:p>
            <w:pPr>
              <w:jc w:val="right"/>
              <w:ind w:right="135"/>
              <w:spacing w:after="0"/>
              <w:rPr>
                <w:sz w:val="20"/>
                <w:szCs w:val="20"/>
                <w:color w:val="auto"/>
              </w:rPr>
            </w:pPr>
            <w:r>
              <w:rPr>
                <w:rFonts w:ascii="Arial" w:cs="Arial" w:eastAsia="Arial" w:hAnsi="Arial"/>
                <w:sz w:val="17"/>
                <w:szCs w:val="17"/>
                <w:color w:val="auto"/>
              </w:rPr>
              <w:t>31,025</w:t>
            </w:r>
          </w:p>
        </w:tc>
      </w:tr>
      <w:tr>
        <w:trPr>
          <w:trHeight w:val="227"/>
        </w:trPr>
        <w:tc>
          <w:tcPr>
            <w:tcW w:w="3180" w:type="dxa"/>
            <w:vAlign w:val="bottom"/>
            <w:shd w:val="clear" w:color="auto" w:fill="CCEEFF"/>
          </w:tcPr>
          <w:p>
            <w:pPr>
              <w:ind w:left="20"/>
              <w:spacing w:after="0"/>
              <w:rPr>
                <w:sz w:val="20"/>
                <w:szCs w:val="20"/>
                <w:color w:val="auto"/>
              </w:rPr>
            </w:pPr>
            <w:r>
              <w:rPr>
                <w:rFonts w:ascii="Arial" w:cs="Arial" w:eastAsia="Arial" w:hAnsi="Arial"/>
                <w:sz w:val="17"/>
                <w:szCs w:val="17"/>
                <w:color w:val="auto"/>
              </w:rPr>
              <w:t>3</w:t>
            </w:r>
          </w:p>
        </w:tc>
        <w:tc>
          <w:tcPr>
            <w:tcW w:w="100" w:type="dxa"/>
            <w:vAlign w:val="bottom"/>
            <w:shd w:val="clear" w:color="auto" w:fill="CCEEFF"/>
          </w:tcPr>
          <w:p>
            <w:pPr>
              <w:spacing w:after="0"/>
              <w:rPr>
                <w:sz w:val="19"/>
                <w:szCs w:val="19"/>
                <w:color w:val="auto"/>
              </w:rPr>
            </w:pPr>
          </w:p>
        </w:tc>
        <w:tc>
          <w:tcPr>
            <w:tcW w:w="6340" w:type="dxa"/>
            <w:vAlign w:val="bottom"/>
            <w:shd w:val="clear" w:color="auto" w:fill="CCEEFF"/>
          </w:tcPr>
          <w:p>
            <w:pPr>
              <w:ind w:left="20"/>
              <w:spacing w:after="0"/>
              <w:rPr>
                <w:sz w:val="20"/>
                <w:szCs w:val="20"/>
                <w:color w:val="auto"/>
              </w:rPr>
            </w:pPr>
            <w:r>
              <w:rPr>
                <w:rFonts w:ascii="Arial" w:cs="Arial" w:eastAsia="Arial" w:hAnsi="Arial"/>
                <w:sz w:val="17"/>
                <w:szCs w:val="17"/>
                <w:color w:val="auto"/>
              </w:rPr>
              <w:t>Federal Home Loan Banks 0.000% 01/03/2023</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35"/>
              <w:spacing w:after="0"/>
              <w:rPr>
                <w:sz w:val="20"/>
                <w:szCs w:val="20"/>
                <w:color w:val="auto"/>
              </w:rPr>
            </w:pPr>
            <w:r>
              <w:rPr>
                <w:rFonts w:ascii="Arial" w:cs="Arial" w:eastAsia="Arial" w:hAnsi="Arial"/>
                <w:sz w:val="17"/>
                <w:szCs w:val="17"/>
                <w:color w:val="auto"/>
              </w:rPr>
              <w:t>27,080</w:t>
            </w:r>
          </w:p>
        </w:tc>
      </w:tr>
      <w:tr>
        <w:trPr>
          <w:trHeight w:val="221"/>
        </w:trPr>
        <w:tc>
          <w:tcPr>
            <w:tcW w:w="3180" w:type="dxa"/>
            <w:vAlign w:val="bottom"/>
          </w:tcPr>
          <w:p>
            <w:pPr>
              <w:ind w:left="20"/>
              <w:spacing w:after="0"/>
              <w:rPr>
                <w:sz w:val="20"/>
                <w:szCs w:val="20"/>
                <w:color w:val="auto"/>
              </w:rPr>
            </w:pPr>
            <w:r>
              <w:rPr>
                <w:rFonts w:ascii="Arial" w:cs="Arial" w:eastAsia="Arial" w:hAnsi="Arial"/>
                <w:sz w:val="17"/>
                <w:szCs w:val="17"/>
                <w:color w:val="auto"/>
              </w:rPr>
              <w:t>4</w:t>
            </w:r>
          </w:p>
        </w:tc>
        <w:tc>
          <w:tcPr>
            <w:tcW w:w="100" w:type="dxa"/>
            <w:vAlign w:val="bottom"/>
          </w:tcPr>
          <w:p>
            <w:pPr>
              <w:spacing w:after="0"/>
              <w:rPr>
                <w:sz w:val="19"/>
                <w:szCs w:val="19"/>
                <w:color w:val="auto"/>
              </w:rPr>
            </w:pPr>
          </w:p>
        </w:tc>
        <w:tc>
          <w:tcPr>
            <w:tcW w:w="6340" w:type="dxa"/>
            <w:vAlign w:val="bottom"/>
          </w:tcPr>
          <w:p>
            <w:pPr>
              <w:ind w:left="20"/>
              <w:spacing w:after="0"/>
              <w:rPr>
                <w:sz w:val="20"/>
                <w:szCs w:val="20"/>
                <w:color w:val="auto"/>
              </w:rPr>
            </w:pPr>
            <w:r>
              <w:rPr>
                <w:rFonts w:ascii="Arial" w:cs="Arial" w:eastAsia="Arial" w:hAnsi="Arial"/>
                <w:sz w:val="17"/>
                <w:szCs w:val="17"/>
                <w:color w:val="auto"/>
              </w:rPr>
              <w:t>US Treasury 0.250% 05/31/2025</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tcPr>
          <w:p>
            <w:pPr>
              <w:jc w:val="right"/>
              <w:ind w:right="135"/>
              <w:spacing w:after="0"/>
              <w:rPr>
                <w:sz w:val="20"/>
                <w:szCs w:val="20"/>
                <w:color w:val="auto"/>
              </w:rPr>
            </w:pPr>
            <w:r>
              <w:rPr>
                <w:rFonts w:ascii="Arial" w:cs="Arial" w:eastAsia="Arial" w:hAnsi="Arial"/>
                <w:sz w:val="17"/>
                <w:szCs w:val="17"/>
                <w:color w:val="auto"/>
              </w:rPr>
              <w:t>23,249</w:t>
            </w:r>
          </w:p>
        </w:tc>
      </w:tr>
      <w:tr>
        <w:trPr>
          <w:trHeight w:val="221"/>
        </w:trPr>
        <w:tc>
          <w:tcPr>
            <w:tcW w:w="3180" w:type="dxa"/>
            <w:vAlign w:val="bottom"/>
            <w:shd w:val="clear" w:color="auto" w:fill="CCEEFF"/>
          </w:tcPr>
          <w:p>
            <w:pPr>
              <w:ind w:left="20"/>
              <w:spacing w:after="0"/>
              <w:rPr>
                <w:sz w:val="20"/>
                <w:szCs w:val="20"/>
                <w:color w:val="auto"/>
              </w:rPr>
            </w:pPr>
            <w:r>
              <w:rPr>
                <w:rFonts w:ascii="Arial" w:cs="Arial" w:eastAsia="Arial" w:hAnsi="Arial"/>
                <w:sz w:val="17"/>
                <w:szCs w:val="17"/>
                <w:color w:val="auto"/>
              </w:rPr>
              <w:t>5</w:t>
            </w:r>
          </w:p>
        </w:tc>
        <w:tc>
          <w:tcPr>
            <w:tcW w:w="100" w:type="dxa"/>
            <w:vAlign w:val="bottom"/>
            <w:shd w:val="clear" w:color="auto" w:fill="CCEEFF"/>
          </w:tcPr>
          <w:p>
            <w:pPr>
              <w:spacing w:after="0"/>
              <w:rPr>
                <w:sz w:val="19"/>
                <w:szCs w:val="19"/>
                <w:color w:val="auto"/>
              </w:rPr>
            </w:pPr>
          </w:p>
        </w:tc>
        <w:tc>
          <w:tcPr>
            <w:tcW w:w="6340" w:type="dxa"/>
            <w:vAlign w:val="bottom"/>
            <w:shd w:val="clear" w:color="auto" w:fill="CCEEFF"/>
          </w:tcPr>
          <w:p>
            <w:pPr>
              <w:ind w:left="20"/>
              <w:spacing w:after="0"/>
              <w:rPr>
                <w:sz w:val="20"/>
                <w:szCs w:val="20"/>
                <w:color w:val="auto"/>
              </w:rPr>
            </w:pPr>
            <w:r>
              <w:rPr>
                <w:rFonts w:ascii="Arial" w:cs="Arial" w:eastAsia="Arial" w:hAnsi="Arial"/>
                <w:sz w:val="17"/>
                <w:szCs w:val="17"/>
                <w:color w:val="auto"/>
              </w:rPr>
              <w:t>US Treasury 2.500% 01/31/2024</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35"/>
              <w:spacing w:after="0"/>
              <w:rPr>
                <w:sz w:val="20"/>
                <w:szCs w:val="20"/>
                <w:color w:val="auto"/>
              </w:rPr>
            </w:pPr>
            <w:r>
              <w:rPr>
                <w:rFonts w:ascii="Arial" w:cs="Arial" w:eastAsia="Arial" w:hAnsi="Arial"/>
                <w:sz w:val="17"/>
                <w:szCs w:val="17"/>
                <w:color w:val="auto"/>
              </w:rPr>
              <w:t>19,911</w:t>
            </w:r>
          </w:p>
        </w:tc>
      </w:tr>
      <w:tr>
        <w:trPr>
          <w:trHeight w:val="227"/>
        </w:trPr>
        <w:tc>
          <w:tcPr>
            <w:tcW w:w="3180" w:type="dxa"/>
            <w:vAlign w:val="bottom"/>
          </w:tcPr>
          <w:p>
            <w:pPr>
              <w:ind w:left="20"/>
              <w:spacing w:after="0"/>
              <w:rPr>
                <w:sz w:val="20"/>
                <w:szCs w:val="20"/>
                <w:color w:val="auto"/>
              </w:rPr>
            </w:pPr>
            <w:r>
              <w:rPr>
                <w:rFonts w:ascii="Arial" w:cs="Arial" w:eastAsia="Arial" w:hAnsi="Arial"/>
                <w:sz w:val="17"/>
                <w:szCs w:val="17"/>
                <w:color w:val="auto"/>
              </w:rPr>
              <w:t>6</w:t>
            </w:r>
          </w:p>
        </w:tc>
        <w:tc>
          <w:tcPr>
            <w:tcW w:w="100" w:type="dxa"/>
            <w:vAlign w:val="bottom"/>
          </w:tcPr>
          <w:p>
            <w:pPr>
              <w:spacing w:after="0"/>
              <w:rPr>
                <w:sz w:val="19"/>
                <w:szCs w:val="19"/>
                <w:color w:val="auto"/>
              </w:rPr>
            </w:pPr>
          </w:p>
        </w:tc>
        <w:tc>
          <w:tcPr>
            <w:tcW w:w="6340" w:type="dxa"/>
            <w:vAlign w:val="bottom"/>
          </w:tcPr>
          <w:p>
            <w:pPr>
              <w:ind w:left="20"/>
              <w:spacing w:after="0"/>
              <w:rPr>
                <w:sz w:val="20"/>
                <w:szCs w:val="20"/>
                <w:color w:val="auto"/>
              </w:rPr>
            </w:pPr>
            <w:r>
              <w:rPr>
                <w:rFonts w:ascii="Arial" w:cs="Arial" w:eastAsia="Arial" w:hAnsi="Arial"/>
                <w:sz w:val="17"/>
                <w:szCs w:val="17"/>
                <w:color w:val="auto"/>
              </w:rPr>
              <w:t>US Treasury 0.000% 02/23/2023</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tcPr>
          <w:p>
            <w:pPr>
              <w:jc w:val="right"/>
              <w:ind w:right="135"/>
              <w:spacing w:after="0"/>
              <w:rPr>
                <w:sz w:val="20"/>
                <w:szCs w:val="20"/>
                <w:color w:val="auto"/>
              </w:rPr>
            </w:pPr>
            <w:r>
              <w:rPr>
                <w:rFonts w:ascii="Arial" w:cs="Arial" w:eastAsia="Arial" w:hAnsi="Arial"/>
                <w:sz w:val="17"/>
                <w:szCs w:val="17"/>
                <w:color w:val="auto"/>
              </w:rPr>
              <w:t>19,879</w:t>
            </w:r>
          </w:p>
        </w:tc>
      </w:tr>
      <w:tr>
        <w:trPr>
          <w:trHeight w:val="227"/>
        </w:trPr>
        <w:tc>
          <w:tcPr>
            <w:tcW w:w="3180" w:type="dxa"/>
            <w:vAlign w:val="bottom"/>
            <w:shd w:val="clear" w:color="auto" w:fill="CCEEFF"/>
          </w:tcPr>
          <w:p>
            <w:pPr>
              <w:ind w:left="20"/>
              <w:spacing w:after="0"/>
              <w:rPr>
                <w:sz w:val="20"/>
                <w:szCs w:val="20"/>
                <w:color w:val="auto"/>
              </w:rPr>
            </w:pPr>
            <w:r>
              <w:rPr>
                <w:rFonts w:ascii="Arial" w:cs="Arial" w:eastAsia="Arial" w:hAnsi="Arial"/>
                <w:sz w:val="17"/>
                <w:szCs w:val="17"/>
                <w:color w:val="auto"/>
              </w:rPr>
              <w:t>7</w:t>
            </w:r>
          </w:p>
        </w:tc>
        <w:tc>
          <w:tcPr>
            <w:tcW w:w="100" w:type="dxa"/>
            <w:vAlign w:val="bottom"/>
            <w:shd w:val="clear" w:color="auto" w:fill="CCEEFF"/>
          </w:tcPr>
          <w:p>
            <w:pPr>
              <w:spacing w:after="0"/>
              <w:rPr>
                <w:sz w:val="19"/>
                <w:szCs w:val="19"/>
                <w:color w:val="auto"/>
              </w:rPr>
            </w:pPr>
          </w:p>
        </w:tc>
        <w:tc>
          <w:tcPr>
            <w:tcW w:w="6340" w:type="dxa"/>
            <w:vAlign w:val="bottom"/>
            <w:shd w:val="clear" w:color="auto" w:fill="CCEEFF"/>
          </w:tcPr>
          <w:p>
            <w:pPr>
              <w:ind w:left="20"/>
              <w:spacing w:after="0"/>
              <w:rPr>
                <w:sz w:val="20"/>
                <w:szCs w:val="20"/>
                <w:color w:val="auto"/>
              </w:rPr>
            </w:pPr>
            <w:r>
              <w:rPr>
                <w:rFonts w:ascii="Arial" w:cs="Arial" w:eastAsia="Arial" w:hAnsi="Arial"/>
                <w:sz w:val="17"/>
                <w:szCs w:val="17"/>
                <w:color w:val="auto"/>
              </w:rPr>
              <w:t>US Treasury 2.625% 06/30/2023</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35"/>
              <w:spacing w:after="0"/>
              <w:rPr>
                <w:sz w:val="20"/>
                <w:szCs w:val="20"/>
                <w:color w:val="auto"/>
              </w:rPr>
            </w:pPr>
            <w:r>
              <w:rPr>
                <w:rFonts w:ascii="Arial" w:cs="Arial" w:eastAsia="Arial" w:hAnsi="Arial"/>
                <w:sz w:val="17"/>
                <w:szCs w:val="17"/>
                <w:color w:val="auto"/>
              </w:rPr>
              <w:t>19,562</w:t>
            </w:r>
          </w:p>
        </w:tc>
      </w:tr>
      <w:tr>
        <w:trPr>
          <w:trHeight w:val="221"/>
        </w:trPr>
        <w:tc>
          <w:tcPr>
            <w:tcW w:w="3180" w:type="dxa"/>
            <w:vAlign w:val="bottom"/>
          </w:tcPr>
          <w:p>
            <w:pPr>
              <w:ind w:left="20"/>
              <w:spacing w:after="0"/>
              <w:rPr>
                <w:sz w:val="20"/>
                <w:szCs w:val="20"/>
                <w:color w:val="auto"/>
              </w:rPr>
            </w:pPr>
            <w:r>
              <w:rPr>
                <w:rFonts w:ascii="Arial" w:cs="Arial" w:eastAsia="Arial" w:hAnsi="Arial"/>
                <w:sz w:val="17"/>
                <w:szCs w:val="17"/>
                <w:color w:val="auto"/>
              </w:rPr>
              <w:t>8</w:t>
            </w:r>
          </w:p>
        </w:tc>
        <w:tc>
          <w:tcPr>
            <w:tcW w:w="100" w:type="dxa"/>
            <w:vAlign w:val="bottom"/>
          </w:tcPr>
          <w:p>
            <w:pPr>
              <w:spacing w:after="0"/>
              <w:rPr>
                <w:sz w:val="19"/>
                <w:szCs w:val="19"/>
                <w:color w:val="auto"/>
              </w:rPr>
            </w:pPr>
          </w:p>
        </w:tc>
        <w:tc>
          <w:tcPr>
            <w:tcW w:w="6340" w:type="dxa"/>
            <w:vAlign w:val="bottom"/>
          </w:tcPr>
          <w:p>
            <w:pPr>
              <w:ind w:left="20"/>
              <w:spacing w:after="0"/>
              <w:rPr>
                <w:sz w:val="20"/>
                <w:szCs w:val="20"/>
                <w:color w:val="auto"/>
              </w:rPr>
            </w:pPr>
            <w:r>
              <w:rPr>
                <w:rFonts w:ascii="Arial" w:cs="Arial" w:eastAsia="Arial" w:hAnsi="Arial"/>
                <w:sz w:val="17"/>
                <w:szCs w:val="17"/>
                <w:color w:val="auto"/>
              </w:rPr>
              <w:t>US Treasury 2.000% 04/30/2024</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tcPr>
          <w:p>
            <w:pPr>
              <w:jc w:val="right"/>
              <w:ind w:right="135"/>
              <w:spacing w:after="0"/>
              <w:rPr>
                <w:sz w:val="20"/>
                <w:szCs w:val="20"/>
                <w:color w:val="auto"/>
              </w:rPr>
            </w:pPr>
            <w:r>
              <w:rPr>
                <w:rFonts w:ascii="Arial" w:cs="Arial" w:eastAsia="Arial" w:hAnsi="Arial"/>
                <w:sz w:val="17"/>
                <w:szCs w:val="17"/>
                <w:color w:val="auto"/>
              </w:rPr>
              <w:t>19,369</w:t>
            </w:r>
          </w:p>
        </w:tc>
      </w:tr>
      <w:tr>
        <w:trPr>
          <w:trHeight w:val="234"/>
        </w:trPr>
        <w:tc>
          <w:tcPr>
            <w:tcW w:w="3180" w:type="dxa"/>
            <w:vAlign w:val="bottom"/>
            <w:shd w:val="clear" w:color="auto" w:fill="CCEEFF"/>
          </w:tcPr>
          <w:p>
            <w:pPr>
              <w:ind w:left="20"/>
              <w:spacing w:after="0"/>
              <w:rPr>
                <w:sz w:val="20"/>
                <w:szCs w:val="20"/>
                <w:color w:val="auto"/>
              </w:rPr>
            </w:pPr>
            <w:r>
              <w:rPr>
                <w:rFonts w:ascii="Arial" w:cs="Arial" w:eastAsia="Arial" w:hAnsi="Arial"/>
                <w:sz w:val="17"/>
                <w:szCs w:val="17"/>
                <w:color w:val="auto"/>
              </w:rPr>
              <w:t>9</w:t>
            </w:r>
          </w:p>
        </w:tc>
        <w:tc>
          <w:tcPr>
            <w:tcW w:w="100" w:type="dxa"/>
            <w:vAlign w:val="bottom"/>
            <w:shd w:val="clear" w:color="auto" w:fill="CCEEFF"/>
          </w:tcPr>
          <w:p>
            <w:pPr>
              <w:spacing w:after="0"/>
              <w:rPr>
                <w:sz w:val="20"/>
                <w:szCs w:val="20"/>
                <w:color w:val="auto"/>
              </w:rPr>
            </w:pPr>
          </w:p>
        </w:tc>
        <w:tc>
          <w:tcPr>
            <w:tcW w:w="6340" w:type="dxa"/>
            <w:vAlign w:val="bottom"/>
            <w:shd w:val="clear" w:color="auto" w:fill="CCEEFF"/>
          </w:tcPr>
          <w:p>
            <w:pPr>
              <w:ind w:left="20"/>
              <w:spacing w:after="0"/>
              <w:rPr>
                <w:sz w:val="20"/>
                <w:szCs w:val="20"/>
                <w:color w:val="auto"/>
              </w:rPr>
            </w:pPr>
            <w:r>
              <w:rPr>
                <w:rFonts w:ascii="Arial" w:cs="Arial" w:eastAsia="Arial" w:hAnsi="Arial"/>
                <w:sz w:val="17"/>
                <w:szCs w:val="17"/>
                <w:color w:val="auto"/>
              </w:rPr>
              <w:t>US Treasury 0.875% 06/30/2026</w:t>
            </w: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200" w:type="dxa"/>
            <w:vAlign w:val="bottom"/>
            <w:shd w:val="clear" w:color="auto" w:fill="CCEEFF"/>
          </w:tcPr>
          <w:p>
            <w:pPr>
              <w:jc w:val="right"/>
              <w:ind w:right="135"/>
              <w:spacing w:after="0"/>
              <w:rPr>
                <w:sz w:val="20"/>
                <w:szCs w:val="20"/>
                <w:color w:val="auto"/>
              </w:rPr>
            </w:pPr>
            <w:r>
              <w:rPr>
                <w:rFonts w:ascii="Arial" w:cs="Arial" w:eastAsia="Arial" w:hAnsi="Arial"/>
                <w:sz w:val="17"/>
                <w:szCs w:val="17"/>
                <w:color w:val="auto"/>
              </w:rPr>
              <w:t>17,584</w:t>
            </w:r>
          </w:p>
        </w:tc>
      </w:tr>
      <w:tr>
        <w:trPr>
          <w:trHeight w:val="221"/>
        </w:trPr>
        <w:tc>
          <w:tcPr>
            <w:tcW w:w="3180" w:type="dxa"/>
            <w:vAlign w:val="bottom"/>
          </w:tcPr>
          <w:p>
            <w:pPr>
              <w:ind w:left="20"/>
              <w:spacing w:after="0"/>
              <w:rPr>
                <w:sz w:val="20"/>
                <w:szCs w:val="20"/>
                <w:color w:val="auto"/>
              </w:rPr>
            </w:pPr>
            <w:r>
              <w:rPr>
                <w:rFonts w:ascii="Arial" w:cs="Arial" w:eastAsia="Arial" w:hAnsi="Arial"/>
                <w:sz w:val="17"/>
                <w:szCs w:val="17"/>
                <w:color w:val="auto"/>
              </w:rPr>
              <w:t>10</w:t>
            </w:r>
          </w:p>
        </w:tc>
        <w:tc>
          <w:tcPr>
            <w:tcW w:w="100" w:type="dxa"/>
            <w:vAlign w:val="bottom"/>
          </w:tcPr>
          <w:p>
            <w:pPr>
              <w:spacing w:after="0"/>
              <w:rPr>
                <w:sz w:val="19"/>
                <w:szCs w:val="19"/>
                <w:color w:val="auto"/>
              </w:rPr>
            </w:pPr>
          </w:p>
        </w:tc>
        <w:tc>
          <w:tcPr>
            <w:tcW w:w="6340" w:type="dxa"/>
            <w:vAlign w:val="bottom"/>
          </w:tcPr>
          <w:p>
            <w:pPr>
              <w:ind w:left="20"/>
              <w:spacing w:after="0"/>
              <w:rPr>
                <w:sz w:val="20"/>
                <w:szCs w:val="20"/>
                <w:color w:val="auto"/>
              </w:rPr>
            </w:pPr>
            <w:r>
              <w:rPr>
                <w:rFonts w:ascii="Arial" w:cs="Arial" w:eastAsia="Arial" w:hAnsi="Arial"/>
                <w:sz w:val="17"/>
                <w:szCs w:val="17"/>
                <w:color w:val="auto"/>
              </w:rPr>
              <w:t>US Treasury 0.125% 10/15/2023</w:t>
            </w:r>
          </w:p>
        </w:tc>
        <w:tc>
          <w:tcPr>
            <w:tcW w:w="1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135"/>
              <w:spacing w:after="0"/>
              <w:rPr>
                <w:sz w:val="20"/>
                <w:szCs w:val="20"/>
                <w:color w:val="auto"/>
              </w:rPr>
            </w:pPr>
            <w:r>
              <w:rPr>
                <w:rFonts w:ascii="Arial" w:cs="Arial" w:eastAsia="Arial" w:hAnsi="Arial"/>
                <w:sz w:val="17"/>
                <w:szCs w:val="17"/>
                <w:color w:val="auto"/>
              </w:rPr>
              <w:t>17,003</w:t>
            </w:r>
          </w:p>
        </w:tc>
      </w:tr>
      <w:tr>
        <w:trPr>
          <w:trHeight w:val="234"/>
        </w:trPr>
        <w:tc>
          <w:tcPr>
            <w:tcW w:w="328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Total</w:t>
            </w:r>
          </w:p>
        </w:tc>
        <w:tc>
          <w:tcPr>
            <w:tcW w:w="6340" w:type="dxa"/>
            <w:vAlign w:val="bottom"/>
            <w:shd w:val="clear" w:color="auto" w:fill="CCEEFF"/>
          </w:tcPr>
          <w:p>
            <w:pPr>
              <w:spacing w:after="0"/>
              <w:rPr>
                <w:sz w:val="20"/>
                <w:szCs w:val="20"/>
                <w:color w:val="auto"/>
              </w:rPr>
            </w:pPr>
          </w:p>
        </w:tc>
        <w:tc>
          <w:tcPr>
            <w:tcW w:w="3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200" w:type="dxa"/>
            <w:vAlign w:val="bottom"/>
            <w:shd w:val="clear" w:color="auto" w:fill="CCEEFF"/>
          </w:tcPr>
          <w:p>
            <w:pPr>
              <w:jc w:val="right"/>
              <w:ind w:right="135"/>
              <w:spacing w:after="0"/>
              <w:rPr>
                <w:sz w:val="20"/>
                <w:szCs w:val="20"/>
                <w:color w:val="auto"/>
              </w:rPr>
            </w:pPr>
            <w:r>
              <w:rPr>
                <w:rFonts w:ascii="Arial" w:cs="Arial" w:eastAsia="Arial" w:hAnsi="Arial"/>
                <w:sz w:val="17"/>
                <w:szCs w:val="17"/>
                <w:color w:val="auto"/>
              </w:rPr>
              <w:t>234,570</w:t>
            </w:r>
          </w:p>
        </w:tc>
      </w:tr>
      <w:tr>
        <w:trPr>
          <w:trHeight w:val="20"/>
        </w:trPr>
        <w:tc>
          <w:tcPr>
            <w:tcW w:w="3280" w:type="dxa"/>
            <w:vAlign w:val="bottom"/>
            <w:tcBorders>
              <w:top w:val="single" w:sz="8" w:color="CCEEFF"/>
            </w:tcBorders>
            <w:gridSpan w:val="2"/>
          </w:tcPr>
          <w:p>
            <w:pPr>
              <w:spacing w:after="0" w:line="20" w:lineRule="exact"/>
              <w:rPr>
                <w:sz w:val="1"/>
                <w:szCs w:val="1"/>
                <w:color w:val="auto"/>
              </w:rPr>
            </w:pPr>
          </w:p>
        </w:tc>
        <w:tc>
          <w:tcPr>
            <w:tcW w:w="63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r>
        <w:trPr>
          <w:trHeight w:val="206"/>
        </w:trPr>
        <w:tc>
          <w:tcPr>
            <w:tcW w:w="3280" w:type="dxa"/>
            <w:vAlign w:val="bottom"/>
            <w:gridSpan w:val="2"/>
          </w:tcPr>
          <w:p>
            <w:pPr>
              <w:ind w:left="20"/>
              <w:spacing w:after="0"/>
              <w:rPr>
                <w:sz w:val="20"/>
                <w:szCs w:val="20"/>
                <w:color w:val="auto"/>
              </w:rPr>
            </w:pPr>
            <w:r>
              <w:rPr>
                <w:rFonts w:ascii="Arial" w:cs="Arial" w:eastAsia="Arial" w:hAnsi="Arial"/>
                <w:sz w:val="17"/>
                <w:szCs w:val="17"/>
                <w:b w:val="1"/>
                <w:bCs w:val="1"/>
                <w:color w:val="auto"/>
                <w:w w:val="97"/>
              </w:rPr>
              <w:t>Percent of Investments Available for Sale</w:t>
            </w:r>
          </w:p>
        </w:tc>
        <w:tc>
          <w:tcPr>
            <w:tcW w:w="6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4.9 %</w:t>
            </w:r>
          </w:p>
        </w:tc>
      </w:tr>
      <w:tr>
        <w:trPr>
          <w:trHeight w:val="20"/>
        </w:trPr>
        <w:tc>
          <w:tcPr>
            <w:tcW w:w="3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68580</wp:posOffset>
            </wp:positionV>
            <wp:extent cx="7162800" cy="4191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00"/>
          </w:cols>
          <w:pgMar w:left="320" w:top="127" w:right="379" w:bottom="1440" w:gutter="0" w:footer="0" w:header="0"/>
        </w:sectPr>
      </w:pPr>
    </w:p>
    <w:bookmarkStart w:id="49" w:name="page50"/>
    <w:bookmarkEnd w:id="49"/>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344" w:lineRule="exact"/>
        <w:rPr>
          <w:sz w:val="20"/>
          <w:szCs w:val="20"/>
          <w:color w:val="auto"/>
        </w:rPr>
      </w:pPr>
    </w:p>
    <w:p>
      <w:pPr>
        <w:ind w:left="620"/>
        <w:spacing w:after="0"/>
        <w:rPr>
          <w:sz w:val="20"/>
          <w:szCs w:val="20"/>
          <w:color w:val="auto"/>
        </w:rPr>
      </w:pPr>
      <w:r>
        <w:rPr>
          <w:rFonts w:ascii="Arial" w:cs="Arial" w:eastAsia="Arial" w:hAnsi="Arial"/>
          <w:sz w:val="16"/>
          <w:szCs w:val="16"/>
          <w:color w:val="auto"/>
        </w:rPr>
        <w:t>The following tables include municipal debt securities for states that represent more than 10% of the total municipal bond position as of June 30, 2023:</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20" w:type="dxa"/>
            <w:vAlign w:val="bottom"/>
          </w:tcPr>
          <w:p>
            <w:pPr>
              <w:spacing w:after="0"/>
              <w:rPr>
                <w:sz w:val="14"/>
                <w:szCs w:val="14"/>
                <w:color w:val="auto"/>
              </w:rPr>
            </w:pPr>
          </w:p>
        </w:tc>
        <w:tc>
          <w:tcPr>
            <w:tcW w:w="60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 in thousands)</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60" w:type="dxa"/>
            <w:vAlign w:val="bottom"/>
            <w:vMerge w:val="restart"/>
          </w:tcPr>
          <w:p>
            <w:pPr>
              <w:jc w:val="right"/>
              <w:ind w:right="435"/>
              <w:spacing w:after="0"/>
              <w:rPr>
                <w:sz w:val="20"/>
                <w:szCs w:val="20"/>
                <w:color w:val="auto"/>
              </w:rPr>
            </w:pPr>
            <w:r>
              <w:rPr>
                <w:rFonts w:ascii="Arial" w:cs="Arial" w:eastAsia="Arial" w:hAnsi="Arial"/>
                <w:sz w:val="14"/>
                <w:szCs w:val="14"/>
                <w:b w:val="1"/>
                <w:bCs w:val="1"/>
                <w:color w:val="auto"/>
              </w:rPr>
              <w:t>Fair Value</w:t>
            </w: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60" w:type="dxa"/>
            <w:vAlign w:val="bottom"/>
          </w:tcPr>
          <w:p>
            <w:pPr>
              <w:jc w:val="right"/>
              <w:ind w:right="435"/>
              <w:spacing w:after="0"/>
              <w:rPr>
                <w:sz w:val="20"/>
                <w:szCs w:val="20"/>
                <w:color w:val="auto"/>
              </w:rPr>
            </w:pPr>
            <w:r>
              <w:rPr>
                <w:rFonts w:ascii="Arial" w:cs="Arial" w:eastAsia="Arial" w:hAnsi="Arial"/>
                <w:sz w:val="14"/>
                <w:szCs w:val="14"/>
                <w:b w:val="1"/>
                <w:bCs w:val="1"/>
                <w:color w:val="auto"/>
              </w:rPr>
              <w:t>Amortized</w:t>
            </w:r>
          </w:p>
        </w:tc>
        <w:tc>
          <w:tcPr>
            <w:tcW w:w="100" w:type="dxa"/>
            <w:vAlign w:val="bottom"/>
          </w:tcPr>
          <w:p>
            <w:pPr>
              <w:spacing w:after="0"/>
              <w:rPr>
                <w:sz w:val="14"/>
                <w:szCs w:val="14"/>
                <w:color w:val="auto"/>
              </w:rPr>
            </w:pPr>
          </w:p>
        </w:tc>
        <w:tc>
          <w:tcPr>
            <w:tcW w:w="1040" w:type="dxa"/>
            <w:vAlign w:val="bottom"/>
          </w:tcPr>
          <w:p>
            <w:pPr>
              <w:ind w:left="500"/>
              <w:spacing w:after="0"/>
              <w:rPr>
                <w:sz w:val="20"/>
                <w:szCs w:val="20"/>
                <w:color w:val="auto"/>
              </w:rPr>
            </w:pPr>
            <w:r>
              <w:rPr>
                <w:rFonts w:ascii="Arial" w:cs="Arial" w:eastAsia="Arial" w:hAnsi="Arial"/>
                <w:sz w:val="14"/>
                <w:szCs w:val="14"/>
                <w:b w:val="1"/>
                <w:bCs w:val="1"/>
                <w:color w:val="auto"/>
              </w:rPr>
              <w:t>Credit</w:t>
            </w:r>
          </w:p>
        </w:tc>
        <w:tc>
          <w:tcPr>
            <w:tcW w:w="0" w:type="dxa"/>
            <w:vAlign w:val="bottom"/>
          </w:tcPr>
          <w:p>
            <w:pPr>
              <w:spacing w:after="0"/>
              <w:rPr>
                <w:sz w:val="1"/>
                <w:szCs w:val="1"/>
                <w:color w:val="auto"/>
              </w:rPr>
            </w:pPr>
          </w:p>
        </w:tc>
      </w:tr>
      <w:tr>
        <w:trPr>
          <w:trHeight w:val="185"/>
        </w:trPr>
        <w:tc>
          <w:tcPr>
            <w:tcW w:w="620" w:type="dxa"/>
            <w:vAlign w:val="bottom"/>
          </w:tcPr>
          <w:p>
            <w:pPr>
              <w:spacing w:after="0"/>
              <w:rPr>
                <w:sz w:val="16"/>
                <w:szCs w:val="16"/>
                <w:color w:val="auto"/>
              </w:rPr>
            </w:pPr>
          </w:p>
        </w:tc>
        <w:tc>
          <w:tcPr>
            <w:tcW w:w="6000" w:type="dxa"/>
            <w:vAlign w:val="bottom"/>
            <w:tcBorders>
              <w:bottom w:val="single" w:sz="8" w:color="auto"/>
            </w:tcBorders>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615"/>
              <w:spacing w:after="0"/>
              <w:rPr>
                <w:sz w:val="20"/>
                <w:szCs w:val="20"/>
                <w:color w:val="auto"/>
              </w:rPr>
            </w:pPr>
            <w:r>
              <w:rPr>
                <w:rFonts w:ascii="Arial" w:cs="Arial" w:eastAsia="Arial" w:hAnsi="Arial"/>
                <w:sz w:val="14"/>
                <w:szCs w:val="14"/>
                <w:b w:val="1"/>
                <w:bCs w:val="1"/>
                <w:color w:val="auto"/>
              </w:rPr>
              <w:t>Cost</w:t>
            </w:r>
          </w:p>
        </w:tc>
        <w:tc>
          <w:tcPr>
            <w:tcW w:w="100" w:type="dxa"/>
            <w:vAlign w:val="bottom"/>
          </w:tcPr>
          <w:p>
            <w:pPr>
              <w:spacing w:after="0"/>
              <w:rPr>
                <w:sz w:val="16"/>
                <w:szCs w:val="16"/>
                <w:color w:val="auto"/>
              </w:rPr>
            </w:pPr>
          </w:p>
        </w:tc>
        <w:tc>
          <w:tcPr>
            <w:tcW w:w="1040" w:type="dxa"/>
            <w:vAlign w:val="bottom"/>
            <w:tcBorders>
              <w:bottom w:val="single" w:sz="8" w:color="auto"/>
            </w:tcBorders>
          </w:tcPr>
          <w:p>
            <w:pPr>
              <w:ind w:left="280"/>
              <w:spacing w:after="0"/>
              <w:rPr>
                <w:sz w:val="20"/>
                <w:szCs w:val="20"/>
                <w:color w:val="auto"/>
              </w:rPr>
            </w:pPr>
            <w:r>
              <w:rPr>
                <w:rFonts w:ascii="Arial" w:cs="Arial" w:eastAsia="Arial" w:hAnsi="Arial"/>
                <w:sz w:val="14"/>
                <w:szCs w:val="14"/>
                <w:b w:val="1"/>
                <w:bCs w:val="1"/>
                <w:color w:val="auto"/>
                <w:w w:val="87"/>
              </w:rPr>
              <w:t>Rating (1), (2</w:t>
            </w:r>
          </w:p>
        </w:tc>
        <w:tc>
          <w:tcPr>
            <w:tcW w:w="0" w:type="dxa"/>
            <w:vAlign w:val="bottom"/>
          </w:tcPr>
          <w:p>
            <w:pPr>
              <w:spacing w:after="0"/>
              <w:rPr>
                <w:sz w:val="1"/>
                <w:szCs w:val="1"/>
                <w:color w:val="auto"/>
              </w:rPr>
            </w:pPr>
          </w:p>
        </w:tc>
      </w:tr>
      <w:tr>
        <w:trPr>
          <w:trHeight w:val="233"/>
        </w:trPr>
        <w:tc>
          <w:tcPr>
            <w:tcW w:w="620" w:type="dxa"/>
            <w:vAlign w:val="bottom"/>
          </w:tcPr>
          <w:p>
            <w:pPr>
              <w:spacing w:after="0"/>
              <w:rPr>
                <w:sz w:val="20"/>
                <w:szCs w:val="20"/>
                <w:color w:val="auto"/>
              </w:rPr>
            </w:pPr>
          </w:p>
        </w:tc>
        <w:tc>
          <w:tcPr>
            <w:tcW w:w="600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New York</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1"/>
        </w:trPr>
        <w:tc>
          <w:tcPr>
            <w:tcW w:w="620" w:type="dxa"/>
            <w:vAlign w:val="bottom"/>
          </w:tcPr>
          <w:p>
            <w:pPr>
              <w:spacing w:after="0"/>
              <w:rPr>
                <w:sz w:val="19"/>
                <w:szCs w:val="19"/>
                <w:color w:val="auto"/>
              </w:rPr>
            </w:pPr>
          </w:p>
        </w:tc>
        <w:tc>
          <w:tcPr>
            <w:tcW w:w="6000" w:type="dxa"/>
            <w:vAlign w:val="bottom"/>
            <w:gridSpan w:val="2"/>
          </w:tcPr>
          <w:p>
            <w:pPr>
              <w:ind w:left="20"/>
              <w:spacing w:after="0"/>
              <w:rPr>
                <w:sz w:val="20"/>
                <w:szCs w:val="20"/>
                <w:color w:val="auto"/>
              </w:rPr>
            </w:pPr>
            <w:r>
              <w:rPr>
                <w:rFonts w:ascii="Arial" w:cs="Arial" w:eastAsia="Arial" w:hAnsi="Arial"/>
                <w:sz w:val="17"/>
                <w:szCs w:val="17"/>
                <w:color w:val="auto"/>
              </w:rPr>
              <w:t>NEW YORK CITY TRANSITIONAL FIN AUTH</w:t>
            </w:r>
          </w:p>
        </w:tc>
        <w:tc>
          <w:tcPr>
            <w:tcW w:w="42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360" w:type="dxa"/>
            <w:vAlign w:val="bottom"/>
          </w:tcPr>
          <w:p>
            <w:pPr>
              <w:jc w:val="right"/>
              <w:spacing w:after="0"/>
              <w:rPr>
                <w:sz w:val="20"/>
                <w:szCs w:val="20"/>
                <w:color w:val="auto"/>
              </w:rPr>
            </w:pPr>
            <w:r>
              <w:rPr>
                <w:rFonts w:ascii="Arial" w:cs="Arial" w:eastAsia="Arial" w:hAnsi="Arial"/>
                <w:sz w:val="17"/>
                <w:szCs w:val="17"/>
                <w:color w:val="auto"/>
              </w:rPr>
              <w:t>14,746</w:t>
            </w:r>
          </w:p>
        </w:tc>
        <w:tc>
          <w:tcPr>
            <w:tcW w:w="44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360" w:type="dxa"/>
            <w:vAlign w:val="bottom"/>
          </w:tcPr>
          <w:p>
            <w:pPr>
              <w:jc w:val="right"/>
              <w:spacing w:after="0"/>
              <w:rPr>
                <w:sz w:val="20"/>
                <w:szCs w:val="20"/>
                <w:color w:val="auto"/>
              </w:rPr>
            </w:pPr>
            <w:r>
              <w:rPr>
                <w:rFonts w:ascii="Arial" w:cs="Arial" w:eastAsia="Arial" w:hAnsi="Arial"/>
                <w:sz w:val="17"/>
                <w:szCs w:val="17"/>
                <w:color w:val="auto"/>
              </w:rPr>
              <w:t>15,317</w:t>
            </w:r>
          </w:p>
        </w:tc>
        <w:tc>
          <w:tcPr>
            <w:tcW w:w="100" w:type="dxa"/>
            <w:vAlign w:val="bottom"/>
          </w:tcPr>
          <w:p>
            <w:pPr>
              <w:spacing w:after="0"/>
              <w:rPr>
                <w:sz w:val="19"/>
                <w:szCs w:val="19"/>
                <w:color w:val="auto"/>
              </w:rPr>
            </w:pPr>
          </w:p>
        </w:tc>
        <w:tc>
          <w:tcPr>
            <w:tcW w:w="1040" w:type="dxa"/>
            <w:vAlign w:val="bottom"/>
          </w:tcPr>
          <w:p>
            <w:pPr>
              <w:jc w:val="center"/>
              <w:ind w:left="276"/>
              <w:spacing w:after="0"/>
              <w:rPr>
                <w:sz w:val="20"/>
                <w:szCs w:val="20"/>
                <w:color w:val="auto"/>
              </w:rPr>
            </w:pPr>
            <w:r>
              <w:rPr>
                <w:rFonts w:ascii="Arial" w:cs="Arial" w:eastAsia="Arial" w:hAnsi="Arial"/>
                <w:sz w:val="17"/>
                <w:szCs w:val="17"/>
                <w:color w:val="auto"/>
                <w:w w:val="92"/>
              </w:rPr>
              <w:t>Aa2</w:t>
            </w:r>
          </w:p>
        </w:tc>
        <w:tc>
          <w:tcPr>
            <w:tcW w:w="0" w:type="dxa"/>
            <w:vAlign w:val="bottom"/>
          </w:tcPr>
          <w:p>
            <w:pPr>
              <w:spacing w:after="0"/>
              <w:rPr>
                <w:sz w:val="1"/>
                <w:szCs w:val="1"/>
                <w:color w:val="auto"/>
              </w:rPr>
            </w:pPr>
          </w:p>
        </w:tc>
      </w:tr>
      <w:tr>
        <w:trPr>
          <w:trHeight w:val="221"/>
        </w:trPr>
        <w:tc>
          <w:tcPr>
            <w:tcW w:w="620" w:type="dxa"/>
            <w:vAlign w:val="bottom"/>
          </w:tcPr>
          <w:p>
            <w:pPr>
              <w:spacing w:after="0"/>
              <w:rPr>
                <w:sz w:val="19"/>
                <w:szCs w:val="19"/>
                <w:color w:val="auto"/>
              </w:rPr>
            </w:pPr>
          </w:p>
        </w:tc>
        <w:tc>
          <w:tcPr>
            <w:tcW w:w="600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DORMITORY AUTHORITY OF STATE OF NEW YORK</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10,472</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10,724</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jc w:val="center"/>
              <w:ind w:left="276"/>
              <w:spacing w:after="0"/>
              <w:rPr>
                <w:sz w:val="20"/>
                <w:szCs w:val="20"/>
                <w:color w:val="auto"/>
              </w:rPr>
            </w:pPr>
            <w:r>
              <w:rPr>
                <w:rFonts w:ascii="Arial" w:cs="Arial" w:eastAsia="Arial" w:hAnsi="Arial"/>
                <w:sz w:val="17"/>
                <w:szCs w:val="17"/>
                <w:color w:val="auto"/>
                <w:w w:val="92"/>
              </w:rPr>
              <w:t>Aa2</w:t>
            </w:r>
          </w:p>
        </w:tc>
        <w:tc>
          <w:tcPr>
            <w:tcW w:w="0" w:type="dxa"/>
            <w:vAlign w:val="bottom"/>
          </w:tcPr>
          <w:p>
            <w:pPr>
              <w:spacing w:after="0"/>
              <w:rPr>
                <w:sz w:val="1"/>
                <w:szCs w:val="1"/>
                <w:color w:val="auto"/>
              </w:rPr>
            </w:pPr>
          </w:p>
        </w:tc>
      </w:tr>
      <w:tr>
        <w:trPr>
          <w:trHeight w:val="227"/>
        </w:trPr>
        <w:tc>
          <w:tcPr>
            <w:tcW w:w="620" w:type="dxa"/>
            <w:vAlign w:val="bottom"/>
          </w:tcPr>
          <w:p>
            <w:pPr>
              <w:spacing w:after="0"/>
              <w:rPr>
                <w:sz w:val="19"/>
                <w:szCs w:val="19"/>
                <w:color w:val="auto"/>
              </w:rPr>
            </w:pPr>
          </w:p>
        </w:tc>
        <w:tc>
          <w:tcPr>
            <w:tcW w:w="6000" w:type="dxa"/>
            <w:vAlign w:val="bottom"/>
            <w:gridSpan w:val="2"/>
          </w:tcPr>
          <w:p>
            <w:pPr>
              <w:ind w:left="20"/>
              <w:spacing w:after="0"/>
              <w:rPr>
                <w:sz w:val="20"/>
                <w:szCs w:val="20"/>
                <w:color w:val="auto"/>
              </w:rPr>
            </w:pPr>
            <w:r>
              <w:rPr>
                <w:rFonts w:ascii="Arial" w:cs="Arial" w:eastAsia="Arial" w:hAnsi="Arial"/>
                <w:sz w:val="17"/>
                <w:szCs w:val="17"/>
                <w:color w:val="auto"/>
              </w:rPr>
              <w:t>TRIBOROUGH BRIDGE &amp; TUNNEL AUTHORITY</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9,074</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9,833</w:t>
            </w:r>
          </w:p>
        </w:tc>
        <w:tc>
          <w:tcPr>
            <w:tcW w:w="100" w:type="dxa"/>
            <w:vAlign w:val="bottom"/>
          </w:tcPr>
          <w:p>
            <w:pPr>
              <w:spacing w:after="0"/>
              <w:rPr>
                <w:sz w:val="19"/>
                <w:szCs w:val="19"/>
                <w:color w:val="auto"/>
              </w:rPr>
            </w:pPr>
          </w:p>
        </w:tc>
        <w:tc>
          <w:tcPr>
            <w:tcW w:w="1040" w:type="dxa"/>
            <w:vAlign w:val="bottom"/>
          </w:tcPr>
          <w:p>
            <w:pPr>
              <w:jc w:val="center"/>
              <w:ind w:left="276"/>
              <w:spacing w:after="0"/>
              <w:rPr>
                <w:sz w:val="20"/>
                <w:szCs w:val="20"/>
                <w:color w:val="auto"/>
              </w:rPr>
            </w:pPr>
            <w:r>
              <w:rPr>
                <w:rFonts w:ascii="Arial" w:cs="Arial" w:eastAsia="Arial" w:hAnsi="Arial"/>
                <w:sz w:val="17"/>
                <w:szCs w:val="17"/>
                <w:color w:val="auto"/>
                <w:w w:val="95"/>
              </w:rPr>
              <w:t>A3</w:t>
            </w:r>
          </w:p>
        </w:tc>
        <w:tc>
          <w:tcPr>
            <w:tcW w:w="0" w:type="dxa"/>
            <w:vAlign w:val="bottom"/>
          </w:tcPr>
          <w:p>
            <w:pPr>
              <w:spacing w:after="0"/>
              <w:rPr>
                <w:sz w:val="1"/>
                <w:szCs w:val="1"/>
                <w:color w:val="auto"/>
              </w:rPr>
            </w:pPr>
          </w:p>
        </w:tc>
      </w:tr>
      <w:tr>
        <w:trPr>
          <w:trHeight w:val="227"/>
        </w:trPr>
        <w:tc>
          <w:tcPr>
            <w:tcW w:w="620" w:type="dxa"/>
            <w:vAlign w:val="bottom"/>
          </w:tcPr>
          <w:p>
            <w:pPr>
              <w:spacing w:after="0"/>
              <w:rPr>
                <w:sz w:val="19"/>
                <w:szCs w:val="19"/>
                <w:color w:val="auto"/>
              </w:rPr>
            </w:pPr>
          </w:p>
        </w:tc>
        <w:tc>
          <w:tcPr>
            <w:tcW w:w="600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CITY OF NEW YORK</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9,052</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8,961</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jc w:val="center"/>
              <w:ind w:left="276"/>
              <w:spacing w:after="0"/>
              <w:rPr>
                <w:sz w:val="20"/>
                <w:szCs w:val="20"/>
                <w:color w:val="auto"/>
              </w:rPr>
            </w:pPr>
            <w:r>
              <w:rPr>
                <w:rFonts w:ascii="Arial" w:cs="Arial" w:eastAsia="Arial" w:hAnsi="Arial"/>
                <w:sz w:val="17"/>
                <w:szCs w:val="17"/>
                <w:color w:val="auto"/>
                <w:w w:val="92"/>
              </w:rPr>
              <w:t>Aa3</w:t>
            </w:r>
          </w:p>
        </w:tc>
        <w:tc>
          <w:tcPr>
            <w:tcW w:w="0" w:type="dxa"/>
            <w:vAlign w:val="bottom"/>
          </w:tcPr>
          <w:p>
            <w:pPr>
              <w:spacing w:after="0"/>
              <w:rPr>
                <w:sz w:val="1"/>
                <w:szCs w:val="1"/>
                <w:color w:val="auto"/>
              </w:rPr>
            </w:pPr>
          </w:p>
        </w:tc>
      </w:tr>
      <w:tr>
        <w:trPr>
          <w:trHeight w:val="221"/>
        </w:trPr>
        <w:tc>
          <w:tcPr>
            <w:tcW w:w="620" w:type="dxa"/>
            <w:vAlign w:val="bottom"/>
          </w:tcPr>
          <w:p>
            <w:pPr>
              <w:spacing w:after="0"/>
              <w:rPr>
                <w:sz w:val="19"/>
                <w:szCs w:val="19"/>
                <w:color w:val="auto"/>
              </w:rPr>
            </w:pPr>
          </w:p>
        </w:tc>
        <w:tc>
          <w:tcPr>
            <w:tcW w:w="6000" w:type="dxa"/>
            <w:vAlign w:val="bottom"/>
            <w:gridSpan w:val="2"/>
          </w:tcPr>
          <w:p>
            <w:pPr>
              <w:ind w:left="20"/>
              <w:spacing w:after="0"/>
              <w:rPr>
                <w:sz w:val="20"/>
                <w:szCs w:val="20"/>
                <w:color w:val="auto"/>
              </w:rPr>
            </w:pPr>
            <w:r>
              <w:rPr>
                <w:rFonts w:ascii="Arial" w:cs="Arial" w:eastAsia="Arial" w:hAnsi="Arial"/>
                <w:sz w:val="17"/>
                <w:szCs w:val="17"/>
                <w:color w:val="auto"/>
              </w:rPr>
              <w:t>METROPOLITAN TRANSPORTATION AUTHORITY</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6,619</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6,929</w:t>
            </w:r>
          </w:p>
        </w:tc>
        <w:tc>
          <w:tcPr>
            <w:tcW w:w="100" w:type="dxa"/>
            <w:vAlign w:val="bottom"/>
          </w:tcPr>
          <w:p>
            <w:pPr>
              <w:spacing w:after="0"/>
              <w:rPr>
                <w:sz w:val="19"/>
                <w:szCs w:val="19"/>
                <w:color w:val="auto"/>
              </w:rPr>
            </w:pPr>
          </w:p>
        </w:tc>
        <w:tc>
          <w:tcPr>
            <w:tcW w:w="1040" w:type="dxa"/>
            <w:vAlign w:val="bottom"/>
          </w:tcPr>
          <w:p>
            <w:pPr>
              <w:jc w:val="center"/>
              <w:ind w:left="276"/>
              <w:spacing w:after="0"/>
              <w:rPr>
                <w:sz w:val="20"/>
                <w:szCs w:val="20"/>
                <w:color w:val="auto"/>
              </w:rPr>
            </w:pPr>
            <w:r>
              <w:rPr>
                <w:rFonts w:ascii="Arial" w:cs="Arial" w:eastAsia="Arial" w:hAnsi="Arial"/>
                <w:sz w:val="17"/>
                <w:szCs w:val="17"/>
                <w:color w:val="auto"/>
                <w:w w:val="92"/>
              </w:rPr>
              <w:t>Aa1</w:t>
            </w:r>
          </w:p>
        </w:tc>
        <w:tc>
          <w:tcPr>
            <w:tcW w:w="0" w:type="dxa"/>
            <w:vAlign w:val="bottom"/>
          </w:tcPr>
          <w:p>
            <w:pPr>
              <w:spacing w:after="0"/>
              <w:rPr>
                <w:sz w:val="1"/>
                <w:szCs w:val="1"/>
                <w:color w:val="auto"/>
              </w:rPr>
            </w:pPr>
          </w:p>
        </w:tc>
      </w:tr>
      <w:tr>
        <w:trPr>
          <w:trHeight w:val="234"/>
        </w:trPr>
        <w:tc>
          <w:tcPr>
            <w:tcW w:w="620" w:type="dxa"/>
            <w:vAlign w:val="bottom"/>
          </w:tcPr>
          <w:p>
            <w:pPr>
              <w:spacing w:after="0"/>
              <w:rPr>
                <w:sz w:val="20"/>
                <w:szCs w:val="20"/>
                <w:color w:val="auto"/>
              </w:rPr>
            </w:pPr>
          </w:p>
        </w:tc>
        <w:tc>
          <w:tcPr>
            <w:tcW w:w="600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PORT AUTHORITY OF NEW YORK AND NEW JERSEY</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6,352</w:t>
            </w: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7,069</w:t>
            </w:r>
          </w:p>
        </w:tc>
        <w:tc>
          <w:tcPr>
            <w:tcW w:w="100" w:type="dxa"/>
            <w:vAlign w:val="bottom"/>
            <w:shd w:val="clear" w:color="auto" w:fill="CCEEFF"/>
          </w:tcPr>
          <w:p>
            <w:pPr>
              <w:spacing w:after="0"/>
              <w:rPr>
                <w:sz w:val="20"/>
                <w:szCs w:val="20"/>
                <w:color w:val="auto"/>
              </w:rPr>
            </w:pPr>
          </w:p>
        </w:tc>
        <w:tc>
          <w:tcPr>
            <w:tcW w:w="1040" w:type="dxa"/>
            <w:vAlign w:val="bottom"/>
            <w:shd w:val="clear" w:color="auto" w:fill="CCEEFF"/>
          </w:tcPr>
          <w:p>
            <w:pPr>
              <w:jc w:val="center"/>
              <w:ind w:left="276"/>
              <w:spacing w:after="0"/>
              <w:rPr>
                <w:sz w:val="20"/>
                <w:szCs w:val="20"/>
                <w:color w:val="auto"/>
              </w:rPr>
            </w:pPr>
            <w:r>
              <w:rPr>
                <w:rFonts w:ascii="Arial" w:cs="Arial" w:eastAsia="Arial" w:hAnsi="Arial"/>
                <w:sz w:val="17"/>
                <w:szCs w:val="17"/>
                <w:color w:val="auto"/>
                <w:w w:val="92"/>
              </w:rPr>
              <w:t>Aa1</w:t>
            </w:r>
          </w:p>
        </w:tc>
        <w:tc>
          <w:tcPr>
            <w:tcW w:w="0" w:type="dxa"/>
            <w:vAlign w:val="bottom"/>
          </w:tcPr>
          <w:p>
            <w:pPr>
              <w:spacing w:after="0"/>
              <w:rPr>
                <w:sz w:val="1"/>
                <w:szCs w:val="1"/>
                <w:color w:val="auto"/>
              </w:rPr>
            </w:pPr>
          </w:p>
        </w:tc>
      </w:tr>
      <w:tr>
        <w:trPr>
          <w:trHeight w:val="221"/>
        </w:trPr>
        <w:tc>
          <w:tcPr>
            <w:tcW w:w="620" w:type="dxa"/>
            <w:vAlign w:val="bottom"/>
          </w:tcPr>
          <w:p>
            <w:pPr>
              <w:spacing w:after="0"/>
              <w:rPr>
                <w:sz w:val="19"/>
                <w:szCs w:val="19"/>
                <w:color w:val="auto"/>
              </w:rPr>
            </w:pPr>
          </w:p>
        </w:tc>
        <w:tc>
          <w:tcPr>
            <w:tcW w:w="6000" w:type="dxa"/>
            <w:vAlign w:val="bottom"/>
            <w:gridSpan w:val="2"/>
          </w:tcPr>
          <w:p>
            <w:pPr>
              <w:ind w:left="20"/>
              <w:spacing w:after="0"/>
              <w:rPr>
                <w:sz w:val="20"/>
                <w:szCs w:val="20"/>
                <w:color w:val="auto"/>
              </w:rPr>
            </w:pPr>
            <w:r>
              <w:rPr>
                <w:rFonts w:ascii="Arial" w:cs="Arial" w:eastAsia="Arial" w:hAnsi="Arial"/>
                <w:sz w:val="17"/>
                <w:szCs w:val="17"/>
                <w:color w:val="auto"/>
              </w:rPr>
              <w:t>NEW YORK ST URBAN DEV CORP</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6,310</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6,736</w:t>
            </w:r>
          </w:p>
        </w:tc>
        <w:tc>
          <w:tcPr>
            <w:tcW w:w="100" w:type="dxa"/>
            <w:vAlign w:val="bottom"/>
          </w:tcPr>
          <w:p>
            <w:pPr>
              <w:spacing w:after="0"/>
              <w:rPr>
                <w:sz w:val="19"/>
                <w:szCs w:val="19"/>
                <w:color w:val="auto"/>
              </w:rPr>
            </w:pPr>
          </w:p>
        </w:tc>
        <w:tc>
          <w:tcPr>
            <w:tcW w:w="1040" w:type="dxa"/>
            <w:vAlign w:val="bottom"/>
          </w:tcPr>
          <w:p>
            <w:pPr>
              <w:jc w:val="center"/>
              <w:ind w:left="276"/>
              <w:spacing w:after="0"/>
              <w:rPr>
                <w:sz w:val="20"/>
                <w:szCs w:val="20"/>
                <w:color w:val="auto"/>
              </w:rPr>
            </w:pPr>
            <w:r>
              <w:rPr>
                <w:rFonts w:ascii="Arial" w:cs="Arial" w:eastAsia="Arial" w:hAnsi="Arial"/>
                <w:sz w:val="17"/>
                <w:szCs w:val="17"/>
                <w:color w:val="auto"/>
                <w:w w:val="92"/>
              </w:rPr>
              <w:t>Aa1</w:t>
            </w:r>
          </w:p>
        </w:tc>
        <w:tc>
          <w:tcPr>
            <w:tcW w:w="0" w:type="dxa"/>
            <w:vAlign w:val="bottom"/>
          </w:tcPr>
          <w:p>
            <w:pPr>
              <w:spacing w:after="0"/>
              <w:rPr>
                <w:sz w:val="1"/>
                <w:szCs w:val="1"/>
                <w:color w:val="auto"/>
              </w:rPr>
            </w:pPr>
          </w:p>
        </w:tc>
      </w:tr>
      <w:tr>
        <w:trPr>
          <w:trHeight w:val="221"/>
        </w:trPr>
        <w:tc>
          <w:tcPr>
            <w:tcW w:w="620" w:type="dxa"/>
            <w:vAlign w:val="bottom"/>
          </w:tcPr>
          <w:p>
            <w:pPr>
              <w:spacing w:after="0"/>
              <w:rPr>
                <w:sz w:val="19"/>
                <w:szCs w:val="19"/>
                <w:color w:val="auto"/>
              </w:rPr>
            </w:pPr>
          </w:p>
        </w:tc>
        <w:tc>
          <w:tcPr>
            <w:tcW w:w="600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MONROE CNTY NY INDL DEV CORP</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3,446</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3,236</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jc w:val="center"/>
              <w:ind w:left="276"/>
              <w:spacing w:after="0"/>
              <w:rPr>
                <w:sz w:val="20"/>
                <w:szCs w:val="20"/>
                <w:color w:val="auto"/>
              </w:rPr>
            </w:pPr>
            <w:r>
              <w:rPr>
                <w:rFonts w:ascii="Arial" w:cs="Arial" w:eastAsia="Arial" w:hAnsi="Arial"/>
                <w:sz w:val="17"/>
                <w:szCs w:val="17"/>
                <w:color w:val="auto"/>
                <w:w w:val="92"/>
              </w:rPr>
              <w:t>Aa3</w:t>
            </w:r>
          </w:p>
        </w:tc>
        <w:tc>
          <w:tcPr>
            <w:tcW w:w="0" w:type="dxa"/>
            <w:vAlign w:val="bottom"/>
          </w:tcPr>
          <w:p>
            <w:pPr>
              <w:spacing w:after="0"/>
              <w:rPr>
                <w:sz w:val="1"/>
                <w:szCs w:val="1"/>
                <w:color w:val="auto"/>
              </w:rPr>
            </w:pPr>
          </w:p>
        </w:tc>
      </w:tr>
      <w:tr>
        <w:trPr>
          <w:trHeight w:val="227"/>
        </w:trPr>
        <w:tc>
          <w:tcPr>
            <w:tcW w:w="620" w:type="dxa"/>
            <w:vAlign w:val="bottom"/>
          </w:tcPr>
          <w:p>
            <w:pPr>
              <w:spacing w:after="0"/>
              <w:rPr>
                <w:sz w:val="19"/>
                <w:szCs w:val="19"/>
                <w:color w:val="auto"/>
              </w:rPr>
            </w:pPr>
          </w:p>
        </w:tc>
        <w:tc>
          <w:tcPr>
            <w:tcW w:w="6000" w:type="dxa"/>
            <w:vAlign w:val="bottom"/>
            <w:gridSpan w:val="2"/>
          </w:tcPr>
          <w:p>
            <w:pPr>
              <w:ind w:left="20"/>
              <w:spacing w:after="0"/>
              <w:rPr>
                <w:sz w:val="20"/>
                <w:szCs w:val="20"/>
                <w:color w:val="auto"/>
              </w:rPr>
            </w:pPr>
            <w:r>
              <w:rPr>
                <w:rFonts w:ascii="Arial" w:cs="Arial" w:eastAsia="Arial" w:hAnsi="Arial"/>
                <w:sz w:val="17"/>
                <w:szCs w:val="17"/>
                <w:color w:val="auto"/>
              </w:rPr>
              <w:t>NEW YORK CITY MUNICIPAL WATER FINANCE AUTHORITY</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3,001</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2,922</w:t>
            </w:r>
          </w:p>
        </w:tc>
        <w:tc>
          <w:tcPr>
            <w:tcW w:w="100" w:type="dxa"/>
            <w:vAlign w:val="bottom"/>
          </w:tcPr>
          <w:p>
            <w:pPr>
              <w:spacing w:after="0"/>
              <w:rPr>
                <w:sz w:val="19"/>
                <w:szCs w:val="19"/>
                <w:color w:val="auto"/>
              </w:rPr>
            </w:pPr>
          </w:p>
        </w:tc>
        <w:tc>
          <w:tcPr>
            <w:tcW w:w="1040" w:type="dxa"/>
            <w:vAlign w:val="bottom"/>
          </w:tcPr>
          <w:p>
            <w:pPr>
              <w:jc w:val="center"/>
              <w:ind w:left="276"/>
              <w:spacing w:after="0"/>
              <w:rPr>
                <w:sz w:val="20"/>
                <w:szCs w:val="20"/>
                <w:color w:val="auto"/>
              </w:rPr>
            </w:pPr>
            <w:r>
              <w:rPr>
                <w:rFonts w:ascii="Arial" w:cs="Arial" w:eastAsia="Arial" w:hAnsi="Arial"/>
                <w:sz w:val="17"/>
                <w:szCs w:val="17"/>
                <w:color w:val="auto"/>
                <w:w w:val="92"/>
              </w:rPr>
              <w:t>Aa3</w:t>
            </w:r>
          </w:p>
        </w:tc>
        <w:tc>
          <w:tcPr>
            <w:tcW w:w="0" w:type="dxa"/>
            <w:vAlign w:val="bottom"/>
          </w:tcPr>
          <w:p>
            <w:pPr>
              <w:spacing w:after="0"/>
              <w:rPr>
                <w:sz w:val="1"/>
                <w:szCs w:val="1"/>
                <w:color w:val="auto"/>
              </w:rPr>
            </w:pPr>
          </w:p>
        </w:tc>
      </w:tr>
      <w:tr>
        <w:trPr>
          <w:trHeight w:val="227"/>
        </w:trPr>
        <w:tc>
          <w:tcPr>
            <w:tcW w:w="620" w:type="dxa"/>
            <w:vAlign w:val="bottom"/>
          </w:tcPr>
          <w:p>
            <w:pPr>
              <w:spacing w:after="0"/>
              <w:rPr>
                <w:sz w:val="19"/>
                <w:szCs w:val="19"/>
                <w:color w:val="auto"/>
              </w:rPr>
            </w:pPr>
          </w:p>
        </w:tc>
        <w:tc>
          <w:tcPr>
            <w:tcW w:w="600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NEW YORK TRANSPORTATION DEVELOPMENT CORP</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2,397</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2,470</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jc w:val="center"/>
              <w:ind w:left="276"/>
              <w:spacing w:after="0"/>
              <w:rPr>
                <w:sz w:val="20"/>
                <w:szCs w:val="20"/>
                <w:color w:val="auto"/>
              </w:rPr>
            </w:pPr>
            <w:r>
              <w:rPr>
                <w:rFonts w:ascii="Arial" w:cs="Arial" w:eastAsia="Arial" w:hAnsi="Arial"/>
                <w:sz w:val="17"/>
                <w:szCs w:val="17"/>
                <w:color w:val="auto"/>
                <w:w w:val="92"/>
              </w:rPr>
              <w:t>Aa1</w:t>
            </w:r>
          </w:p>
        </w:tc>
        <w:tc>
          <w:tcPr>
            <w:tcW w:w="0" w:type="dxa"/>
            <w:vAlign w:val="bottom"/>
          </w:tcPr>
          <w:p>
            <w:pPr>
              <w:spacing w:after="0"/>
              <w:rPr>
                <w:sz w:val="1"/>
                <w:szCs w:val="1"/>
                <w:color w:val="auto"/>
              </w:rPr>
            </w:pPr>
          </w:p>
        </w:tc>
      </w:tr>
      <w:tr>
        <w:trPr>
          <w:trHeight w:val="221"/>
        </w:trPr>
        <w:tc>
          <w:tcPr>
            <w:tcW w:w="620" w:type="dxa"/>
            <w:vAlign w:val="bottom"/>
          </w:tcPr>
          <w:p>
            <w:pPr>
              <w:spacing w:after="0"/>
              <w:rPr>
                <w:sz w:val="19"/>
                <w:szCs w:val="19"/>
                <w:color w:val="auto"/>
              </w:rPr>
            </w:pPr>
          </w:p>
        </w:tc>
        <w:tc>
          <w:tcPr>
            <w:tcW w:w="6000" w:type="dxa"/>
            <w:vAlign w:val="bottom"/>
            <w:gridSpan w:val="2"/>
          </w:tcPr>
          <w:p>
            <w:pPr>
              <w:ind w:left="20"/>
              <w:spacing w:after="0"/>
              <w:rPr>
                <w:sz w:val="20"/>
                <w:szCs w:val="20"/>
                <w:color w:val="auto"/>
              </w:rPr>
            </w:pPr>
            <w:r>
              <w:rPr>
                <w:rFonts w:ascii="Arial" w:cs="Arial" w:eastAsia="Arial" w:hAnsi="Arial"/>
                <w:sz w:val="17"/>
                <w:szCs w:val="17"/>
                <w:color w:val="auto"/>
              </w:rPr>
              <w:t>CITY OF YONKERS NY</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2,133</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2,287</w:t>
            </w:r>
          </w:p>
        </w:tc>
        <w:tc>
          <w:tcPr>
            <w:tcW w:w="100" w:type="dxa"/>
            <w:vAlign w:val="bottom"/>
          </w:tcPr>
          <w:p>
            <w:pPr>
              <w:spacing w:after="0"/>
              <w:rPr>
                <w:sz w:val="19"/>
                <w:szCs w:val="19"/>
                <w:color w:val="auto"/>
              </w:rPr>
            </w:pPr>
          </w:p>
        </w:tc>
        <w:tc>
          <w:tcPr>
            <w:tcW w:w="1040" w:type="dxa"/>
            <w:vAlign w:val="bottom"/>
          </w:tcPr>
          <w:p>
            <w:pPr>
              <w:jc w:val="center"/>
              <w:ind w:left="276"/>
              <w:spacing w:after="0"/>
              <w:rPr>
                <w:sz w:val="20"/>
                <w:szCs w:val="20"/>
                <w:color w:val="auto"/>
              </w:rPr>
            </w:pPr>
            <w:r>
              <w:rPr>
                <w:rFonts w:ascii="Arial" w:cs="Arial" w:eastAsia="Arial" w:hAnsi="Arial"/>
                <w:sz w:val="17"/>
                <w:szCs w:val="17"/>
                <w:color w:val="auto"/>
                <w:w w:val="92"/>
              </w:rPr>
              <w:t>Aa2</w:t>
            </w:r>
          </w:p>
        </w:tc>
        <w:tc>
          <w:tcPr>
            <w:tcW w:w="0" w:type="dxa"/>
            <w:vAlign w:val="bottom"/>
          </w:tcPr>
          <w:p>
            <w:pPr>
              <w:spacing w:after="0"/>
              <w:rPr>
                <w:sz w:val="1"/>
                <w:szCs w:val="1"/>
                <w:color w:val="auto"/>
              </w:rPr>
            </w:pPr>
          </w:p>
        </w:tc>
      </w:tr>
      <w:tr>
        <w:trPr>
          <w:trHeight w:val="234"/>
        </w:trPr>
        <w:tc>
          <w:tcPr>
            <w:tcW w:w="620" w:type="dxa"/>
            <w:vAlign w:val="bottom"/>
          </w:tcPr>
          <w:p>
            <w:pPr>
              <w:spacing w:after="0"/>
              <w:rPr>
                <w:sz w:val="20"/>
                <w:szCs w:val="20"/>
                <w:color w:val="auto"/>
              </w:rPr>
            </w:pPr>
          </w:p>
        </w:tc>
        <w:tc>
          <w:tcPr>
            <w:tcW w:w="600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LONG ISLAND POWER AUTHORITY</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1,660</w:t>
            </w: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1,661</w:t>
            </w:r>
          </w:p>
        </w:tc>
        <w:tc>
          <w:tcPr>
            <w:tcW w:w="100" w:type="dxa"/>
            <w:vAlign w:val="bottom"/>
            <w:shd w:val="clear" w:color="auto" w:fill="CCEEFF"/>
          </w:tcPr>
          <w:p>
            <w:pPr>
              <w:spacing w:after="0"/>
              <w:rPr>
                <w:sz w:val="20"/>
                <w:szCs w:val="20"/>
                <w:color w:val="auto"/>
              </w:rPr>
            </w:pPr>
          </w:p>
        </w:tc>
        <w:tc>
          <w:tcPr>
            <w:tcW w:w="1040" w:type="dxa"/>
            <w:vAlign w:val="bottom"/>
            <w:shd w:val="clear" w:color="auto" w:fill="CCEEFF"/>
          </w:tcPr>
          <w:p>
            <w:pPr>
              <w:jc w:val="center"/>
              <w:ind w:left="276"/>
              <w:spacing w:after="0"/>
              <w:rPr>
                <w:sz w:val="20"/>
                <w:szCs w:val="20"/>
                <w:color w:val="auto"/>
              </w:rPr>
            </w:pPr>
            <w:r>
              <w:rPr>
                <w:rFonts w:ascii="Arial" w:cs="Arial" w:eastAsia="Arial" w:hAnsi="Arial"/>
                <w:sz w:val="17"/>
                <w:szCs w:val="17"/>
                <w:color w:val="auto"/>
                <w:w w:val="92"/>
              </w:rPr>
              <w:t>Aa3</w:t>
            </w:r>
          </w:p>
        </w:tc>
        <w:tc>
          <w:tcPr>
            <w:tcW w:w="0" w:type="dxa"/>
            <w:vAlign w:val="bottom"/>
          </w:tcPr>
          <w:p>
            <w:pPr>
              <w:spacing w:after="0"/>
              <w:rPr>
                <w:sz w:val="1"/>
                <w:szCs w:val="1"/>
                <w:color w:val="auto"/>
              </w:rPr>
            </w:pPr>
          </w:p>
        </w:tc>
      </w:tr>
      <w:tr>
        <w:trPr>
          <w:trHeight w:val="221"/>
        </w:trPr>
        <w:tc>
          <w:tcPr>
            <w:tcW w:w="620" w:type="dxa"/>
            <w:vAlign w:val="bottom"/>
          </w:tcPr>
          <w:p>
            <w:pPr>
              <w:spacing w:after="0"/>
              <w:rPr>
                <w:sz w:val="19"/>
                <w:szCs w:val="19"/>
                <w:color w:val="auto"/>
              </w:rPr>
            </w:pPr>
          </w:p>
        </w:tc>
        <w:tc>
          <w:tcPr>
            <w:tcW w:w="6000" w:type="dxa"/>
            <w:vAlign w:val="bottom"/>
            <w:gridSpan w:val="2"/>
          </w:tcPr>
          <w:p>
            <w:pPr>
              <w:ind w:left="20"/>
              <w:spacing w:after="0"/>
              <w:rPr>
                <w:sz w:val="20"/>
                <w:szCs w:val="20"/>
                <w:color w:val="auto"/>
              </w:rPr>
            </w:pPr>
            <w:r>
              <w:rPr>
                <w:rFonts w:ascii="Arial" w:cs="Arial" w:eastAsia="Arial" w:hAnsi="Arial"/>
                <w:sz w:val="17"/>
                <w:szCs w:val="17"/>
                <w:color w:val="auto"/>
              </w:rPr>
              <w:t>NEW YORK ST TWY AUTH</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1,263</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1,278</w:t>
            </w:r>
          </w:p>
        </w:tc>
        <w:tc>
          <w:tcPr>
            <w:tcW w:w="100" w:type="dxa"/>
            <w:vAlign w:val="bottom"/>
          </w:tcPr>
          <w:p>
            <w:pPr>
              <w:spacing w:after="0"/>
              <w:rPr>
                <w:sz w:val="19"/>
                <w:szCs w:val="19"/>
                <w:color w:val="auto"/>
              </w:rPr>
            </w:pPr>
          </w:p>
        </w:tc>
        <w:tc>
          <w:tcPr>
            <w:tcW w:w="1040" w:type="dxa"/>
            <w:vAlign w:val="bottom"/>
          </w:tcPr>
          <w:p>
            <w:pPr>
              <w:jc w:val="center"/>
              <w:ind w:left="276"/>
              <w:spacing w:after="0"/>
              <w:rPr>
                <w:sz w:val="20"/>
                <w:szCs w:val="20"/>
                <w:color w:val="auto"/>
              </w:rPr>
            </w:pPr>
            <w:r>
              <w:rPr>
                <w:rFonts w:ascii="Arial" w:cs="Arial" w:eastAsia="Arial" w:hAnsi="Arial"/>
                <w:sz w:val="17"/>
                <w:szCs w:val="17"/>
                <w:color w:val="auto"/>
                <w:w w:val="95"/>
              </w:rPr>
              <w:t>A1</w:t>
            </w:r>
          </w:p>
        </w:tc>
        <w:tc>
          <w:tcPr>
            <w:tcW w:w="0" w:type="dxa"/>
            <w:vAlign w:val="bottom"/>
          </w:tcPr>
          <w:p>
            <w:pPr>
              <w:spacing w:after="0"/>
              <w:rPr>
                <w:sz w:val="1"/>
                <w:szCs w:val="1"/>
                <w:color w:val="auto"/>
              </w:rPr>
            </w:pPr>
          </w:p>
        </w:tc>
      </w:tr>
      <w:tr>
        <w:trPr>
          <w:trHeight w:val="221"/>
        </w:trPr>
        <w:tc>
          <w:tcPr>
            <w:tcW w:w="620" w:type="dxa"/>
            <w:vAlign w:val="bottom"/>
          </w:tcPr>
          <w:p>
            <w:pPr>
              <w:spacing w:after="0"/>
              <w:rPr>
                <w:sz w:val="19"/>
                <w:szCs w:val="19"/>
                <w:color w:val="auto"/>
              </w:rPr>
            </w:pPr>
          </w:p>
        </w:tc>
        <w:tc>
          <w:tcPr>
            <w:tcW w:w="600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NEW YORK (STATE OF)</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698</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792</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jc w:val="center"/>
              <w:ind w:left="276"/>
              <w:spacing w:after="0"/>
              <w:rPr>
                <w:sz w:val="20"/>
                <w:szCs w:val="20"/>
                <w:color w:val="auto"/>
              </w:rPr>
            </w:pPr>
            <w:r>
              <w:rPr>
                <w:rFonts w:ascii="Arial" w:cs="Arial" w:eastAsia="Arial" w:hAnsi="Arial"/>
                <w:sz w:val="17"/>
                <w:szCs w:val="17"/>
                <w:color w:val="auto"/>
                <w:w w:val="95"/>
              </w:rPr>
              <w:t>A1</w:t>
            </w:r>
          </w:p>
        </w:tc>
        <w:tc>
          <w:tcPr>
            <w:tcW w:w="0" w:type="dxa"/>
            <w:vAlign w:val="bottom"/>
          </w:tcPr>
          <w:p>
            <w:pPr>
              <w:spacing w:after="0"/>
              <w:rPr>
                <w:sz w:val="1"/>
                <w:szCs w:val="1"/>
                <w:color w:val="auto"/>
              </w:rPr>
            </w:pPr>
          </w:p>
        </w:tc>
      </w:tr>
      <w:tr>
        <w:trPr>
          <w:trHeight w:val="234"/>
        </w:trPr>
        <w:tc>
          <w:tcPr>
            <w:tcW w:w="620" w:type="dxa"/>
            <w:vAlign w:val="bottom"/>
          </w:tcPr>
          <w:p>
            <w:pPr>
              <w:spacing w:after="0"/>
              <w:rPr>
                <w:sz w:val="20"/>
                <w:szCs w:val="20"/>
                <w:color w:val="auto"/>
              </w:rPr>
            </w:pPr>
          </w:p>
        </w:tc>
        <w:tc>
          <w:tcPr>
            <w:tcW w:w="6000" w:type="dxa"/>
            <w:vAlign w:val="bottom"/>
            <w:tcBorders>
              <w:bottom w:val="single" w:sz="8" w:color="CCEEFF"/>
            </w:tcBorders>
            <w:gridSpan w:val="2"/>
          </w:tcPr>
          <w:p>
            <w:pPr>
              <w:ind w:left="20"/>
              <w:spacing w:after="0"/>
              <w:rPr>
                <w:sz w:val="20"/>
                <w:szCs w:val="20"/>
                <w:color w:val="auto"/>
              </w:rPr>
            </w:pPr>
            <w:r>
              <w:rPr>
                <w:rFonts w:ascii="Arial" w:cs="Arial" w:eastAsia="Arial" w:hAnsi="Arial"/>
                <w:sz w:val="17"/>
                <w:szCs w:val="17"/>
                <w:color w:val="auto"/>
              </w:rPr>
              <w:t>NASSAU CNTY NY</w:t>
            </w:r>
          </w:p>
        </w:tc>
        <w:tc>
          <w:tcPr>
            <w:tcW w:w="10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272</w:t>
            </w:r>
          </w:p>
        </w:tc>
        <w:tc>
          <w:tcPr>
            <w:tcW w:w="12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272</w:t>
            </w:r>
          </w:p>
        </w:tc>
        <w:tc>
          <w:tcPr>
            <w:tcW w:w="100" w:type="dxa"/>
            <w:vAlign w:val="bottom"/>
            <w:tcBorders>
              <w:bottom w:val="single" w:sz="8" w:color="CCEEFF"/>
            </w:tcBorders>
          </w:tcPr>
          <w:p>
            <w:pPr>
              <w:spacing w:after="0"/>
              <w:rPr>
                <w:sz w:val="20"/>
                <w:szCs w:val="20"/>
                <w:color w:val="auto"/>
              </w:rPr>
            </w:pPr>
          </w:p>
        </w:tc>
        <w:tc>
          <w:tcPr>
            <w:tcW w:w="1040" w:type="dxa"/>
            <w:vAlign w:val="bottom"/>
            <w:tcBorders>
              <w:bottom w:val="single" w:sz="8" w:color="CCEEFF"/>
            </w:tcBorders>
          </w:tcPr>
          <w:p>
            <w:pPr>
              <w:jc w:val="center"/>
              <w:ind w:left="276"/>
              <w:spacing w:after="0"/>
              <w:rPr>
                <w:sz w:val="20"/>
                <w:szCs w:val="20"/>
                <w:color w:val="auto"/>
              </w:rPr>
            </w:pPr>
            <w:r>
              <w:rPr>
                <w:rFonts w:ascii="Arial" w:cs="Arial" w:eastAsia="Arial" w:hAnsi="Arial"/>
                <w:sz w:val="17"/>
                <w:szCs w:val="17"/>
                <w:color w:val="auto"/>
                <w:w w:val="95"/>
              </w:rPr>
              <w:t>A3</w:t>
            </w:r>
          </w:p>
        </w:tc>
        <w:tc>
          <w:tcPr>
            <w:tcW w:w="0" w:type="dxa"/>
            <w:vAlign w:val="bottom"/>
          </w:tcPr>
          <w:p>
            <w:pPr>
              <w:spacing w:after="0"/>
              <w:rPr>
                <w:sz w:val="1"/>
                <w:szCs w:val="1"/>
                <w:color w:val="auto"/>
              </w:rPr>
            </w:pPr>
          </w:p>
        </w:tc>
      </w:tr>
      <w:tr>
        <w:trPr>
          <w:trHeight w:val="234"/>
        </w:trPr>
        <w:tc>
          <w:tcPr>
            <w:tcW w:w="620" w:type="dxa"/>
            <w:vAlign w:val="bottom"/>
          </w:tcPr>
          <w:p>
            <w:pPr>
              <w:spacing w:after="0"/>
              <w:rPr>
                <w:sz w:val="20"/>
                <w:szCs w:val="20"/>
                <w:color w:val="auto"/>
              </w:rPr>
            </w:pPr>
          </w:p>
        </w:tc>
        <w:tc>
          <w:tcPr>
            <w:tcW w:w="1560" w:type="dxa"/>
            <w:vAlign w:val="bottom"/>
            <w:shd w:val="clear" w:color="auto" w:fill="CCEEFF"/>
          </w:tcPr>
          <w:p>
            <w:pPr>
              <w:spacing w:after="0"/>
              <w:rPr>
                <w:sz w:val="20"/>
                <w:szCs w:val="20"/>
                <w:color w:val="auto"/>
              </w:rPr>
            </w:pPr>
          </w:p>
        </w:tc>
        <w:tc>
          <w:tcPr>
            <w:tcW w:w="4440" w:type="dxa"/>
            <w:vAlign w:val="bottom"/>
            <w:shd w:val="clear" w:color="auto" w:fill="CCEEFF"/>
          </w:tcPr>
          <w:p>
            <w:pPr>
              <w:spacing w:after="0"/>
              <w:rPr>
                <w:sz w:val="20"/>
                <w:szCs w:val="20"/>
                <w:color w:val="auto"/>
              </w:rPr>
            </w:pPr>
          </w:p>
        </w:tc>
        <w:tc>
          <w:tcPr>
            <w:tcW w:w="4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77,495</w:t>
            </w:r>
          </w:p>
        </w:tc>
        <w:tc>
          <w:tcPr>
            <w:tcW w:w="4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80,487</w:t>
            </w:r>
          </w:p>
        </w:tc>
        <w:tc>
          <w:tcPr>
            <w:tcW w:w="10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1560" w:type="dxa"/>
            <w:vAlign w:val="bottom"/>
            <w:tcBorders>
              <w:top w:val="single" w:sz="8" w:color="CCEEFF"/>
            </w:tcBorders>
          </w:tcPr>
          <w:p>
            <w:pPr>
              <w:spacing w:after="0" w:line="20" w:lineRule="exact"/>
              <w:rPr>
                <w:sz w:val="1"/>
                <w:szCs w:val="1"/>
                <w:color w:val="auto"/>
              </w:rPr>
            </w:pPr>
          </w:p>
        </w:tc>
        <w:tc>
          <w:tcPr>
            <w:tcW w:w="44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8"/>
        </w:trPr>
        <w:tc>
          <w:tcPr>
            <w:tcW w:w="620" w:type="dxa"/>
            <w:vAlign w:val="bottom"/>
            <w:tcBorders>
              <w:bottom w:val="single" w:sz="8" w:color="auto"/>
            </w:tcBorders>
          </w:tcPr>
          <w:p>
            <w:pPr>
              <w:spacing w:after="0"/>
              <w:rPr>
                <w:sz w:val="11"/>
                <w:szCs w:val="11"/>
                <w:color w:val="auto"/>
              </w:rPr>
            </w:pPr>
          </w:p>
        </w:tc>
        <w:tc>
          <w:tcPr>
            <w:tcW w:w="1560" w:type="dxa"/>
            <w:vAlign w:val="bottom"/>
            <w:tcBorders>
              <w:bottom w:val="single" w:sz="8" w:color="auto"/>
            </w:tcBorders>
          </w:tcPr>
          <w:p>
            <w:pPr>
              <w:spacing w:after="0"/>
              <w:rPr>
                <w:sz w:val="11"/>
                <w:szCs w:val="11"/>
                <w:color w:val="auto"/>
              </w:rPr>
            </w:pPr>
          </w:p>
        </w:tc>
        <w:tc>
          <w:tcPr>
            <w:tcW w:w="4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78" w:lineRule="exact"/>
        <w:rPr>
          <w:sz w:val="20"/>
          <w:szCs w:val="20"/>
          <w:color w:val="auto"/>
        </w:rPr>
      </w:pPr>
    </w:p>
    <w:p>
      <w:pPr>
        <w:ind w:left="620" w:right="560" w:hanging="305"/>
        <w:spacing w:after="0" w:line="285" w:lineRule="auto"/>
        <w:tabs>
          <w:tab w:leader="none" w:pos="620" w:val="left"/>
        </w:tabs>
        <w:numPr>
          <w:ilvl w:val="0"/>
          <w:numId w:val="26"/>
        </w:numPr>
        <w:rPr>
          <w:rFonts w:ascii="Arial" w:cs="Arial" w:eastAsia="Arial" w:hAnsi="Arial"/>
          <w:sz w:val="17"/>
          <w:szCs w:val="17"/>
          <w:color w:val="auto"/>
        </w:rPr>
      </w:pPr>
      <w:r>
        <w:rPr>
          <w:rFonts w:ascii="Arial" w:cs="Arial" w:eastAsia="Arial" w:hAnsi="Arial"/>
          <w:sz w:val="17"/>
          <w:szCs w:val="17"/>
          <w:color w:val="auto"/>
        </w:rPr>
        <w:t>Certain of the above securities may include financial guaranty insurance or state enhancements. The above ratings include the effect of these credit enhancements, if applicable.</w:t>
      </w:r>
    </w:p>
    <w:p>
      <w:pPr>
        <w:spacing w:after="0" w:line="184" w:lineRule="exact"/>
        <w:rPr>
          <w:rFonts w:ascii="Arial" w:cs="Arial" w:eastAsia="Arial" w:hAnsi="Arial"/>
          <w:sz w:val="17"/>
          <w:szCs w:val="17"/>
          <w:color w:val="auto"/>
        </w:rPr>
      </w:pPr>
    </w:p>
    <w:p>
      <w:pPr>
        <w:ind w:left="620" w:hanging="305"/>
        <w:spacing w:after="0"/>
        <w:tabs>
          <w:tab w:leader="none" w:pos="620" w:val="left"/>
        </w:tabs>
        <w:numPr>
          <w:ilvl w:val="0"/>
          <w:numId w:val="26"/>
        </w:numPr>
        <w:rPr>
          <w:rFonts w:ascii="Arial" w:cs="Arial" w:eastAsia="Arial" w:hAnsi="Arial"/>
          <w:sz w:val="17"/>
          <w:szCs w:val="17"/>
          <w:color w:val="auto"/>
        </w:rPr>
      </w:pPr>
      <w:r>
        <w:rPr>
          <w:rFonts w:ascii="Arial" w:cs="Arial" w:eastAsia="Arial" w:hAnsi="Arial"/>
          <w:sz w:val="17"/>
          <w:szCs w:val="17"/>
          <w:color w:val="auto"/>
        </w:rPr>
        <w:t>Based on ratings issued by Moody’s, if available. S&amp;P or Fitch rating utilized if Moody’s not available.</w:t>
      </w:r>
    </w:p>
    <w:p>
      <w:pPr>
        <w:spacing w:after="0" w:line="21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Off-Balance Sheet Arrangements</w:t>
      </w:r>
    </w:p>
    <w:p>
      <w:pPr>
        <w:spacing w:after="0" w:line="226" w:lineRule="exact"/>
        <w:rPr>
          <w:sz w:val="20"/>
          <w:szCs w:val="20"/>
          <w:color w:val="auto"/>
        </w:rPr>
      </w:pPr>
    </w:p>
    <w:p>
      <w:pPr>
        <w:ind w:right="100" w:firstLine="173"/>
        <w:spacing w:after="0" w:line="305" w:lineRule="auto"/>
        <w:rPr>
          <w:sz w:val="20"/>
          <w:szCs w:val="20"/>
          <w:color w:val="auto"/>
        </w:rPr>
      </w:pPr>
      <w:r>
        <w:rPr>
          <w:rFonts w:ascii="Arial" w:cs="Arial" w:eastAsia="Arial" w:hAnsi="Arial"/>
          <w:sz w:val="15"/>
          <w:szCs w:val="15"/>
          <w:color w:val="auto"/>
        </w:rPr>
        <w:t>Essent Guaranty has entered into fully collateralized reinsurance agreements ("Radnor Re Transactions") with unaffiliated special purpose insurers domiciled in Bermuda. The Radnor Re special purpose insurers are special purpose variable interest entities that are not consolidated in our condensed consolidated financial statements because we do not have the unilateral power to direct those activities that are significant to their economic performance. As of June 30, 2023, our estimated off-balance sheet maximum exposure to loss from the Radnor Re entities was $0.3 million, representing the estimated net present value of investment earnings on the assets in the reinsurance trusts. See Note 4 to our condensed consolidated financial statements for additional information.</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Critical Accounting Policies</w:t>
      </w:r>
    </w:p>
    <w:p>
      <w:pPr>
        <w:spacing w:after="0" w:line="226" w:lineRule="exact"/>
        <w:rPr>
          <w:sz w:val="20"/>
          <w:szCs w:val="20"/>
          <w:color w:val="auto"/>
        </w:rPr>
      </w:pPr>
    </w:p>
    <w:p>
      <w:pPr>
        <w:ind w:right="140" w:firstLine="623"/>
        <w:spacing w:after="0" w:line="285" w:lineRule="auto"/>
        <w:rPr>
          <w:sz w:val="20"/>
          <w:szCs w:val="20"/>
          <w:color w:val="auto"/>
        </w:rPr>
      </w:pPr>
      <w:r>
        <w:rPr>
          <w:rFonts w:ascii="Arial" w:cs="Arial" w:eastAsia="Arial" w:hAnsi="Arial"/>
          <w:sz w:val="17"/>
          <w:szCs w:val="17"/>
          <w:color w:val="auto"/>
        </w:rPr>
        <w:t>As of the filing date of this report, there were no significant changes in our critical accounting policies from those discussed in our 2022 Form 10-K. See Note 2 to our condensed consolidated financial statements for recently issued accounting standards adopted or under evaluation.</w:t>
      </w:r>
    </w:p>
    <w:p>
      <w:pPr>
        <w:spacing w:after="0" w:line="200" w:lineRule="exact"/>
        <w:rPr>
          <w:sz w:val="20"/>
          <w:szCs w:val="20"/>
          <w:color w:val="auto"/>
        </w:rPr>
      </w:pPr>
    </w:p>
    <w:p>
      <w:pPr>
        <w:spacing w:after="0" w:line="283"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68580</wp:posOffset>
            </wp:positionV>
            <wp:extent cx="7162800" cy="4191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340"/>
          </w:cols>
          <w:pgMar w:left="320" w:top="127" w:right="239" w:bottom="1440" w:gutter="0" w:footer="0" w:header="0"/>
        </w:sectPr>
      </w:pPr>
    </w:p>
    <w:bookmarkStart w:id="50" w:name="page51"/>
    <w:bookmarkEnd w:id="50"/>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3.  Quantitative and Qualitative Disclosures About Market Risk</w:t>
      </w:r>
    </w:p>
    <w:p>
      <w:pPr>
        <w:spacing w:after="0" w:line="226" w:lineRule="exact"/>
        <w:rPr>
          <w:sz w:val="20"/>
          <w:szCs w:val="20"/>
          <w:color w:val="auto"/>
        </w:rPr>
      </w:pPr>
    </w:p>
    <w:p>
      <w:pPr>
        <w:ind w:right="100" w:firstLine="623"/>
        <w:spacing w:after="0" w:line="322" w:lineRule="auto"/>
        <w:rPr>
          <w:sz w:val="20"/>
          <w:szCs w:val="20"/>
          <w:color w:val="auto"/>
        </w:rPr>
      </w:pPr>
      <w:r>
        <w:rPr>
          <w:rFonts w:ascii="Arial" w:cs="Arial" w:eastAsia="Arial" w:hAnsi="Arial"/>
          <w:sz w:val="15"/>
          <w:szCs w:val="15"/>
          <w:color w:val="auto"/>
        </w:rPr>
        <w:t>We own and manage a large investment portfolio of various holdings, types and maturities. Investment income is one of our primary sources of cash flow supporting operations and claim payments. The assets within the investment portfolio are exposed to the same factors that affect overall financial market performance. While our investment portfolio is exposed to factors affecting markets worldwide, it is most sensitive to fluctuations in the drivers of U.S. markets.</w:t>
      </w:r>
    </w:p>
    <w:p>
      <w:pPr>
        <w:spacing w:after="0" w:line="136" w:lineRule="exact"/>
        <w:rPr>
          <w:sz w:val="20"/>
          <w:szCs w:val="20"/>
          <w:color w:val="auto"/>
        </w:rPr>
      </w:pPr>
    </w:p>
    <w:p>
      <w:pPr>
        <w:ind w:right="240" w:firstLine="623"/>
        <w:spacing w:after="0" w:line="285" w:lineRule="auto"/>
        <w:rPr>
          <w:sz w:val="20"/>
          <w:szCs w:val="20"/>
          <w:color w:val="auto"/>
        </w:rPr>
      </w:pPr>
      <w:r>
        <w:rPr>
          <w:rFonts w:ascii="Arial" w:cs="Arial" w:eastAsia="Arial" w:hAnsi="Arial"/>
          <w:sz w:val="17"/>
          <w:szCs w:val="17"/>
          <w:color w:val="auto"/>
        </w:rPr>
        <w:t>We manage market risk via defined investment policy implemented by our treasury function with oversight from our board of directors and our senior management. Important drivers of our market risk exposure monitored and managed by us include but are not limited to:</w:t>
      </w:r>
    </w:p>
    <w:p>
      <w:pPr>
        <w:spacing w:after="0" w:line="159" w:lineRule="exact"/>
        <w:rPr>
          <w:sz w:val="20"/>
          <w:szCs w:val="20"/>
          <w:color w:val="auto"/>
        </w:rPr>
      </w:pPr>
    </w:p>
    <w:p>
      <w:pPr>
        <w:ind w:left="620" w:hanging="305"/>
        <w:spacing w:after="0" w:line="286" w:lineRule="auto"/>
        <w:tabs>
          <w:tab w:leader="none" w:pos="620" w:val="left"/>
        </w:tabs>
        <w:numPr>
          <w:ilvl w:val="0"/>
          <w:numId w:val="27"/>
        </w:numPr>
        <w:rPr>
          <w:rFonts w:ascii="Arial" w:cs="Arial" w:eastAsia="Arial" w:hAnsi="Arial"/>
          <w:sz w:val="16"/>
          <w:szCs w:val="16"/>
          <w:i w:val="1"/>
          <w:iCs w:val="1"/>
          <w:color w:val="auto"/>
        </w:rPr>
      </w:pPr>
      <w:r>
        <w:rPr>
          <w:rFonts w:ascii="Arial" w:cs="Arial" w:eastAsia="Arial" w:hAnsi="Arial"/>
          <w:sz w:val="16"/>
          <w:szCs w:val="16"/>
          <w:i w:val="1"/>
          <w:iCs w:val="1"/>
          <w:color w:val="auto"/>
        </w:rPr>
        <w:t xml:space="preserve">Changes to the level of interest rates. </w:t>
      </w:r>
      <w:r>
        <w:rPr>
          <w:rFonts w:ascii="Arial" w:cs="Arial" w:eastAsia="Arial" w:hAnsi="Arial"/>
          <w:sz w:val="16"/>
          <w:szCs w:val="16"/>
          <w:color w:val="auto"/>
        </w:rPr>
        <w:t>Increasing interest rates may reduce the value of certain fixed-rate bonds held in the investment portfolio. Higher</w:t>
      </w:r>
      <w:r>
        <w:rPr>
          <w:rFonts w:ascii="Arial" w:cs="Arial" w:eastAsia="Arial" w:hAnsi="Arial"/>
          <w:sz w:val="16"/>
          <w:szCs w:val="16"/>
          <w:i w:val="1"/>
          <w:iCs w:val="1"/>
          <w:color w:val="auto"/>
        </w:rPr>
        <w:t xml:space="preserve"> </w:t>
      </w:r>
      <w:r>
        <w:rPr>
          <w:rFonts w:ascii="Arial" w:cs="Arial" w:eastAsia="Arial" w:hAnsi="Arial"/>
          <w:sz w:val="16"/>
          <w:szCs w:val="16"/>
          <w:color w:val="auto"/>
        </w:rPr>
        <w:t>rates may cause variable-rate assets to generate additional income. Decreasing rates will have the reverse impact. Significant changes in interest rates can also affect persistency and claim rates which may in turn require that the investment portfolio be restructured to better align it with future liabilities and claim payments. Such restructuring may cause investments to be liquidated when market conditions are adverse.</w:t>
      </w:r>
    </w:p>
    <w:p>
      <w:pPr>
        <w:spacing w:after="0" w:line="161" w:lineRule="exact"/>
        <w:rPr>
          <w:rFonts w:ascii="Arial" w:cs="Arial" w:eastAsia="Arial" w:hAnsi="Arial"/>
          <w:sz w:val="16"/>
          <w:szCs w:val="16"/>
          <w:i w:val="1"/>
          <w:iCs w:val="1"/>
          <w:color w:val="auto"/>
        </w:rPr>
      </w:pPr>
    </w:p>
    <w:p>
      <w:pPr>
        <w:ind w:left="620" w:right="200" w:hanging="305"/>
        <w:spacing w:after="0" w:line="285" w:lineRule="auto"/>
        <w:tabs>
          <w:tab w:leader="none" w:pos="620" w:val="left"/>
        </w:tabs>
        <w:numPr>
          <w:ilvl w:val="0"/>
          <w:numId w:val="27"/>
        </w:numPr>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Changes to the term structure of interest rates. </w:t>
      </w:r>
      <w:r>
        <w:rPr>
          <w:rFonts w:ascii="Arial" w:cs="Arial" w:eastAsia="Arial" w:hAnsi="Arial"/>
          <w:sz w:val="17"/>
          <w:szCs w:val="17"/>
          <w:color w:val="auto"/>
        </w:rPr>
        <w:t>Rising or falling rates typically change by different amounts along the yield curve. These changes may</w:t>
      </w:r>
      <w:r>
        <w:rPr>
          <w:rFonts w:ascii="Arial" w:cs="Arial" w:eastAsia="Arial" w:hAnsi="Arial"/>
          <w:sz w:val="17"/>
          <w:szCs w:val="17"/>
          <w:i w:val="1"/>
          <w:iCs w:val="1"/>
          <w:color w:val="auto"/>
        </w:rPr>
        <w:t xml:space="preserve"> </w:t>
      </w:r>
      <w:r>
        <w:rPr>
          <w:rFonts w:ascii="Arial" w:cs="Arial" w:eastAsia="Arial" w:hAnsi="Arial"/>
          <w:sz w:val="17"/>
          <w:szCs w:val="17"/>
          <w:color w:val="auto"/>
        </w:rPr>
        <w:t>have unforeseen impacts on the value of certain assets.</w:t>
      </w:r>
    </w:p>
    <w:p>
      <w:pPr>
        <w:spacing w:after="0" w:line="184" w:lineRule="exact"/>
        <w:rPr>
          <w:rFonts w:ascii="Arial" w:cs="Arial" w:eastAsia="Arial" w:hAnsi="Arial"/>
          <w:sz w:val="17"/>
          <w:szCs w:val="17"/>
          <w:i w:val="1"/>
          <w:iCs w:val="1"/>
          <w:color w:val="auto"/>
        </w:rPr>
      </w:pPr>
    </w:p>
    <w:p>
      <w:pPr>
        <w:ind w:left="620" w:right="20" w:hanging="305"/>
        <w:spacing w:after="0" w:line="285" w:lineRule="auto"/>
        <w:tabs>
          <w:tab w:leader="none" w:pos="620" w:val="left"/>
        </w:tabs>
        <w:numPr>
          <w:ilvl w:val="0"/>
          <w:numId w:val="27"/>
        </w:numPr>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Market volatility/changes in the real or perceived credit quality of investments. </w:t>
      </w:r>
      <w:r>
        <w:rPr>
          <w:rFonts w:ascii="Arial" w:cs="Arial" w:eastAsia="Arial" w:hAnsi="Arial"/>
          <w:sz w:val="17"/>
          <w:szCs w:val="17"/>
          <w:color w:val="auto"/>
        </w:rPr>
        <w:t>Deterioration in the quality of investments, identified through changes to</w:t>
      </w:r>
      <w:r>
        <w:rPr>
          <w:rFonts w:ascii="Arial" w:cs="Arial" w:eastAsia="Arial" w:hAnsi="Arial"/>
          <w:sz w:val="17"/>
          <w:szCs w:val="17"/>
          <w:i w:val="1"/>
          <w:iCs w:val="1"/>
          <w:color w:val="auto"/>
        </w:rPr>
        <w:t xml:space="preserve"> </w:t>
      </w:r>
      <w:r>
        <w:rPr>
          <w:rFonts w:ascii="Arial" w:cs="Arial" w:eastAsia="Arial" w:hAnsi="Arial"/>
          <w:sz w:val="17"/>
          <w:szCs w:val="17"/>
          <w:color w:val="auto"/>
        </w:rPr>
        <w:t>our own or third-party (e.g., rating agency) assessments, will reduce the value and potentially the liquidity of investments.</w:t>
      </w:r>
    </w:p>
    <w:p>
      <w:pPr>
        <w:spacing w:after="0" w:line="184" w:lineRule="exact"/>
        <w:rPr>
          <w:rFonts w:ascii="Arial" w:cs="Arial" w:eastAsia="Arial" w:hAnsi="Arial"/>
          <w:sz w:val="17"/>
          <w:szCs w:val="17"/>
          <w:i w:val="1"/>
          <w:iCs w:val="1"/>
          <w:color w:val="auto"/>
        </w:rPr>
      </w:pPr>
    </w:p>
    <w:p>
      <w:pPr>
        <w:ind w:left="620" w:right="80" w:hanging="305"/>
        <w:spacing w:after="0" w:line="285" w:lineRule="auto"/>
        <w:tabs>
          <w:tab w:leader="none" w:pos="620" w:val="left"/>
        </w:tabs>
        <w:numPr>
          <w:ilvl w:val="0"/>
          <w:numId w:val="27"/>
        </w:numPr>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Concentration Risk. </w:t>
      </w:r>
      <w:r>
        <w:rPr>
          <w:rFonts w:ascii="Arial" w:cs="Arial" w:eastAsia="Arial" w:hAnsi="Arial"/>
          <w:sz w:val="17"/>
          <w:szCs w:val="17"/>
          <w:color w:val="auto"/>
        </w:rPr>
        <w:t>If the investment portfolio is highly concentrated in one asset, or in multiple assets whose values are highly correlated, the value of</w:t>
      </w:r>
      <w:r>
        <w:rPr>
          <w:rFonts w:ascii="Arial" w:cs="Arial" w:eastAsia="Arial" w:hAnsi="Arial"/>
          <w:sz w:val="17"/>
          <w:szCs w:val="17"/>
          <w:i w:val="1"/>
          <w:iCs w:val="1"/>
          <w:color w:val="auto"/>
        </w:rPr>
        <w:t xml:space="preserve"> </w:t>
      </w:r>
      <w:r>
        <w:rPr>
          <w:rFonts w:ascii="Arial" w:cs="Arial" w:eastAsia="Arial" w:hAnsi="Arial"/>
          <w:sz w:val="17"/>
          <w:szCs w:val="17"/>
          <w:color w:val="auto"/>
        </w:rPr>
        <w:t>the total portfolio may be greatly affected by the change in value of just one asset or a group of highly correlated assets.</w:t>
      </w:r>
    </w:p>
    <w:p>
      <w:pPr>
        <w:spacing w:after="0" w:line="184" w:lineRule="exact"/>
        <w:rPr>
          <w:rFonts w:ascii="Arial" w:cs="Arial" w:eastAsia="Arial" w:hAnsi="Arial"/>
          <w:sz w:val="17"/>
          <w:szCs w:val="17"/>
          <w:i w:val="1"/>
          <w:iCs w:val="1"/>
          <w:color w:val="auto"/>
        </w:rPr>
      </w:pPr>
    </w:p>
    <w:p>
      <w:pPr>
        <w:ind w:left="620" w:right="20" w:hanging="305"/>
        <w:spacing w:after="0" w:line="285" w:lineRule="auto"/>
        <w:tabs>
          <w:tab w:leader="none" w:pos="620" w:val="left"/>
        </w:tabs>
        <w:numPr>
          <w:ilvl w:val="0"/>
          <w:numId w:val="27"/>
        </w:numPr>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Prepayment Risk. </w:t>
      </w:r>
      <w:r>
        <w:rPr>
          <w:rFonts w:ascii="Arial" w:cs="Arial" w:eastAsia="Arial" w:hAnsi="Arial"/>
          <w:sz w:val="17"/>
          <w:szCs w:val="17"/>
          <w:color w:val="auto"/>
        </w:rPr>
        <w:t>Bonds may have call provisions that permit debtors to repay prior to maturity when it is to their advantage. This typically occurs when</w:t>
      </w:r>
      <w:r>
        <w:rPr>
          <w:rFonts w:ascii="Arial" w:cs="Arial" w:eastAsia="Arial" w:hAnsi="Arial"/>
          <w:sz w:val="17"/>
          <w:szCs w:val="17"/>
          <w:i w:val="1"/>
          <w:iCs w:val="1"/>
          <w:color w:val="auto"/>
        </w:rPr>
        <w:t xml:space="preserve"> </w:t>
      </w:r>
      <w:r>
        <w:rPr>
          <w:rFonts w:ascii="Arial" w:cs="Arial" w:eastAsia="Arial" w:hAnsi="Arial"/>
          <w:sz w:val="17"/>
          <w:szCs w:val="17"/>
          <w:color w:val="auto"/>
        </w:rPr>
        <w:t>rates fall below the interest rate of the debt.</w:t>
      </w:r>
    </w:p>
    <w:p>
      <w:pPr>
        <w:spacing w:after="0" w:line="159" w:lineRule="exact"/>
        <w:rPr>
          <w:sz w:val="20"/>
          <w:szCs w:val="20"/>
          <w:color w:val="auto"/>
        </w:rPr>
      </w:pPr>
    </w:p>
    <w:p>
      <w:pPr>
        <w:ind w:right="120" w:firstLine="623"/>
        <w:spacing w:after="0" w:line="270" w:lineRule="auto"/>
        <w:rPr>
          <w:sz w:val="20"/>
          <w:szCs w:val="20"/>
          <w:color w:val="auto"/>
        </w:rPr>
      </w:pPr>
      <w:r>
        <w:rPr>
          <w:rFonts w:ascii="Arial" w:cs="Arial" w:eastAsia="Arial" w:hAnsi="Arial"/>
          <w:sz w:val="17"/>
          <w:szCs w:val="17"/>
          <w:color w:val="auto"/>
        </w:rPr>
        <w:t>Market risk is measured for all investment assets at the individual security level. Market risks that are not fully captured by the quantitative analysis are highlighted. In addition, material market risk changes that occur from the last reporting period to the current are discussed. Changes to how risks are managed will also be identified and described.</w:t>
      </w:r>
    </w:p>
    <w:p>
      <w:pPr>
        <w:spacing w:after="0" w:line="171" w:lineRule="exact"/>
        <w:rPr>
          <w:sz w:val="20"/>
          <w:szCs w:val="20"/>
          <w:color w:val="auto"/>
        </w:rPr>
      </w:pPr>
    </w:p>
    <w:p>
      <w:pPr>
        <w:ind w:right="100" w:firstLine="623"/>
        <w:spacing w:after="0" w:line="286" w:lineRule="auto"/>
        <w:rPr>
          <w:sz w:val="20"/>
          <w:szCs w:val="20"/>
          <w:color w:val="auto"/>
        </w:rPr>
      </w:pPr>
      <w:r>
        <w:rPr>
          <w:rFonts w:ascii="Arial" w:cs="Arial" w:eastAsia="Arial" w:hAnsi="Arial"/>
          <w:sz w:val="16"/>
          <w:szCs w:val="16"/>
          <w:color w:val="auto"/>
        </w:rPr>
        <w:t>At June 30, 2023, the effective duration of our investments available for sale was 4.0 years, which means that an instantaneous parallel shift (movement up or down) in the yield curve of 100 basis points would result in a change of 4.0% in fair value of our investments available for sale. Excluding short-term investments, our investments available for sale effective duration was 4.3 years, which means that an instantaneous parallel shift (movement up or down) in the yield curve of 100 basis points would result in a change of 4.3% in fair value of our investments available for sale.</w:t>
      </w:r>
    </w:p>
    <w:p>
      <w:pPr>
        <w:spacing w:after="0" w:line="15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4.  Controls and Procedures</w:t>
      </w:r>
    </w:p>
    <w:p>
      <w:pPr>
        <w:spacing w:after="0" w:line="22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Disclosure Controls and Procedures</w:t>
      </w:r>
    </w:p>
    <w:p>
      <w:pPr>
        <w:spacing w:after="0" w:line="226" w:lineRule="exact"/>
        <w:rPr>
          <w:sz w:val="20"/>
          <w:szCs w:val="20"/>
          <w:color w:val="auto"/>
        </w:rPr>
      </w:pPr>
    </w:p>
    <w:p>
      <w:pPr>
        <w:ind w:right="20" w:firstLine="623"/>
        <w:spacing w:after="0" w:line="265" w:lineRule="auto"/>
        <w:rPr>
          <w:sz w:val="20"/>
          <w:szCs w:val="20"/>
          <w:color w:val="auto"/>
        </w:rPr>
      </w:pPr>
      <w:r>
        <w:rPr>
          <w:rFonts w:ascii="Arial" w:cs="Arial" w:eastAsia="Arial" w:hAnsi="Arial"/>
          <w:sz w:val="17"/>
          <w:szCs w:val="17"/>
          <w:color w:val="auto"/>
        </w:rPr>
        <w:t>Our management carried out an evaluation, under the supervision and with the participation of our chief executive officer and chief financial officer, of the effectiveness of our disclosure controls and procedures (as such term is defined in Rules 13a-15(e) and 15d-15(e) under the Exchange Act) as of the end of the period covered by this Quarterly Report. Based on this evaluation, our chief executive officer and chief financial officer concluded that our disclosure controls and procedures were effective as of June 30, 2023, the end of the period covered by this Quarterly Report.</w:t>
      </w:r>
    </w:p>
    <w:p>
      <w:pPr>
        <w:spacing w:after="0" w:line="16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Changes in Internal Control Over Financial Reporting</w:t>
      </w:r>
    </w:p>
    <w:p>
      <w:pPr>
        <w:spacing w:after="0" w:line="226" w:lineRule="exact"/>
        <w:rPr>
          <w:sz w:val="20"/>
          <w:szCs w:val="20"/>
          <w:color w:val="auto"/>
        </w:rPr>
      </w:pPr>
    </w:p>
    <w:p>
      <w:pPr>
        <w:ind w:firstLine="623"/>
        <w:spacing w:after="0" w:line="355" w:lineRule="auto"/>
        <w:rPr>
          <w:sz w:val="20"/>
          <w:szCs w:val="20"/>
          <w:color w:val="auto"/>
        </w:rPr>
      </w:pPr>
      <w:r>
        <w:rPr>
          <w:rFonts w:ascii="Arial" w:cs="Arial" w:eastAsia="Arial" w:hAnsi="Arial"/>
          <w:sz w:val="15"/>
          <w:szCs w:val="15"/>
          <w:color w:val="auto"/>
        </w:rPr>
        <w:t>During our most recent fiscal quarter, there has not been any change in our internal control over financial reporting (as such term is defined in Rules 13a-15(f) and 15d-15(f) under the Exchange Act) that has materially affected, or is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68580</wp:posOffset>
            </wp:positionV>
            <wp:extent cx="7162800" cy="4191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51" w:name="page52"/>
    <w:bookmarkEnd w:id="51"/>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338"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PART II — OTHER INFORMATION</w:t>
      </w:r>
    </w:p>
    <w:p>
      <w:pPr>
        <w:spacing w:after="0" w:line="22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  Legal Proceedings</w:t>
      </w:r>
    </w:p>
    <w:p>
      <w:pPr>
        <w:spacing w:after="0" w:line="226" w:lineRule="exact"/>
        <w:rPr>
          <w:sz w:val="20"/>
          <w:szCs w:val="20"/>
          <w:color w:val="auto"/>
        </w:rPr>
      </w:pPr>
    </w:p>
    <w:p>
      <w:pPr>
        <w:ind w:left="620"/>
        <w:spacing w:after="0"/>
        <w:rPr>
          <w:sz w:val="20"/>
          <w:szCs w:val="20"/>
          <w:color w:val="auto"/>
        </w:rPr>
      </w:pPr>
      <w:r>
        <w:rPr>
          <w:rFonts w:ascii="Arial" w:cs="Arial" w:eastAsia="Arial" w:hAnsi="Arial"/>
          <w:sz w:val="17"/>
          <w:szCs w:val="17"/>
          <w:color w:val="auto"/>
        </w:rPr>
        <w:t>We are not currently subject to any material legal proceedings.</w:t>
      </w:r>
    </w:p>
    <w:p>
      <w:pPr>
        <w:spacing w:after="0" w:line="21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1A.  Risk Factors</w:t>
      </w:r>
    </w:p>
    <w:p>
      <w:pPr>
        <w:spacing w:after="0" w:line="226" w:lineRule="exact"/>
        <w:rPr>
          <w:sz w:val="20"/>
          <w:szCs w:val="20"/>
          <w:color w:val="auto"/>
        </w:rPr>
      </w:pPr>
    </w:p>
    <w:p>
      <w:pPr>
        <w:ind w:right="40" w:firstLine="623"/>
        <w:spacing w:after="0" w:line="280" w:lineRule="auto"/>
        <w:rPr>
          <w:sz w:val="20"/>
          <w:szCs w:val="20"/>
          <w:color w:val="auto"/>
        </w:rPr>
      </w:pPr>
      <w:r>
        <w:rPr>
          <w:rFonts w:ascii="Arial" w:cs="Arial" w:eastAsia="Arial" w:hAnsi="Arial"/>
          <w:sz w:val="16"/>
          <w:szCs w:val="16"/>
          <w:color w:val="auto"/>
        </w:rPr>
        <w:t>Risk factors that affect our business and financial results are discussed in Part I, Item 1A. “Risk Factors” in our Annual Report on Form 10-K for the year ended December 31, 2022. Except as discussed below, there have been no material changes in our risk factors from those previously disclosed in our Annual Report. You should carefully consider the risks described in our Annual Report, which could materially affect our business, financial condition or future results. The risks described in our Annual Report, along with the disclosure below are not the only risks we face. Additional risks and uncertainties not currently known to us or that we currently deem to be immaterial also may materially adversely affect our business, financial condition, and/or operating results. If any of the risks actually occur, our business, financial condition, and/or results of operations could be negatively affected.</w:t>
      </w:r>
    </w:p>
    <w:p>
      <w:pPr>
        <w:spacing w:after="0" w:line="18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2.  Unregistered Sales of Equity Securities and Use of Proceeds</w:t>
      </w:r>
    </w:p>
    <w:p>
      <w:pPr>
        <w:spacing w:after="0" w:line="24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Repurchases of Securities</w:t>
      </w:r>
    </w:p>
    <w:p>
      <w:pPr>
        <w:spacing w:after="0" w:line="226" w:lineRule="exact"/>
        <w:rPr>
          <w:sz w:val="20"/>
          <w:szCs w:val="20"/>
          <w:color w:val="auto"/>
        </w:rPr>
      </w:pPr>
    </w:p>
    <w:p>
      <w:pPr>
        <w:ind w:left="620"/>
        <w:spacing w:after="0"/>
        <w:rPr>
          <w:sz w:val="20"/>
          <w:szCs w:val="20"/>
          <w:color w:val="auto"/>
        </w:rPr>
      </w:pPr>
      <w:r>
        <w:rPr>
          <w:rFonts w:ascii="Arial" w:cs="Arial" w:eastAsia="Arial" w:hAnsi="Arial"/>
          <w:sz w:val="17"/>
          <w:szCs w:val="17"/>
          <w:color w:val="auto"/>
        </w:rPr>
        <w:t>The table below sets forth information regarding repurchases of our common shares during the three months ended June 30, 2023.</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18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Total Number of</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80" w:type="dxa"/>
            <w:vAlign w:val="bottom"/>
          </w:tcPr>
          <w:p>
            <w:pPr>
              <w:jc w:val="center"/>
              <w:ind w:right="128"/>
              <w:spacing w:after="0"/>
              <w:rPr>
                <w:sz w:val="20"/>
                <w:szCs w:val="20"/>
                <w:color w:val="auto"/>
              </w:rPr>
            </w:pPr>
            <w:r>
              <w:rPr>
                <w:rFonts w:ascii="Arial" w:cs="Arial" w:eastAsia="Arial" w:hAnsi="Arial"/>
                <w:sz w:val="14"/>
                <w:szCs w:val="14"/>
                <w:b w:val="1"/>
                <w:bCs w:val="1"/>
                <w:color w:val="auto"/>
                <w:w w:val="91"/>
              </w:rPr>
              <w:t>Approximate Dollar</w:t>
            </w:r>
          </w:p>
        </w:tc>
        <w:tc>
          <w:tcPr>
            <w:tcW w:w="0" w:type="dxa"/>
            <w:vAlign w:val="bottom"/>
          </w:tcPr>
          <w:p>
            <w:pPr>
              <w:spacing w:after="0"/>
              <w:rPr>
                <w:sz w:val="1"/>
                <w:szCs w:val="1"/>
                <w:color w:val="auto"/>
              </w:rPr>
            </w:pPr>
          </w:p>
        </w:tc>
      </w:tr>
      <w:tr>
        <w:trPr>
          <w:trHeight w:val="133"/>
        </w:trPr>
        <w:tc>
          <w:tcPr>
            <w:tcW w:w="218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7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Total</w:t>
            </w: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78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580" w:type="dxa"/>
            <w:vAlign w:val="bottom"/>
          </w:tcPr>
          <w:p>
            <w:pPr>
              <w:jc w:val="center"/>
              <w:ind w:right="128"/>
              <w:spacing w:after="0" w:line="133" w:lineRule="exact"/>
              <w:rPr>
                <w:sz w:val="20"/>
                <w:szCs w:val="20"/>
                <w:color w:val="auto"/>
              </w:rPr>
            </w:pPr>
            <w:r>
              <w:rPr>
                <w:rFonts w:ascii="Arial" w:cs="Arial" w:eastAsia="Arial" w:hAnsi="Arial"/>
                <w:sz w:val="14"/>
                <w:szCs w:val="14"/>
                <w:b w:val="1"/>
                <w:bCs w:val="1"/>
                <w:color w:val="auto"/>
                <w:w w:val="87"/>
              </w:rPr>
              <w:t>Value of Shares that</w:t>
            </w:r>
          </w:p>
        </w:tc>
        <w:tc>
          <w:tcPr>
            <w:tcW w:w="0" w:type="dxa"/>
            <w:vAlign w:val="bottom"/>
          </w:tcPr>
          <w:p>
            <w:pPr>
              <w:spacing w:after="0"/>
              <w:rPr>
                <w:sz w:val="1"/>
                <w:szCs w:val="1"/>
                <w:color w:val="auto"/>
              </w:rPr>
            </w:pPr>
          </w:p>
        </w:tc>
      </w:tr>
      <w:tr>
        <w:trPr>
          <w:trHeight w:val="143"/>
        </w:trPr>
        <w:tc>
          <w:tcPr>
            <w:tcW w:w="218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80" w:type="dxa"/>
            <w:vAlign w:val="bottom"/>
          </w:tcPr>
          <w:p>
            <w:pPr>
              <w:jc w:val="center"/>
              <w:spacing w:after="0" w:line="143" w:lineRule="exact"/>
              <w:rPr>
                <w:sz w:val="20"/>
                <w:szCs w:val="20"/>
                <w:color w:val="auto"/>
              </w:rPr>
            </w:pPr>
            <w:r>
              <w:rPr>
                <w:rFonts w:ascii="Arial" w:cs="Arial" w:eastAsia="Arial" w:hAnsi="Arial"/>
                <w:sz w:val="14"/>
                <w:szCs w:val="14"/>
                <w:b w:val="1"/>
                <w:bCs w:val="1"/>
                <w:color w:val="auto"/>
                <w:w w:val="86"/>
              </w:rPr>
              <w:t>Shares Purchased</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580" w:type="dxa"/>
            <w:vAlign w:val="bottom"/>
          </w:tcPr>
          <w:p>
            <w:pPr>
              <w:jc w:val="center"/>
              <w:ind w:right="108"/>
              <w:spacing w:after="0" w:line="143" w:lineRule="exact"/>
              <w:rPr>
                <w:sz w:val="20"/>
                <w:szCs w:val="20"/>
                <w:color w:val="auto"/>
              </w:rPr>
            </w:pPr>
            <w:r>
              <w:rPr>
                <w:rFonts w:ascii="Arial" w:cs="Arial" w:eastAsia="Arial" w:hAnsi="Arial"/>
                <w:sz w:val="14"/>
                <w:szCs w:val="14"/>
                <w:b w:val="1"/>
                <w:bCs w:val="1"/>
                <w:color w:val="auto"/>
                <w:w w:val="90"/>
              </w:rPr>
              <w:t>May Yet Be</w:t>
            </w:r>
          </w:p>
        </w:tc>
        <w:tc>
          <w:tcPr>
            <w:tcW w:w="0" w:type="dxa"/>
            <w:vAlign w:val="bottom"/>
          </w:tcPr>
          <w:p>
            <w:pPr>
              <w:spacing w:after="0"/>
              <w:rPr>
                <w:sz w:val="1"/>
                <w:szCs w:val="1"/>
                <w:color w:val="auto"/>
              </w:rPr>
            </w:pPr>
          </w:p>
        </w:tc>
      </w:tr>
      <w:tr>
        <w:trPr>
          <w:trHeight w:val="139"/>
        </w:trPr>
        <w:tc>
          <w:tcPr>
            <w:tcW w:w="37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Period</w:t>
            </w:r>
          </w:p>
        </w:tc>
        <w:tc>
          <w:tcPr>
            <w:tcW w:w="120" w:type="dxa"/>
            <w:vAlign w:val="bottom"/>
          </w:tcPr>
          <w:p>
            <w:pPr>
              <w:spacing w:after="0"/>
              <w:rPr>
                <w:sz w:val="12"/>
                <w:szCs w:val="12"/>
                <w:color w:val="auto"/>
              </w:rPr>
            </w:pPr>
          </w:p>
        </w:tc>
        <w:tc>
          <w:tcPr>
            <w:tcW w:w="1760" w:type="dxa"/>
            <w:vAlign w:val="bottom"/>
          </w:tcPr>
          <w:p>
            <w:pPr>
              <w:jc w:val="center"/>
              <w:spacing w:after="0" w:line="139" w:lineRule="exact"/>
              <w:rPr>
                <w:sz w:val="20"/>
                <w:szCs w:val="20"/>
                <w:color w:val="auto"/>
              </w:rPr>
            </w:pPr>
            <w:r>
              <w:rPr>
                <w:rFonts w:ascii="Arial" w:cs="Arial" w:eastAsia="Arial" w:hAnsi="Arial"/>
                <w:sz w:val="14"/>
                <w:szCs w:val="14"/>
                <w:b w:val="1"/>
                <w:bCs w:val="1"/>
                <w:color w:val="auto"/>
                <w:w w:val="91"/>
              </w:rPr>
              <w:t>Number of</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0" w:type="dxa"/>
            <w:vAlign w:val="bottom"/>
            <w:vMerge w:val="restart"/>
          </w:tcPr>
          <w:p>
            <w:pPr>
              <w:jc w:val="right"/>
              <w:ind w:right="320"/>
              <w:spacing w:after="0"/>
              <w:rPr>
                <w:sz w:val="20"/>
                <w:szCs w:val="20"/>
                <w:color w:val="auto"/>
              </w:rPr>
            </w:pPr>
            <w:r>
              <w:rPr>
                <w:rFonts w:ascii="Arial" w:cs="Arial" w:eastAsia="Arial" w:hAnsi="Arial"/>
                <w:sz w:val="14"/>
                <w:szCs w:val="14"/>
                <w:b w:val="1"/>
                <w:bCs w:val="1"/>
                <w:color w:val="auto"/>
              </w:rPr>
              <w:t>Average Price</w:t>
            </w:r>
          </w:p>
        </w:tc>
        <w:tc>
          <w:tcPr>
            <w:tcW w:w="120" w:type="dxa"/>
            <w:vAlign w:val="bottom"/>
          </w:tcPr>
          <w:p>
            <w:pPr>
              <w:spacing w:after="0"/>
              <w:rPr>
                <w:sz w:val="12"/>
                <w:szCs w:val="12"/>
                <w:color w:val="auto"/>
              </w:rPr>
            </w:pPr>
          </w:p>
        </w:tc>
        <w:tc>
          <w:tcPr>
            <w:tcW w:w="1780" w:type="dxa"/>
            <w:vAlign w:val="bottom"/>
          </w:tcPr>
          <w:p>
            <w:pPr>
              <w:jc w:val="center"/>
              <w:spacing w:after="0" w:line="139" w:lineRule="exact"/>
              <w:rPr>
                <w:sz w:val="20"/>
                <w:szCs w:val="20"/>
                <w:color w:val="auto"/>
              </w:rPr>
            </w:pPr>
            <w:r>
              <w:rPr>
                <w:rFonts w:ascii="Arial" w:cs="Arial" w:eastAsia="Arial" w:hAnsi="Arial"/>
                <w:sz w:val="14"/>
                <w:szCs w:val="14"/>
                <w:b w:val="1"/>
                <w:bCs w:val="1"/>
                <w:color w:val="auto"/>
                <w:w w:val="90"/>
              </w:rPr>
              <w:t>as Part of Publicly</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580" w:type="dxa"/>
            <w:vAlign w:val="bottom"/>
          </w:tcPr>
          <w:p>
            <w:pPr>
              <w:jc w:val="center"/>
              <w:ind w:right="128"/>
              <w:spacing w:after="0" w:line="139" w:lineRule="exact"/>
              <w:rPr>
                <w:sz w:val="20"/>
                <w:szCs w:val="20"/>
                <w:color w:val="auto"/>
              </w:rPr>
            </w:pPr>
            <w:r>
              <w:rPr>
                <w:rFonts w:ascii="Arial" w:cs="Arial" w:eastAsia="Arial" w:hAnsi="Arial"/>
                <w:sz w:val="14"/>
                <w:szCs w:val="14"/>
                <w:b w:val="1"/>
                <w:bCs w:val="1"/>
                <w:color w:val="auto"/>
                <w:w w:val="87"/>
              </w:rPr>
              <w:t>Purchased Under</w:t>
            </w:r>
          </w:p>
        </w:tc>
        <w:tc>
          <w:tcPr>
            <w:tcW w:w="0" w:type="dxa"/>
            <w:vAlign w:val="bottom"/>
          </w:tcPr>
          <w:p>
            <w:pPr>
              <w:spacing w:after="0"/>
              <w:rPr>
                <w:sz w:val="1"/>
                <w:szCs w:val="1"/>
                <w:color w:val="auto"/>
              </w:rPr>
            </w:pPr>
          </w:p>
        </w:tc>
      </w:tr>
      <w:tr>
        <w:trPr>
          <w:trHeight w:val="133"/>
        </w:trPr>
        <w:tc>
          <w:tcPr>
            <w:tcW w:w="376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176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85"/>
              </w:rPr>
              <w:t>Shares</w:t>
            </w: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178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86"/>
              </w:rPr>
              <w:t>Announced Plans</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580" w:type="dxa"/>
            <w:vAlign w:val="bottom"/>
          </w:tcPr>
          <w:p>
            <w:pPr>
              <w:jc w:val="center"/>
              <w:ind w:right="128"/>
              <w:spacing w:after="0" w:line="133" w:lineRule="exact"/>
              <w:rPr>
                <w:sz w:val="20"/>
                <w:szCs w:val="20"/>
                <w:color w:val="auto"/>
              </w:rPr>
            </w:pPr>
            <w:r>
              <w:rPr>
                <w:rFonts w:ascii="Arial" w:cs="Arial" w:eastAsia="Arial" w:hAnsi="Arial"/>
                <w:sz w:val="14"/>
                <w:szCs w:val="14"/>
                <w:b w:val="1"/>
                <w:bCs w:val="1"/>
                <w:color w:val="auto"/>
                <w:w w:val="87"/>
              </w:rPr>
              <w:t>the Plans or</w:t>
            </w:r>
          </w:p>
        </w:tc>
        <w:tc>
          <w:tcPr>
            <w:tcW w:w="0" w:type="dxa"/>
            <w:vAlign w:val="bottom"/>
          </w:tcPr>
          <w:p>
            <w:pPr>
              <w:spacing w:after="0"/>
              <w:rPr>
                <w:sz w:val="1"/>
                <w:szCs w:val="1"/>
                <w:color w:val="auto"/>
              </w:rPr>
            </w:pPr>
          </w:p>
        </w:tc>
      </w:tr>
      <w:tr>
        <w:trPr>
          <w:trHeight w:val="179"/>
        </w:trPr>
        <w:tc>
          <w:tcPr>
            <w:tcW w:w="3760" w:type="dxa"/>
            <w:vAlign w:val="bottom"/>
            <w:gridSpan w:val="2"/>
          </w:tcPr>
          <w:p>
            <w:pPr>
              <w:ind w:left="20"/>
              <w:spacing w:after="0"/>
              <w:rPr>
                <w:sz w:val="20"/>
                <w:szCs w:val="20"/>
                <w:color w:val="auto"/>
              </w:rPr>
            </w:pPr>
            <w:r>
              <w:rPr>
                <w:rFonts w:ascii="Arial" w:cs="Arial" w:eastAsia="Arial" w:hAnsi="Arial"/>
                <w:sz w:val="14"/>
                <w:szCs w:val="14"/>
                <w:b w:val="1"/>
                <w:bCs w:val="1"/>
                <w:color w:val="auto"/>
              </w:rPr>
              <w:t>($ in thousands, except per share amounts)</w:t>
            </w:r>
          </w:p>
        </w:tc>
        <w:tc>
          <w:tcPr>
            <w:tcW w:w="120" w:type="dxa"/>
            <w:vAlign w:val="bottom"/>
          </w:tcPr>
          <w:p>
            <w:pPr>
              <w:spacing w:after="0"/>
              <w:rPr>
                <w:sz w:val="15"/>
                <w:szCs w:val="15"/>
                <w:color w:val="auto"/>
              </w:rPr>
            </w:pPr>
          </w:p>
        </w:tc>
        <w:tc>
          <w:tcPr>
            <w:tcW w:w="1760" w:type="dxa"/>
            <w:vAlign w:val="bottom"/>
          </w:tcPr>
          <w:p>
            <w:pPr>
              <w:jc w:val="center"/>
              <w:spacing w:after="0"/>
              <w:rPr>
                <w:sz w:val="20"/>
                <w:szCs w:val="20"/>
                <w:color w:val="auto"/>
              </w:rPr>
            </w:pPr>
            <w:r>
              <w:rPr>
                <w:rFonts w:ascii="Arial" w:cs="Arial" w:eastAsia="Arial" w:hAnsi="Arial"/>
                <w:sz w:val="14"/>
                <w:szCs w:val="14"/>
                <w:b w:val="1"/>
                <w:bCs w:val="1"/>
                <w:color w:val="auto"/>
                <w:w w:val="86"/>
              </w:rPr>
              <w:t>Purchased</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0" w:type="dxa"/>
            <w:vAlign w:val="bottom"/>
          </w:tcPr>
          <w:p>
            <w:pPr>
              <w:jc w:val="right"/>
              <w:ind w:right="280"/>
              <w:spacing w:after="0"/>
              <w:rPr>
                <w:sz w:val="20"/>
                <w:szCs w:val="20"/>
                <w:color w:val="auto"/>
              </w:rPr>
            </w:pPr>
            <w:r>
              <w:rPr>
                <w:rFonts w:ascii="Arial" w:cs="Arial" w:eastAsia="Arial" w:hAnsi="Arial"/>
                <w:sz w:val="14"/>
                <w:szCs w:val="14"/>
                <w:b w:val="1"/>
                <w:bCs w:val="1"/>
                <w:color w:val="auto"/>
              </w:rPr>
              <w:t>Paid Per Share</w:t>
            </w:r>
          </w:p>
        </w:tc>
        <w:tc>
          <w:tcPr>
            <w:tcW w:w="120" w:type="dxa"/>
            <w:vAlign w:val="bottom"/>
          </w:tcPr>
          <w:p>
            <w:pPr>
              <w:spacing w:after="0"/>
              <w:rPr>
                <w:sz w:val="15"/>
                <w:szCs w:val="15"/>
                <w:color w:val="auto"/>
              </w:rPr>
            </w:pPr>
          </w:p>
        </w:tc>
        <w:tc>
          <w:tcPr>
            <w:tcW w:w="1780" w:type="dxa"/>
            <w:vAlign w:val="bottom"/>
          </w:tcPr>
          <w:p>
            <w:pPr>
              <w:jc w:val="center"/>
              <w:spacing w:after="0"/>
              <w:rPr>
                <w:sz w:val="20"/>
                <w:szCs w:val="20"/>
                <w:color w:val="auto"/>
              </w:rPr>
            </w:pPr>
            <w:r>
              <w:rPr>
                <w:rFonts w:ascii="Arial" w:cs="Arial" w:eastAsia="Arial" w:hAnsi="Arial"/>
                <w:sz w:val="14"/>
                <w:szCs w:val="14"/>
                <w:b w:val="1"/>
                <w:bCs w:val="1"/>
                <w:color w:val="auto"/>
                <w:w w:val="88"/>
              </w:rPr>
              <w:t>or Programs</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80" w:type="dxa"/>
            <w:vAlign w:val="bottom"/>
          </w:tcPr>
          <w:p>
            <w:pPr>
              <w:jc w:val="center"/>
              <w:ind w:right="128"/>
              <w:spacing w:after="0"/>
              <w:rPr>
                <w:sz w:val="20"/>
                <w:szCs w:val="20"/>
                <w:color w:val="auto"/>
              </w:rPr>
            </w:pPr>
            <w:r>
              <w:rPr>
                <w:rFonts w:ascii="Arial" w:cs="Arial" w:eastAsia="Arial" w:hAnsi="Arial"/>
                <w:sz w:val="14"/>
                <w:szCs w:val="14"/>
                <w:b w:val="1"/>
                <w:bCs w:val="1"/>
                <w:color w:val="auto"/>
                <w:w w:val="90"/>
              </w:rPr>
              <w:t>Programs (1)</w:t>
            </w:r>
          </w:p>
        </w:tc>
        <w:tc>
          <w:tcPr>
            <w:tcW w:w="0" w:type="dxa"/>
            <w:vAlign w:val="bottom"/>
          </w:tcPr>
          <w:p>
            <w:pPr>
              <w:spacing w:after="0"/>
              <w:rPr>
                <w:sz w:val="1"/>
                <w:szCs w:val="1"/>
                <w:color w:val="auto"/>
              </w:rPr>
            </w:pPr>
          </w:p>
        </w:tc>
      </w:tr>
      <w:tr>
        <w:trPr>
          <w:trHeight w:val="25"/>
        </w:trPr>
        <w:tc>
          <w:tcPr>
            <w:tcW w:w="218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4"/>
        </w:trPr>
        <w:tc>
          <w:tcPr>
            <w:tcW w:w="376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April 1 - April 30, 2023</w:t>
            </w:r>
          </w:p>
        </w:tc>
        <w:tc>
          <w:tcPr>
            <w:tcW w:w="1880" w:type="dxa"/>
            <w:vAlign w:val="bottom"/>
            <w:gridSpan w:val="2"/>
            <w:shd w:val="clear" w:color="auto" w:fill="CCEEFF"/>
          </w:tcPr>
          <w:p>
            <w:pPr>
              <w:jc w:val="right"/>
              <w:ind w:right="7"/>
              <w:spacing w:after="0"/>
              <w:rPr>
                <w:sz w:val="20"/>
                <w:szCs w:val="20"/>
                <w:color w:val="auto"/>
              </w:rPr>
            </w:pPr>
            <w:r>
              <w:rPr>
                <w:rFonts w:ascii="Arial" w:cs="Arial" w:eastAsia="Arial" w:hAnsi="Arial"/>
                <w:sz w:val="17"/>
                <w:szCs w:val="17"/>
                <w:color w:val="auto"/>
              </w:rPr>
              <w:t>373,510</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40.53</w:t>
            </w:r>
          </w:p>
        </w:tc>
        <w:tc>
          <w:tcPr>
            <w:tcW w:w="1900" w:type="dxa"/>
            <w:vAlign w:val="bottom"/>
            <w:gridSpan w:val="2"/>
            <w:shd w:val="clear" w:color="auto" w:fill="CCEEFF"/>
          </w:tcPr>
          <w:p>
            <w:pPr>
              <w:jc w:val="right"/>
              <w:ind w:right="8"/>
              <w:spacing w:after="0"/>
              <w:rPr>
                <w:sz w:val="20"/>
                <w:szCs w:val="20"/>
                <w:color w:val="auto"/>
              </w:rPr>
            </w:pPr>
            <w:r>
              <w:rPr>
                <w:rFonts w:ascii="Arial" w:cs="Arial" w:eastAsia="Arial" w:hAnsi="Arial"/>
                <w:sz w:val="17"/>
                <w:szCs w:val="17"/>
                <w:color w:val="auto"/>
              </w:rPr>
              <w:t>373,510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3760" w:type="dxa"/>
            <w:vAlign w:val="bottom"/>
            <w:gridSpan w:val="2"/>
          </w:tcPr>
          <w:p>
            <w:pPr>
              <w:ind w:left="20"/>
              <w:spacing w:after="0"/>
              <w:rPr>
                <w:sz w:val="20"/>
                <w:szCs w:val="20"/>
                <w:color w:val="auto"/>
              </w:rPr>
            </w:pPr>
            <w:r>
              <w:rPr>
                <w:rFonts w:ascii="Arial" w:cs="Arial" w:eastAsia="Arial" w:hAnsi="Arial"/>
                <w:sz w:val="17"/>
                <w:szCs w:val="17"/>
                <w:color w:val="auto"/>
              </w:rPr>
              <w:t>May 1 - May 31, 2023</w:t>
            </w:r>
          </w:p>
        </w:tc>
        <w:tc>
          <w:tcPr>
            <w:tcW w:w="1880" w:type="dxa"/>
            <w:vAlign w:val="bottom"/>
            <w:gridSpan w:val="2"/>
          </w:tcPr>
          <w:p>
            <w:pPr>
              <w:jc w:val="right"/>
              <w:ind w:right="7"/>
              <w:spacing w:after="0"/>
              <w:rPr>
                <w:sz w:val="20"/>
                <w:szCs w:val="20"/>
                <w:color w:val="auto"/>
              </w:rPr>
            </w:pPr>
            <w:r>
              <w:rPr>
                <w:rFonts w:ascii="Arial" w:cs="Arial" w:eastAsia="Arial" w:hAnsi="Arial"/>
                <w:sz w:val="17"/>
                <w:szCs w:val="17"/>
                <w:color w:val="auto"/>
              </w:rPr>
              <w:t>205,694</w:t>
            </w:r>
          </w:p>
        </w:tc>
        <w:tc>
          <w:tcPr>
            <w:tcW w:w="34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1400" w:type="dxa"/>
            <w:vAlign w:val="bottom"/>
          </w:tcPr>
          <w:p>
            <w:pPr>
              <w:jc w:val="right"/>
              <w:spacing w:after="0"/>
              <w:rPr>
                <w:sz w:val="20"/>
                <w:szCs w:val="20"/>
                <w:color w:val="auto"/>
              </w:rPr>
            </w:pPr>
            <w:r>
              <w:rPr>
                <w:rFonts w:ascii="Arial" w:cs="Arial" w:eastAsia="Arial" w:hAnsi="Arial"/>
                <w:sz w:val="17"/>
                <w:szCs w:val="17"/>
                <w:color w:val="auto"/>
              </w:rPr>
              <w:t>43.38</w:t>
            </w:r>
          </w:p>
        </w:tc>
        <w:tc>
          <w:tcPr>
            <w:tcW w:w="1900" w:type="dxa"/>
            <w:vAlign w:val="bottom"/>
            <w:gridSpan w:val="2"/>
          </w:tcPr>
          <w:p>
            <w:pPr>
              <w:jc w:val="right"/>
              <w:ind w:right="8"/>
              <w:spacing w:after="0"/>
              <w:rPr>
                <w:sz w:val="20"/>
                <w:szCs w:val="20"/>
                <w:color w:val="auto"/>
              </w:rPr>
            </w:pPr>
            <w:r>
              <w:rPr>
                <w:rFonts w:ascii="Arial" w:cs="Arial" w:eastAsia="Arial" w:hAnsi="Arial"/>
                <w:sz w:val="17"/>
                <w:szCs w:val="17"/>
                <w:color w:val="auto"/>
              </w:rPr>
              <w:t>205,694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376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June 1 - June 30, 2023</w:t>
            </w:r>
          </w:p>
        </w:tc>
        <w:tc>
          <w:tcPr>
            <w:tcW w:w="120" w:type="dxa"/>
            <w:vAlign w:val="bottom"/>
            <w:shd w:val="clear" w:color="auto" w:fill="CCEEFF"/>
          </w:tcPr>
          <w:p>
            <w:pPr>
              <w:spacing w:after="0"/>
              <w:rPr>
                <w:sz w:val="20"/>
                <w:szCs w:val="20"/>
                <w:color w:val="auto"/>
              </w:rPr>
            </w:pPr>
          </w:p>
        </w:tc>
        <w:tc>
          <w:tcPr>
            <w:tcW w:w="176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7"/>
                <w:szCs w:val="17"/>
                <w:color w:val="auto"/>
              </w:rPr>
              <w:t>120,788</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44.75</w:t>
            </w:r>
          </w:p>
        </w:tc>
        <w:tc>
          <w:tcPr>
            <w:tcW w:w="120" w:type="dxa"/>
            <w:vAlign w:val="bottom"/>
            <w:shd w:val="clear" w:color="auto" w:fill="CCEEFF"/>
          </w:tcPr>
          <w:p>
            <w:pPr>
              <w:spacing w:after="0"/>
              <w:rPr>
                <w:sz w:val="20"/>
                <w:szCs w:val="20"/>
                <w:color w:val="auto"/>
              </w:rPr>
            </w:pPr>
          </w:p>
        </w:tc>
        <w:tc>
          <w:tcPr>
            <w:tcW w:w="17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7"/>
                <w:szCs w:val="17"/>
                <w:color w:val="auto"/>
              </w:rPr>
              <w:t>120,788</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5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4"/>
        </w:trPr>
        <w:tc>
          <w:tcPr>
            <w:tcW w:w="3760" w:type="dxa"/>
            <w:vAlign w:val="bottom"/>
            <w:gridSpan w:val="2"/>
          </w:tcPr>
          <w:p>
            <w:pPr>
              <w:ind w:left="20"/>
              <w:spacing w:after="0"/>
              <w:rPr>
                <w:sz w:val="20"/>
                <w:szCs w:val="20"/>
                <w:color w:val="auto"/>
              </w:rPr>
            </w:pPr>
            <w:r>
              <w:rPr>
                <w:rFonts w:ascii="Arial" w:cs="Arial" w:eastAsia="Arial" w:hAnsi="Arial"/>
                <w:sz w:val="17"/>
                <w:szCs w:val="17"/>
                <w:color w:val="auto"/>
              </w:rPr>
              <w:t>Total</w:t>
            </w:r>
          </w:p>
        </w:tc>
        <w:tc>
          <w:tcPr>
            <w:tcW w:w="1880" w:type="dxa"/>
            <w:vAlign w:val="bottom"/>
            <w:gridSpan w:val="2"/>
          </w:tcPr>
          <w:p>
            <w:pPr>
              <w:jc w:val="right"/>
              <w:ind w:right="7"/>
              <w:spacing w:after="0"/>
              <w:rPr>
                <w:sz w:val="20"/>
                <w:szCs w:val="20"/>
                <w:color w:val="auto"/>
              </w:rPr>
            </w:pPr>
            <w:r>
              <w:rPr>
                <w:rFonts w:ascii="Arial" w:cs="Arial" w:eastAsia="Arial" w:hAnsi="Arial"/>
                <w:sz w:val="17"/>
                <w:szCs w:val="17"/>
                <w:color w:val="auto"/>
              </w:rPr>
              <w:t>699,992</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900" w:type="dxa"/>
            <w:vAlign w:val="bottom"/>
            <w:gridSpan w:val="2"/>
          </w:tcPr>
          <w:p>
            <w:pPr>
              <w:jc w:val="right"/>
              <w:ind w:right="8"/>
              <w:spacing w:after="0"/>
              <w:rPr>
                <w:sz w:val="20"/>
                <w:szCs w:val="20"/>
                <w:color w:val="auto"/>
              </w:rPr>
            </w:pPr>
            <w:r>
              <w:rPr>
                <w:rFonts w:ascii="Arial" w:cs="Arial" w:eastAsia="Arial" w:hAnsi="Arial"/>
                <w:sz w:val="17"/>
                <w:szCs w:val="17"/>
                <w:color w:val="auto"/>
              </w:rPr>
              <w:t>699,992</w:t>
            </w:r>
          </w:p>
        </w:tc>
        <w:tc>
          <w:tcPr>
            <w:tcW w:w="30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1580" w:type="dxa"/>
            <w:vAlign w:val="bottom"/>
          </w:tcPr>
          <w:p>
            <w:pPr>
              <w:jc w:val="right"/>
              <w:ind w:right="8"/>
              <w:spacing w:after="0"/>
              <w:rPr>
                <w:sz w:val="20"/>
                <w:szCs w:val="20"/>
                <w:color w:val="auto"/>
              </w:rPr>
            </w:pPr>
            <w:r>
              <w:rPr>
                <w:rFonts w:ascii="Arial" w:cs="Arial" w:eastAsia="Arial" w:hAnsi="Arial"/>
                <w:sz w:val="17"/>
                <w:szCs w:val="17"/>
                <w:color w:val="auto"/>
              </w:rPr>
              <w:t>203,968</w:t>
            </w:r>
          </w:p>
        </w:tc>
        <w:tc>
          <w:tcPr>
            <w:tcW w:w="0" w:type="dxa"/>
            <w:vAlign w:val="bottom"/>
          </w:tcPr>
          <w:p>
            <w:pPr>
              <w:spacing w:after="0"/>
              <w:rPr>
                <w:sz w:val="1"/>
                <w:szCs w:val="1"/>
                <w:color w:val="auto"/>
              </w:rPr>
            </w:pPr>
          </w:p>
        </w:tc>
      </w:tr>
      <w:tr>
        <w:trPr>
          <w:trHeight w:val="20"/>
        </w:trPr>
        <w:tc>
          <w:tcPr>
            <w:tcW w:w="21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8"/>
        </w:trPr>
        <w:tc>
          <w:tcPr>
            <w:tcW w:w="2180" w:type="dxa"/>
            <w:vAlign w:val="bottom"/>
            <w:tcBorders>
              <w:bottom w:val="single" w:sz="8" w:color="auto"/>
            </w:tcBorders>
          </w:tcPr>
          <w:p>
            <w:pPr>
              <w:spacing w:after="0"/>
              <w:rPr>
                <w:sz w:val="12"/>
                <w:szCs w:val="12"/>
                <w:color w:val="auto"/>
              </w:rPr>
            </w:pPr>
          </w:p>
        </w:tc>
        <w:tc>
          <w:tcPr>
            <w:tcW w:w="1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78" w:lineRule="exact"/>
        <w:rPr>
          <w:sz w:val="20"/>
          <w:szCs w:val="20"/>
          <w:color w:val="auto"/>
        </w:rPr>
      </w:pPr>
    </w:p>
    <w:p>
      <w:pPr>
        <w:ind w:left="620" w:hanging="305"/>
        <w:spacing w:after="0" w:line="270" w:lineRule="auto"/>
        <w:tabs>
          <w:tab w:leader="none" w:pos="620" w:val="left"/>
        </w:tabs>
        <w:numPr>
          <w:ilvl w:val="0"/>
          <w:numId w:val="28"/>
        </w:numPr>
        <w:rPr>
          <w:rFonts w:ascii="Arial" w:cs="Arial" w:eastAsia="Arial" w:hAnsi="Arial"/>
          <w:sz w:val="17"/>
          <w:szCs w:val="17"/>
          <w:color w:val="auto"/>
        </w:rPr>
      </w:pPr>
      <w:r>
        <w:rPr>
          <w:rFonts w:ascii="Arial" w:cs="Arial" w:eastAsia="Arial" w:hAnsi="Arial"/>
          <w:sz w:val="17"/>
          <w:szCs w:val="17"/>
          <w:color w:val="auto"/>
        </w:rPr>
        <w:t>As of June 30, 2023, the Company was authorized to purchase up to $250 million of its common shares, announced in May 2022, of which $46.0 million had been utilized. The remaining $204.0 million in the table represents the amount available to repurchase shares under the share repurchase plan as of June 30, 2023.</w:t>
      </w:r>
    </w:p>
    <w:p>
      <w:pPr>
        <w:spacing w:after="0" w:line="19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5.  Other Information</w:t>
      </w:r>
    </w:p>
    <w:p>
      <w:pPr>
        <w:spacing w:after="0" w:line="213" w:lineRule="exact"/>
        <w:rPr>
          <w:sz w:val="20"/>
          <w:szCs w:val="20"/>
          <w:color w:val="auto"/>
        </w:rPr>
      </w:pPr>
    </w:p>
    <w:p>
      <w:pPr>
        <w:ind w:firstLine="623"/>
        <w:spacing w:after="0" w:line="242" w:lineRule="auto"/>
        <w:rPr>
          <w:sz w:val="20"/>
          <w:szCs w:val="20"/>
          <w:color w:val="auto"/>
        </w:rPr>
      </w:pPr>
      <w:r>
        <w:rPr>
          <w:rFonts w:ascii="Arial" w:cs="Arial" w:eastAsia="Arial" w:hAnsi="Arial"/>
          <w:sz w:val="17"/>
          <w:szCs w:val="17"/>
          <w:color w:val="auto"/>
        </w:rPr>
        <w:t>On May 15, 2023, David Weinstock, the Company’s Senior Vice President and Chief Financial Officer, entered into a 10b5-1 sales plan (the “Weinstock Sales Plan”) intended to satisfy the affirmative defense of Rule 10b5-1(c) under the Exchange Act. The Weinstock Sales Plan provides for the sale of up to an aggregate of 4,000 shares of the Company’s common stock beneficially owned by Mr. Weinstock during the term of the Weinstock Sales Plan and will be in effect until the earlier of (1) January 31, 2024 and (2) the date on which an aggregate of 4,000 shares of the Company’s common stock have been sold under the Weinstock Sales Plan.</w:t>
      </w:r>
    </w:p>
    <w:p>
      <w:pPr>
        <w:spacing w:after="0" w:line="209" w:lineRule="exact"/>
        <w:rPr>
          <w:sz w:val="20"/>
          <w:szCs w:val="20"/>
          <w:color w:val="auto"/>
        </w:rPr>
      </w:pPr>
    </w:p>
    <w:p>
      <w:pPr>
        <w:ind w:right="160" w:firstLine="623"/>
        <w:spacing w:after="0" w:line="246" w:lineRule="auto"/>
        <w:rPr>
          <w:sz w:val="20"/>
          <w:szCs w:val="20"/>
          <w:color w:val="auto"/>
        </w:rPr>
      </w:pPr>
      <w:r>
        <w:rPr>
          <w:rFonts w:ascii="Arial" w:cs="Arial" w:eastAsia="Arial" w:hAnsi="Arial"/>
          <w:sz w:val="17"/>
          <w:szCs w:val="17"/>
          <w:color w:val="auto"/>
        </w:rPr>
        <w:t>On May 23, 2023, Mary Gibbons, the Company’s Senior Vice President and Chief Legal Officer, entered into a 10b5-1 sales plan (the “Gibbons Sales Plan”) intended to satisfy the affirmative defense of Rule 10b5-1(c) under the Exchange Act. The Gibbons Sales Plan provides for the sale of up to an aggregate of 28,355 shares of the Company’s common stock beneficially owned by Ms. Gibbons during the term of the Gibbons Sales Plan and will be in effect until the earlier of (1) May 31, 2024 and (2) the date on which an aggregate of 28,355 shares of the Company’s common stock have been sold under the Gibbons Sales Plan.</w:t>
      </w: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68580</wp:posOffset>
            </wp:positionV>
            <wp:extent cx="7162800" cy="4191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52" w:name="page53"/>
    <w:bookmarkEnd w:id="52"/>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580" w:type="dxa"/>
            <w:vAlign w:val="bottom"/>
            <w:gridSpan w:val="3"/>
          </w:tcPr>
          <w:p>
            <w:pPr>
              <w:spacing w:after="0"/>
              <w:rPr>
                <w:sz w:val="20"/>
                <w:szCs w:val="20"/>
                <w:color w:val="auto"/>
              </w:rPr>
            </w:pPr>
            <w:r>
              <w:rPr>
                <w:rFonts w:ascii="Arial" w:cs="Arial" w:eastAsia="Arial" w:hAnsi="Arial"/>
                <w:sz w:val="17"/>
                <w:szCs w:val="17"/>
                <w:b w:val="1"/>
                <w:bCs w:val="1"/>
                <w:color w:val="auto"/>
              </w:rPr>
              <w:t>Item 6.</w:t>
            </w:r>
          </w:p>
        </w:tc>
        <w:tc>
          <w:tcPr>
            <w:tcW w:w="10620" w:type="dxa"/>
            <w:vAlign w:val="bottom"/>
            <w:gridSpan w:val="3"/>
          </w:tcPr>
          <w:p>
            <w:pPr>
              <w:ind w:left="80"/>
              <w:spacing w:after="0"/>
              <w:rPr>
                <w:sz w:val="20"/>
                <w:szCs w:val="20"/>
                <w:color w:val="auto"/>
              </w:rPr>
            </w:pPr>
            <w:r>
              <w:rPr>
                <w:rFonts w:ascii="Arial" w:cs="Arial" w:eastAsia="Arial" w:hAnsi="Arial"/>
                <w:sz w:val="17"/>
                <w:szCs w:val="17"/>
                <w:b w:val="1"/>
                <w:bCs w:val="1"/>
                <w:color w:val="auto"/>
              </w:rPr>
              <w:t>Exhibits</w:t>
            </w:r>
          </w:p>
        </w:tc>
        <w:tc>
          <w:tcPr>
            <w:tcW w:w="0" w:type="dxa"/>
            <w:vAlign w:val="bottom"/>
          </w:tcPr>
          <w:p>
            <w:pPr>
              <w:spacing w:after="0"/>
              <w:rPr>
                <w:sz w:val="1"/>
                <w:szCs w:val="1"/>
                <w:color w:val="auto"/>
              </w:rPr>
            </w:pPr>
          </w:p>
        </w:tc>
      </w:tr>
      <w:tr>
        <w:trPr>
          <w:trHeight w:val="415"/>
        </w:trPr>
        <w:tc>
          <w:tcPr>
            <w:tcW w:w="580" w:type="dxa"/>
            <w:vAlign w:val="bottom"/>
            <w:gridSpan w:val="3"/>
          </w:tcPr>
          <w:p>
            <w:pPr>
              <w:spacing w:after="0"/>
              <w:rPr>
                <w:sz w:val="20"/>
                <w:szCs w:val="20"/>
                <w:color w:val="auto"/>
              </w:rPr>
            </w:pPr>
            <w:r>
              <w:rPr>
                <w:rFonts w:ascii="Arial" w:cs="Arial" w:eastAsia="Arial" w:hAnsi="Arial"/>
                <w:sz w:val="17"/>
                <w:szCs w:val="17"/>
                <w:color w:val="auto"/>
              </w:rPr>
              <w:t>(a)</w:t>
            </w:r>
          </w:p>
        </w:tc>
        <w:tc>
          <w:tcPr>
            <w:tcW w:w="10620" w:type="dxa"/>
            <w:vAlign w:val="bottom"/>
            <w:gridSpan w:val="3"/>
          </w:tcPr>
          <w:p>
            <w:pPr>
              <w:ind w:left="80"/>
              <w:spacing w:after="0"/>
              <w:rPr>
                <w:sz w:val="20"/>
                <w:szCs w:val="20"/>
                <w:color w:val="auto"/>
              </w:rPr>
            </w:pPr>
            <w:r>
              <w:rPr>
                <w:rFonts w:ascii="Arial" w:cs="Arial" w:eastAsia="Arial" w:hAnsi="Arial"/>
                <w:sz w:val="17"/>
                <w:szCs w:val="17"/>
                <w:color w:val="auto"/>
              </w:rPr>
              <w:t>Exhibits:</w:t>
            </w:r>
          </w:p>
        </w:tc>
        <w:tc>
          <w:tcPr>
            <w:tcW w:w="0" w:type="dxa"/>
            <w:vAlign w:val="bottom"/>
          </w:tcPr>
          <w:p>
            <w:pPr>
              <w:spacing w:after="0"/>
              <w:rPr>
                <w:sz w:val="1"/>
                <w:szCs w:val="1"/>
                <w:color w:val="auto"/>
              </w:rPr>
            </w:pPr>
          </w:p>
        </w:tc>
      </w:tr>
      <w:tr>
        <w:trPr>
          <w:trHeight w:val="454"/>
        </w:trPr>
        <w:tc>
          <w:tcPr>
            <w:tcW w:w="580" w:type="dxa"/>
            <w:vAlign w:val="bottom"/>
            <w:gridSpan w:val="3"/>
          </w:tcPr>
          <w:p>
            <w:pPr>
              <w:ind w:left="20"/>
              <w:spacing w:after="0"/>
              <w:rPr>
                <w:sz w:val="20"/>
                <w:szCs w:val="20"/>
                <w:color w:val="auto"/>
              </w:rPr>
            </w:pPr>
            <w:r>
              <w:rPr>
                <w:rFonts w:ascii="Arial" w:cs="Arial" w:eastAsia="Arial" w:hAnsi="Arial"/>
                <w:sz w:val="14"/>
                <w:szCs w:val="14"/>
                <w:b w:val="1"/>
                <w:bCs w:val="1"/>
                <w:color w:val="auto"/>
              </w:rPr>
              <w:t>Exhibit</w:t>
            </w:r>
          </w:p>
        </w:tc>
        <w:tc>
          <w:tcPr>
            <w:tcW w:w="5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640" w:type="dxa"/>
            <w:vAlign w:val="bottom"/>
            <w:vMerge w:val="restart"/>
          </w:tcPr>
          <w:p>
            <w:pPr>
              <w:ind w:left="448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80"/>
        </w:trPr>
        <w:tc>
          <w:tcPr>
            <w:tcW w:w="58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rPr>
              <w:t>No.</w:t>
            </w:r>
          </w:p>
        </w:tc>
        <w:tc>
          <w:tcPr>
            <w:tcW w:w="560" w:type="dxa"/>
            <w:vAlign w:val="bottom"/>
            <w:tcBorders>
              <w:bottom w:val="single" w:sz="8" w:color="auto"/>
            </w:tcBorders>
          </w:tcPr>
          <w:p>
            <w:pPr>
              <w:spacing w:after="0"/>
              <w:rPr>
                <w:sz w:val="15"/>
                <w:szCs w:val="15"/>
                <w:color w:val="auto"/>
              </w:rPr>
            </w:pPr>
          </w:p>
        </w:tc>
        <w:tc>
          <w:tcPr>
            <w:tcW w:w="420" w:type="dxa"/>
            <w:vAlign w:val="bottom"/>
          </w:tcPr>
          <w:p>
            <w:pPr>
              <w:spacing w:after="0"/>
              <w:rPr>
                <w:sz w:val="15"/>
                <w:szCs w:val="15"/>
                <w:color w:val="auto"/>
              </w:rPr>
            </w:pPr>
          </w:p>
        </w:tc>
        <w:tc>
          <w:tcPr>
            <w:tcW w:w="964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20" w:type="dxa"/>
            <w:vAlign w:val="bottom"/>
            <w:gridSpan w:val="2"/>
          </w:tcPr>
          <w:p>
            <w:pPr>
              <w:ind w:left="20"/>
              <w:spacing w:after="0" w:line="176" w:lineRule="exact"/>
              <w:rPr>
                <w:sz w:val="20"/>
                <w:szCs w:val="20"/>
                <w:color w:val="auto"/>
              </w:rPr>
            </w:pPr>
            <w:r>
              <w:rPr>
                <w:rFonts w:ascii="Arial" w:cs="Arial" w:eastAsia="Arial" w:hAnsi="Arial"/>
                <w:sz w:val="17"/>
                <w:szCs w:val="17"/>
                <w:color w:val="0000FF"/>
                <w:w w:val="84"/>
              </w:rPr>
              <w:t>31.</w:t>
            </w:r>
            <w:r>
              <w:rPr>
                <w:rFonts w:ascii="Arial" w:cs="Arial" w:eastAsia="Arial" w:hAnsi="Arial"/>
                <w:sz w:val="17"/>
                <w:szCs w:val="17"/>
                <w:u w:val="single" w:color="auto"/>
                <w:color w:val="0000FF"/>
                <w:w w:val="84"/>
              </w:rPr>
              <w:t>1</w:t>
            </w:r>
          </w:p>
        </w:tc>
        <w:tc>
          <w:tcPr>
            <w:tcW w:w="2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640" w:type="dxa"/>
            <w:vAlign w:val="bottom"/>
          </w:tcPr>
          <w:p>
            <w:pPr>
              <w:ind w:left="20"/>
              <w:spacing w:after="0" w:line="176" w:lineRule="exact"/>
              <w:rPr>
                <w:sz w:val="20"/>
                <w:szCs w:val="20"/>
                <w:color w:val="auto"/>
              </w:rPr>
            </w:pPr>
            <w:r>
              <w:rPr>
                <w:rFonts w:ascii="Arial" w:cs="Arial" w:eastAsia="Arial" w:hAnsi="Arial"/>
                <w:sz w:val="17"/>
                <w:szCs w:val="17"/>
                <w:color w:val="auto"/>
                <w:w w:val="93"/>
              </w:rPr>
              <w:t>Certification of Chief Executive Officer required by Rule 13a-14(a) or Rule 15d-14(a) of the Securities Exchange Act of 1934, as adopted</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300" w:type="dxa"/>
            <w:vAlign w:val="bottom"/>
            <w:tcBorders>
              <w:top w:val="single" w:sz="8" w:color="0000FF"/>
            </w:tcBorders>
          </w:tcPr>
          <w:p>
            <w:pPr>
              <w:spacing w:after="0"/>
              <w:rPr>
                <w:sz w:val="17"/>
                <w:szCs w:val="17"/>
                <w:color w:val="auto"/>
              </w:rPr>
            </w:pPr>
          </w:p>
        </w:tc>
        <w:tc>
          <w:tcPr>
            <w:tcW w:w="2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640" w:type="dxa"/>
            <w:vAlign w:val="bottom"/>
          </w:tcPr>
          <w:p>
            <w:pPr>
              <w:ind w:left="20"/>
              <w:spacing w:after="0"/>
              <w:rPr>
                <w:sz w:val="20"/>
                <w:szCs w:val="20"/>
                <w:color w:val="auto"/>
              </w:rPr>
            </w:pPr>
            <w:r>
              <w:rPr>
                <w:rFonts w:ascii="Arial" w:cs="Arial" w:eastAsia="Arial" w:hAnsi="Arial"/>
                <w:sz w:val="17"/>
                <w:szCs w:val="17"/>
                <w:color w:val="auto"/>
              </w:rPr>
              <w:t>pursuant to Section 302 of the Sarbanes-Oxley Act of 2002</w:t>
            </w:r>
          </w:p>
        </w:tc>
        <w:tc>
          <w:tcPr>
            <w:tcW w:w="0" w:type="dxa"/>
            <w:vAlign w:val="bottom"/>
          </w:tcPr>
          <w:p>
            <w:pPr>
              <w:spacing w:after="0"/>
              <w:rPr>
                <w:sz w:val="1"/>
                <w:szCs w:val="1"/>
                <w:color w:val="auto"/>
              </w:rPr>
            </w:pPr>
          </w:p>
        </w:tc>
      </w:tr>
      <w:tr>
        <w:trPr>
          <w:trHeight w:val="182"/>
        </w:trPr>
        <w:tc>
          <w:tcPr>
            <w:tcW w:w="320" w:type="dxa"/>
            <w:vAlign w:val="bottom"/>
            <w:gridSpan w:val="2"/>
          </w:tcPr>
          <w:p>
            <w:pPr>
              <w:ind w:left="20"/>
              <w:spacing w:after="0" w:line="182" w:lineRule="exact"/>
              <w:rPr>
                <w:sz w:val="20"/>
                <w:szCs w:val="20"/>
                <w:color w:val="auto"/>
              </w:rPr>
            </w:pPr>
            <w:r>
              <w:rPr>
                <w:rFonts w:ascii="Arial" w:cs="Arial" w:eastAsia="Arial" w:hAnsi="Arial"/>
                <w:sz w:val="17"/>
                <w:szCs w:val="17"/>
                <w:color w:val="0000FF"/>
                <w:w w:val="84"/>
              </w:rPr>
              <w:t>31.</w:t>
            </w:r>
            <w:r>
              <w:rPr>
                <w:rFonts w:ascii="Arial" w:cs="Arial" w:eastAsia="Arial" w:hAnsi="Arial"/>
                <w:sz w:val="17"/>
                <w:szCs w:val="17"/>
                <w:u w:val="single" w:color="auto"/>
                <w:color w:val="0000FF"/>
                <w:w w:val="84"/>
              </w:rPr>
              <w:t>2</w:t>
            </w:r>
          </w:p>
        </w:tc>
        <w:tc>
          <w:tcPr>
            <w:tcW w:w="2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640" w:type="dxa"/>
            <w:vAlign w:val="bottom"/>
          </w:tcPr>
          <w:p>
            <w:pPr>
              <w:ind w:left="20"/>
              <w:spacing w:after="0" w:line="182" w:lineRule="exact"/>
              <w:rPr>
                <w:sz w:val="20"/>
                <w:szCs w:val="20"/>
                <w:color w:val="auto"/>
              </w:rPr>
            </w:pPr>
            <w:r>
              <w:rPr>
                <w:rFonts w:ascii="Arial" w:cs="Arial" w:eastAsia="Arial" w:hAnsi="Arial"/>
                <w:sz w:val="17"/>
                <w:szCs w:val="17"/>
                <w:color w:val="auto"/>
                <w:w w:val="94"/>
              </w:rPr>
              <w:t>Certification of Chief Financial Officer required by Rule 13a-14(a) or Rule 15d-14(a) of the Securities Exchange Act of 1934, as adopted</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300" w:type="dxa"/>
            <w:vAlign w:val="bottom"/>
            <w:tcBorders>
              <w:top w:val="single" w:sz="8" w:color="0000FF"/>
            </w:tcBorders>
          </w:tcPr>
          <w:p>
            <w:pPr>
              <w:spacing w:after="0"/>
              <w:rPr>
                <w:sz w:val="17"/>
                <w:szCs w:val="17"/>
                <w:color w:val="auto"/>
              </w:rPr>
            </w:pPr>
          </w:p>
        </w:tc>
        <w:tc>
          <w:tcPr>
            <w:tcW w:w="2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640" w:type="dxa"/>
            <w:vAlign w:val="bottom"/>
          </w:tcPr>
          <w:p>
            <w:pPr>
              <w:ind w:left="20"/>
              <w:spacing w:after="0"/>
              <w:rPr>
                <w:sz w:val="20"/>
                <w:szCs w:val="20"/>
                <w:color w:val="auto"/>
              </w:rPr>
            </w:pPr>
            <w:r>
              <w:rPr>
                <w:rFonts w:ascii="Arial" w:cs="Arial" w:eastAsia="Arial" w:hAnsi="Arial"/>
                <w:sz w:val="17"/>
                <w:szCs w:val="17"/>
                <w:color w:val="auto"/>
              </w:rPr>
              <w:t>pursuant to Section 302 of the Sarbanes-Oxley Act of 2002</w:t>
            </w:r>
          </w:p>
        </w:tc>
        <w:tc>
          <w:tcPr>
            <w:tcW w:w="0" w:type="dxa"/>
            <w:vAlign w:val="bottom"/>
          </w:tcPr>
          <w:p>
            <w:pPr>
              <w:spacing w:after="0"/>
              <w:rPr>
                <w:sz w:val="1"/>
                <w:szCs w:val="1"/>
                <w:color w:val="auto"/>
              </w:rPr>
            </w:pPr>
          </w:p>
        </w:tc>
      </w:tr>
      <w:tr>
        <w:trPr>
          <w:trHeight w:val="182"/>
        </w:trPr>
        <w:tc>
          <w:tcPr>
            <w:tcW w:w="320" w:type="dxa"/>
            <w:vAlign w:val="bottom"/>
            <w:gridSpan w:val="2"/>
          </w:tcPr>
          <w:p>
            <w:pPr>
              <w:ind w:left="20"/>
              <w:spacing w:after="0" w:line="182" w:lineRule="exact"/>
              <w:rPr>
                <w:sz w:val="20"/>
                <w:szCs w:val="20"/>
                <w:color w:val="auto"/>
              </w:rPr>
            </w:pPr>
            <w:r>
              <w:rPr>
                <w:rFonts w:ascii="Arial" w:cs="Arial" w:eastAsia="Arial" w:hAnsi="Arial"/>
                <w:sz w:val="17"/>
                <w:szCs w:val="17"/>
                <w:color w:val="0000FF"/>
                <w:w w:val="84"/>
              </w:rPr>
              <w:t>32.</w:t>
            </w:r>
            <w:r>
              <w:rPr>
                <w:rFonts w:ascii="Arial" w:cs="Arial" w:eastAsia="Arial" w:hAnsi="Arial"/>
                <w:sz w:val="17"/>
                <w:szCs w:val="17"/>
                <w:u w:val="single" w:color="auto"/>
                <w:color w:val="0000FF"/>
                <w:w w:val="84"/>
              </w:rPr>
              <w:t>1</w:t>
            </w:r>
          </w:p>
        </w:tc>
        <w:tc>
          <w:tcPr>
            <w:tcW w:w="2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640" w:type="dxa"/>
            <w:vAlign w:val="bottom"/>
          </w:tcPr>
          <w:p>
            <w:pPr>
              <w:ind w:left="20"/>
              <w:spacing w:after="0" w:line="182" w:lineRule="exact"/>
              <w:rPr>
                <w:sz w:val="20"/>
                <w:szCs w:val="20"/>
                <w:color w:val="auto"/>
              </w:rPr>
            </w:pPr>
            <w:r>
              <w:rPr>
                <w:rFonts w:ascii="Arial" w:cs="Arial" w:eastAsia="Arial" w:hAnsi="Arial"/>
                <w:sz w:val="17"/>
                <w:szCs w:val="17"/>
                <w:color w:val="auto"/>
                <w:w w:val="93"/>
              </w:rPr>
              <w:t>Certification of Chief Executive Officer and Chief Financial Officer pursuant to 18 U.S.C. 1350, as adopted pursuant to Section 906 of the</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300" w:type="dxa"/>
            <w:vAlign w:val="bottom"/>
            <w:tcBorders>
              <w:top w:val="single" w:sz="8" w:color="0000FF"/>
            </w:tcBorders>
          </w:tcPr>
          <w:p>
            <w:pPr>
              <w:spacing w:after="0"/>
              <w:rPr>
                <w:sz w:val="17"/>
                <w:szCs w:val="17"/>
                <w:color w:val="auto"/>
              </w:rPr>
            </w:pPr>
          </w:p>
        </w:tc>
        <w:tc>
          <w:tcPr>
            <w:tcW w:w="2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640" w:type="dxa"/>
            <w:vAlign w:val="bottom"/>
          </w:tcPr>
          <w:p>
            <w:pPr>
              <w:ind w:left="20"/>
              <w:spacing w:after="0"/>
              <w:rPr>
                <w:sz w:val="20"/>
                <w:szCs w:val="20"/>
                <w:color w:val="auto"/>
              </w:rPr>
            </w:pPr>
            <w:r>
              <w:rPr>
                <w:rFonts w:ascii="Arial" w:cs="Arial" w:eastAsia="Arial" w:hAnsi="Arial"/>
                <w:sz w:val="17"/>
                <w:szCs w:val="17"/>
                <w:color w:val="auto"/>
              </w:rPr>
              <w:t>Sarbanes-Oxley Act of 2002</w:t>
            </w:r>
          </w:p>
        </w:tc>
        <w:tc>
          <w:tcPr>
            <w:tcW w:w="0" w:type="dxa"/>
            <w:vAlign w:val="bottom"/>
          </w:tcPr>
          <w:p>
            <w:pPr>
              <w:spacing w:after="0"/>
              <w:rPr>
                <w:sz w:val="1"/>
                <w:szCs w:val="1"/>
                <w:color w:val="auto"/>
              </w:rPr>
            </w:pPr>
          </w:p>
        </w:tc>
      </w:tr>
    </w:tbl>
    <w:p>
      <w:pPr>
        <w:ind w:left="1580" w:right="260" w:hanging="1559"/>
        <w:spacing w:after="0" w:line="257" w:lineRule="auto"/>
        <w:tabs>
          <w:tab w:leader="none" w:pos="1580" w:val="left"/>
        </w:tabs>
        <w:numPr>
          <w:ilvl w:val="0"/>
          <w:numId w:val="29"/>
        </w:numPr>
        <w:rPr>
          <w:rFonts w:ascii="Arial" w:cs="Arial" w:eastAsia="Arial" w:hAnsi="Arial"/>
          <w:sz w:val="15"/>
          <w:szCs w:val="15"/>
          <w:color w:val="auto"/>
        </w:rPr>
      </w:pPr>
      <w:r>
        <w:rPr>
          <w:rFonts w:ascii="Arial" w:cs="Arial" w:eastAsia="Arial" w:hAnsi="Arial"/>
          <w:sz w:val="15"/>
          <w:szCs w:val="15"/>
          <w:color w:val="auto"/>
        </w:rPr>
        <w:t>The following financial information from this Quarterly Report on Form 10-Q for the quarter ended June 30, 2023, formatted in Inline XBRL: (i) the Condensed Consolidated Balance Sheets (Unaudited); (ii) the Condensed Consolidated Statements of Comprehensive Income (Unaudited); (iii) the Condensed Consolidated Statements of Changes in Stockholders’ Equity (Unaudited); (iv) the Condensed Consolidated Statements of Cash Flows (Unaudited); and (v) the Notes to Condensed Consolidated Financial Statements (Unaudited).</w:t>
      </w:r>
    </w:p>
    <w:p>
      <w:pPr>
        <w:spacing w:after="0" w:line="2" w:lineRule="exact"/>
        <w:rPr>
          <w:rFonts w:ascii="Arial" w:cs="Arial" w:eastAsia="Arial" w:hAnsi="Arial"/>
          <w:sz w:val="15"/>
          <w:szCs w:val="15"/>
          <w:color w:val="auto"/>
        </w:rPr>
      </w:pPr>
    </w:p>
    <w:p>
      <w:pPr>
        <w:ind w:left="740"/>
        <w:spacing w:after="0"/>
        <w:rPr>
          <w:rFonts w:ascii="Arial" w:cs="Arial" w:eastAsia="Arial" w:hAnsi="Arial"/>
          <w:sz w:val="15"/>
          <w:szCs w:val="15"/>
          <w:color w:val="auto"/>
        </w:rPr>
      </w:pPr>
      <w:r>
        <w:rPr>
          <w:rFonts w:ascii="Arial" w:cs="Arial" w:eastAsia="Arial" w:hAnsi="Arial"/>
          <w:sz w:val="17"/>
          <w:szCs w:val="17"/>
          <w:color w:val="auto"/>
        </w:rPr>
        <w:t>*</w:t>
      </w:r>
      <w:r>
        <w:rPr>
          <w:rFonts w:ascii="Arial" w:cs="Arial" w:eastAsia="Arial" w:hAnsi="Arial"/>
          <w:sz w:val="15"/>
          <w:szCs w:val="15"/>
          <w:color w:val="auto"/>
        </w:rPr>
        <w:t>Management contract or compensatory plan or arrangement.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-132080</wp:posOffset>
            </wp:positionV>
            <wp:extent cx="98933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98933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68580</wp:posOffset>
            </wp:positionV>
            <wp:extent cx="7162800" cy="4191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00"/>
          </w:cols>
          <w:pgMar w:left="320" w:top="127" w:right="379" w:bottom="1440" w:gutter="0" w:footer="0" w:header="0"/>
        </w:sectPr>
      </w:pPr>
    </w:p>
    <w:bookmarkStart w:id="53" w:name="page54"/>
    <w:bookmarkEnd w:id="53"/>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338" w:lineRule="exact"/>
        <w:rPr>
          <w:sz w:val="20"/>
          <w:szCs w:val="20"/>
          <w:color w:val="auto"/>
        </w:rPr>
      </w:pPr>
    </w:p>
    <w:p>
      <w:pPr>
        <w:jc w:val="center"/>
        <w:ind w:right="-479"/>
        <w:spacing w:after="0"/>
        <w:rPr>
          <w:sz w:val="20"/>
          <w:szCs w:val="20"/>
          <w:color w:val="auto"/>
        </w:rPr>
      </w:pPr>
      <w:r>
        <w:rPr>
          <w:rFonts w:ascii="Arial" w:cs="Arial" w:eastAsia="Arial" w:hAnsi="Arial"/>
          <w:sz w:val="17"/>
          <w:szCs w:val="17"/>
          <w:b w:val="1"/>
          <w:bCs w:val="1"/>
          <w:color w:val="auto"/>
        </w:rPr>
        <w:t>SIGNATURES</w:t>
      </w:r>
    </w:p>
    <w:p>
      <w:pPr>
        <w:spacing w:after="0" w:line="226" w:lineRule="exact"/>
        <w:rPr>
          <w:sz w:val="20"/>
          <w:szCs w:val="20"/>
          <w:color w:val="auto"/>
        </w:rPr>
      </w:pPr>
    </w:p>
    <w:p>
      <w:pPr>
        <w:spacing w:after="0" w:line="285" w:lineRule="auto"/>
        <w:rPr>
          <w:sz w:val="20"/>
          <w:szCs w:val="20"/>
          <w:color w:val="auto"/>
        </w:rPr>
      </w:pPr>
      <w:r>
        <w:rPr>
          <w:rFonts w:ascii="Arial" w:cs="Arial" w:eastAsia="Arial" w:hAnsi="Arial"/>
          <w:sz w:val="17"/>
          <w:szCs w:val="17"/>
          <w:color w:val="auto"/>
        </w:rPr>
        <w:t>Pursuant to the requirements of the Securities Exchange Act of 1934, the registrant has duly caused this report to be signed on its behalf by the undersigned thereunto duly authorized, on the date indicated.</w:t>
      </w:r>
    </w:p>
    <w:p>
      <w:pPr>
        <w:spacing w:after="0" w:line="283" w:lineRule="exact"/>
        <w:rPr>
          <w:sz w:val="20"/>
          <w:szCs w:val="20"/>
          <w:color w:val="auto"/>
        </w:rPr>
      </w:pPr>
    </w:p>
    <w:p>
      <w:pPr>
        <w:ind w:left="5360"/>
        <w:spacing w:after="0"/>
        <w:rPr>
          <w:sz w:val="20"/>
          <w:szCs w:val="20"/>
          <w:color w:val="auto"/>
        </w:rPr>
      </w:pPr>
      <w:r>
        <w:rPr>
          <w:rFonts w:ascii="Arial" w:cs="Arial" w:eastAsia="Arial" w:hAnsi="Arial"/>
          <w:sz w:val="17"/>
          <w:szCs w:val="17"/>
          <w:b w:val="1"/>
          <w:bCs w:val="1"/>
          <w:color w:val="auto"/>
        </w:rPr>
        <w:t>ESSENT GROUP LTD.</w:t>
      </w:r>
    </w:p>
    <w:p>
      <w:pPr>
        <w:spacing w:after="0" w:line="200" w:lineRule="exact"/>
        <w:rPr>
          <w:sz w:val="20"/>
          <w:szCs w:val="20"/>
          <w:color w:val="auto"/>
        </w:rPr>
      </w:pPr>
    </w:p>
    <w:p>
      <w:pPr>
        <w:spacing w:after="0" w:line="285" w:lineRule="exact"/>
        <w:rPr>
          <w:sz w:val="20"/>
          <w:szCs w:val="20"/>
          <w:color w:val="auto"/>
        </w:rPr>
      </w:pPr>
    </w:p>
    <w:p>
      <w:pPr>
        <w:ind w:left="20"/>
        <w:spacing w:after="0"/>
        <w:tabs>
          <w:tab w:leader="none" w:pos="5340" w:val="left"/>
        </w:tabs>
        <w:rPr>
          <w:sz w:val="20"/>
          <w:szCs w:val="20"/>
          <w:color w:val="auto"/>
        </w:rPr>
      </w:pPr>
      <w:r>
        <w:rPr>
          <w:rFonts w:ascii="Arial" w:cs="Arial" w:eastAsia="Arial" w:hAnsi="Arial"/>
          <w:sz w:val="17"/>
          <w:szCs w:val="17"/>
          <w:color w:val="auto"/>
        </w:rPr>
        <w:t>Date: August 7, 2023</w:t>
      </w:r>
      <w:r>
        <w:rPr>
          <w:sz w:val="20"/>
          <w:szCs w:val="20"/>
          <w:color w:val="auto"/>
        </w:rPr>
        <w:tab/>
      </w:r>
      <w:r>
        <w:rPr>
          <w:rFonts w:ascii="Arial" w:cs="Arial" w:eastAsia="Arial" w:hAnsi="Arial"/>
          <w:sz w:val="16"/>
          <w:szCs w:val="16"/>
          <w:color w:val="auto"/>
        </w:rPr>
        <w:t>/s/ MARK A. CASALE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3397885</wp:posOffset>
            </wp:positionH>
            <wp:positionV relativeFrom="paragraph">
              <wp:posOffset>15875</wp:posOffset>
            </wp:positionV>
            <wp:extent cx="2967355"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2967355" cy="8255"/>
                    </a:xfrm>
                    <a:prstGeom prst="rect">
                      <a:avLst/>
                    </a:prstGeom>
                    <a:noFill/>
                  </pic:spPr>
                </pic:pic>
              </a:graphicData>
            </a:graphic>
          </wp:anchor>
        </w:drawing>
      </w:r>
    </w:p>
    <w:p>
      <w:pPr>
        <w:spacing w:after="0" w:line="18" w:lineRule="exact"/>
        <w:rPr>
          <w:sz w:val="20"/>
          <w:szCs w:val="20"/>
          <w:color w:val="auto"/>
        </w:rPr>
      </w:pPr>
    </w:p>
    <w:p>
      <w:pPr>
        <w:ind w:left="5360"/>
        <w:spacing w:after="0"/>
        <w:rPr>
          <w:sz w:val="20"/>
          <w:szCs w:val="20"/>
          <w:color w:val="auto"/>
        </w:rPr>
      </w:pPr>
      <w:r>
        <w:rPr>
          <w:rFonts w:ascii="Arial" w:cs="Arial" w:eastAsia="Arial" w:hAnsi="Arial"/>
          <w:sz w:val="17"/>
          <w:szCs w:val="17"/>
          <w:color w:val="auto"/>
        </w:rPr>
        <w:t>Mark A. Casale</w:t>
      </w:r>
    </w:p>
    <w:p>
      <w:pPr>
        <w:spacing w:after="0" w:line="25" w:lineRule="exact"/>
        <w:rPr>
          <w:sz w:val="20"/>
          <w:szCs w:val="20"/>
          <w:color w:val="auto"/>
        </w:rPr>
      </w:pPr>
    </w:p>
    <w:p>
      <w:pPr>
        <w:ind w:left="5360"/>
        <w:spacing w:after="0"/>
        <w:rPr>
          <w:sz w:val="20"/>
          <w:szCs w:val="20"/>
          <w:color w:val="auto"/>
        </w:rPr>
      </w:pPr>
      <w:r>
        <w:rPr>
          <w:rFonts w:ascii="Arial" w:cs="Arial" w:eastAsia="Arial" w:hAnsi="Arial"/>
          <w:sz w:val="17"/>
          <w:szCs w:val="17"/>
          <w:color w:val="auto"/>
        </w:rPr>
        <w:t>President, Chief Executive Officer and Chairman</w:t>
      </w:r>
    </w:p>
    <w:p>
      <w:pPr>
        <w:ind w:left="5360"/>
        <w:spacing w:after="0"/>
        <w:rPr>
          <w:sz w:val="20"/>
          <w:szCs w:val="20"/>
          <w:color w:val="auto"/>
        </w:rPr>
      </w:pPr>
      <w:r>
        <w:rPr>
          <w:rFonts w:ascii="Arial" w:cs="Arial" w:eastAsia="Arial" w:hAnsi="Arial"/>
          <w:sz w:val="17"/>
          <w:szCs w:val="17"/>
          <w:color w:val="auto"/>
        </w:rPr>
        <w:t>(Principal Executive Officer)</w:t>
      </w:r>
    </w:p>
    <w:p>
      <w:pPr>
        <w:spacing w:after="0" w:line="200" w:lineRule="exact"/>
        <w:rPr>
          <w:sz w:val="20"/>
          <w:szCs w:val="20"/>
          <w:color w:val="auto"/>
        </w:rPr>
      </w:pPr>
    </w:p>
    <w:p>
      <w:pPr>
        <w:spacing w:after="0" w:line="265" w:lineRule="exact"/>
        <w:rPr>
          <w:sz w:val="20"/>
          <w:szCs w:val="20"/>
          <w:color w:val="auto"/>
        </w:rPr>
      </w:pPr>
    </w:p>
    <w:p>
      <w:pPr>
        <w:ind w:left="20"/>
        <w:spacing w:after="0"/>
        <w:tabs>
          <w:tab w:leader="none" w:pos="5340" w:val="left"/>
        </w:tabs>
        <w:rPr>
          <w:sz w:val="20"/>
          <w:szCs w:val="20"/>
          <w:color w:val="auto"/>
        </w:rPr>
      </w:pPr>
      <w:r>
        <w:rPr>
          <w:rFonts w:ascii="Arial" w:cs="Arial" w:eastAsia="Arial" w:hAnsi="Arial"/>
          <w:sz w:val="17"/>
          <w:szCs w:val="17"/>
          <w:color w:val="auto"/>
        </w:rPr>
        <w:t>Date: August 7, 2023</w:t>
      </w:r>
      <w:r>
        <w:rPr>
          <w:sz w:val="20"/>
          <w:szCs w:val="20"/>
          <w:color w:val="auto"/>
        </w:rPr>
        <w:tab/>
      </w:r>
      <w:r>
        <w:rPr>
          <w:rFonts w:ascii="Arial" w:cs="Arial" w:eastAsia="Arial" w:hAnsi="Arial"/>
          <w:sz w:val="16"/>
          <w:szCs w:val="16"/>
          <w:color w:val="auto"/>
        </w:rPr>
        <w:t>/s/ DAVID B. WEINSTOCK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3397885</wp:posOffset>
            </wp:positionH>
            <wp:positionV relativeFrom="paragraph">
              <wp:posOffset>15875</wp:posOffset>
            </wp:positionV>
            <wp:extent cx="2967355"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2967355" cy="8255"/>
                    </a:xfrm>
                    <a:prstGeom prst="rect">
                      <a:avLst/>
                    </a:prstGeom>
                    <a:noFill/>
                  </pic:spPr>
                </pic:pic>
              </a:graphicData>
            </a:graphic>
          </wp:anchor>
        </w:drawing>
      </w:r>
    </w:p>
    <w:p>
      <w:pPr>
        <w:spacing w:after="0" w:line="18" w:lineRule="exact"/>
        <w:rPr>
          <w:sz w:val="20"/>
          <w:szCs w:val="20"/>
          <w:color w:val="auto"/>
        </w:rPr>
      </w:pPr>
    </w:p>
    <w:p>
      <w:pPr>
        <w:ind w:left="5360"/>
        <w:spacing w:after="0"/>
        <w:rPr>
          <w:sz w:val="20"/>
          <w:szCs w:val="20"/>
          <w:color w:val="auto"/>
        </w:rPr>
      </w:pPr>
      <w:r>
        <w:rPr>
          <w:rFonts w:ascii="Arial" w:cs="Arial" w:eastAsia="Arial" w:hAnsi="Arial"/>
          <w:sz w:val="17"/>
          <w:szCs w:val="17"/>
          <w:color w:val="auto"/>
        </w:rPr>
        <w:t>David B. Weinstock</w:t>
      </w:r>
    </w:p>
    <w:p>
      <w:pPr>
        <w:spacing w:after="0" w:line="25" w:lineRule="exact"/>
        <w:rPr>
          <w:sz w:val="20"/>
          <w:szCs w:val="20"/>
          <w:color w:val="auto"/>
        </w:rPr>
      </w:pPr>
    </w:p>
    <w:p>
      <w:pPr>
        <w:ind w:left="5360"/>
        <w:spacing w:after="0"/>
        <w:rPr>
          <w:sz w:val="20"/>
          <w:szCs w:val="20"/>
          <w:color w:val="auto"/>
        </w:rPr>
      </w:pPr>
      <w:r>
        <w:rPr>
          <w:rFonts w:ascii="Arial" w:cs="Arial" w:eastAsia="Arial" w:hAnsi="Arial"/>
          <w:sz w:val="17"/>
          <w:szCs w:val="17"/>
          <w:color w:val="auto"/>
        </w:rPr>
        <w:t>Senior Vice President and Chief Financial Officer</w:t>
      </w:r>
    </w:p>
    <w:p>
      <w:pPr>
        <w:ind w:left="5360"/>
        <w:spacing w:after="0"/>
        <w:rPr>
          <w:sz w:val="20"/>
          <w:szCs w:val="20"/>
          <w:color w:val="auto"/>
        </w:rPr>
      </w:pPr>
      <w:r>
        <w:rPr>
          <w:rFonts w:ascii="Arial" w:cs="Arial" w:eastAsia="Arial" w:hAnsi="Arial"/>
          <w:sz w:val="17"/>
          <w:szCs w:val="17"/>
          <w:color w:val="auto"/>
        </w:rPr>
        <w:t>(Principal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479"/>
        <w:spacing w:after="0"/>
        <w:rPr>
          <w:sz w:val="20"/>
          <w:szCs w:val="20"/>
          <w:color w:val="auto"/>
        </w:rPr>
      </w:pPr>
      <w:r>
        <w:rPr>
          <w:rFonts w:ascii="Arial" w:cs="Arial" w:eastAsia="Arial" w:hAnsi="Arial"/>
          <w:sz w:val="17"/>
          <w:szCs w:val="17"/>
          <w:color w:val="auto"/>
        </w:rPr>
        <w:t>50</w:t>
      </w:r>
    </w:p>
    <w:p>
      <w:pPr>
        <w:sectPr>
          <w:pgSz w:w="11900" w:h="16838" w:orient="portrait"/>
          <w:cols w:equalWidth="0" w:num="1">
            <w:col w:w="10760"/>
          </w:cols>
          <w:pgMar w:left="320" w:top="127" w:right="819" w:bottom="1440" w:gutter="0" w:footer="0" w:header="0"/>
        </w:sectPr>
      </w:pPr>
    </w:p>
    <w:bookmarkStart w:id="54" w:name="page55"/>
    <w:bookmarkEnd w:id="54"/>
    <w:p>
      <w:pPr>
        <w:jc w:val="right"/>
        <w:spacing w:after="0"/>
        <w:rPr>
          <w:sz w:val="20"/>
          <w:szCs w:val="20"/>
          <w:color w:val="auto"/>
        </w:rPr>
      </w:pPr>
      <w:r>
        <w:rPr>
          <w:rFonts w:ascii="Arial" w:cs="Arial" w:eastAsia="Arial" w:hAnsi="Arial"/>
          <w:sz w:val="17"/>
          <w:szCs w:val="17"/>
          <w:b w:val="1"/>
          <w:bCs w:val="1"/>
          <w:color w:val="auto"/>
        </w:rPr>
        <w:t>Exhibit 31.1</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w:t>
      </w:r>
    </w:p>
    <w:p>
      <w:pPr>
        <w:spacing w:after="0" w:line="226" w:lineRule="exact"/>
        <w:rPr>
          <w:sz w:val="20"/>
          <w:szCs w:val="20"/>
          <w:color w:val="auto"/>
        </w:rPr>
      </w:pPr>
    </w:p>
    <w:p>
      <w:pPr>
        <w:spacing w:after="0"/>
        <w:rPr>
          <w:sz w:val="20"/>
          <w:szCs w:val="20"/>
          <w:color w:val="auto"/>
        </w:rPr>
      </w:pPr>
      <w:r>
        <w:rPr>
          <w:rFonts w:ascii="Arial" w:cs="Arial" w:eastAsia="Arial" w:hAnsi="Arial"/>
          <w:sz w:val="17"/>
          <w:szCs w:val="17"/>
          <w:color w:val="auto"/>
        </w:rPr>
        <w:t>I, Mark A. Casale, certify that:</w:t>
      </w:r>
    </w:p>
    <w:p>
      <w:pPr>
        <w:spacing w:after="0" w:line="220" w:lineRule="exact"/>
        <w:rPr>
          <w:sz w:val="20"/>
          <w:szCs w:val="20"/>
          <w:color w:val="auto"/>
        </w:rPr>
      </w:pPr>
    </w:p>
    <w:p>
      <w:pPr>
        <w:ind w:left="540" w:hanging="536"/>
        <w:spacing w:after="0"/>
        <w:tabs>
          <w:tab w:leader="none" w:pos="540" w:val="left"/>
        </w:tabs>
        <w:numPr>
          <w:ilvl w:val="0"/>
          <w:numId w:val="30"/>
        </w:numPr>
        <w:rPr>
          <w:rFonts w:ascii="Arial" w:cs="Arial" w:eastAsia="Arial" w:hAnsi="Arial"/>
          <w:sz w:val="17"/>
          <w:szCs w:val="17"/>
          <w:color w:val="auto"/>
        </w:rPr>
      </w:pPr>
      <w:r>
        <w:rPr>
          <w:rFonts w:ascii="Arial" w:cs="Arial" w:eastAsia="Arial" w:hAnsi="Arial"/>
          <w:sz w:val="17"/>
          <w:szCs w:val="17"/>
          <w:color w:val="auto"/>
        </w:rPr>
        <w:t>I have reviewed this quarterly report on Form 10-Q of Essent Group Ltd.;</w:t>
      </w:r>
    </w:p>
    <w:p>
      <w:pPr>
        <w:spacing w:after="0" w:line="219" w:lineRule="exact"/>
        <w:rPr>
          <w:rFonts w:ascii="Arial" w:cs="Arial" w:eastAsia="Arial" w:hAnsi="Arial"/>
          <w:sz w:val="17"/>
          <w:szCs w:val="17"/>
          <w:color w:val="auto"/>
        </w:rPr>
      </w:pPr>
    </w:p>
    <w:p>
      <w:pPr>
        <w:jc w:val="both"/>
        <w:ind w:right="680" w:firstLine="4"/>
        <w:spacing w:after="0" w:line="355" w:lineRule="auto"/>
        <w:tabs>
          <w:tab w:leader="none" w:pos="498" w:val="left"/>
        </w:tabs>
        <w:numPr>
          <w:ilvl w:val="0"/>
          <w:numId w:val="30"/>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2" w:lineRule="exact"/>
        <w:rPr>
          <w:rFonts w:ascii="Arial" w:cs="Arial" w:eastAsia="Arial" w:hAnsi="Arial"/>
          <w:sz w:val="15"/>
          <w:szCs w:val="15"/>
          <w:color w:val="auto"/>
        </w:rPr>
      </w:pPr>
    </w:p>
    <w:p>
      <w:pPr>
        <w:ind w:right="640" w:firstLine="4"/>
        <w:spacing w:after="0" w:line="285" w:lineRule="auto"/>
        <w:tabs>
          <w:tab w:leader="none" w:pos="498" w:val="left"/>
        </w:tabs>
        <w:numPr>
          <w:ilvl w:val="0"/>
          <w:numId w:val="3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8" w:lineRule="exact"/>
        <w:rPr>
          <w:rFonts w:ascii="Arial" w:cs="Arial" w:eastAsia="Arial" w:hAnsi="Arial"/>
          <w:sz w:val="17"/>
          <w:szCs w:val="17"/>
          <w:color w:val="auto"/>
        </w:rPr>
      </w:pPr>
    </w:p>
    <w:p>
      <w:pPr>
        <w:ind w:firstLine="4"/>
        <w:spacing w:after="0" w:line="270" w:lineRule="auto"/>
        <w:tabs>
          <w:tab w:leader="none" w:pos="494" w:val="left"/>
        </w:tabs>
        <w:numPr>
          <w:ilvl w:val="0"/>
          <w:numId w:val="30"/>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0" w:lineRule="exact"/>
        <w:rPr>
          <w:rFonts w:ascii="Arial" w:cs="Arial" w:eastAsia="Arial" w:hAnsi="Arial"/>
          <w:sz w:val="17"/>
          <w:szCs w:val="17"/>
          <w:color w:val="auto"/>
        </w:rPr>
      </w:pPr>
    </w:p>
    <w:p>
      <w:pPr>
        <w:ind w:right="80" w:firstLine="471"/>
        <w:spacing w:after="0" w:line="270" w:lineRule="auto"/>
        <w:tabs>
          <w:tab w:leader="none" w:pos="962" w:val="left"/>
        </w:tabs>
        <w:numPr>
          <w:ilvl w:val="1"/>
          <w:numId w:val="30"/>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0" w:lineRule="exact"/>
        <w:rPr>
          <w:rFonts w:ascii="Arial" w:cs="Arial" w:eastAsia="Arial" w:hAnsi="Arial"/>
          <w:sz w:val="17"/>
          <w:szCs w:val="17"/>
          <w:color w:val="auto"/>
        </w:rPr>
      </w:pPr>
    </w:p>
    <w:p>
      <w:pPr>
        <w:ind w:right="280" w:firstLine="471"/>
        <w:spacing w:after="0" w:line="270" w:lineRule="auto"/>
        <w:tabs>
          <w:tab w:leader="none" w:pos="972" w:val="left"/>
        </w:tabs>
        <w:numPr>
          <w:ilvl w:val="1"/>
          <w:numId w:val="30"/>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0" w:lineRule="exact"/>
        <w:rPr>
          <w:rFonts w:ascii="Arial" w:cs="Arial" w:eastAsia="Arial" w:hAnsi="Arial"/>
          <w:sz w:val="17"/>
          <w:szCs w:val="17"/>
          <w:color w:val="auto"/>
        </w:rPr>
      </w:pPr>
    </w:p>
    <w:p>
      <w:pPr>
        <w:ind w:right="940" w:firstLine="471"/>
        <w:spacing w:after="0" w:line="355" w:lineRule="auto"/>
        <w:tabs>
          <w:tab w:leader="none" w:pos="975" w:val="left"/>
        </w:tabs>
        <w:numPr>
          <w:ilvl w:val="1"/>
          <w:numId w:val="30"/>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2" w:lineRule="exact"/>
        <w:rPr>
          <w:rFonts w:ascii="Arial" w:cs="Arial" w:eastAsia="Arial" w:hAnsi="Arial"/>
          <w:sz w:val="15"/>
          <w:szCs w:val="15"/>
          <w:color w:val="auto"/>
        </w:rPr>
      </w:pPr>
    </w:p>
    <w:p>
      <w:pPr>
        <w:jc w:val="both"/>
        <w:ind w:right="20" w:firstLine="471"/>
        <w:spacing w:after="0" w:line="270" w:lineRule="auto"/>
        <w:tabs>
          <w:tab w:leader="none" w:pos="972" w:val="left"/>
        </w:tabs>
        <w:numPr>
          <w:ilvl w:val="1"/>
          <w:numId w:val="30"/>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0" w:lineRule="exact"/>
        <w:rPr>
          <w:rFonts w:ascii="Arial" w:cs="Arial" w:eastAsia="Arial" w:hAnsi="Arial"/>
          <w:sz w:val="17"/>
          <w:szCs w:val="17"/>
          <w:color w:val="auto"/>
        </w:rPr>
      </w:pPr>
    </w:p>
    <w:p>
      <w:pPr>
        <w:ind w:right="540" w:firstLine="4"/>
        <w:spacing w:after="0" w:line="318" w:lineRule="auto"/>
        <w:tabs>
          <w:tab w:leader="none" w:pos="520" w:val="left"/>
        </w:tabs>
        <w:numPr>
          <w:ilvl w:val="0"/>
          <w:numId w:val="30"/>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5" w:lineRule="exact"/>
        <w:rPr>
          <w:rFonts w:ascii="Arial" w:cs="Arial" w:eastAsia="Arial" w:hAnsi="Arial"/>
          <w:sz w:val="16"/>
          <w:szCs w:val="16"/>
          <w:color w:val="auto"/>
        </w:rPr>
      </w:pPr>
    </w:p>
    <w:p>
      <w:pPr>
        <w:ind w:right="400" w:firstLine="471"/>
        <w:spacing w:after="0" w:line="285" w:lineRule="auto"/>
        <w:tabs>
          <w:tab w:leader="none" w:pos="975" w:val="left"/>
        </w:tabs>
        <w:numPr>
          <w:ilvl w:val="1"/>
          <w:numId w:val="30"/>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8" w:lineRule="exact"/>
        <w:rPr>
          <w:rFonts w:ascii="Arial" w:cs="Arial" w:eastAsia="Arial" w:hAnsi="Arial"/>
          <w:sz w:val="17"/>
          <w:szCs w:val="17"/>
          <w:color w:val="auto"/>
        </w:rPr>
      </w:pPr>
    </w:p>
    <w:p>
      <w:pPr>
        <w:ind w:firstLine="471"/>
        <w:spacing w:after="0" w:line="285" w:lineRule="auto"/>
        <w:tabs>
          <w:tab w:leader="none" w:pos="985" w:val="left"/>
        </w:tabs>
        <w:numPr>
          <w:ilvl w:val="1"/>
          <w:numId w:val="30"/>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185" w:lineRule="exact"/>
        <w:rPr>
          <w:sz w:val="20"/>
          <w:szCs w:val="20"/>
          <w:color w:val="auto"/>
        </w:rPr>
      </w:pPr>
    </w:p>
    <w:p>
      <w:pPr>
        <w:spacing w:after="0"/>
        <w:rPr>
          <w:sz w:val="20"/>
          <w:szCs w:val="20"/>
          <w:color w:val="auto"/>
        </w:rPr>
      </w:pPr>
      <w:r>
        <w:rPr>
          <w:rFonts w:ascii="Arial" w:cs="Arial" w:eastAsia="Arial" w:hAnsi="Arial"/>
          <w:sz w:val="17"/>
          <w:szCs w:val="17"/>
          <w:color w:val="auto"/>
        </w:rPr>
        <w:t>Date: August 7, 2023</w:t>
      </w:r>
    </w:p>
    <w:p>
      <w:pPr>
        <w:spacing w:after="0" w:line="51" w:lineRule="exact"/>
        <w:rPr>
          <w:sz w:val="20"/>
          <w:szCs w:val="20"/>
          <w:color w:val="auto"/>
        </w:rPr>
      </w:pPr>
    </w:p>
    <w:p>
      <w:pPr>
        <w:ind w:left="20"/>
        <w:spacing w:after="0"/>
        <w:rPr>
          <w:sz w:val="20"/>
          <w:szCs w:val="20"/>
          <w:color w:val="auto"/>
        </w:rPr>
      </w:pPr>
      <w:r>
        <w:rPr>
          <w:rFonts w:ascii="Arial" w:cs="Arial" w:eastAsia="Arial" w:hAnsi="Arial"/>
          <w:sz w:val="17"/>
          <w:szCs w:val="17"/>
          <w:color w:val="auto"/>
        </w:rPr>
        <w:t>/s/ MARK A. CASALE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15875</wp:posOffset>
            </wp:positionV>
            <wp:extent cx="4145915"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4145915" cy="8255"/>
                    </a:xfrm>
                    <a:prstGeom prst="rect">
                      <a:avLst/>
                    </a:prstGeom>
                    <a:noFill/>
                  </pic:spPr>
                </pic:pic>
              </a:graphicData>
            </a:graphic>
          </wp:anchor>
        </w:drawing>
      </w:r>
    </w:p>
    <w:p>
      <w:pPr>
        <w:spacing w:after="0" w:line="18" w:lineRule="exact"/>
        <w:rPr>
          <w:sz w:val="20"/>
          <w:szCs w:val="20"/>
          <w:color w:val="auto"/>
        </w:rPr>
      </w:pPr>
    </w:p>
    <w:p>
      <w:pPr>
        <w:ind w:left="20"/>
        <w:spacing w:after="0"/>
        <w:rPr>
          <w:sz w:val="20"/>
          <w:szCs w:val="20"/>
          <w:color w:val="auto"/>
        </w:rPr>
      </w:pPr>
      <w:r>
        <w:rPr>
          <w:rFonts w:ascii="Arial" w:cs="Arial" w:eastAsia="Arial" w:hAnsi="Arial"/>
          <w:sz w:val="17"/>
          <w:szCs w:val="17"/>
          <w:color w:val="auto"/>
        </w:rPr>
        <w:t>Mark A. Casale</w:t>
      </w:r>
    </w:p>
    <w:p>
      <w:pPr>
        <w:spacing w:after="0" w:line="38" w:lineRule="exact"/>
        <w:rPr>
          <w:sz w:val="20"/>
          <w:szCs w:val="20"/>
          <w:color w:val="auto"/>
        </w:rPr>
      </w:pPr>
    </w:p>
    <w:p>
      <w:pPr>
        <w:ind w:left="20"/>
        <w:spacing w:after="0"/>
        <w:rPr>
          <w:sz w:val="20"/>
          <w:szCs w:val="20"/>
          <w:color w:val="auto"/>
        </w:rPr>
      </w:pPr>
      <w:r>
        <w:rPr>
          <w:rFonts w:ascii="Arial" w:cs="Arial" w:eastAsia="Arial" w:hAnsi="Arial"/>
          <w:sz w:val="17"/>
          <w:szCs w:val="17"/>
          <w:color w:val="auto"/>
        </w:rPr>
        <w:t>President, Chief Executive Officer and Chairman</w:t>
      </w:r>
    </w:p>
    <w:p>
      <w:pPr>
        <w:spacing w:after="0" w:line="25" w:lineRule="exact"/>
        <w:rPr>
          <w:sz w:val="20"/>
          <w:szCs w:val="20"/>
          <w:color w:val="auto"/>
        </w:rPr>
      </w:pPr>
    </w:p>
    <w:p>
      <w:pPr>
        <w:ind w:left="20"/>
        <w:spacing w:after="0"/>
        <w:rPr>
          <w:sz w:val="20"/>
          <w:szCs w:val="20"/>
          <w:color w:val="auto"/>
        </w:rPr>
      </w:pPr>
      <w:r>
        <w:rPr>
          <w:rFonts w:ascii="Arial" w:cs="Arial" w:eastAsia="Arial" w:hAnsi="Arial"/>
          <w:sz w:val="17"/>
          <w:szCs w:val="17"/>
          <w:color w:val="auto"/>
        </w:rPr>
        <w:t>(Principal Executive Officer)</w:t>
      </w:r>
    </w:p>
    <w:p>
      <w:pPr>
        <w:sectPr>
          <w:pgSz w:w="11900" w:h="16838" w:orient="portrait"/>
          <w:cols w:equalWidth="0" w:num="1">
            <w:col w:w="11240"/>
          </w:cols>
          <w:pgMar w:left="320" w:top="861" w:right="339" w:bottom="1440" w:gutter="0" w:footer="0" w:header="0"/>
        </w:sectPr>
      </w:pPr>
    </w:p>
    <w:bookmarkStart w:id="55" w:name="page56"/>
    <w:bookmarkEnd w:id="55"/>
    <w:p>
      <w:pPr>
        <w:jc w:val="right"/>
        <w:spacing w:after="0"/>
        <w:rPr>
          <w:sz w:val="20"/>
          <w:szCs w:val="20"/>
          <w:color w:val="auto"/>
        </w:rPr>
      </w:pPr>
      <w:r>
        <w:rPr>
          <w:rFonts w:ascii="Arial" w:cs="Arial" w:eastAsia="Arial" w:hAnsi="Arial"/>
          <w:sz w:val="17"/>
          <w:szCs w:val="17"/>
          <w:b w:val="1"/>
          <w:bCs w:val="1"/>
          <w:color w:val="auto"/>
        </w:rPr>
        <w:t>Exhibit 31.2</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w:t>
      </w:r>
    </w:p>
    <w:p>
      <w:pPr>
        <w:spacing w:after="0" w:line="226" w:lineRule="exact"/>
        <w:rPr>
          <w:sz w:val="20"/>
          <w:szCs w:val="20"/>
          <w:color w:val="auto"/>
        </w:rPr>
      </w:pPr>
    </w:p>
    <w:p>
      <w:pPr>
        <w:spacing w:after="0"/>
        <w:rPr>
          <w:sz w:val="20"/>
          <w:szCs w:val="20"/>
          <w:color w:val="auto"/>
        </w:rPr>
      </w:pPr>
      <w:r>
        <w:rPr>
          <w:rFonts w:ascii="Arial" w:cs="Arial" w:eastAsia="Arial" w:hAnsi="Arial"/>
          <w:sz w:val="17"/>
          <w:szCs w:val="17"/>
          <w:color w:val="auto"/>
        </w:rPr>
        <w:t>I, David B. Weinstock, certify that:</w:t>
      </w:r>
    </w:p>
    <w:p>
      <w:pPr>
        <w:spacing w:after="0" w:line="220" w:lineRule="exact"/>
        <w:rPr>
          <w:sz w:val="20"/>
          <w:szCs w:val="20"/>
          <w:color w:val="auto"/>
        </w:rPr>
      </w:pPr>
    </w:p>
    <w:p>
      <w:pPr>
        <w:ind w:left="540" w:hanging="536"/>
        <w:spacing w:after="0"/>
        <w:tabs>
          <w:tab w:leader="none" w:pos="540" w:val="left"/>
        </w:tabs>
        <w:numPr>
          <w:ilvl w:val="0"/>
          <w:numId w:val="31"/>
        </w:numPr>
        <w:rPr>
          <w:rFonts w:ascii="Arial" w:cs="Arial" w:eastAsia="Arial" w:hAnsi="Arial"/>
          <w:sz w:val="17"/>
          <w:szCs w:val="17"/>
          <w:color w:val="auto"/>
        </w:rPr>
      </w:pPr>
      <w:r>
        <w:rPr>
          <w:rFonts w:ascii="Arial" w:cs="Arial" w:eastAsia="Arial" w:hAnsi="Arial"/>
          <w:sz w:val="17"/>
          <w:szCs w:val="17"/>
          <w:color w:val="auto"/>
        </w:rPr>
        <w:t>I have reviewed this quarterly report on Form 10-Q of Essent Group Ltd.;</w:t>
      </w:r>
    </w:p>
    <w:p>
      <w:pPr>
        <w:spacing w:after="0" w:line="219" w:lineRule="exact"/>
        <w:rPr>
          <w:rFonts w:ascii="Arial" w:cs="Arial" w:eastAsia="Arial" w:hAnsi="Arial"/>
          <w:sz w:val="17"/>
          <w:szCs w:val="17"/>
          <w:color w:val="auto"/>
        </w:rPr>
      </w:pPr>
    </w:p>
    <w:p>
      <w:pPr>
        <w:jc w:val="both"/>
        <w:ind w:right="680" w:firstLine="4"/>
        <w:spacing w:after="0" w:line="355" w:lineRule="auto"/>
        <w:tabs>
          <w:tab w:leader="none" w:pos="498" w:val="left"/>
        </w:tabs>
        <w:numPr>
          <w:ilvl w:val="0"/>
          <w:numId w:val="31"/>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2" w:lineRule="exact"/>
        <w:rPr>
          <w:rFonts w:ascii="Arial" w:cs="Arial" w:eastAsia="Arial" w:hAnsi="Arial"/>
          <w:sz w:val="15"/>
          <w:szCs w:val="15"/>
          <w:color w:val="auto"/>
        </w:rPr>
      </w:pPr>
    </w:p>
    <w:p>
      <w:pPr>
        <w:ind w:right="640" w:firstLine="4"/>
        <w:spacing w:after="0" w:line="285" w:lineRule="auto"/>
        <w:tabs>
          <w:tab w:leader="none" w:pos="498" w:val="left"/>
        </w:tabs>
        <w:numPr>
          <w:ilvl w:val="0"/>
          <w:numId w:val="3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8" w:lineRule="exact"/>
        <w:rPr>
          <w:rFonts w:ascii="Arial" w:cs="Arial" w:eastAsia="Arial" w:hAnsi="Arial"/>
          <w:sz w:val="17"/>
          <w:szCs w:val="17"/>
          <w:color w:val="auto"/>
        </w:rPr>
      </w:pPr>
    </w:p>
    <w:p>
      <w:pPr>
        <w:ind w:firstLine="4"/>
        <w:spacing w:after="0" w:line="270" w:lineRule="auto"/>
        <w:tabs>
          <w:tab w:leader="none" w:pos="494" w:val="left"/>
        </w:tabs>
        <w:numPr>
          <w:ilvl w:val="0"/>
          <w:numId w:val="31"/>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0" w:lineRule="exact"/>
        <w:rPr>
          <w:rFonts w:ascii="Arial" w:cs="Arial" w:eastAsia="Arial" w:hAnsi="Arial"/>
          <w:sz w:val="17"/>
          <w:szCs w:val="17"/>
          <w:color w:val="auto"/>
        </w:rPr>
      </w:pPr>
    </w:p>
    <w:p>
      <w:pPr>
        <w:ind w:right="80" w:firstLine="471"/>
        <w:spacing w:after="0" w:line="270" w:lineRule="auto"/>
        <w:tabs>
          <w:tab w:leader="none" w:pos="962" w:val="left"/>
        </w:tabs>
        <w:numPr>
          <w:ilvl w:val="1"/>
          <w:numId w:val="31"/>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0" w:lineRule="exact"/>
        <w:rPr>
          <w:rFonts w:ascii="Arial" w:cs="Arial" w:eastAsia="Arial" w:hAnsi="Arial"/>
          <w:sz w:val="17"/>
          <w:szCs w:val="17"/>
          <w:color w:val="auto"/>
        </w:rPr>
      </w:pPr>
    </w:p>
    <w:p>
      <w:pPr>
        <w:ind w:right="280" w:firstLine="471"/>
        <w:spacing w:after="0" w:line="270" w:lineRule="auto"/>
        <w:tabs>
          <w:tab w:leader="none" w:pos="972" w:val="left"/>
        </w:tabs>
        <w:numPr>
          <w:ilvl w:val="1"/>
          <w:numId w:val="31"/>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0" w:lineRule="exact"/>
        <w:rPr>
          <w:rFonts w:ascii="Arial" w:cs="Arial" w:eastAsia="Arial" w:hAnsi="Arial"/>
          <w:sz w:val="17"/>
          <w:szCs w:val="17"/>
          <w:color w:val="auto"/>
        </w:rPr>
      </w:pPr>
    </w:p>
    <w:p>
      <w:pPr>
        <w:ind w:right="940" w:firstLine="471"/>
        <w:spacing w:after="0" w:line="355" w:lineRule="auto"/>
        <w:tabs>
          <w:tab w:leader="none" w:pos="975" w:val="left"/>
        </w:tabs>
        <w:numPr>
          <w:ilvl w:val="1"/>
          <w:numId w:val="31"/>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2" w:lineRule="exact"/>
        <w:rPr>
          <w:rFonts w:ascii="Arial" w:cs="Arial" w:eastAsia="Arial" w:hAnsi="Arial"/>
          <w:sz w:val="15"/>
          <w:szCs w:val="15"/>
          <w:color w:val="auto"/>
        </w:rPr>
      </w:pPr>
    </w:p>
    <w:p>
      <w:pPr>
        <w:jc w:val="both"/>
        <w:ind w:right="20" w:firstLine="471"/>
        <w:spacing w:after="0" w:line="270" w:lineRule="auto"/>
        <w:tabs>
          <w:tab w:leader="none" w:pos="972" w:val="left"/>
        </w:tabs>
        <w:numPr>
          <w:ilvl w:val="1"/>
          <w:numId w:val="31"/>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0" w:lineRule="exact"/>
        <w:rPr>
          <w:rFonts w:ascii="Arial" w:cs="Arial" w:eastAsia="Arial" w:hAnsi="Arial"/>
          <w:sz w:val="17"/>
          <w:szCs w:val="17"/>
          <w:color w:val="auto"/>
        </w:rPr>
      </w:pPr>
    </w:p>
    <w:p>
      <w:pPr>
        <w:ind w:right="540" w:firstLine="4"/>
        <w:spacing w:after="0" w:line="318" w:lineRule="auto"/>
        <w:tabs>
          <w:tab w:leader="none" w:pos="520" w:val="left"/>
        </w:tabs>
        <w:numPr>
          <w:ilvl w:val="0"/>
          <w:numId w:val="31"/>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5" w:lineRule="exact"/>
        <w:rPr>
          <w:rFonts w:ascii="Arial" w:cs="Arial" w:eastAsia="Arial" w:hAnsi="Arial"/>
          <w:sz w:val="16"/>
          <w:szCs w:val="16"/>
          <w:color w:val="auto"/>
        </w:rPr>
      </w:pPr>
    </w:p>
    <w:p>
      <w:pPr>
        <w:ind w:right="400" w:firstLine="471"/>
        <w:spacing w:after="0" w:line="285" w:lineRule="auto"/>
        <w:tabs>
          <w:tab w:leader="none" w:pos="975" w:val="left"/>
        </w:tabs>
        <w:numPr>
          <w:ilvl w:val="1"/>
          <w:numId w:val="31"/>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8" w:lineRule="exact"/>
        <w:rPr>
          <w:rFonts w:ascii="Arial" w:cs="Arial" w:eastAsia="Arial" w:hAnsi="Arial"/>
          <w:sz w:val="17"/>
          <w:szCs w:val="17"/>
          <w:color w:val="auto"/>
        </w:rPr>
      </w:pPr>
    </w:p>
    <w:p>
      <w:pPr>
        <w:ind w:firstLine="471"/>
        <w:spacing w:after="0" w:line="285" w:lineRule="auto"/>
        <w:tabs>
          <w:tab w:leader="none" w:pos="985" w:val="left"/>
        </w:tabs>
        <w:numPr>
          <w:ilvl w:val="1"/>
          <w:numId w:val="31"/>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185" w:lineRule="exact"/>
        <w:rPr>
          <w:sz w:val="20"/>
          <w:szCs w:val="20"/>
          <w:color w:val="auto"/>
        </w:rPr>
      </w:pPr>
    </w:p>
    <w:p>
      <w:pPr>
        <w:spacing w:after="0"/>
        <w:rPr>
          <w:sz w:val="20"/>
          <w:szCs w:val="20"/>
          <w:color w:val="auto"/>
        </w:rPr>
      </w:pPr>
      <w:r>
        <w:rPr>
          <w:rFonts w:ascii="Arial" w:cs="Arial" w:eastAsia="Arial" w:hAnsi="Arial"/>
          <w:sz w:val="17"/>
          <w:szCs w:val="17"/>
          <w:color w:val="auto"/>
        </w:rPr>
        <w:t>Date: August 7, 2023</w:t>
      </w:r>
    </w:p>
    <w:p>
      <w:pPr>
        <w:spacing w:after="0" w:line="51" w:lineRule="exact"/>
        <w:rPr>
          <w:sz w:val="20"/>
          <w:szCs w:val="20"/>
          <w:color w:val="auto"/>
        </w:rPr>
      </w:pPr>
    </w:p>
    <w:p>
      <w:pPr>
        <w:ind w:left="20"/>
        <w:spacing w:after="0"/>
        <w:rPr>
          <w:sz w:val="20"/>
          <w:szCs w:val="20"/>
          <w:color w:val="auto"/>
        </w:rPr>
      </w:pPr>
      <w:r>
        <w:rPr>
          <w:rFonts w:ascii="Arial" w:cs="Arial" w:eastAsia="Arial" w:hAnsi="Arial"/>
          <w:sz w:val="17"/>
          <w:szCs w:val="17"/>
          <w:color w:val="auto"/>
        </w:rPr>
        <w:t>/s/ DAVID B. WEINSTOCK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15875</wp:posOffset>
            </wp:positionV>
            <wp:extent cx="4145915"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4145915" cy="8255"/>
                    </a:xfrm>
                    <a:prstGeom prst="rect">
                      <a:avLst/>
                    </a:prstGeom>
                    <a:noFill/>
                  </pic:spPr>
                </pic:pic>
              </a:graphicData>
            </a:graphic>
          </wp:anchor>
        </w:drawing>
      </w:r>
    </w:p>
    <w:p>
      <w:pPr>
        <w:spacing w:after="0" w:line="18" w:lineRule="exact"/>
        <w:rPr>
          <w:sz w:val="20"/>
          <w:szCs w:val="20"/>
          <w:color w:val="auto"/>
        </w:rPr>
      </w:pPr>
    </w:p>
    <w:p>
      <w:pPr>
        <w:ind w:left="20"/>
        <w:spacing w:after="0"/>
        <w:rPr>
          <w:sz w:val="20"/>
          <w:szCs w:val="20"/>
          <w:color w:val="auto"/>
        </w:rPr>
      </w:pPr>
      <w:r>
        <w:rPr>
          <w:rFonts w:ascii="Arial" w:cs="Arial" w:eastAsia="Arial" w:hAnsi="Arial"/>
          <w:sz w:val="17"/>
          <w:szCs w:val="17"/>
          <w:color w:val="auto"/>
        </w:rPr>
        <w:t>David B. Weinstock</w:t>
      </w:r>
    </w:p>
    <w:p>
      <w:pPr>
        <w:spacing w:after="0" w:line="38" w:lineRule="exact"/>
        <w:rPr>
          <w:sz w:val="20"/>
          <w:szCs w:val="20"/>
          <w:color w:val="auto"/>
        </w:rPr>
      </w:pPr>
    </w:p>
    <w:p>
      <w:pPr>
        <w:ind w:left="20"/>
        <w:spacing w:after="0"/>
        <w:rPr>
          <w:sz w:val="20"/>
          <w:szCs w:val="20"/>
          <w:color w:val="auto"/>
        </w:rPr>
      </w:pPr>
      <w:r>
        <w:rPr>
          <w:rFonts w:ascii="Arial" w:cs="Arial" w:eastAsia="Arial" w:hAnsi="Arial"/>
          <w:sz w:val="17"/>
          <w:szCs w:val="17"/>
          <w:color w:val="auto"/>
        </w:rPr>
        <w:t>Senior Vice President and Chief Financial Officer</w:t>
      </w:r>
    </w:p>
    <w:p>
      <w:pPr>
        <w:spacing w:after="0" w:line="25" w:lineRule="exact"/>
        <w:rPr>
          <w:sz w:val="20"/>
          <w:szCs w:val="20"/>
          <w:color w:val="auto"/>
        </w:rPr>
      </w:pPr>
    </w:p>
    <w:p>
      <w:pPr>
        <w:ind w:left="20"/>
        <w:spacing w:after="0"/>
        <w:rPr>
          <w:sz w:val="20"/>
          <w:szCs w:val="20"/>
          <w:color w:val="auto"/>
        </w:rPr>
      </w:pPr>
      <w:r>
        <w:rPr>
          <w:rFonts w:ascii="Arial" w:cs="Arial" w:eastAsia="Arial" w:hAnsi="Arial"/>
          <w:sz w:val="17"/>
          <w:szCs w:val="17"/>
          <w:color w:val="auto"/>
        </w:rPr>
        <w:t>(Principal Financial Officer)</w:t>
      </w:r>
    </w:p>
    <w:p>
      <w:pPr>
        <w:sectPr>
          <w:pgSz w:w="11900" w:h="16838" w:orient="portrait"/>
          <w:cols w:equalWidth="0" w:num="1">
            <w:col w:w="11240"/>
          </w:cols>
          <w:pgMar w:left="320" w:top="861" w:right="339" w:bottom="1440" w:gutter="0" w:footer="0" w:header="0"/>
        </w:sectPr>
      </w:pPr>
    </w:p>
    <w:bookmarkStart w:id="56" w:name="page57"/>
    <w:bookmarkEnd w:id="56"/>
    <w:p>
      <w:pPr>
        <w:ind w:left="10360"/>
        <w:spacing w:after="0"/>
        <w:rPr>
          <w:sz w:val="20"/>
          <w:szCs w:val="20"/>
          <w:color w:val="auto"/>
        </w:rPr>
      </w:pPr>
      <w:r>
        <w:rPr>
          <w:rFonts w:ascii="Arial" w:cs="Arial" w:eastAsia="Arial" w:hAnsi="Arial"/>
          <w:sz w:val="15"/>
          <w:szCs w:val="15"/>
          <w:b w:val="1"/>
          <w:bCs w:val="1"/>
          <w:color w:val="auto"/>
        </w:rPr>
        <w:t>Exhibit 32.1</w:t>
      </w:r>
    </w:p>
    <w:p>
      <w:pPr>
        <w:spacing w:after="0" w:line="243" w:lineRule="exact"/>
        <w:rPr>
          <w:sz w:val="20"/>
          <w:szCs w:val="20"/>
          <w:color w:val="auto"/>
        </w:rPr>
      </w:pPr>
    </w:p>
    <w:p>
      <w:pPr>
        <w:jc w:val="center"/>
        <w:ind w:left="340" w:right="360"/>
        <w:spacing w:after="0" w:line="292" w:lineRule="auto"/>
        <w:rPr>
          <w:sz w:val="20"/>
          <w:szCs w:val="20"/>
          <w:color w:val="auto"/>
        </w:rPr>
      </w:pPr>
      <w:r>
        <w:rPr>
          <w:rFonts w:ascii="Arial" w:cs="Arial" w:eastAsia="Arial" w:hAnsi="Arial"/>
          <w:sz w:val="17"/>
          <w:szCs w:val="17"/>
          <w:b w:val="1"/>
          <w:bCs w:val="1"/>
          <w:color w:val="auto"/>
        </w:rPr>
        <w:t>CERTIFICATION OF CHIEF EXECUTIVE OFFICER AND CHIEF FINANCIAL OFFICER PURSUANT TO 18 U.S.C. SECTION 1350, AS ADOPTED PURSUANT TO SECTION 906 OF THE SARBANES-OXLEY ACT OF 2002</w:t>
      </w:r>
    </w:p>
    <w:p>
      <w:pPr>
        <w:spacing w:after="0" w:line="153"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The undersigned, Mark A. Casale, President, Chief Executive Officer and Chairman of Essent Group Ltd. (the “Company”), and David B. Weinstock, Senior Vice President and Chief Financial Officer of the Company, each hereby certify, pursuant to 18 U.S.C. Section 1350 as adopted pursuant to Section 906 of the Sarbanes-Oxley Act of 2002, that to the best of his knowledge:</w:t>
      </w:r>
    </w:p>
    <w:p>
      <w:pPr>
        <w:spacing w:after="0" w:line="171" w:lineRule="exact"/>
        <w:rPr>
          <w:sz w:val="20"/>
          <w:szCs w:val="20"/>
          <w:color w:val="auto"/>
        </w:rPr>
      </w:pPr>
    </w:p>
    <w:p>
      <w:pPr>
        <w:ind w:right="640" w:firstLine="4"/>
        <w:spacing w:after="0" w:line="285" w:lineRule="auto"/>
        <w:tabs>
          <w:tab w:leader="none" w:pos="660" w:val="left"/>
        </w:tabs>
        <w:numPr>
          <w:ilvl w:val="0"/>
          <w:numId w:val="32"/>
        </w:numPr>
        <w:rPr>
          <w:rFonts w:ascii="Arial" w:cs="Arial" w:eastAsia="Arial" w:hAnsi="Arial"/>
          <w:sz w:val="17"/>
          <w:szCs w:val="17"/>
          <w:color w:val="auto"/>
        </w:rPr>
      </w:pPr>
      <w:r>
        <w:rPr>
          <w:rFonts w:ascii="Arial" w:cs="Arial" w:eastAsia="Arial" w:hAnsi="Arial"/>
          <w:sz w:val="17"/>
          <w:szCs w:val="17"/>
          <w:color w:val="auto"/>
        </w:rPr>
        <w:t>the Quarterly Report on Form 10-Q of the Company for the quarter ended June 30, 2023 (the “Report”) fully complies with the requirements of Section 13(a) or 15(d) of the Securities Exchange Act of 1934; and</w:t>
      </w:r>
    </w:p>
    <w:p>
      <w:pPr>
        <w:spacing w:after="0" w:line="158" w:lineRule="exact"/>
        <w:rPr>
          <w:rFonts w:ascii="Arial" w:cs="Arial" w:eastAsia="Arial" w:hAnsi="Arial"/>
          <w:sz w:val="17"/>
          <w:szCs w:val="17"/>
          <w:color w:val="auto"/>
        </w:rPr>
      </w:pPr>
    </w:p>
    <w:p>
      <w:pPr>
        <w:ind w:right="600" w:firstLine="4"/>
        <w:spacing w:after="0" w:line="540" w:lineRule="auto"/>
        <w:tabs>
          <w:tab w:leader="none" w:pos="660" w:val="left"/>
        </w:tabs>
        <w:numPr>
          <w:ilvl w:val="0"/>
          <w:numId w:val="32"/>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 Date: August 7, 2023</w:t>
      </w:r>
    </w:p>
    <w:p>
      <w:pPr>
        <w:spacing w:after="0" w:line="81" w:lineRule="exact"/>
        <w:rPr>
          <w:sz w:val="20"/>
          <w:szCs w:val="20"/>
          <w:color w:val="auto"/>
        </w:rPr>
      </w:pPr>
    </w:p>
    <w:p>
      <w:pPr>
        <w:ind w:left="20"/>
        <w:spacing w:after="0"/>
        <w:rPr>
          <w:sz w:val="20"/>
          <w:szCs w:val="20"/>
          <w:color w:val="auto"/>
        </w:rPr>
      </w:pPr>
      <w:r>
        <w:rPr>
          <w:rFonts w:ascii="Arial" w:cs="Arial" w:eastAsia="Arial" w:hAnsi="Arial"/>
          <w:sz w:val="17"/>
          <w:szCs w:val="17"/>
          <w:color w:val="auto"/>
        </w:rPr>
        <w:t>/s/ MARK A. CASALE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15875</wp:posOffset>
            </wp:positionV>
            <wp:extent cx="3560445"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3560445" cy="8255"/>
                    </a:xfrm>
                    <a:prstGeom prst="rect">
                      <a:avLst/>
                    </a:prstGeom>
                    <a:noFill/>
                  </pic:spPr>
                </pic:pic>
              </a:graphicData>
            </a:graphic>
          </wp:anchor>
        </w:drawing>
      </w:r>
    </w:p>
    <w:p>
      <w:pPr>
        <w:spacing w:after="0" w:line="18" w:lineRule="exact"/>
        <w:rPr>
          <w:sz w:val="20"/>
          <w:szCs w:val="20"/>
          <w:color w:val="auto"/>
        </w:rPr>
      </w:pPr>
    </w:p>
    <w:p>
      <w:pPr>
        <w:ind w:left="20"/>
        <w:spacing w:after="0"/>
        <w:rPr>
          <w:sz w:val="20"/>
          <w:szCs w:val="20"/>
          <w:color w:val="auto"/>
        </w:rPr>
      </w:pPr>
      <w:r>
        <w:rPr>
          <w:rFonts w:ascii="Arial" w:cs="Arial" w:eastAsia="Arial" w:hAnsi="Arial"/>
          <w:sz w:val="17"/>
          <w:szCs w:val="17"/>
          <w:color w:val="auto"/>
        </w:rPr>
        <w:t>Mark A. Casale</w:t>
      </w:r>
    </w:p>
    <w:p>
      <w:pPr>
        <w:spacing w:after="0" w:line="25" w:lineRule="exact"/>
        <w:rPr>
          <w:sz w:val="20"/>
          <w:szCs w:val="20"/>
          <w:color w:val="auto"/>
        </w:rPr>
      </w:pPr>
    </w:p>
    <w:p>
      <w:pPr>
        <w:ind w:left="20"/>
        <w:spacing w:after="0"/>
        <w:rPr>
          <w:sz w:val="20"/>
          <w:szCs w:val="20"/>
          <w:color w:val="auto"/>
        </w:rPr>
      </w:pPr>
      <w:r>
        <w:rPr>
          <w:rFonts w:ascii="Arial" w:cs="Arial" w:eastAsia="Arial" w:hAnsi="Arial"/>
          <w:sz w:val="17"/>
          <w:szCs w:val="17"/>
          <w:color w:val="auto"/>
        </w:rPr>
        <w:t>President, Chief Executive Officer and Chairman</w:t>
      </w:r>
    </w:p>
    <w:p>
      <w:pPr>
        <w:spacing w:after="0" w:line="259" w:lineRule="exact"/>
        <w:rPr>
          <w:sz w:val="20"/>
          <w:szCs w:val="20"/>
          <w:color w:val="auto"/>
        </w:rPr>
      </w:pPr>
    </w:p>
    <w:p>
      <w:pPr>
        <w:ind w:left="20"/>
        <w:spacing w:after="0"/>
        <w:rPr>
          <w:sz w:val="20"/>
          <w:szCs w:val="20"/>
          <w:color w:val="auto"/>
        </w:rPr>
      </w:pPr>
      <w:r>
        <w:rPr>
          <w:rFonts w:ascii="Arial" w:cs="Arial" w:eastAsia="Arial" w:hAnsi="Arial"/>
          <w:sz w:val="17"/>
          <w:szCs w:val="17"/>
          <w:color w:val="auto"/>
        </w:rPr>
        <w:t>/s/ DAVID B. WEINSTOCK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15875</wp:posOffset>
            </wp:positionV>
            <wp:extent cx="3560445"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3560445" cy="8255"/>
                    </a:xfrm>
                    <a:prstGeom prst="rect">
                      <a:avLst/>
                    </a:prstGeom>
                    <a:noFill/>
                  </pic:spPr>
                </pic:pic>
              </a:graphicData>
            </a:graphic>
          </wp:anchor>
        </w:drawing>
      </w:r>
    </w:p>
    <w:p>
      <w:pPr>
        <w:spacing w:after="0" w:line="18" w:lineRule="exact"/>
        <w:rPr>
          <w:sz w:val="20"/>
          <w:szCs w:val="20"/>
          <w:color w:val="auto"/>
        </w:rPr>
      </w:pPr>
    </w:p>
    <w:p>
      <w:pPr>
        <w:ind w:left="20"/>
        <w:spacing w:after="0"/>
        <w:rPr>
          <w:sz w:val="20"/>
          <w:szCs w:val="20"/>
          <w:color w:val="auto"/>
        </w:rPr>
      </w:pPr>
      <w:r>
        <w:rPr>
          <w:rFonts w:ascii="Arial" w:cs="Arial" w:eastAsia="Arial" w:hAnsi="Arial"/>
          <w:sz w:val="17"/>
          <w:szCs w:val="17"/>
          <w:color w:val="auto"/>
        </w:rPr>
        <w:t>David B. Weinstock</w:t>
      </w:r>
    </w:p>
    <w:p>
      <w:pPr>
        <w:spacing w:after="0" w:line="38" w:lineRule="exact"/>
        <w:rPr>
          <w:sz w:val="20"/>
          <w:szCs w:val="20"/>
          <w:color w:val="auto"/>
        </w:rPr>
      </w:pPr>
    </w:p>
    <w:p>
      <w:pPr>
        <w:ind w:left="20"/>
        <w:spacing w:after="0"/>
        <w:rPr>
          <w:sz w:val="20"/>
          <w:szCs w:val="20"/>
          <w:color w:val="auto"/>
        </w:rPr>
      </w:pPr>
      <w:r>
        <w:rPr>
          <w:rFonts w:ascii="Arial" w:cs="Arial" w:eastAsia="Arial" w:hAnsi="Arial"/>
          <w:sz w:val="17"/>
          <w:szCs w:val="17"/>
          <w:color w:val="auto"/>
        </w:rPr>
        <w:t>Senior Vice President and Chief Financial Officer</w:t>
      </w:r>
    </w:p>
    <w:sectPr>
      <w:pgSz w:w="11900" w:h="16838" w:orient="portrait"/>
      <w:cols w:equalWidth="0" w:num="1">
        <w:col w:w="11240"/>
      </w:cols>
      <w:pgMar w:left="320" w:top="86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E6AFB66"/>
    <w:multiLevelType w:val="hybridMultilevel"/>
    <w:lvl w:ilvl="0">
      <w:lvlJc w:val="left"/>
      <w:lvlText w:val="☒"/>
      <w:numFmt w:val="bullet"/>
      <w:start w:val="1"/>
    </w:lvl>
  </w:abstractNum>
  <w:abstractNum w:abstractNumId="1">
    <w:nsid w:val="25E45D32"/>
    <w:multiLevelType w:val="hybridMultilevel"/>
    <w:lvl w:ilvl="0">
      <w:lvlJc w:val="left"/>
      <w:lvlText w:val="☐"/>
      <w:numFmt w:val="bullet"/>
      <w:start w:val="1"/>
    </w:lvl>
  </w:abstractNum>
  <w:abstractNum w:abstractNumId="2">
    <w:nsid w:val="519B500D"/>
    <w:multiLevelType w:val="hybridMultilevel"/>
    <w:lvl w:ilvl="0">
      <w:lvlJc w:val="left"/>
      <w:lvlText w:val="☒"/>
      <w:numFmt w:val="bullet"/>
      <w:start w:val="1"/>
    </w:lvl>
  </w:abstractNum>
  <w:abstractNum w:abstractNumId="3">
    <w:nsid w:val="431BD7B7"/>
    <w:multiLevelType w:val="hybridMultilevel"/>
    <w:lvl w:ilvl="0">
      <w:lvlJc w:val="left"/>
      <w:lvlText w:val="•"/>
      <w:numFmt w:val="bullet"/>
      <w:start w:val="1"/>
    </w:lvl>
  </w:abstractNum>
  <w:abstractNum w:abstractNumId="4">
    <w:nsid w:val="3F2DBA31"/>
    <w:multiLevelType w:val="hybridMultilevel"/>
    <w:lvl w:ilvl="0">
      <w:lvlJc w:val="left"/>
      <w:lvlText w:val="•"/>
      <w:numFmt w:val="bullet"/>
      <w:start w:val="1"/>
    </w:lvl>
  </w:abstractNum>
  <w:abstractNum w:abstractNumId="5">
    <w:nsid w:val="7C83E458"/>
    <w:multiLevelType w:val="hybridMultilevel"/>
    <w:lvl w:ilvl="0">
      <w:lvlJc w:val="left"/>
      <w:lvlText w:val="(%1)"/>
      <w:numFmt w:val="decimal"/>
      <w:start w:val="1"/>
    </w:lvl>
  </w:abstractNum>
  <w:abstractNum w:abstractNumId="6">
    <w:nsid w:val="257130A3"/>
    <w:multiLevelType w:val="hybridMultilevel"/>
    <w:lvl w:ilvl="0">
      <w:lvlJc w:val="left"/>
      <w:lvlText w:val="(%1)"/>
      <w:numFmt w:val="decimal"/>
      <w:start w:val="1"/>
    </w:lvl>
  </w:abstractNum>
  <w:abstractNum w:abstractNumId="7">
    <w:nsid w:val="62BBD95A"/>
    <w:multiLevelType w:val="hybridMultilevel"/>
    <w:lvl w:ilvl="0">
      <w:lvlJc w:val="left"/>
      <w:lvlText w:val="•"/>
      <w:numFmt w:val="bullet"/>
      <w:start w:val="1"/>
    </w:lvl>
  </w:abstractNum>
  <w:abstractNum w:abstractNumId="8">
    <w:nsid w:val="436C6125"/>
    <w:multiLevelType w:val="hybridMultilevel"/>
    <w:lvl w:ilvl="0">
      <w:lvlJc w:val="left"/>
      <w:lvlText w:val="•"/>
      <w:numFmt w:val="bullet"/>
      <w:start w:val="1"/>
    </w:lvl>
  </w:abstractNum>
  <w:abstractNum w:abstractNumId="9">
    <w:nsid w:val="628C895D"/>
    <w:multiLevelType w:val="hybridMultilevel"/>
    <w:lvl w:ilvl="0">
      <w:lvlJc w:val="left"/>
      <w:lvlText w:val="•"/>
      <w:numFmt w:val="bullet"/>
      <w:start w:val="1"/>
    </w:lvl>
  </w:abstractNum>
  <w:abstractNum w:abstractNumId="10">
    <w:nsid w:val="333AB105"/>
    <w:multiLevelType w:val="hybridMultilevel"/>
    <w:lvl w:ilvl="0">
      <w:lvlJc w:val="left"/>
      <w:lvlText w:val="(%1)"/>
      <w:numFmt w:val="decimal"/>
      <w:start w:val="1"/>
    </w:lvl>
  </w:abstractNum>
  <w:abstractNum w:abstractNumId="11">
    <w:nsid w:val="721DA317"/>
    <w:multiLevelType w:val="hybridMultilevel"/>
    <w:lvl w:ilvl="0">
      <w:lvlJc w:val="left"/>
      <w:lvlText w:val="•"/>
      <w:numFmt w:val="bullet"/>
      <w:start w:val="1"/>
    </w:lvl>
  </w:abstractNum>
  <w:abstractNum w:abstractNumId="12">
    <w:nsid w:val="2443A858"/>
    <w:multiLevelType w:val="hybridMultilevel"/>
    <w:lvl w:ilvl="0">
      <w:lvlJc w:val="left"/>
      <w:lvlText w:val="•"/>
      <w:numFmt w:val="bullet"/>
      <w:start w:val="1"/>
    </w:lvl>
  </w:abstractNum>
  <w:abstractNum w:abstractNumId="13">
    <w:nsid w:val="2D1D5AE9"/>
    <w:multiLevelType w:val="hybridMultilevel"/>
    <w:lvl w:ilvl="0">
      <w:lvlJc w:val="left"/>
      <w:lvlText w:val="•"/>
      <w:numFmt w:val="bullet"/>
      <w:start w:val="1"/>
    </w:lvl>
  </w:abstractNum>
  <w:abstractNum w:abstractNumId="14">
    <w:nsid w:val="6763845E"/>
    <w:multiLevelType w:val="hybridMultilevel"/>
    <w:lvl w:ilvl="0">
      <w:lvlJc w:val="left"/>
      <w:lvlText w:val="•"/>
      <w:numFmt w:val="bullet"/>
      <w:start w:val="1"/>
    </w:lvl>
  </w:abstractNum>
  <w:abstractNum w:abstractNumId="15">
    <w:nsid w:val="75A2A8D4"/>
    <w:multiLevelType w:val="hybridMultilevel"/>
    <w:lvl w:ilvl="0">
      <w:lvlJc w:val="left"/>
      <w:lvlText w:val="(%1)"/>
      <w:numFmt w:val="decimal"/>
      <w:start w:val="1"/>
    </w:lvl>
  </w:abstractNum>
  <w:abstractNum w:abstractNumId="16">
    <w:nsid w:val="8EDBDAB"/>
    <w:multiLevelType w:val="hybridMultilevel"/>
    <w:lvl w:ilvl="0">
      <w:lvlJc w:val="left"/>
      <w:lvlText w:val="(%1)"/>
      <w:numFmt w:val="decimal"/>
      <w:start w:val="1"/>
    </w:lvl>
  </w:abstractNum>
  <w:abstractNum w:abstractNumId="17">
    <w:nsid w:val="79838CB2"/>
    <w:multiLevelType w:val="hybridMultilevel"/>
    <w:lvl w:ilvl="0">
      <w:lvlJc w:val="left"/>
      <w:lvlText w:val="(%1)"/>
      <w:numFmt w:val="decimal"/>
      <w:start w:val="2"/>
    </w:lvl>
  </w:abstractNum>
  <w:abstractNum w:abstractNumId="18">
    <w:nsid w:val="4353D0CD"/>
    <w:multiLevelType w:val="hybridMultilevel"/>
    <w:lvl w:ilvl="0">
      <w:lvlJc w:val="left"/>
      <w:lvlText w:val="•"/>
      <w:numFmt w:val="bullet"/>
      <w:start w:val="1"/>
    </w:lvl>
  </w:abstractNum>
  <w:abstractNum w:abstractNumId="19">
    <w:nsid w:val="B03E0C6"/>
    <w:multiLevelType w:val="hybridMultilevel"/>
    <w:lvl w:ilvl="0">
      <w:lvlJc w:val="left"/>
      <w:lvlText w:val="•"/>
      <w:numFmt w:val="bullet"/>
      <w:start w:val="1"/>
    </w:lvl>
  </w:abstractNum>
  <w:abstractNum w:abstractNumId="20">
    <w:nsid w:val="189A769B"/>
    <w:multiLevelType w:val="hybridMultilevel"/>
    <w:lvl w:ilvl="0">
      <w:lvlJc w:val="left"/>
      <w:lvlText w:val="•"/>
      <w:numFmt w:val="bullet"/>
      <w:start w:val="1"/>
    </w:lvl>
  </w:abstractNum>
  <w:abstractNum w:abstractNumId="21">
    <w:nsid w:val="54E49EB4"/>
    <w:multiLevelType w:val="hybridMultilevel"/>
    <w:lvl w:ilvl="0">
      <w:lvlJc w:val="left"/>
      <w:lvlText w:val="•"/>
      <w:numFmt w:val="bullet"/>
      <w:start w:val="1"/>
    </w:lvl>
  </w:abstractNum>
  <w:abstractNum w:abstractNumId="22">
    <w:nsid w:val="71F32454"/>
    <w:multiLevelType w:val="hybridMultilevel"/>
    <w:lvl w:ilvl="0">
      <w:lvlJc w:val="left"/>
      <w:lvlText w:val="(%1)"/>
      <w:numFmt w:val="decimal"/>
      <w:start w:val="1"/>
    </w:lvl>
  </w:abstractNum>
  <w:abstractNum w:abstractNumId="23">
    <w:nsid w:val="2CA88611"/>
    <w:multiLevelType w:val="hybridMultilevel"/>
    <w:lvl w:ilvl="0">
      <w:lvlJc w:val="left"/>
      <w:lvlText w:val="(%1)"/>
      <w:numFmt w:val="decimal"/>
      <w:start w:val="1"/>
    </w:lvl>
  </w:abstractNum>
  <w:abstractNum w:abstractNumId="24">
    <w:nsid w:val="836C40E"/>
    <w:multiLevelType w:val="hybridMultilevel"/>
    <w:lvl w:ilvl="0">
      <w:lvlJc w:val="left"/>
      <w:lvlText w:val="(%1)"/>
      <w:numFmt w:val="decimal"/>
      <w:start w:val="1"/>
    </w:lvl>
  </w:abstractNum>
  <w:abstractNum w:abstractNumId="25">
    <w:nsid w:val="2901D82"/>
    <w:multiLevelType w:val="hybridMultilevel"/>
    <w:lvl w:ilvl="0">
      <w:lvlJc w:val="left"/>
      <w:lvlText w:val="(%1)"/>
      <w:numFmt w:val="decimal"/>
      <w:start w:val="1"/>
    </w:lvl>
  </w:abstractNum>
  <w:abstractNum w:abstractNumId="26">
    <w:nsid w:val="3A95F874"/>
    <w:multiLevelType w:val="hybridMultilevel"/>
    <w:lvl w:ilvl="0">
      <w:lvlJc w:val="left"/>
      <w:lvlText w:val="•"/>
      <w:numFmt w:val="bullet"/>
      <w:start w:val="1"/>
    </w:lvl>
  </w:abstractNum>
  <w:abstractNum w:abstractNumId="27">
    <w:nsid w:val="8138641"/>
    <w:multiLevelType w:val="hybridMultilevel"/>
    <w:lvl w:ilvl="0">
      <w:lvlJc w:val="left"/>
      <w:lvlText w:val="(%1)"/>
      <w:numFmt w:val="decimal"/>
      <w:start w:val="1"/>
    </w:lvl>
  </w:abstractNum>
  <w:abstractNum w:abstractNumId="28">
    <w:nsid w:val="1E7FF521"/>
    <w:multiLevelType w:val="hybridMultilevel"/>
    <w:lvl w:ilvl="0">
      <w:lvlJc w:val="left"/>
      <w:lvlText w:val="%1"/>
      <w:numFmt w:val="decimal"/>
      <w:start w:val="101"/>
    </w:lvl>
    <w:lvl w:ilvl="1">
      <w:lvlJc w:val="left"/>
      <w:lvlText w:val="*"/>
      <w:numFmt w:val="bullet"/>
      <w:start w:val="1"/>
    </w:lvl>
  </w:abstractNum>
  <w:abstractNum w:abstractNumId="29">
    <w:nsid w:val="7C3DBD3D"/>
    <w:multiLevelType w:val="hybridMultilevel"/>
    <w:lvl w:ilvl="0">
      <w:lvlJc w:val="left"/>
      <w:lvlText w:val="%1."/>
      <w:numFmt w:val="decimal"/>
      <w:start w:val="1"/>
    </w:lvl>
    <w:lvl w:ilvl="1">
      <w:lvlJc w:val="left"/>
      <w:lvlText w:val="(%2)"/>
      <w:numFmt w:val="lowerLetter"/>
      <w:start w:val="1"/>
    </w:lvl>
  </w:abstractNum>
  <w:abstractNum w:abstractNumId="30">
    <w:nsid w:val="737B8DDC"/>
    <w:multiLevelType w:val="hybridMultilevel"/>
    <w:lvl w:ilvl="0">
      <w:lvlJc w:val="left"/>
      <w:lvlText w:val="%1."/>
      <w:numFmt w:val="decimal"/>
      <w:start w:val="1"/>
    </w:lvl>
    <w:lvl w:ilvl="1">
      <w:lvlJc w:val="left"/>
      <w:lvlText w:val="(%2)"/>
      <w:numFmt w:val="lowerLetter"/>
      <w:start w:val="1"/>
    </w:lvl>
  </w:abstractNum>
  <w:abstractNum w:abstractNumId="31">
    <w:nsid w:val="6CEAF08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2023-08-08T05:25:34Z</dcterms:created>
  <dcterms:modified xsi:type="dcterms:W3CDTF">2023-08-08T05:25:34Z</dcterms:modified>
</cp:coreProperties>
</file>