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116205</wp:posOffset>
            </wp:positionV>
            <wp:extent cx="31032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135255</wp:posOffset>
            </wp:positionV>
            <wp:extent cx="31032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3920" w:right="1820" w:hanging="3588"/>
        <w:spacing w:after="0" w:line="248" w:lineRule="auto"/>
        <w:tabs>
          <w:tab w:leader="none" w:pos="636"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24" w:lineRule="exact"/>
        <w:rPr>
          <w:sz w:val="24"/>
          <w:szCs w:val="24"/>
          <w:color w:val="auto"/>
        </w:rPr>
      </w:pPr>
    </w:p>
    <w:p>
      <w:pPr>
        <w:ind w:left="680" w:hanging="348"/>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 w:lineRule="exact"/>
        <w:rPr>
          <w:sz w:val="24"/>
          <w:szCs w:val="24"/>
          <w:color w:val="auto"/>
        </w:rPr>
      </w:pPr>
    </w:p>
    <w:p>
      <w:pPr>
        <w:jc w:val="center"/>
        <w:ind w:right="-19"/>
        <w:spacing w:after="0"/>
        <w:tabs>
          <w:tab w:leader="none" w:pos="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108585</wp:posOffset>
            </wp:positionV>
            <wp:extent cx="31032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ESSENT GROUP LTD.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116205</wp:posOffset>
            </wp:positionV>
            <wp:extent cx="31032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80" w:lineRule="exact"/>
        <w:rPr>
          <w:sz w:val="24"/>
          <w:szCs w:val="24"/>
          <w:color w:val="auto"/>
        </w:rPr>
      </w:pPr>
    </w:p>
    <w:tbl>
      <w:tblPr>
        <w:tblLayout w:type="fixed"/>
        <w:tblInd w:w="20" w:type="dxa"/>
        <w:tblCellMar>
          <w:top w:w="0" w:type="dxa"/>
          <w:left w:w="0" w:type="dxa"/>
          <w:bottom w:w="0" w:type="dxa"/>
          <w:right w:w="0" w:type="dxa"/>
        </w:tblCellMar>
      </w:tblPr>
      <w:tr>
        <w:trPr>
          <w:trHeight w:val="233"/>
        </w:trPr>
        <w:tc>
          <w:tcPr>
            <w:tcW w:w="3820" w:type="dxa"/>
            <w:vAlign w:val="bottom"/>
            <w:gridSpan w:val="2"/>
          </w:tcPr>
          <w:p>
            <w:pPr>
              <w:jc w:val="center"/>
              <w:ind w:left="1453"/>
              <w:spacing w:after="0"/>
              <w:rPr>
                <w:sz w:val="20"/>
                <w:szCs w:val="20"/>
                <w:color w:val="auto"/>
              </w:rPr>
            </w:pPr>
            <w:r>
              <w:rPr>
                <w:rFonts w:ascii="Arial" w:cs="Arial" w:eastAsia="Arial" w:hAnsi="Arial"/>
                <w:sz w:val="18"/>
                <w:szCs w:val="18"/>
                <w:b w:val="1"/>
                <w:bCs w:val="1"/>
                <w:color w:val="auto"/>
                <w:w w:val="92"/>
              </w:rPr>
              <w:t>Bermuda</w:t>
            </w:r>
          </w:p>
        </w:tc>
        <w:tc>
          <w:tcPr>
            <w:tcW w:w="3680" w:type="dxa"/>
            <w:vAlign w:val="bottom"/>
          </w:tcPr>
          <w:p>
            <w:pPr>
              <w:spacing w:after="0"/>
              <w:rPr>
                <w:sz w:val="20"/>
                <w:szCs w:val="20"/>
                <w:color w:val="auto"/>
              </w:rPr>
            </w:pPr>
          </w:p>
        </w:tc>
        <w:tc>
          <w:tcPr>
            <w:tcW w:w="370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2"/>
              </w:rPr>
              <w:t>Not Applicable</w:t>
            </w:r>
          </w:p>
        </w:tc>
      </w:tr>
      <w:tr>
        <w:trPr>
          <w:trHeight w:val="176"/>
        </w:trPr>
        <w:tc>
          <w:tcPr>
            <w:tcW w:w="3820" w:type="dxa"/>
            <w:vAlign w:val="bottom"/>
            <w:gridSpan w:val="2"/>
          </w:tcPr>
          <w:p>
            <w:pPr>
              <w:jc w:val="center"/>
              <w:ind w:left="1453"/>
              <w:spacing w:after="0" w:line="176" w:lineRule="exact"/>
              <w:rPr>
                <w:sz w:val="20"/>
                <w:szCs w:val="20"/>
                <w:color w:val="auto"/>
              </w:rPr>
            </w:pPr>
            <w:r>
              <w:rPr>
                <w:rFonts w:ascii="Arial" w:cs="Arial" w:eastAsia="Arial" w:hAnsi="Arial"/>
                <w:sz w:val="18"/>
                <w:szCs w:val="18"/>
                <w:color w:val="auto"/>
                <w:w w:val="92"/>
              </w:rPr>
              <w:t>(State or other jurisdiction of</w:t>
            </w:r>
          </w:p>
        </w:tc>
        <w:tc>
          <w:tcPr>
            <w:tcW w:w="3680" w:type="dxa"/>
            <w:vAlign w:val="bottom"/>
          </w:tcPr>
          <w:p>
            <w:pPr>
              <w:spacing w:after="0"/>
              <w:rPr>
                <w:sz w:val="15"/>
                <w:szCs w:val="15"/>
                <w:color w:val="auto"/>
              </w:rPr>
            </w:pPr>
          </w:p>
        </w:tc>
        <w:tc>
          <w:tcPr>
            <w:tcW w:w="3700" w:type="dxa"/>
            <w:vAlign w:val="bottom"/>
            <w:gridSpan w:val="2"/>
          </w:tcPr>
          <w:p>
            <w:pPr>
              <w:jc w:val="center"/>
              <w:ind w:right="1590"/>
              <w:spacing w:after="0" w:line="176" w:lineRule="exact"/>
              <w:rPr>
                <w:sz w:val="20"/>
                <w:szCs w:val="20"/>
                <w:color w:val="auto"/>
              </w:rPr>
            </w:pPr>
            <w:r>
              <w:rPr>
                <w:rFonts w:ascii="Arial" w:cs="Arial" w:eastAsia="Arial" w:hAnsi="Arial"/>
                <w:sz w:val="18"/>
                <w:szCs w:val="18"/>
                <w:color w:val="auto"/>
                <w:w w:val="92"/>
              </w:rPr>
              <w:t>(I.R.S. Employer</w:t>
            </w:r>
          </w:p>
        </w:tc>
      </w:tr>
      <w:tr>
        <w:trPr>
          <w:trHeight w:val="230"/>
        </w:trPr>
        <w:tc>
          <w:tcPr>
            <w:tcW w:w="3820" w:type="dxa"/>
            <w:vAlign w:val="bottom"/>
            <w:gridSpan w:val="2"/>
          </w:tcPr>
          <w:p>
            <w:pPr>
              <w:jc w:val="center"/>
              <w:ind w:left="1453"/>
              <w:spacing w:after="0"/>
              <w:rPr>
                <w:sz w:val="20"/>
                <w:szCs w:val="20"/>
                <w:color w:val="auto"/>
              </w:rPr>
            </w:pPr>
            <w:r>
              <w:rPr>
                <w:rFonts w:ascii="Arial" w:cs="Arial" w:eastAsia="Arial" w:hAnsi="Arial"/>
                <w:sz w:val="18"/>
                <w:szCs w:val="18"/>
                <w:color w:val="auto"/>
                <w:w w:val="92"/>
              </w:rPr>
              <w:t>incorporation or organization)</w:t>
            </w:r>
          </w:p>
        </w:tc>
        <w:tc>
          <w:tcPr>
            <w:tcW w:w="3680" w:type="dxa"/>
            <w:vAlign w:val="bottom"/>
          </w:tcPr>
          <w:p>
            <w:pPr>
              <w:spacing w:after="0"/>
              <w:rPr>
                <w:sz w:val="20"/>
                <w:szCs w:val="20"/>
                <w:color w:val="auto"/>
              </w:rPr>
            </w:pPr>
          </w:p>
        </w:tc>
        <w:tc>
          <w:tcPr>
            <w:tcW w:w="3700" w:type="dxa"/>
            <w:vAlign w:val="bottom"/>
            <w:gridSpan w:val="2"/>
          </w:tcPr>
          <w:p>
            <w:pPr>
              <w:jc w:val="center"/>
              <w:ind w:right="1590"/>
              <w:spacing w:after="0"/>
              <w:rPr>
                <w:sz w:val="20"/>
                <w:szCs w:val="20"/>
                <w:color w:val="auto"/>
              </w:rPr>
            </w:pPr>
            <w:r>
              <w:rPr>
                <w:rFonts w:ascii="Arial" w:cs="Arial" w:eastAsia="Arial" w:hAnsi="Arial"/>
                <w:sz w:val="18"/>
                <w:szCs w:val="18"/>
                <w:color w:val="auto"/>
                <w:w w:val="94"/>
              </w:rPr>
              <w:t>Identification Number)</w:t>
            </w:r>
          </w:p>
        </w:tc>
      </w:tr>
      <w:tr>
        <w:trPr>
          <w:trHeight w:val="269"/>
        </w:trPr>
        <w:tc>
          <w:tcPr>
            <w:tcW w:w="3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8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Clarendon House</w:t>
            </w:r>
          </w:p>
        </w:tc>
        <w:tc>
          <w:tcPr>
            <w:tcW w:w="540" w:type="dxa"/>
            <w:vAlign w:val="bottom"/>
          </w:tcPr>
          <w:p>
            <w:pPr>
              <w:spacing w:after="0"/>
              <w:rPr>
                <w:sz w:val="23"/>
                <w:szCs w:val="23"/>
                <w:color w:val="auto"/>
              </w:rPr>
            </w:pPr>
          </w:p>
        </w:tc>
        <w:tc>
          <w:tcPr>
            <w:tcW w:w="3160" w:type="dxa"/>
            <w:vAlign w:val="bottom"/>
          </w:tcPr>
          <w:p>
            <w:pPr>
              <w:spacing w:after="0"/>
              <w:rPr>
                <w:sz w:val="23"/>
                <w:szCs w:val="23"/>
                <w:color w:val="auto"/>
              </w:rPr>
            </w:pPr>
          </w:p>
        </w:tc>
      </w:tr>
      <w:tr>
        <w:trPr>
          <w:trHeight w:val="189"/>
        </w:trPr>
        <w:tc>
          <w:tcPr>
            <w:tcW w:w="3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8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2 Church Street</w:t>
            </w:r>
          </w:p>
        </w:tc>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193"/>
        </w:trPr>
        <w:tc>
          <w:tcPr>
            <w:tcW w:w="3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8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Hamilton HM11, Bermuda</w:t>
            </w:r>
          </w:p>
        </w:tc>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185"/>
        </w:trPr>
        <w:tc>
          <w:tcPr>
            <w:tcW w:w="3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80" w:type="dxa"/>
            <w:vAlign w:val="bottom"/>
          </w:tcPr>
          <w:p>
            <w:pPr>
              <w:jc w:val="center"/>
              <w:ind w:right="39"/>
              <w:spacing w:after="0"/>
              <w:rPr>
                <w:sz w:val="20"/>
                <w:szCs w:val="20"/>
                <w:color w:val="auto"/>
              </w:rPr>
            </w:pPr>
            <w:r>
              <w:rPr>
                <w:rFonts w:ascii="Arial" w:cs="Arial" w:eastAsia="Arial" w:hAnsi="Arial"/>
                <w:sz w:val="16"/>
                <w:szCs w:val="16"/>
                <w:color w:val="auto"/>
                <w:w w:val="93"/>
              </w:rPr>
              <w:t>(Address of principal executive offices and zip code)</w:t>
            </w:r>
          </w:p>
        </w:tc>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193"/>
        </w:trPr>
        <w:tc>
          <w:tcPr>
            <w:tcW w:w="3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8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(441) 297-9901</w:t>
            </w:r>
          </w:p>
        </w:tc>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206"/>
        </w:trPr>
        <w:tc>
          <w:tcPr>
            <w:tcW w:w="3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80" w:type="dxa"/>
            <w:vAlign w:val="bottom"/>
          </w:tcPr>
          <w:p>
            <w:pPr>
              <w:jc w:val="center"/>
              <w:ind w:right="39"/>
              <w:spacing w:after="0"/>
              <w:rPr>
                <w:sz w:val="20"/>
                <w:szCs w:val="20"/>
                <w:color w:val="auto"/>
              </w:rPr>
            </w:pPr>
            <w:r>
              <w:rPr>
                <w:rFonts w:ascii="Arial" w:cs="Arial" w:eastAsia="Arial" w:hAnsi="Arial"/>
                <w:sz w:val="16"/>
                <w:szCs w:val="16"/>
                <w:color w:val="auto"/>
                <w:w w:val="91"/>
              </w:rPr>
              <w:t>(Registrant’s telephone number, including area code)</w:t>
            </w:r>
          </w:p>
        </w:tc>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168"/>
        </w:trPr>
        <w:tc>
          <w:tcPr>
            <w:tcW w:w="3160" w:type="dxa"/>
            <w:vAlign w:val="bottom"/>
          </w:tcPr>
          <w:p>
            <w:pPr>
              <w:spacing w:after="0"/>
              <w:rPr>
                <w:sz w:val="14"/>
                <w:szCs w:val="14"/>
                <w:color w:val="auto"/>
              </w:rPr>
            </w:pPr>
          </w:p>
        </w:tc>
        <w:tc>
          <w:tcPr>
            <w:tcW w:w="4340" w:type="dxa"/>
            <w:vAlign w:val="bottom"/>
            <w:tcBorders>
              <w:bottom w:val="single" w:sz="8" w:color="auto"/>
            </w:tcBorders>
            <w:gridSpan w:val="2"/>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160" w:type="dxa"/>
            <w:vAlign w:val="bottom"/>
          </w:tcPr>
          <w:p>
            <w:pPr>
              <w:spacing w:after="0"/>
              <w:rPr>
                <w:sz w:val="14"/>
                <w:szCs w:val="14"/>
                <w:color w:val="auto"/>
              </w:rPr>
            </w:pPr>
          </w:p>
        </w:tc>
      </w:tr>
      <w:tr>
        <w:trPr>
          <w:trHeight w:val="291"/>
        </w:trPr>
        <w:tc>
          <w:tcPr>
            <w:tcW w:w="7500" w:type="dxa"/>
            <w:vAlign w:val="bottom"/>
            <w:gridSpan w:val="3"/>
          </w:tcPr>
          <w:p>
            <w:pPr>
              <w:ind w:left="480"/>
              <w:spacing w:after="0"/>
              <w:rPr>
                <w:sz w:val="20"/>
                <w:szCs w:val="20"/>
                <w:color w:val="auto"/>
              </w:rPr>
            </w:pPr>
            <w:r>
              <w:rPr>
                <w:rFonts w:ascii="Arial" w:cs="Arial" w:eastAsia="Arial" w:hAnsi="Arial"/>
                <w:sz w:val="18"/>
                <w:szCs w:val="18"/>
                <w:color w:val="auto"/>
              </w:rPr>
              <w:t>Securities registered pursuant to Section 12(b) of the Act:</w:t>
            </w: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04"/>
        </w:trPr>
        <w:tc>
          <w:tcPr>
            <w:tcW w:w="3820" w:type="dxa"/>
            <w:vAlign w:val="bottom"/>
            <w:tcBorders>
              <w:bottom w:val="single" w:sz="8" w:color="auto"/>
            </w:tcBorders>
            <w:gridSpan w:val="2"/>
          </w:tcPr>
          <w:p>
            <w:pPr>
              <w:jc w:val="center"/>
              <w:ind w:left="253"/>
              <w:spacing w:after="0"/>
              <w:rPr>
                <w:sz w:val="20"/>
                <w:szCs w:val="20"/>
                <w:color w:val="auto"/>
              </w:rPr>
            </w:pPr>
            <w:r>
              <w:rPr>
                <w:rFonts w:ascii="Arial" w:cs="Arial" w:eastAsia="Arial" w:hAnsi="Arial"/>
                <w:sz w:val="14"/>
                <w:szCs w:val="14"/>
                <w:b w:val="1"/>
                <w:bCs w:val="1"/>
                <w:color w:val="auto"/>
                <w:w w:val="89"/>
              </w:rPr>
              <w:t>Title of each class</w:t>
            </w:r>
          </w:p>
        </w:tc>
        <w:tc>
          <w:tcPr>
            <w:tcW w:w="36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Trading Symbol(s)</w:t>
            </w:r>
          </w:p>
        </w:tc>
        <w:tc>
          <w:tcPr>
            <w:tcW w:w="3700" w:type="dxa"/>
            <w:vAlign w:val="bottom"/>
            <w:tcBorders>
              <w:bottom w:val="single" w:sz="8" w:color="auto"/>
            </w:tcBorders>
            <w:gridSpan w:val="2"/>
          </w:tcPr>
          <w:p>
            <w:pPr>
              <w:jc w:val="center"/>
              <w:ind w:right="39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30"/>
        </w:trPr>
        <w:tc>
          <w:tcPr>
            <w:tcW w:w="3820" w:type="dxa"/>
            <w:vAlign w:val="bottom"/>
            <w:gridSpan w:val="2"/>
          </w:tcPr>
          <w:p>
            <w:pPr>
              <w:jc w:val="center"/>
              <w:ind w:left="273"/>
              <w:spacing w:after="0"/>
              <w:rPr>
                <w:sz w:val="20"/>
                <w:szCs w:val="20"/>
                <w:color w:val="auto"/>
              </w:rPr>
            </w:pPr>
            <w:r>
              <w:rPr>
                <w:rFonts w:ascii="Arial" w:cs="Arial" w:eastAsia="Arial" w:hAnsi="Arial"/>
                <w:sz w:val="18"/>
                <w:szCs w:val="18"/>
                <w:color w:val="auto"/>
                <w:w w:val="89"/>
              </w:rPr>
              <w:t>Common Shares, $0.015 par value</w:t>
            </w:r>
          </w:p>
        </w:tc>
        <w:tc>
          <w:tcPr>
            <w:tcW w:w="3680" w:type="dxa"/>
            <w:vAlign w:val="bottom"/>
          </w:tcPr>
          <w:p>
            <w:pPr>
              <w:jc w:val="center"/>
              <w:ind w:right="59"/>
              <w:spacing w:after="0"/>
              <w:rPr>
                <w:sz w:val="20"/>
                <w:szCs w:val="20"/>
                <w:color w:val="auto"/>
              </w:rPr>
            </w:pPr>
            <w:r>
              <w:rPr>
                <w:rFonts w:ascii="Arial" w:cs="Arial" w:eastAsia="Arial" w:hAnsi="Arial"/>
                <w:sz w:val="18"/>
                <w:szCs w:val="18"/>
                <w:color w:val="auto"/>
                <w:w w:val="95"/>
              </w:rPr>
              <w:t>ESNT</w:t>
            </w:r>
          </w:p>
        </w:tc>
        <w:tc>
          <w:tcPr>
            <w:tcW w:w="540" w:type="dxa"/>
            <w:vAlign w:val="bottom"/>
          </w:tcPr>
          <w:p>
            <w:pPr>
              <w:spacing w:after="0"/>
              <w:rPr>
                <w:sz w:val="19"/>
                <w:szCs w:val="19"/>
                <w:color w:val="auto"/>
              </w:rPr>
            </w:pPr>
          </w:p>
        </w:tc>
        <w:tc>
          <w:tcPr>
            <w:tcW w:w="3160" w:type="dxa"/>
            <w:vAlign w:val="bottom"/>
          </w:tcPr>
          <w:p>
            <w:pPr>
              <w:jc w:val="center"/>
              <w:ind w:right="930"/>
              <w:spacing w:after="0"/>
              <w:rPr>
                <w:sz w:val="20"/>
                <w:szCs w:val="20"/>
                <w:color w:val="auto"/>
              </w:rPr>
            </w:pPr>
            <w:r>
              <w:rPr>
                <w:rFonts w:ascii="Arial" w:cs="Arial" w:eastAsia="Arial" w:hAnsi="Arial"/>
                <w:sz w:val="18"/>
                <w:szCs w:val="18"/>
                <w:color w:val="auto"/>
                <w:w w:val="91"/>
              </w:rPr>
              <w:t>New York Stock Exchange</w:t>
            </w:r>
          </w:p>
        </w:tc>
      </w:tr>
      <w:tr>
        <w:trPr>
          <w:trHeight w:val="310"/>
        </w:trPr>
        <w:tc>
          <w:tcPr>
            <w:tcW w:w="7500" w:type="dxa"/>
            <w:vAlign w:val="bottom"/>
            <w:gridSpan w:val="3"/>
          </w:tcPr>
          <w:p>
            <w:pPr>
              <w:ind w:left="48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102870</wp:posOffset>
            </wp:positionV>
            <wp:extent cx="3103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202" w:lineRule="exact"/>
        <w:rPr>
          <w:sz w:val="24"/>
          <w:szCs w:val="24"/>
          <w:color w:val="auto"/>
        </w:rPr>
      </w:pPr>
    </w:p>
    <w:p>
      <w:pPr>
        <w:ind w:left="500" w:right="960"/>
        <w:spacing w:after="0" w:line="282"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ind w:right="60" w:firstLine="486"/>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ind w:right="60" w:firstLine="486"/>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ind w:right="80" w:firstLine="486"/>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ind w:left="2420"/>
              <w:spacing w:after="0"/>
              <w:rPr>
                <w:sz w:val="20"/>
                <w:szCs w:val="20"/>
                <w:color w:val="auto"/>
              </w:rPr>
            </w:pPr>
            <w:r>
              <w:rPr>
                <w:rFonts w:ascii="Arial" w:cs="Arial" w:eastAsia="Arial" w:hAnsi="Arial"/>
                <w:sz w:val="18"/>
                <w:szCs w:val="18"/>
                <w:color w:val="auto"/>
              </w:rPr>
              <w:t>Large accelerated filer</w:t>
            </w:r>
          </w:p>
        </w:tc>
        <w:tc>
          <w:tcPr>
            <w:tcW w:w="8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33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r>
      <w:tr>
        <w:trPr>
          <w:trHeight w:val="229"/>
        </w:trPr>
        <w:tc>
          <w:tcPr>
            <w:tcW w:w="4280" w:type="dxa"/>
            <w:vAlign w:val="bottom"/>
          </w:tcPr>
          <w:p>
            <w:pPr>
              <w:ind w:left="2420"/>
              <w:spacing w:after="0"/>
              <w:rPr>
                <w:sz w:val="20"/>
                <w:szCs w:val="20"/>
                <w:color w:val="auto"/>
              </w:rPr>
            </w:pPr>
            <w:r>
              <w:rPr>
                <w:rFonts w:ascii="Arial" w:cs="Arial" w:eastAsia="Arial" w:hAnsi="Arial"/>
                <w:sz w:val="16"/>
                <w:szCs w:val="16"/>
                <w:color w:val="auto"/>
              </w:rPr>
              <w:t>Non-accelerated filer</w:t>
            </w:r>
          </w:p>
        </w:tc>
        <w:tc>
          <w:tcPr>
            <w:tcW w:w="8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33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4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20" w:type="dxa"/>
            <w:vAlign w:val="bottom"/>
          </w:tcPr>
          <w:p>
            <w:pPr>
              <w:ind w:left="440"/>
              <w:spacing w:after="0"/>
              <w:rPr>
                <w:sz w:val="20"/>
                <w:szCs w:val="20"/>
                <w:color w:val="auto"/>
              </w:rPr>
            </w:pPr>
            <w:r>
              <w:rPr>
                <w:rFonts w:ascii="Arial" w:cs="Arial" w:eastAsia="Arial" w:hAnsi="Arial"/>
                <w:sz w:val="16"/>
                <w:szCs w:val="16"/>
                <w:color w:val="auto"/>
              </w:rPr>
              <w:t>Emerging growth company</w:t>
            </w:r>
          </w:p>
        </w:tc>
        <w:tc>
          <w:tcPr>
            <w:tcW w:w="33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r>
      <w:tr>
        <w:trPr>
          <w:trHeight w:val="1189"/>
        </w:trPr>
        <w:tc>
          <w:tcPr>
            <w:tcW w:w="4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 w:name="page2"/>
    <w:bookmarkEnd w:id="1"/>
    <w:p>
      <w:pPr>
        <w:ind w:left="18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ectPr>
          <w:pgSz w:w="11900" w:h="16838" w:orient="portrait"/>
          <w:cols w:equalWidth="0" w:num="1">
            <w:col w:w="11060"/>
          </w:cols>
          <w:pgMar w:left="320" w:top="895" w:right="519" w:bottom="144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new or revised financial accounting standards provided pursuant to Section 13(a) of the Exchange Act.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effectiveness of its internal control over financial reporting under Section 404(b) of the Sarbanes-Oxley Act (15 U.S.C.</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498" w:lineRule="exact"/>
        <w:rPr>
          <w:sz w:val="20"/>
          <w:szCs w:val="20"/>
          <w:color w:val="auto"/>
        </w:rPr>
      </w:pPr>
    </w:p>
    <w:p>
      <w:pPr>
        <w:sectPr>
          <w:pgSz w:w="11900" w:h="16838" w:orient="portrait"/>
          <w:cols w:equalWidth="0" w:num="2">
            <w:col w:w="8880" w:space="500"/>
            <w:col w:w="1680"/>
          </w:cols>
          <w:pgMar w:left="320" w:top="895" w:right="51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7262(b)) by the registered public accounting firm that prepared or issued its audit report.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95" w:lineRule="exact"/>
        <w:rPr>
          <w:sz w:val="20"/>
          <w:szCs w:val="20"/>
          <w:color w:val="auto"/>
        </w:rPr>
      </w:pPr>
    </w:p>
    <w:p>
      <w:pPr>
        <w:sectPr>
          <w:pgSz w:w="11900" w:h="16838" w:orient="portrait"/>
          <w:cols w:equalWidth="0" w:num="2">
            <w:col w:w="6380" w:space="580"/>
            <w:col w:w="4100"/>
          </w:cols>
          <w:pgMar w:left="320" w:top="895" w:right="519" w:bottom="1440" w:gutter="0" w:footer="0" w:header="0"/>
          <w:type w:val="continuous"/>
        </w:sectPr>
      </w:pPr>
    </w:p>
    <w:p>
      <w:pPr>
        <w:ind w:left="500"/>
        <w:spacing w:after="0" w:line="230" w:lineRule="exact"/>
        <w:tabs>
          <w:tab w:leader="none" w:pos="93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ind w:right="20" w:firstLine="486"/>
        <w:spacing w:after="0" w:line="249" w:lineRule="auto"/>
        <w:rPr>
          <w:sz w:val="20"/>
          <w:szCs w:val="20"/>
          <w:color w:val="auto"/>
        </w:rPr>
      </w:pPr>
      <w:r>
        <w:rPr>
          <w:rFonts w:ascii="Arial" w:cs="Arial" w:eastAsia="Arial" w:hAnsi="Arial"/>
          <w:sz w:val="18"/>
          <w:szCs w:val="18"/>
          <w:color w:val="auto"/>
        </w:rPr>
        <w:t>As of June 30, 2020, the last business day of the registrant's most recently completed second fiscal quarter, the aggregate market value of common shares held by non-affiliates of the registrant was approximately $3,976,558,799 (based upon the last reported sales price on The New York Stock Exchange on such date).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number of the registrant's common shares outstanding as of February 19, 2021 was 112,840,615.</w:t>
      </w: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Portions of the registrant's proxy statement for the 2021 Annual General Meeting of Shareholders are incorporated by reference into Part III of this Annual Report on Form 10-K where indicated. Such Proxy Statement will be filed with the Securities and Exchange Commission within 120 days of the registrant's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704215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895" w:right="5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360" w:type="dxa"/>
            <w:vAlign w:val="bottom"/>
            <w:gridSpan w:val="5"/>
          </w:tcPr>
          <w:p>
            <w:pPr>
              <w:ind w:left="600"/>
              <w:spacing w:after="0"/>
              <w:rPr>
                <w:sz w:val="20"/>
                <w:szCs w:val="20"/>
                <w:color w:val="auto"/>
              </w:rPr>
            </w:pPr>
            <w:r>
              <w:rPr>
                <w:rFonts w:ascii="Arial" w:cs="Arial" w:eastAsia="Arial" w:hAnsi="Arial"/>
                <w:sz w:val="18"/>
                <w:szCs w:val="18"/>
                <w:b w:val="1"/>
                <w:bCs w:val="1"/>
                <w:color w:val="auto"/>
              </w:rPr>
              <w:t>TABLE OF CONTENTS</w:t>
            </w:r>
          </w:p>
        </w:tc>
      </w:tr>
      <w:tr>
        <w:trPr>
          <w:trHeight w:val="621"/>
        </w:trPr>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60" w:type="dxa"/>
            <w:vAlign w:val="bottom"/>
            <w:gridSpan w:val="5"/>
          </w:tcPr>
          <w:p>
            <w:pPr>
              <w:ind w:left="14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PART I</w:t>
              </w:r>
            </w:hyperlink>
          </w:p>
        </w:tc>
      </w:tr>
      <w:tr>
        <w:trPr>
          <w:trHeight w:val="270"/>
        </w:trPr>
        <w:tc>
          <w:tcPr>
            <w:tcW w:w="900" w:type="dxa"/>
            <w:vAlign w:val="bottom"/>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ITEM 1.</w:t>
              </w:r>
            </w:hyperlink>
          </w:p>
        </w:tc>
        <w:tc>
          <w:tcPr>
            <w:tcW w:w="7480" w:type="dxa"/>
            <w:vAlign w:val="bottom"/>
            <w:gridSpan w:val="7"/>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BUSINESS</w:t>
              </w:r>
            </w:hyperlink>
          </w:p>
        </w:tc>
      </w:tr>
      <w:tr>
        <w:trPr>
          <w:trHeight w:val="270"/>
        </w:trPr>
        <w:tc>
          <w:tcPr>
            <w:tcW w:w="8380" w:type="dxa"/>
            <w:vAlign w:val="bottom"/>
            <w:gridSpan w:val="8"/>
          </w:tcPr>
          <w:p>
            <w:pPr>
              <w:spacing w:after="0"/>
              <w:rPr>
                <w:rFonts w:ascii="Arial" w:cs="Arial" w:eastAsia="Arial" w:hAnsi="Arial"/>
                <w:sz w:val="18"/>
                <w:szCs w:val="18"/>
                <w:color w:val="0000FF"/>
              </w:rPr>
            </w:pPr>
            <w:hyperlink w:anchor="page34">
              <w:r>
                <w:rPr>
                  <w:rFonts w:ascii="Arial" w:cs="Arial" w:eastAsia="Arial" w:hAnsi="Arial"/>
                  <w:sz w:val="18"/>
                  <w:szCs w:val="18"/>
                  <w:u w:val="single" w:color="auto"/>
                  <w:color w:val="0000FF"/>
                </w:rPr>
                <w:t>ITEM 1A</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RISK FACTORS</w:t>
              </w:r>
            </w:hyperlink>
          </w:p>
        </w:tc>
      </w:tr>
      <w:tr>
        <w:trPr>
          <w:trHeight w:val="270"/>
        </w:trPr>
        <w:tc>
          <w:tcPr>
            <w:tcW w:w="900" w:type="dxa"/>
            <w:vAlign w:val="bottom"/>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1B.</w:t>
              </w:r>
            </w:hyperlink>
          </w:p>
        </w:tc>
        <w:tc>
          <w:tcPr>
            <w:tcW w:w="7480" w:type="dxa"/>
            <w:vAlign w:val="bottom"/>
            <w:gridSpan w:val="7"/>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UNRESOLVED STAFF COMMENTS</w:t>
              </w:r>
            </w:hyperlink>
          </w:p>
        </w:tc>
      </w:tr>
      <w:tr>
        <w:trPr>
          <w:trHeight w:val="270"/>
        </w:trPr>
        <w:tc>
          <w:tcPr>
            <w:tcW w:w="900" w:type="dxa"/>
            <w:vAlign w:val="bottom"/>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2.</w:t>
              </w:r>
            </w:hyperlink>
          </w:p>
        </w:tc>
        <w:tc>
          <w:tcPr>
            <w:tcW w:w="7480" w:type="dxa"/>
            <w:vAlign w:val="bottom"/>
            <w:gridSpan w:val="7"/>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PROPERTIES</w:t>
              </w:r>
            </w:hyperlink>
          </w:p>
        </w:tc>
      </w:tr>
      <w:tr>
        <w:trPr>
          <w:trHeight w:val="270"/>
        </w:trPr>
        <w:tc>
          <w:tcPr>
            <w:tcW w:w="900" w:type="dxa"/>
            <w:vAlign w:val="bottom"/>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3.</w:t>
              </w:r>
            </w:hyperlink>
          </w:p>
        </w:tc>
        <w:tc>
          <w:tcPr>
            <w:tcW w:w="7480" w:type="dxa"/>
            <w:vAlign w:val="bottom"/>
            <w:gridSpan w:val="7"/>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LEGAL PROCEEDINGS</w:t>
              </w:r>
            </w:hyperlink>
          </w:p>
        </w:tc>
      </w:tr>
      <w:tr>
        <w:trPr>
          <w:trHeight w:val="270"/>
        </w:trPr>
        <w:tc>
          <w:tcPr>
            <w:tcW w:w="900" w:type="dxa"/>
            <w:vAlign w:val="bottom"/>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4.</w:t>
              </w:r>
            </w:hyperlink>
          </w:p>
        </w:tc>
        <w:tc>
          <w:tcPr>
            <w:tcW w:w="7480" w:type="dxa"/>
            <w:vAlign w:val="bottom"/>
            <w:gridSpan w:val="7"/>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MINE SAFETY DISCLOSURES</w:t>
              </w:r>
            </w:hyperlink>
          </w:p>
        </w:tc>
      </w:tr>
      <w:tr>
        <w:trPr>
          <w:trHeight w:val="270"/>
        </w:trPr>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360" w:type="dxa"/>
            <w:vAlign w:val="bottom"/>
            <w:gridSpan w:val="5"/>
          </w:tcPr>
          <w:p>
            <w:pPr>
              <w:ind w:left="136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PART II</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ITEM 5.</w:t>
              </w:r>
            </w:hyperlink>
          </w:p>
        </w:tc>
        <w:tc>
          <w:tcPr>
            <w:tcW w:w="7480" w:type="dxa"/>
            <w:vAlign w:val="bottom"/>
            <w:gridSpan w:val="7"/>
          </w:tcPr>
          <w:p>
            <w:pPr>
              <w:spacing w:after="0"/>
              <w:rPr>
                <w:rFonts w:ascii="Arial" w:cs="Arial" w:eastAsia="Arial" w:hAnsi="Arial"/>
                <w:sz w:val="18"/>
                <w:szCs w:val="18"/>
                <w:color w:val="0000FF"/>
                <w:w w:val="98"/>
              </w:rPr>
            </w:pPr>
            <w:hyperlink w:anchor="page58">
              <w:r>
                <w:rPr>
                  <w:rFonts w:ascii="Arial" w:cs="Arial" w:eastAsia="Arial" w:hAnsi="Arial"/>
                  <w:sz w:val="18"/>
                  <w:szCs w:val="18"/>
                  <w:color w:val="0000FF"/>
                  <w:w w:val="98"/>
                </w:rPr>
                <w:t>MARKET FOR THE COMPANY'S COMMON EQUITY, RELATED STOCKHOLDER MATTERS</w:t>
              </w:r>
            </w:hyperlink>
          </w:p>
        </w:tc>
      </w:tr>
      <w:tr>
        <w:trPr>
          <w:trHeight w:val="156"/>
        </w:trPr>
        <w:tc>
          <w:tcPr>
            <w:tcW w:w="900" w:type="dxa"/>
            <w:vAlign w:val="bottom"/>
          </w:tcPr>
          <w:p>
            <w:pPr>
              <w:spacing w:after="0"/>
              <w:rPr>
                <w:sz w:val="13"/>
                <w:szCs w:val="13"/>
                <w:color w:val="auto"/>
              </w:rPr>
            </w:pPr>
          </w:p>
        </w:tc>
        <w:tc>
          <w:tcPr>
            <w:tcW w:w="72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58">
              <w:r>
                <w:rPr>
                  <w:rFonts w:ascii="Arial" w:cs="Arial" w:eastAsia="Arial" w:hAnsi="Arial"/>
                  <w:sz w:val="18"/>
                  <w:szCs w:val="18"/>
                  <w:color w:val="0000FF"/>
                </w:rPr>
                <w:t>AND ISSUER PURCHASES OF EQUITY SECURITIES</w:t>
              </w:r>
            </w:hyperlink>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900" w:type="dxa"/>
            <w:vAlign w:val="bottom"/>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ITEM 6.</w:t>
              </w:r>
            </w:hyperlink>
          </w:p>
        </w:tc>
        <w:tc>
          <w:tcPr>
            <w:tcW w:w="4180" w:type="dxa"/>
            <w:vAlign w:val="bottom"/>
            <w:tcBorders>
              <w:top w:val="single" w:sz="8" w:color="0000FF"/>
            </w:tcBorders>
            <w:gridSpan w:val="3"/>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SELECTED FINANCIAL DATA</w:t>
              </w:r>
            </w:hyperlink>
          </w:p>
        </w:tc>
        <w:tc>
          <w:tcPr>
            <w:tcW w:w="3300" w:type="dxa"/>
            <w:vAlign w:val="bottom"/>
            <w:gridSpan w:val="4"/>
          </w:tcPr>
          <w:p>
            <w:pPr>
              <w:spacing w:after="0"/>
              <w:rPr>
                <w:sz w:val="24"/>
                <w:szCs w:val="24"/>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7.</w:t>
              </w:r>
            </w:hyperlink>
          </w:p>
        </w:tc>
        <w:tc>
          <w:tcPr>
            <w:tcW w:w="7480" w:type="dxa"/>
            <w:vAlign w:val="bottom"/>
            <w:gridSpan w:val="7"/>
          </w:tcPr>
          <w:p>
            <w:pPr>
              <w:spacing w:after="0"/>
              <w:rPr>
                <w:rFonts w:ascii="Arial" w:cs="Arial" w:eastAsia="Arial" w:hAnsi="Arial"/>
                <w:sz w:val="18"/>
                <w:szCs w:val="18"/>
                <w:color w:val="0000FF"/>
                <w:w w:val="97"/>
              </w:rPr>
            </w:pPr>
            <w:hyperlink w:anchor="page60">
              <w:r>
                <w:rPr>
                  <w:rFonts w:ascii="Arial" w:cs="Arial" w:eastAsia="Arial" w:hAnsi="Arial"/>
                  <w:sz w:val="18"/>
                  <w:szCs w:val="18"/>
                  <w:color w:val="0000FF"/>
                  <w:w w:val="97"/>
                </w:rPr>
                <w:t>MANAGEMENT'S DISCUSSION AND ANALYSIS OF FINANCIAL CONDITION AND RESULTS</w:t>
              </w:r>
            </w:hyperlink>
          </w:p>
        </w:tc>
      </w:tr>
      <w:tr>
        <w:trPr>
          <w:trHeight w:val="155"/>
        </w:trPr>
        <w:tc>
          <w:tcPr>
            <w:tcW w:w="90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60">
              <w:r>
                <w:rPr>
                  <w:rFonts w:ascii="Arial" w:cs="Arial" w:eastAsia="Arial" w:hAnsi="Arial"/>
                  <w:sz w:val="18"/>
                  <w:szCs w:val="18"/>
                  <w:color w:val="0000FF"/>
                  <w:w w:val="91"/>
                </w:rPr>
                <w:t>OF OPERATIONS</w:t>
              </w:r>
            </w:hyperlink>
          </w:p>
        </w:tc>
        <w:tc>
          <w:tcPr>
            <w:tcW w:w="60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8380" w:type="dxa"/>
            <w:vAlign w:val="bottom"/>
            <w:gridSpan w:val="8"/>
          </w:tcPr>
          <w:p>
            <w:pPr>
              <w:spacing w:after="0"/>
              <w:rPr>
                <w:rFonts w:ascii="Arial" w:cs="Arial" w:eastAsia="Arial" w:hAnsi="Arial"/>
                <w:sz w:val="18"/>
                <w:szCs w:val="18"/>
                <w:color w:val="0000FF"/>
              </w:rPr>
            </w:pPr>
            <w:hyperlink w:anchor="page85">
              <w:r>
                <w:rPr>
                  <w:rFonts w:ascii="Arial" w:cs="Arial" w:eastAsia="Arial" w:hAnsi="Arial"/>
                  <w:sz w:val="18"/>
                  <w:szCs w:val="18"/>
                  <w:u w:val="single" w:color="auto"/>
                  <w:color w:val="0000FF"/>
                </w:rPr>
                <w:t>ITEM 7A</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QUANTITATIVE AND QUALITATIVE DISCLOSURES ABOUT MARKET RISK</w:t>
              </w:r>
            </w:hyperlink>
          </w:p>
        </w:tc>
      </w:tr>
      <w:tr>
        <w:trPr>
          <w:trHeight w:val="270"/>
        </w:trPr>
        <w:tc>
          <w:tcPr>
            <w:tcW w:w="900" w:type="dxa"/>
            <w:vAlign w:val="bottom"/>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ITEM 8.</w:t>
              </w:r>
            </w:hyperlink>
          </w:p>
        </w:tc>
        <w:tc>
          <w:tcPr>
            <w:tcW w:w="7480" w:type="dxa"/>
            <w:vAlign w:val="bottom"/>
            <w:gridSpan w:val="7"/>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FINANCIAL STATEMENTS AND SUPPLEMENTARY DATA</w:t>
              </w:r>
            </w:hyperlink>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ITEM 9.</w:t>
              </w:r>
            </w:hyperlink>
          </w:p>
        </w:tc>
        <w:tc>
          <w:tcPr>
            <w:tcW w:w="7480" w:type="dxa"/>
            <w:vAlign w:val="bottom"/>
            <w:gridSpan w:val="7"/>
          </w:tcPr>
          <w:p>
            <w:pPr>
              <w:spacing w:after="0"/>
              <w:rPr>
                <w:rFonts w:ascii="Arial" w:cs="Arial" w:eastAsia="Arial" w:hAnsi="Arial"/>
                <w:sz w:val="18"/>
                <w:szCs w:val="18"/>
                <w:color w:val="0000FF"/>
              </w:rPr>
            </w:pPr>
            <w:hyperlink w:anchor="page127">
              <w:r>
                <w:rPr>
                  <w:rFonts w:ascii="Arial" w:cs="Arial" w:eastAsia="Arial" w:hAnsi="Arial"/>
                  <w:sz w:val="18"/>
                  <w:szCs w:val="18"/>
                  <w:color w:val="0000FF"/>
                </w:rPr>
                <w:t>CHANGES IN AND DISAGREEMENTS WITH ACCOUNTANTS ON ACCOUNTING AND</w:t>
              </w:r>
            </w:hyperlink>
          </w:p>
        </w:tc>
      </w:tr>
      <w:tr>
        <w:trPr>
          <w:trHeight w:val="156"/>
        </w:trPr>
        <w:tc>
          <w:tcPr>
            <w:tcW w:w="900" w:type="dxa"/>
            <w:vAlign w:val="bottom"/>
          </w:tcPr>
          <w:p>
            <w:pPr>
              <w:spacing w:after="0"/>
              <w:rPr>
                <w:sz w:val="13"/>
                <w:szCs w:val="13"/>
                <w:color w:val="auto"/>
              </w:rPr>
            </w:pPr>
          </w:p>
        </w:tc>
        <w:tc>
          <w:tcPr>
            <w:tcW w:w="692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127">
              <w:r>
                <w:rPr>
                  <w:rFonts w:ascii="Arial" w:cs="Arial" w:eastAsia="Arial" w:hAnsi="Arial"/>
                  <w:sz w:val="18"/>
                  <w:szCs w:val="18"/>
                  <w:color w:val="0000FF"/>
                </w:rPr>
                <w:t>FINANCIAL DISCLOSURE</w:t>
              </w:r>
            </w:hyperlink>
          </w:p>
        </w:tc>
        <w:tc>
          <w:tcPr>
            <w:tcW w:w="560" w:type="dxa"/>
            <w:vAlign w:val="bottom"/>
            <w:gridSpan w:val="3"/>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r>
      <w:tr>
        <w:trPr>
          <w:trHeight w:val="277"/>
        </w:trPr>
        <w:tc>
          <w:tcPr>
            <w:tcW w:w="8380" w:type="dxa"/>
            <w:vAlign w:val="bottom"/>
            <w:gridSpan w:val="8"/>
          </w:tcPr>
          <w:p>
            <w:pPr>
              <w:spacing w:after="0"/>
              <w:rPr>
                <w:rFonts w:ascii="Arial" w:cs="Arial" w:eastAsia="Arial" w:hAnsi="Arial"/>
                <w:sz w:val="18"/>
                <w:szCs w:val="18"/>
                <w:color w:val="0000FF"/>
              </w:rPr>
            </w:pPr>
            <w:hyperlink w:anchor="page128">
              <w:r>
                <w:rPr>
                  <w:rFonts w:ascii="Arial" w:cs="Arial" w:eastAsia="Arial" w:hAnsi="Arial"/>
                  <w:sz w:val="18"/>
                  <w:szCs w:val="18"/>
                  <w:u w:val="single" w:color="auto"/>
                  <w:color w:val="0000FF"/>
                </w:rPr>
                <w:t>ITEM 9A</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CONTROLS AND PROCEDURES</w:t>
              </w:r>
            </w:hyperlink>
          </w:p>
        </w:tc>
      </w:tr>
      <w:tr>
        <w:trPr>
          <w:trHeight w:val="270"/>
        </w:trPr>
        <w:tc>
          <w:tcPr>
            <w:tcW w:w="900" w:type="dxa"/>
            <w:vAlign w:val="bottom"/>
          </w:tcPr>
          <w:p>
            <w:pPr>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ITEM 9B.</w:t>
              </w:r>
            </w:hyperlink>
          </w:p>
        </w:tc>
        <w:tc>
          <w:tcPr>
            <w:tcW w:w="7480" w:type="dxa"/>
            <w:vAlign w:val="bottom"/>
            <w:gridSpan w:val="7"/>
          </w:tcPr>
          <w:p>
            <w:pPr>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OTHER INFORMATION</w:t>
              </w:r>
            </w:hyperlink>
          </w:p>
        </w:tc>
      </w:tr>
    </w:tbl>
    <w:p>
      <w:pPr>
        <w:spacing w:after="0" w:line="40" w:lineRule="exact"/>
        <w:rPr>
          <w:sz w:val="20"/>
          <w:szCs w:val="20"/>
          <w:color w:val="auto"/>
        </w:rPr>
      </w:pPr>
    </w:p>
    <w:p>
      <w:pPr>
        <w:ind w:left="4360"/>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PART III</w:t>
        </w:r>
      </w:hyperlink>
    </w:p>
    <w:p>
      <w:pPr>
        <w:spacing w:after="0" w:line="63" w:lineRule="exact"/>
        <w:rPr>
          <w:sz w:val="20"/>
          <w:szCs w:val="20"/>
          <w:color w:val="auto"/>
        </w:rPr>
      </w:pPr>
    </w:p>
    <w:p>
      <w:pPr>
        <w:ind w:right="1660"/>
        <w:spacing w:after="0" w:line="313" w:lineRule="auto"/>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ITEM 10</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DIRECTORS, EXECUTIVE OFFICERS AND CORPORATE GOVERNANCE</w:t>
        </w:r>
      </w:hyperlink>
      <w:r>
        <w:rPr>
          <w:rFonts w:ascii="Arial" w:cs="Arial" w:eastAsia="Arial" w:hAnsi="Arial"/>
          <w:sz w:val="18"/>
          <w:szCs w:val="18"/>
          <w:color w:val="0000FF"/>
        </w:rPr>
        <w:t xml:space="preserve"> </w:t>
      </w:r>
      <w:hyperlink w:anchor="page129">
        <w:r>
          <w:rPr>
            <w:rFonts w:ascii="Arial" w:cs="Arial" w:eastAsia="Arial" w:hAnsi="Arial"/>
            <w:sz w:val="18"/>
            <w:szCs w:val="18"/>
            <w:u w:val="single" w:color="auto"/>
            <w:color w:val="0000FF"/>
          </w:rPr>
          <w:t>ITEM 11. EXECUTIVE COMPENSATION</w:t>
        </w:r>
      </w:hyperlink>
    </w:p>
    <w:p>
      <w:pPr>
        <w:ind w:left="900" w:right="300" w:hanging="904"/>
        <w:spacing w:after="0" w:line="235" w:lineRule="auto"/>
        <w:tabs>
          <w:tab w:leader="none" w:pos="880" w:val="left"/>
        </w:tabs>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ITEM 12</w:t>
        </w:r>
        <w:r>
          <w:rPr>
            <w:rFonts w:ascii="Arial" w:cs="Arial" w:eastAsia="Arial" w:hAnsi="Arial"/>
            <w:sz w:val="18"/>
            <w:szCs w:val="18"/>
            <w:color w:val="0000FF"/>
          </w:rPr>
          <w:t>.</w:t>
        </w:r>
      </w:hyperlink>
      <w:r>
        <w:rPr>
          <w:rFonts w:ascii="Arial" w:cs="Arial" w:eastAsia="Arial" w:hAnsi="Arial"/>
          <w:sz w:val="18"/>
          <w:szCs w:val="18"/>
          <w:color w:val="0000FF"/>
        </w:rPr>
        <w:tab/>
      </w:r>
      <w:hyperlink w:anchor="page129">
        <w:r>
          <w:rPr>
            <w:rFonts w:ascii="Arial" w:cs="Arial" w:eastAsia="Arial" w:hAnsi="Arial"/>
            <w:sz w:val="18"/>
            <w:szCs w:val="18"/>
            <w:u w:val="single" w:color="auto"/>
            <w:color w:val="0000FF"/>
          </w:rPr>
          <w:t>SECURITY OWNERSHIP OF CERTAIN BENEFICIAL OWNERS AND MANAGEMENT AND</w:t>
        </w:r>
      </w:hyperlink>
      <w:r>
        <w:rPr>
          <w:rFonts w:ascii="Arial" w:cs="Arial" w:eastAsia="Arial" w:hAnsi="Arial"/>
          <w:sz w:val="18"/>
          <w:szCs w:val="18"/>
          <w:u w:val="single" w:color="auto"/>
          <w:color w:val="0000FF"/>
        </w:rPr>
        <w:t xml:space="preserve"> </w:t>
      </w:r>
      <w:hyperlink w:anchor="page129">
        <w:r>
          <w:rPr>
            <w:rFonts w:ascii="Arial" w:cs="Arial" w:eastAsia="Arial" w:hAnsi="Arial"/>
            <w:sz w:val="18"/>
            <w:szCs w:val="18"/>
            <w:u w:val="single" w:color="auto"/>
            <w:color w:val="0000FF"/>
          </w:rPr>
          <w:t>RELATED STOCKHOLDER MATTERS</w:t>
        </w:r>
      </w:hyperlink>
    </w:p>
    <w:p>
      <w:pPr>
        <w:spacing w:after="0" w:line="27" w:lineRule="exact"/>
        <w:rPr>
          <w:rFonts w:ascii="Arial" w:cs="Arial" w:eastAsia="Arial" w:hAnsi="Arial"/>
          <w:sz w:val="18"/>
          <w:szCs w:val="18"/>
          <w:color w:val="0000FF"/>
        </w:rPr>
      </w:pPr>
    </w:p>
    <w:p>
      <w:pPr>
        <w:ind w:left="900" w:right="1180" w:hanging="904"/>
        <w:spacing w:after="0" w:line="235" w:lineRule="auto"/>
        <w:tabs>
          <w:tab w:leader="none" w:pos="880" w:val="left"/>
        </w:tabs>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ITEM 13</w:t>
        </w:r>
        <w:r>
          <w:rPr>
            <w:rFonts w:ascii="Arial" w:cs="Arial" w:eastAsia="Arial" w:hAnsi="Arial"/>
            <w:sz w:val="18"/>
            <w:szCs w:val="18"/>
            <w:color w:val="0000FF"/>
          </w:rPr>
          <w:t>.</w:t>
        </w:r>
      </w:hyperlink>
      <w:r>
        <w:rPr>
          <w:rFonts w:ascii="Arial" w:cs="Arial" w:eastAsia="Arial" w:hAnsi="Arial"/>
          <w:sz w:val="18"/>
          <w:szCs w:val="18"/>
          <w:color w:val="0000FF"/>
        </w:rPr>
        <w:tab/>
      </w:r>
      <w:hyperlink w:anchor="page129">
        <w:r>
          <w:rPr>
            <w:rFonts w:ascii="Arial" w:cs="Arial" w:eastAsia="Arial" w:hAnsi="Arial"/>
            <w:sz w:val="18"/>
            <w:szCs w:val="18"/>
            <w:u w:val="single" w:color="auto"/>
            <w:color w:val="0000FF"/>
          </w:rPr>
          <w:t>CERTAIN RELATIONSHIPS AND RELATED TRANSACTIONS, AND DIRECTOR</w:t>
        </w:r>
      </w:hyperlink>
      <w:r>
        <w:rPr>
          <w:rFonts w:ascii="Arial" w:cs="Arial" w:eastAsia="Arial" w:hAnsi="Arial"/>
          <w:sz w:val="18"/>
          <w:szCs w:val="18"/>
          <w:u w:val="single" w:color="auto"/>
          <w:color w:val="0000FF"/>
        </w:rPr>
        <w:t xml:space="preserve"> </w:t>
      </w:r>
      <w:hyperlink w:anchor="page129">
        <w:r>
          <w:rPr>
            <w:rFonts w:ascii="Arial" w:cs="Arial" w:eastAsia="Arial" w:hAnsi="Arial"/>
            <w:sz w:val="18"/>
            <w:szCs w:val="18"/>
            <w:u w:val="single" w:color="auto"/>
            <w:color w:val="0000FF"/>
          </w:rPr>
          <w:t>INDEPENDENCE</w:t>
        </w:r>
      </w:hyperlink>
    </w:p>
    <w:p>
      <w:pPr>
        <w:spacing w:after="0" w:line="27" w:lineRule="exact"/>
        <w:rPr>
          <w:rFonts w:ascii="Arial" w:cs="Arial" w:eastAsia="Arial" w:hAnsi="Arial"/>
          <w:sz w:val="18"/>
          <w:szCs w:val="18"/>
          <w:color w:val="0000FF"/>
        </w:rPr>
      </w:pPr>
    </w:p>
    <w:p>
      <w:pPr>
        <w:ind w:left="900" w:right="3340" w:hanging="4359"/>
        <w:spacing w:after="0" w:line="313" w:lineRule="auto"/>
        <w:tabs>
          <w:tab w:leader="none" w:pos="880" w:val="left"/>
        </w:tabs>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ITEM 14</w:t>
        </w:r>
        <w:r>
          <w:rPr>
            <w:rFonts w:ascii="Arial" w:cs="Arial" w:eastAsia="Arial" w:hAnsi="Arial"/>
            <w:sz w:val="18"/>
            <w:szCs w:val="18"/>
            <w:color w:val="0000FF"/>
          </w:rPr>
          <w:t>.</w:t>
        </w:r>
      </w:hyperlink>
      <w:r>
        <w:rPr>
          <w:rFonts w:ascii="Arial" w:cs="Arial" w:eastAsia="Arial" w:hAnsi="Arial"/>
          <w:sz w:val="18"/>
          <w:szCs w:val="18"/>
          <w:color w:val="0000FF"/>
        </w:rPr>
        <w:tab/>
      </w:r>
      <w:hyperlink w:anchor="page129">
        <w:r>
          <w:rPr>
            <w:rFonts w:ascii="Arial" w:cs="Arial" w:eastAsia="Arial" w:hAnsi="Arial"/>
            <w:sz w:val="18"/>
            <w:szCs w:val="18"/>
            <w:u w:val="single" w:color="auto"/>
            <w:color w:val="0000FF"/>
          </w:rPr>
          <w:t>PRINCIPAL ACCOUNTING FEES AND SERVICES</w:t>
        </w:r>
      </w:hyperlink>
      <w:r>
        <w:rPr>
          <w:rFonts w:ascii="Arial" w:cs="Arial" w:eastAsia="Arial" w:hAnsi="Arial"/>
          <w:sz w:val="18"/>
          <w:szCs w:val="18"/>
          <w:u w:val="single" w:color="auto"/>
          <w:color w:val="0000FF"/>
        </w:rPr>
        <w:t xml:space="preserve"> </w:t>
      </w:r>
      <w:hyperlink w:anchor="page130">
        <w:r>
          <w:rPr>
            <w:rFonts w:ascii="Arial" w:cs="Arial" w:eastAsia="Arial" w:hAnsi="Arial"/>
            <w:sz w:val="18"/>
            <w:szCs w:val="18"/>
            <w:u w:val="single" w:color="auto"/>
            <w:color w:val="0000FF"/>
          </w:rPr>
          <w:t>PART IV</w:t>
        </w:r>
      </w:hyperlink>
    </w:p>
    <w:p>
      <w:pPr>
        <w:ind w:right="3420"/>
        <w:spacing w:after="0" w:line="355" w:lineRule="auto"/>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ITEM 15</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EXHIBITS, FINANCIAL STATEMENT SCHEDULES</w:t>
        </w:r>
      </w:hyperlink>
      <w:r>
        <w:rPr>
          <w:rFonts w:ascii="Arial" w:cs="Arial" w:eastAsia="Arial" w:hAnsi="Arial"/>
          <w:sz w:val="18"/>
          <w:szCs w:val="18"/>
          <w:color w:val="0000FF"/>
        </w:rPr>
        <w:t xml:space="preserve"> </w:t>
      </w:r>
      <w:hyperlink w:anchor="page131">
        <w:r>
          <w:rPr>
            <w:rFonts w:ascii="Arial" w:cs="Arial" w:eastAsia="Arial" w:hAnsi="Arial"/>
            <w:sz w:val="18"/>
            <w:szCs w:val="18"/>
            <w:u w:val="single" w:color="auto"/>
            <w:color w:val="0000FF"/>
          </w:rPr>
          <w:t>ITEM 16</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FORM 10-K SUMMARY</w:t>
        </w:r>
      </w:hyperlink>
      <w:r>
        <w:rPr>
          <w:rFonts w:ascii="Arial" w:cs="Arial" w:eastAsia="Arial" w:hAnsi="Arial"/>
          <w:sz w:val="18"/>
          <w:szCs w:val="18"/>
          <w:color w:val="0000FF"/>
        </w:rPr>
        <w:t xml:space="preserve"> </w:t>
      </w:r>
      <w:hyperlink w:anchor="page131">
        <w:r>
          <w:rPr>
            <w:rFonts w:ascii="Arial" w:cs="Arial" w:eastAsia="Arial" w:hAnsi="Arial"/>
            <w:sz w:val="18"/>
            <w:szCs w:val="18"/>
            <w:u w:val="single" w:color="auto"/>
            <w:color w:val="0000FF"/>
          </w:rPr>
          <w:t>SIGNATURES</w:t>
        </w:r>
      </w:hyperlink>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305" w:lineRule="exact"/>
        <w:rPr>
          <w:rFonts w:ascii="Arial" w:cs="Arial" w:eastAsia="Arial" w:hAnsi="Arial"/>
          <w:sz w:val="18"/>
          <w:szCs w:val="18"/>
          <w:color w:val="0000FF"/>
        </w:rPr>
      </w:pPr>
    </w:p>
    <w:p>
      <w:pPr>
        <w:jc w:val="center"/>
        <w:ind w:left="800"/>
        <w:spacing w:after="0"/>
        <w:rPr>
          <w:sz w:val="20"/>
          <w:szCs w:val="20"/>
          <w:color w:val="auto"/>
        </w:rPr>
      </w:pPr>
      <w:r>
        <w:rPr>
          <w:rFonts w:ascii="Arial" w:cs="Arial" w:eastAsia="Arial" w:hAnsi="Arial"/>
          <w:sz w:val="18"/>
          <w:szCs w:val="18"/>
          <w:color w:val="auto"/>
        </w:rPr>
        <w:t>i</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-654685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br w:type="column"/>
      </w:r>
    </w:p>
    <w:p>
      <w:pPr>
        <w:spacing w:after="0" w:line="37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5"/>
          <w:szCs w:val="15"/>
          <w:u w:val="single" w:color="auto"/>
          <w:color w:val="auto"/>
        </w:rPr>
        <w:t>Page</w:t>
      </w:r>
    </w:p>
    <w:p>
      <w:pPr>
        <w:spacing w:after="0" w:line="368"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1</w:t>
        </w:r>
      </w:hyperlink>
    </w:p>
    <w:p>
      <w:pPr>
        <w:spacing w:after="0" w:line="63"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29</w:t>
        </w:r>
      </w:hyperlink>
    </w:p>
    <w:p>
      <w:pPr>
        <w:spacing w:after="0" w:line="63"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51</w:t>
        </w:r>
      </w:hyperlink>
    </w:p>
    <w:p>
      <w:pPr>
        <w:spacing w:after="0" w:line="63"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51</w:t>
        </w:r>
      </w:hyperlink>
    </w:p>
    <w:p>
      <w:pPr>
        <w:spacing w:after="0" w:line="63"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51</w:t>
        </w:r>
      </w:hyperlink>
    </w:p>
    <w:p>
      <w:pPr>
        <w:spacing w:after="0" w:line="63"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51</w:t>
        </w:r>
      </w:hyperlink>
    </w:p>
    <w:p>
      <w:pPr>
        <w:spacing w:after="0" w:line="200" w:lineRule="exact"/>
        <w:rPr>
          <w:rFonts w:ascii="Arial" w:cs="Arial" w:eastAsia="Arial" w:hAnsi="Arial"/>
          <w:sz w:val="18"/>
          <w:szCs w:val="18"/>
          <w:color w:val="0000FF"/>
        </w:rPr>
      </w:pPr>
    </w:p>
    <w:p>
      <w:pPr>
        <w:spacing w:after="0" w:line="295"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52</w:t>
        </w:r>
      </w:hyperlink>
    </w:p>
    <w:p>
      <w:pPr>
        <w:spacing w:after="0" w:line="63"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53</w:t>
        </w:r>
      </w:hyperlink>
    </w:p>
    <w:p>
      <w:pPr>
        <w:spacing w:after="0" w:line="225"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55</w:t>
        </w:r>
      </w:hyperlink>
    </w:p>
    <w:p>
      <w:pPr>
        <w:spacing w:after="0" w:line="63"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79</w:t>
        </w:r>
      </w:hyperlink>
    </w:p>
    <w:p>
      <w:pPr>
        <w:spacing w:after="0" w:line="63"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80</w:t>
        </w:r>
      </w:hyperlink>
    </w:p>
    <w:p>
      <w:pPr>
        <w:spacing w:after="0" w:line="225"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122</w:t>
        </w:r>
      </w:hyperlink>
    </w:p>
    <w:p>
      <w:pPr>
        <w:spacing w:after="0" w:line="63"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122</w:t>
        </w:r>
      </w:hyperlink>
    </w:p>
    <w:p>
      <w:pPr>
        <w:spacing w:after="0" w:line="63"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122</w:t>
        </w:r>
      </w:hyperlink>
    </w:p>
    <w:p>
      <w:pPr>
        <w:spacing w:after="0" w:line="333"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123</w:t>
        </w:r>
      </w:hyperlink>
    </w:p>
    <w:p>
      <w:pPr>
        <w:spacing w:after="0" w:line="63"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123</w:t>
        </w:r>
      </w:hyperlink>
    </w:p>
    <w:p>
      <w:pPr>
        <w:spacing w:after="0" w:line="225"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123</w:t>
        </w:r>
      </w:hyperlink>
    </w:p>
    <w:p>
      <w:pPr>
        <w:spacing w:after="0" w:line="225"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123</w:t>
        </w:r>
      </w:hyperlink>
    </w:p>
    <w:p>
      <w:pPr>
        <w:spacing w:after="0" w:line="63"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124</w:t>
        </w:r>
      </w:hyperlink>
    </w:p>
    <w:p>
      <w:pPr>
        <w:spacing w:after="0" w:line="333"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124</w:t>
        </w:r>
      </w:hyperlink>
    </w:p>
    <w:p>
      <w:pPr>
        <w:spacing w:after="0" w:line="63"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125</w:t>
        </w:r>
      </w:hyperlink>
    </w:p>
    <w:p>
      <w:pPr>
        <w:spacing w:after="0" w:line="63" w:lineRule="exact"/>
        <w:rPr>
          <w:rFonts w:ascii="Arial" w:cs="Arial" w:eastAsia="Arial" w:hAnsi="Arial"/>
          <w:sz w:val="18"/>
          <w:szCs w:val="18"/>
          <w:color w:val="0000FF"/>
        </w:rPr>
      </w:pPr>
    </w:p>
    <w:p>
      <w:pPr>
        <w:jc w:val="right"/>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126</w:t>
        </w:r>
      </w:hyperlink>
    </w:p>
    <w:p>
      <w:pPr>
        <w:sectPr>
          <w:pgSz w:w="11900" w:h="16838" w:orient="portrait"/>
          <w:cols w:equalWidth="0" w:num="2">
            <w:col w:w="8360" w:space="460"/>
            <w:col w:w="360"/>
          </w:cols>
          <w:pgMar w:left="1360" w:top="891" w:right="1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ind w:right="180" w:firstLine="445"/>
        <w:spacing w:after="0" w:line="293" w:lineRule="auto"/>
        <w:rPr>
          <w:sz w:val="20"/>
          <w:szCs w:val="20"/>
          <w:color w:val="auto"/>
        </w:rPr>
      </w:pPr>
      <w:r>
        <w:rPr>
          <w:rFonts w:ascii="Arial" w:cs="Arial" w:eastAsia="Arial" w:hAnsi="Arial"/>
          <w:sz w:val="16"/>
          <w:szCs w:val="16"/>
          <w:color w:val="auto"/>
        </w:rPr>
        <w:t>This Annual Report on Form 10-K, or Annual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91"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The forward-looking statements contained in this Annual Report reflect our views as of the date of this Annual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in Part I, Item 1A "Risk Factors" and in Part II, Item 7 "Management's Discussion and Analysis of Financial Condition and Results of Operations."</w:t>
      </w:r>
    </w:p>
    <w:p>
      <w:pPr>
        <w:spacing w:after="0" w:line="191"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Annual Report are based on information available to us on the date of this Annual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56"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Investing in our securities involves a high degree of risk and uncertainties. Below is a summary of the material risk factors associated with an investment in our securities. You should read this summary together with the more detailed description of each risk factor that immediately follows this summary. However, the risk factors described herein are not all of the risks we may face. Other risks not presently known to us or that we currently believe are immaterial may materially affect our business if they occur. Moreover, new risks emerge from time to time. Further, our business may also be affected by additional factors that apply to all companies operating in the U.S. and globally, which have not been included. In addition to this summary and the more detailed description of the risk factors, you should carefully consider other sections of this annual report on Form 10-K, which may include additional factors that could adversely affect our business, prior to investing in our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56" w:lineRule="exact"/>
        <w:rPr>
          <w:sz w:val="20"/>
          <w:szCs w:val="20"/>
          <w:color w:val="auto"/>
        </w:rPr>
      </w:pPr>
    </w:p>
    <w:p>
      <w:pPr>
        <w:ind w:left="660" w:right="180" w:hanging="247"/>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the COVID-19 pandemic continues to materially adversely affect our business, results of operations, financial condition and liquidity will depend on numerous evolving factors and future developments that we are not able to predict.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256" w:lineRule="exact"/>
        <w:rPr>
          <w:sz w:val="20"/>
          <w:szCs w:val="20"/>
          <w:color w:val="auto"/>
        </w:rPr>
      </w:pPr>
    </w:p>
    <w:p>
      <w:pPr>
        <w:jc w:val="both"/>
        <w:ind w:left="660" w:right="380" w:hanging="247"/>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Competition</w:t>
      </w:r>
      <w:r>
        <w:rPr>
          <w:rFonts w:ascii="Arial" w:cs="Arial" w:eastAsia="Arial" w:hAnsi="Arial"/>
          <w:sz w:val="18"/>
          <w:szCs w:val="18"/>
          <w:color w:val="auto"/>
        </w:rPr>
        <w:t>. Intense competition among private mortgage insurers could result in competitors reducing pricing, loosening their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or relaxing their risk management practices, which could, in turn, improve their competitive position in the industry and negatively impact our level of NIW.</w:t>
      </w:r>
    </w:p>
    <w:p>
      <w:pPr>
        <w:spacing w:after="0" w:line="210" w:lineRule="exact"/>
        <w:rPr>
          <w:rFonts w:ascii="Arial" w:cs="Arial" w:eastAsia="Arial" w:hAnsi="Arial"/>
          <w:sz w:val="18"/>
          <w:szCs w:val="18"/>
          <w:color w:val="auto"/>
        </w:rPr>
      </w:pPr>
    </w:p>
    <w:p>
      <w:pPr>
        <w:ind w:left="660" w:right="300" w:hanging="247"/>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Importance of Significant Customers</w:t>
      </w:r>
      <w:r>
        <w:rPr>
          <w:rFonts w:ascii="Arial" w:cs="Arial" w:eastAsia="Arial" w:hAnsi="Arial"/>
          <w:sz w:val="18"/>
          <w:szCs w:val="18"/>
          <w:color w:val="auto"/>
        </w:rPr>
        <w:t>. Maintaining our business relationships and business volumes with our largest lending customers remains</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to the success of our business.</w:t>
      </w:r>
    </w:p>
    <w:p>
      <w:pPr>
        <w:spacing w:after="0" w:line="197" w:lineRule="exact"/>
        <w:rPr>
          <w:rFonts w:ascii="Arial" w:cs="Arial" w:eastAsia="Arial" w:hAnsi="Arial"/>
          <w:sz w:val="18"/>
          <w:szCs w:val="18"/>
          <w:color w:val="auto"/>
        </w:rPr>
      </w:pPr>
    </w:p>
    <w:p>
      <w:pPr>
        <w:ind w:left="660" w:right="360" w:hanging="247"/>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Alternatives to Private Mortgage Insurance</w:t>
      </w:r>
      <w:r>
        <w:rPr>
          <w:rFonts w:ascii="Arial" w:cs="Arial" w:eastAsia="Arial" w:hAnsi="Arial"/>
          <w:sz w:val="18"/>
          <w:szCs w:val="18"/>
          <w:color w:val="auto"/>
        </w:rPr>
        <w:t>. The use of alternatives to private mortgage insurance, including government-supported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programs as well as home purchase or refinancing alternatives that do not use any form of mortgage insurance, could reduce or eliminate the demand for our product.</w:t>
      </w:r>
    </w:p>
    <w:p>
      <w:pPr>
        <w:spacing w:after="0" w:line="210" w:lineRule="exact"/>
        <w:rPr>
          <w:rFonts w:ascii="Arial" w:cs="Arial" w:eastAsia="Arial" w:hAnsi="Arial"/>
          <w:sz w:val="18"/>
          <w:szCs w:val="18"/>
          <w:color w:val="auto"/>
        </w:rPr>
      </w:pPr>
    </w:p>
    <w:p>
      <w:pPr>
        <w:ind w:left="660" w:right="140" w:hanging="247"/>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Reduction in Volume of Low Down Payment Mortgage Originations</w:t>
      </w:r>
      <w:r>
        <w:rPr>
          <w:rFonts w:ascii="Arial" w:cs="Arial" w:eastAsia="Arial" w:hAnsi="Arial"/>
          <w:sz w:val="18"/>
          <w:szCs w:val="18"/>
          <w:color w:val="auto"/>
        </w:rPr>
        <w:t>. Changes in interest rates, alternatives to private mortgage insurance,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tax laws relating to the deductibility of mortgage interest, among other factors, could negatively impact the origination volume of low down payment mortgages requiring private mortgage insurance.</w:t>
      </w:r>
    </w:p>
    <w:p>
      <w:pPr>
        <w:spacing w:after="0" w:line="210" w:lineRule="exact"/>
        <w:rPr>
          <w:rFonts w:ascii="Arial" w:cs="Arial" w:eastAsia="Arial" w:hAnsi="Arial"/>
          <w:sz w:val="18"/>
          <w:szCs w:val="18"/>
          <w:color w:val="auto"/>
        </w:rPr>
      </w:pPr>
    </w:p>
    <w:p>
      <w:pPr>
        <w:ind w:left="660" w:right="180" w:hanging="247"/>
        <w:spacing w:after="0" w:line="25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Claims and Loss Reserve Estimates</w:t>
      </w:r>
      <w:r>
        <w:rPr>
          <w:rFonts w:ascii="Arial" w:cs="Arial" w:eastAsia="Arial" w:hAnsi="Arial"/>
          <w:sz w:val="18"/>
          <w:szCs w:val="18"/>
          <w:color w:val="auto"/>
        </w:rPr>
        <w:t>. An increase in the number or size of claims, compared to what we anticipate, could adversely affect our</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 or financial conditions. We establish reserves using estimated claim rates and claim amounts in estimating the ultimate loss. Because our reserving method does not account for the impact of future losses that could occur from loans that are not yet delinquent, our obligation for ultimate losses that we expect to occur under our policies in force at any period end is generally not reflected in our financial statements.</w:t>
      </w:r>
    </w:p>
    <w:p>
      <w:pPr>
        <w:spacing w:after="0" w:line="214" w:lineRule="exact"/>
        <w:rPr>
          <w:rFonts w:ascii="Arial" w:cs="Arial" w:eastAsia="Arial" w:hAnsi="Arial"/>
          <w:sz w:val="18"/>
          <w:szCs w:val="18"/>
          <w:color w:val="auto"/>
        </w:rPr>
      </w:pPr>
    </w:p>
    <w:p>
      <w:pPr>
        <w:ind w:left="660" w:right="360" w:hanging="247"/>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Deteriorating Economic Conditions</w:t>
      </w:r>
      <w:r>
        <w:rPr>
          <w:rFonts w:ascii="Arial" w:cs="Arial" w:eastAsia="Arial" w:hAnsi="Arial"/>
          <w:sz w:val="18"/>
          <w:szCs w:val="18"/>
          <w:color w:val="auto"/>
        </w:rPr>
        <w:t>. A deterioration in macroeconomic conditions generally increases the likelihood that borrowers will lack</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income to pay their mortgages and otherwise likely negatively affects the value of homes, increasing the risk to us of a claim from a mortgage default.</w:t>
      </w:r>
    </w:p>
    <w:p>
      <w:pPr>
        <w:spacing w:after="0" w:line="210"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Inadequate Premium Levels</w:t>
      </w:r>
      <w:r>
        <w:rPr>
          <w:rFonts w:ascii="Arial" w:cs="Arial" w:eastAsia="Arial" w:hAnsi="Arial"/>
          <w:sz w:val="18"/>
          <w:szCs w:val="18"/>
          <w:color w:val="auto"/>
        </w:rPr>
        <w:t>. Our mortgage insurance premium rates may not be adequate to cover future losses.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Investment Portfolio</w:t>
      </w:r>
      <w:r>
        <w:rPr>
          <w:rFonts w:ascii="Arial" w:cs="Arial" w:eastAsia="Arial" w:hAnsi="Arial"/>
          <w:sz w:val="18"/>
          <w:szCs w:val="18"/>
          <w:color w:val="auto"/>
        </w:rPr>
        <w:t>. Changing market conditions could materially impact the future valuation of securities in our investment portfolio.</w:t>
      </w:r>
    </w:p>
    <w:p>
      <w:pPr>
        <w:spacing w:after="0" w:line="252" w:lineRule="exact"/>
        <w:rPr>
          <w:rFonts w:ascii="Arial" w:cs="Arial" w:eastAsia="Arial" w:hAnsi="Arial"/>
          <w:sz w:val="18"/>
          <w:szCs w:val="18"/>
          <w:color w:val="auto"/>
        </w:rPr>
      </w:pPr>
    </w:p>
    <w:p>
      <w:pPr>
        <w:ind w:left="660" w:right="20" w:hanging="247"/>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Financial Strength Ratings</w:t>
      </w:r>
      <w:r>
        <w:rPr>
          <w:rFonts w:ascii="Arial" w:cs="Arial" w:eastAsia="Arial" w:hAnsi="Arial"/>
          <w:sz w:val="16"/>
          <w:szCs w:val="16"/>
          <w:color w:val="auto"/>
        </w:rPr>
        <w:t>. A downgrade in our financial strength ratings could adversely affect us in many ways, including requiring us to reduce</w:t>
      </w:r>
      <w:r>
        <w:rPr>
          <w:rFonts w:ascii="Arial" w:cs="Arial" w:eastAsia="Arial" w:hAnsi="Arial"/>
          <w:sz w:val="16"/>
          <w:szCs w:val="16"/>
          <w:i w:val="1"/>
          <w:iCs w:val="1"/>
          <w:color w:val="auto"/>
        </w:rPr>
        <w:t xml:space="preserve"> </w:t>
      </w:r>
      <w:r>
        <w:rPr>
          <w:rFonts w:ascii="Arial" w:cs="Arial" w:eastAsia="Arial" w:hAnsi="Arial"/>
          <w:sz w:val="16"/>
          <w:szCs w:val="16"/>
          <w:color w:val="auto"/>
        </w:rPr>
        <w:t>our premiums in order to remain competitive, impacting our ability to obtain reinsurance, and limiting our access to the capital markets.</w:t>
      </w:r>
    </w:p>
    <w:p>
      <w:pPr>
        <w:spacing w:after="0" w:line="150" w:lineRule="exact"/>
        <w:rPr>
          <w:rFonts w:ascii="Arial" w:cs="Arial" w:eastAsia="Arial" w:hAnsi="Arial"/>
          <w:sz w:val="16"/>
          <w:szCs w:val="16"/>
          <w:color w:val="auto"/>
        </w:rPr>
      </w:pPr>
    </w:p>
    <w:p>
      <w:pPr>
        <w:ind w:left="660" w:right="140" w:hanging="247"/>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IT and Cybersecurity</w:t>
      </w:r>
      <w:r>
        <w:rPr>
          <w:rFonts w:ascii="Arial" w:cs="Arial" w:eastAsia="Arial" w:hAnsi="Arial"/>
          <w:sz w:val="18"/>
          <w:szCs w:val="18"/>
          <w:color w:val="auto"/>
        </w:rPr>
        <w:t>. If our information technology systems were to fail or become outmoded, we may experience a significant disruption in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Breaches in our information technology security could result in the loss or misuse of this information, which could, in turn, result in potential regulatory actions or litigation,</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5" w:name="page6"/>
    <w:bookmarkEnd w:id="5"/>
    <w:p>
      <w:pPr>
        <w:ind w:left="660" w:right="20" w:hanging="247"/>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Reinsurance</w:t>
      </w:r>
      <w:r>
        <w:rPr>
          <w:rFonts w:ascii="Arial" w:cs="Arial" w:eastAsia="Arial" w:hAnsi="Arial"/>
          <w:sz w:val="18"/>
          <w:szCs w:val="18"/>
          <w:color w:val="auto"/>
        </w:rPr>
        <w:t>. Due to market conditions or otherwise, reinsurance may not be available to us in amounts that we consider to be sufficient or at rates</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consider to be acceptable.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and Litigation</w:t>
      </w:r>
    </w:p>
    <w:p>
      <w:pPr>
        <w:spacing w:after="0" w:line="256" w:lineRule="exact"/>
        <w:rPr>
          <w:sz w:val="20"/>
          <w:szCs w:val="20"/>
          <w:color w:val="auto"/>
        </w:rPr>
      </w:pPr>
    </w:p>
    <w:p>
      <w:pPr>
        <w:ind w:left="660" w:right="100" w:hanging="247"/>
        <w:spacing w:after="0" w:line="263" w:lineRule="auto"/>
        <w:tabs>
          <w:tab w:leader="none" w:pos="65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GSE Reform</w:t>
      </w:r>
      <w:r>
        <w:rPr>
          <w:rFonts w:ascii="Arial" w:cs="Arial" w:eastAsia="Arial" w:hAnsi="Arial"/>
          <w:sz w:val="18"/>
          <w:szCs w:val="18"/>
          <w:color w:val="auto"/>
        </w:rPr>
        <w:t>. Legislative or regulatory actions or decisions to change the role of the GSEs in the U.S. housing market generally, or changes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charters of the GSEs with regard to the use of credit enhancements generally and private mortgage insurance specifically, could reduce our revenues or adversely affect our profitability and returns.</w:t>
      </w:r>
    </w:p>
    <w:p>
      <w:pPr>
        <w:spacing w:after="0" w:line="210" w:lineRule="exact"/>
        <w:rPr>
          <w:rFonts w:ascii="Arial" w:cs="Arial" w:eastAsia="Arial" w:hAnsi="Arial"/>
          <w:sz w:val="18"/>
          <w:szCs w:val="18"/>
          <w:b w:val="1"/>
          <w:bCs w:val="1"/>
          <w:i w:val="1"/>
          <w:iCs w:val="1"/>
          <w:color w:val="auto"/>
        </w:rPr>
      </w:pPr>
    </w:p>
    <w:p>
      <w:pPr>
        <w:ind w:left="660" w:right="240" w:hanging="247"/>
        <w:spacing w:after="0" w:line="263" w:lineRule="auto"/>
        <w:tabs>
          <w:tab w:leader="none" w:pos="65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GSE Eligibility</w:t>
      </w:r>
      <w:r>
        <w:rPr>
          <w:rFonts w:ascii="Arial" w:cs="Arial" w:eastAsia="Arial" w:hAnsi="Arial"/>
          <w:sz w:val="18"/>
          <w:szCs w:val="18"/>
          <w:color w:val="auto"/>
        </w:rPr>
        <w:t>. Changes in the business practices of the GSEs, including actions or decisions to decrease or discontinue the use of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or changes in the GSEs' eligibility requirements for mortgage insurers, could reduce our revenues or adversely affect our profitability and returns.</w:t>
      </w:r>
    </w:p>
    <w:p>
      <w:pPr>
        <w:spacing w:after="0" w:line="210" w:lineRule="exact"/>
        <w:rPr>
          <w:rFonts w:ascii="Arial" w:cs="Arial" w:eastAsia="Arial" w:hAnsi="Arial"/>
          <w:sz w:val="18"/>
          <w:szCs w:val="18"/>
          <w:b w:val="1"/>
          <w:bCs w:val="1"/>
          <w:i w:val="1"/>
          <w:iCs w:val="1"/>
          <w:color w:val="auto"/>
        </w:rPr>
      </w:pPr>
    </w:p>
    <w:p>
      <w:pPr>
        <w:ind w:left="660" w:right="120" w:hanging="247"/>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QM and QRM Rules</w:t>
      </w:r>
      <w:r>
        <w:rPr>
          <w:rFonts w:ascii="Arial" w:cs="Arial" w:eastAsia="Arial" w:hAnsi="Arial"/>
          <w:sz w:val="18"/>
          <w:szCs w:val="18"/>
          <w:color w:val="auto"/>
        </w:rPr>
        <w:t>. Changes in the definitions of "Qualified Mortgage" or "Qualified Residential Mortgage" could reduce the size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origination market or create incentives to use government mortgage insurance programs over, or other alternatives to, private mortgage insurance.</w:t>
      </w:r>
    </w:p>
    <w:p>
      <w:pPr>
        <w:spacing w:after="0" w:line="210"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Basel III</w:t>
      </w:r>
      <w:r>
        <w:rPr>
          <w:rFonts w:ascii="Arial" w:cs="Arial" w:eastAsia="Arial" w:hAnsi="Arial"/>
          <w:sz w:val="18"/>
          <w:szCs w:val="18"/>
          <w:color w:val="auto"/>
        </w:rPr>
        <w:t>. Implementation of the Basel III Capital Accord may discourage the use of private mortgage insurance.</w:t>
      </w:r>
    </w:p>
    <w:p>
      <w:pPr>
        <w:spacing w:after="0" w:line="252" w:lineRule="exact"/>
        <w:rPr>
          <w:rFonts w:ascii="Arial" w:cs="Arial" w:eastAsia="Arial" w:hAnsi="Arial"/>
          <w:sz w:val="18"/>
          <w:szCs w:val="18"/>
          <w:color w:val="auto"/>
        </w:rPr>
      </w:pPr>
    </w:p>
    <w:p>
      <w:pPr>
        <w:ind w:left="660" w:right="220" w:hanging="247"/>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Regulation</w:t>
      </w:r>
      <w:r>
        <w:rPr>
          <w:rFonts w:ascii="Arial" w:cs="Arial" w:eastAsia="Arial" w:hAnsi="Arial"/>
          <w:sz w:val="18"/>
          <w:szCs w:val="18"/>
          <w:color w:val="auto"/>
        </w:rPr>
        <w:t>. Our insurance and reinsurance subsidiaries are subject to broad government regulation in each of the jurisdictions in which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or authorized to do business, including regarding trade and claim practices, accounting methods, premium rates, marketing practices, advertising, policy forms, and capital adequacy.</w:t>
      </w:r>
    </w:p>
    <w:p>
      <w:pPr>
        <w:spacing w:after="0" w:line="210"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Litigation</w:t>
      </w:r>
      <w:r>
        <w:rPr>
          <w:rFonts w:ascii="Arial" w:cs="Arial" w:eastAsia="Arial" w:hAnsi="Arial"/>
          <w:sz w:val="18"/>
          <w:szCs w:val="18"/>
          <w:color w:val="auto"/>
        </w:rPr>
        <w:t>. The mortgage insurance industry faces litigation risk in the ordinary course of operations, including the risk of class action lawsuits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enforcement by Federal and state agencies.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Taxes and Our Corporate Structure</w:t>
      </w:r>
    </w:p>
    <w:p>
      <w:pPr>
        <w:spacing w:after="0" w:line="256" w:lineRule="exact"/>
        <w:rPr>
          <w:sz w:val="20"/>
          <w:szCs w:val="20"/>
          <w:color w:val="auto"/>
        </w:rPr>
      </w:pPr>
    </w:p>
    <w:p>
      <w:pPr>
        <w:ind w:left="660" w:hanging="247"/>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Foreign Operations</w:t>
      </w:r>
      <w:r>
        <w:rPr>
          <w:rFonts w:ascii="Arial" w:cs="Arial" w:eastAsia="Arial" w:hAnsi="Arial"/>
          <w:sz w:val="18"/>
          <w:szCs w:val="18"/>
          <w:color w:val="auto"/>
        </w:rPr>
        <w:t>. We and our non-U.S. subsidiaries may become subject to U.S. Federal income and branch profits taxation.</w:t>
      </w:r>
    </w:p>
    <w:p>
      <w:pPr>
        <w:spacing w:after="0" w:line="252" w:lineRule="exact"/>
        <w:rPr>
          <w:rFonts w:ascii="Arial" w:cs="Arial" w:eastAsia="Arial" w:hAnsi="Arial"/>
          <w:sz w:val="18"/>
          <w:szCs w:val="18"/>
          <w:b w:val="1"/>
          <w:bCs w:val="1"/>
          <w:i w:val="1"/>
          <w:iCs w:val="1"/>
          <w:color w:val="auto"/>
        </w:rPr>
      </w:pPr>
    </w:p>
    <w:p>
      <w:pPr>
        <w:ind w:left="660" w:right="60" w:hanging="247"/>
        <w:spacing w:after="0" w:line="276"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Tax-Related Matters</w:t>
      </w:r>
      <w:r>
        <w:rPr>
          <w:rFonts w:ascii="Arial" w:cs="Arial" w:eastAsia="Arial" w:hAnsi="Arial"/>
          <w:sz w:val="16"/>
          <w:szCs w:val="16"/>
          <w:color w:val="auto"/>
        </w:rPr>
        <w:t>. Holders of 10% or more of our common shares may be subject to U.S. income taxation under the "controlled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rules. U.S. Persons who hold our shares may be subject to U.S. income taxation at ordinary income rates on their proportionate share of our "related party insurance income". U.S. Persons who dispose of our shares may be subject to U.S. Federal income taxation at the rates applicable to dividends on a portion of such disposition. U.S. Persons who hold our shares will be subject to adverse tax consequences if we are considered to be a "passive foreign investment company" ("PFIC"). U.S. tax-exempt organizations who own our shares may recognize unrelated business taxable income. Proposed U.S. tax legislation could have an adverse impact on us or holders of our common shares.</w:t>
      </w:r>
    </w:p>
    <w:p>
      <w:pPr>
        <w:spacing w:after="0" w:line="202" w:lineRule="exact"/>
        <w:rPr>
          <w:rFonts w:ascii="Arial" w:cs="Arial" w:eastAsia="Arial" w:hAnsi="Arial"/>
          <w:sz w:val="16"/>
          <w:szCs w:val="16"/>
          <w:color w:val="auto"/>
        </w:rPr>
      </w:pPr>
    </w:p>
    <w:p>
      <w:pPr>
        <w:ind w:left="660" w:right="60" w:hanging="247"/>
        <w:spacing w:after="0" w:line="268" w:lineRule="auto"/>
        <w:tabs>
          <w:tab w:leader="none" w:pos="621" w:val="left"/>
        </w:tabs>
        <w:numPr>
          <w:ilvl w:val="0"/>
          <w:numId w:val="7"/>
        </w:numPr>
        <w:rPr>
          <w:rFonts w:ascii="Arial" w:cs="Arial" w:eastAsia="Arial" w:hAnsi="Arial"/>
          <w:sz w:val="18"/>
          <w:szCs w:val="18"/>
          <w:color w:val="auto"/>
        </w:rPr>
      </w:pPr>
      <w:r>
        <w:rPr>
          <w:rFonts w:ascii="Arial" w:cs="Arial" w:eastAsia="Arial" w:hAnsi="Arial"/>
          <w:sz w:val="16"/>
          <w:szCs w:val="16"/>
          <w:i w:val="1"/>
          <w:iCs w:val="1"/>
          <w:color w:val="auto"/>
        </w:rPr>
        <w:t>Bermuda Holding Company</w:t>
      </w:r>
      <w:r>
        <w:rPr>
          <w:rFonts w:ascii="Arial" w:cs="Arial" w:eastAsia="Arial" w:hAnsi="Arial"/>
          <w:sz w:val="16"/>
          <w:szCs w:val="16"/>
          <w:color w:val="auto"/>
        </w:rPr>
        <w:t>. As a Bermuda exempted company, the rights of holders of our common shares are governed by our memorandum of</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association and bye-laws and Bermuda law, which may differ from the rights of shareholders of companies incorporated in other jurisdictions. We have the option, but not the obligation, under our bye-laws and subject to Bermuda law to require a shareholder to sell to us at fair market value the minimum number of common shares which is necessary to avoid or cure any adverse tax consequences or materially adverse legal or regulatory treatment to us as reasonably determined by our board. There are regulatory limitations on the ownership and transfer of our common shares imposed by the Bermuda Monetary Authority and the Pennsylvania Insurance Department. U.S. persons who own our shares may have more difficulty in protecting their interests than U.S. persons who are shareholders of a U.S. corporation.</w:t>
      </w:r>
    </w:p>
    <w:p>
      <w:pPr>
        <w:spacing w:after="0" w:line="196" w:lineRule="exact"/>
        <w:rPr>
          <w:rFonts w:ascii="Arial" w:cs="Arial" w:eastAsia="Arial" w:hAnsi="Arial"/>
          <w:sz w:val="18"/>
          <w:szCs w:val="18"/>
          <w:color w:val="auto"/>
        </w:rPr>
      </w:pPr>
    </w:p>
    <w:p>
      <w:pPr>
        <w:ind w:left="660" w:right="220" w:hanging="247"/>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Dividend Restrictions</w:t>
      </w:r>
      <w:r>
        <w:rPr>
          <w:rFonts w:ascii="Arial" w:cs="Arial" w:eastAsia="Arial" w:hAnsi="Arial"/>
          <w:sz w:val="18"/>
          <w:szCs w:val="18"/>
          <w:color w:val="auto"/>
        </w:rPr>
        <w:t>. Dividend income to Essent Group Ltd. from its insurance subsidiaries may be restricted by applicable state and Bermuda</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laws.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 w:name="page7"/>
    <w:bookmarkEnd w:id="6"/>
    <w:p>
      <w:pPr>
        <w:ind w:right="60"/>
        <w:spacing w:after="0" w:line="259" w:lineRule="auto"/>
        <w:rPr>
          <w:sz w:val="20"/>
          <w:szCs w:val="20"/>
          <w:color w:val="auto"/>
        </w:rPr>
      </w:pPr>
      <w:r>
        <w:rPr>
          <w:rFonts w:ascii="Arial" w:cs="Arial" w:eastAsia="Arial" w:hAnsi="Arial"/>
          <w:sz w:val="18"/>
          <w:szCs w:val="18"/>
          <w:i w:val="1"/>
          <w:iCs w:val="1"/>
          <w:color w:val="auto"/>
        </w:rPr>
        <w:t>Unless the context otherwise indicates or requires, the terms "we," "our," "us," "Essent," and the "Company," as used in this Annual Report,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We are an established and growing private mortgage insurance company. Private mortgage insurance plays a critical role in the U.S. housing finance system. Essent and other private mortgage insurers provide credit protection to lenders and mortgage investors by covering a portion of the unpaid principal balance of a mortgage and certain related expenses in the event of a default. In doing so, we provide private capital to mitigate mortgage credit risk, allowing lenders to make additional mortgage financing available to prospective homeowners.</w:t>
      </w:r>
    </w:p>
    <w:p>
      <w:pPr>
        <w:spacing w:after="0" w:line="214"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Private mortgage insurance helps extend affordable home ownership by facilitating the sale of low down payment loans into the secondary market. The GSEs, which are U.S. Federal government-sponsored enterprises, purchase residential mortgages from banks and other lenders and guaranty mortgage-backed securities that are offered to investors in the secondary mortgage market. The GSEs are restricted by their charters from purchasing or guaranteeing low down payment loans, defined as loans with less than a 20% down payment, that are not covered by certain credit protections. Private mortgage insurance satisfies the GSEs' credit protection requirements for low down payment loans, supporting a robust secondary mortgage market in the United States.</w:t>
      </w:r>
    </w:p>
    <w:p>
      <w:pPr>
        <w:spacing w:after="0" w:line="219" w:lineRule="exact"/>
        <w:rPr>
          <w:sz w:val="20"/>
          <w:szCs w:val="20"/>
          <w:color w:val="auto"/>
        </w:rPr>
      </w:pPr>
    </w:p>
    <w:p>
      <w:pPr>
        <w:ind w:right="180" w:firstLine="445"/>
        <w:spacing w:after="0" w:line="279" w:lineRule="auto"/>
        <w:rPr>
          <w:sz w:val="20"/>
          <w:szCs w:val="20"/>
          <w:color w:val="auto"/>
        </w:rPr>
      </w:pPr>
      <w:r>
        <w:rPr>
          <w:rFonts w:ascii="Arial" w:cs="Arial" w:eastAsia="Arial" w:hAnsi="Arial"/>
          <w:sz w:val="17"/>
          <w:szCs w:val="17"/>
          <w:color w:val="auto"/>
        </w:rPr>
        <w:t>Our primary U.S. mortgage insurance subsidiary, Essent Guaranty, Inc., which we refer to as "Essent Guaranty," received its certificate of authority from the Pennsylvania Insurance Department in July 2009. We subsequently acquired our mortgage insurance platform from a former private mortgage insurance industry participant and, in 2010, became the first private mortgage insurer to be approved since 1995 by Fannie Mae and Freddie Mac, which we refer to collectively as the GSEs. We are licensed to write coverage in all 50 states and the District of Columbia.</w:t>
      </w:r>
    </w:p>
    <w:p>
      <w:pPr>
        <w:spacing w:after="0" w:line="198"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For the years ended December 31, 2020, 2019 and 2018, we generated new insurance written, or NIW, of approximately $107.9 billion, $63.6 billion and $47.5 billion, respectively. As of December 31, 2020, we had approximately $198.9 billion of insurance in force. Our top ten customers represented approximately 35.8%, 42.8% and 43.5% of our NIW on a flow basis for the years ended December 31, 2020, 2019 and 2018, respectively. The financial strength ratings of Essent Guaranty are A3 with a stable outlook by Moody's Investors Service ("Moody's"), BBB+ with a negative outlook by S&amp;P Global Ratings ("S&amp;P") and A (Excellent) with a stable outlook by A.M. Best.</w:t>
      </w:r>
    </w:p>
    <w:p>
      <w:pPr>
        <w:spacing w:after="0" w:line="215" w:lineRule="exact"/>
        <w:rPr>
          <w:sz w:val="20"/>
          <w:szCs w:val="20"/>
          <w:color w:val="auto"/>
        </w:rPr>
      </w:pPr>
    </w:p>
    <w:p>
      <w:pPr>
        <w:ind w:right="100" w:firstLine="445"/>
        <w:spacing w:after="0" w:line="301" w:lineRule="auto"/>
        <w:rPr>
          <w:sz w:val="20"/>
          <w:szCs w:val="20"/>
          <w:color w:val="auto"/>
        </w:rPr>
      </w:pPr>
      <w:r>
        <w:rPr>
          <w:rFonts w:ascii="Arial" w:cs="Arial" w:eastAsia="Arial" w:hAnsi="Arial"/>
          <w:sz w:val="16"/>
          <w:szCs w:val="16"/>
          <w:color w:val="auto"/>
        </w:rPr>
        <w:t>We also offer mortgage-related insurance and reinsurance through our wholly-owned Bermuda-based subsidiary, Essent Reinsurance Ltd., which we refer to as "Essent Re." As of December 31, 2020, Essent Re provided insurance or reinsurance relating to GSE risk share and other reinsurance transactions covering approximately $1.4 billion of risk. Essent Re also reinsures 25% of Essent Guaranty, Inc.'s NIW under a quota share reinsurance agreement. The financial strength ratings of Essent Re are BBB+ with a negative outlook by S&amp;P and A (Excellent) with a stable outlook by A.M. Best.</w:t>
      </w:r>
    </w:p>
    <w:p>
      <w:pPr>
        <w:spacing w:after="0" w:line="184"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of 381 employees as of December 31, 2020.</w:t>
      </w:r>
    </w:p>
    <w:p>
      <w:pPr>
        <w:spacing w:after="0" w:line="211" w:lineRule="exact"/>
        <w:rPr>
          <w:sz w:val="20"/>
          <w:szCs w:val="20"/>
          <w:color w:val="auto"/>
        </w:rPr>
      </w:pPr>
    </w:p>
    <w:p>
      <w:pPr>
        <w:ind w:right="20" w:firstLine="445"/>
        <w:spacing w:after="0" w:line="272" w:lineRule="auto"/>
        <w:rPr>
          <w:sz w:val="20"/>
          <w:szCs w:val="20"/>
          <w:color w:val="auto"/>
        </w:rPr>
      </w:pPr>
      <w:r>
        <w:rPr>
          <w:rFonts w:ascii="Arial" w:cs="Arial" w:eastAsia="Arial" w:hAnsi="Arial"/>
          <w:sz w:val="16"/>
          <w:szCs w:val="16"/>
          <w:color w:val="auto"/>
        </w:rPr>
        <w:t>The COVID-19 pandemic had a material impact on our 2020 financial results. While uncertain, the future impact of the COVID-19 pandemic on our business, results of operations, financial condition and liquidity may also be material. Under forbearance plans announced by the GSEs and implemented by their servicers, eligible homeowners who are adversely impacted by COVID-19 are permitted to temporarily reduce or suspend their mortgage payments for up to 12 months. Over 90% of mortgage loans insured by us are federally backed by the GSEs. Because a mortgage loan in forbearance is considered delinquent, we will provide loss reserves as loans in forbearance are reported to us as delinquent once the borrower has missed two consecutive payments. However, we believe providing borrowers time to recover from the adverse financial impact of the COVID-19 event may allow some families to be able to remain in their homes and avoid foreclosure. For borrowers that have the ability to begin to pay their mortgage at the end of the forbearance period, we expect that mortgage servicers will work with them to modify their loans at which time the mortgage will be removed from delinquency status.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ind w:right="120" w:firstLine="445"/>
        <w:spacing w:after="0" w:line="241" w:lineRule="auto"/>
        <w:rPr>
          <w:sz w:val="20"/>
          <w:szCs w:val="20"/>
          <w:color w:val="auto"/>
        </w:rPr>
      </w:pPr>
      <w:r>
        <w:rPr>
          <w:rFonts w:ascii="Arial" w:cs="Arial" w:eastAsia="Arial" w:hAnsi="Arial"/>
          <w:sz w:val="18"/>
          <w:szCs w:val="18"/>
          <w:color w:val="auto"/>
        </w:rPr>
        <w:t>The COVID-19 pandemic also had a significant impact on our human capital management in 2020. A majority of our workforce worked remotely beginning in the first quarter. We reopened several of our office locations in September 2020 on a fully volunteer basis to provide our employees an in office option. We support a healthy work environment by implementing new Health Safety policies and practices including temperature scanning, face masks requirements, staggered shifts, upgraded cleaning practices, social distancing requirements and contact tracing. We did not furlough or conduct any employee layoffs due to the pandemic during the year.</w:t>
      </w:r>
    </w:p>
    <w:p>
      <w:pPr>
        <w:spacing w:after="0" w:line="216" w:lineRule="exact"/>
        <w:rPr>
          <w:sz w:val="20"/>
          <w:szCs w:val="20"/>
          <w:color w:val="auto"/>
        </w:rPr>
      </w:pPr>
    </w:p>
    <w:p>
      <w:pPr>
        <w:ind w:right="200" w:firstLine="445"/>
        <w:spacing w:after="0" w:line="263" w:lineRule="auto"/>
        <w:rPr>
          <w:sz w:val="20"/>
          <w:szCs w:val="20"/>
          <w:color w:val="auto"/>
        </w:rPr>
      </w:pPr>
      <w:r>
        <w:rPr>
          <w:rFonts w:ascii="Arial" w:cs="Arial" w:eastAsia="Arial" w:hAnsi="Arial"/>
          <w:sz w:val="18"/>
          <w:szCs w:val="18"/>
          <w:color w:val="auto"/>
        </w:rPr>
        <w:t>For more information on how COVID-19 has, and may continue to, impact us, our employees and our results of operations, see "—Human Capital Management", "Risk Factors—Risks Related to the COVID-19 Pandemic", and "Management's Discussion and Analysis of Financial Condition and Results of Operations—Overview—COVID-19".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 Mortgage Market</w:t>
      </w:r>
    </w:p>
    <w:p>
      <w:pPr>
        <w:spacing w:after="0" w:line="252" w:lineRule="exact"/>
        <w:rPr>
          <w:sz w:val="20"/>
          <w:szCs w:val="20"/>
          <w:color w:val="auto"/>
        </w:rPr>
      </w:pPr>
    </w:p>
    <w:p>
      <w:pPr>
        <w:ind w:right="60" w:firstLine="445"/>
        <w:spacing w:after="0" w:line="289" w:lineRule="auto"/>
        <w:rPr>
          <w:sz w:val="20"/>
          <w:szCs w:val="20"/>
          <w:color w:val="auto"/>
        </w:rPr>
      </w:pPr>
      <w:r>
        <w:rPr>
          <w:rFonts w:ascii="Arial" w:cs="Arial" w:eastAsia="Arial" w:hAnsi="Arial"/>
          <w:sz w:val="16"/>
          <w:szCs w:val="16"/>
          <w:color w:val="auto"/>
        </w:rPr>
        <w:t>The U.S. residential mortgage market is one of the largest in the world, with over $11.5 trillion of debt outstanding as of September 30, 2020, and includes a range of private and government-sponsored participants. Private industry participants include mortgage banks, mortgage brokers, commercial, regional and investment banks, savings institutions, credit unions, REITs, mortgage insurers and other financial institutions. Public participants include government agencies such as the Federal Housing Administration, or FHA, the Veterans Administration, or VA, the U.S. Department of Agriculture Rural Development program and the Government National Mortgage Association, or Ginnie Mae, as well as government-sponsored enterprises such as Fannie Mae and Freddie Mac. The overall U.S. residential mortgage market encompasses both primary and secondary markets. The primary market consists of lenders originating home loans to borrowers, and includes loans made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mortgage-backed securities.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GSEs</w:t>
      </w:r>
    </w:p>
    <w:p>
      <w:pPr>
        <w:spacing w:after="0" w:line="252"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The GSEs are the largest participants in the secondary mortgage market, buying residential mortgages from banks and other primary lenders as part of their government mandate to provide liquidity and stability in the U.S. housing finance system. According to the Federal Reserve, the GSEs held or guaranteed approximately $5.3 trillion, or 45.8%, of total U.S. residential mortgage debt outstanding as of September 30, 2020. Their charters generally prohibit the GSEs from purchasing a low down payment loan unless that loan is insured by a GSE-approved mortgage insurer, the mortgage seller retains at least a 10% participation in the loan or the seller agrees to repurchase or replace the loan in the event of a default. Historically, private mortgage insurance has been the preferred method utilized to meet this GSE charter requirement. As a result, the private mortgage insurance industry in the United States is driven in large part by the business practices and mortgage insurance requirements of the GSEs.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252"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Mortgage insurance plays a critical role in the U.S. residential mortgage market by facilitating secondary market sales and by providing lenders and investors a means to diversify their exposures and mitigate mortgage credit risk. Mortgage insurance is provided by both private companies, such as Essent, and government agencies, such as the FHA and the VA. From 2001 through 2020, an average of 25.5% of total annual mortgage origination volume utilized mortgage insurance.</w:t>
      </w:r>
    </w:p>
    <w:p>
      <w:pPr>
        <w:spacing w:after="0" w:line="214"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Mortgage insurance industry volumes are influenced by total mortgage originations, and the mix between purchase and refinancing originations. Historically, mortgage insurance utilization has been meaningfully higher in purchase originations compared to refinancing originations. In 2020, total U.S. residential mortgage origination volume was estimated at $3.57 trillion, comprised of $1.42 trillion of purchase originations and $2.15 trillion of refinancing originations. The significant increase in the mortgage market in 2020 over the prior year was driven in large part by historically low interest rates resulting from the COVID-19 pandemic and related economic conditions.</w:t>
      </w:r>
    </w:p>
    <w:p>
      <w:pPr>
        <w:spacing w:after="0" w:line="215"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The following graph provides detail on trends in total residential mortgage originations and the breakdown of the market between purchase and refinancing volume.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Residential Purchase vs. Refinancing Mortgage Originations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102870</wp:posOffset>
            </wp:positionV>
            <wp:extent cx="5863590" cy="1929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359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6"/>
          <w:szCs w:val="16"/>
          <w:color w:val="auto"/>
        </w:rPr>
        <w:t>Mortgage Bankers Association</w:t>
      </w:r>
    </w:p>
    <w:p>
      <w:pPr>
        <w:spacing w:after="0" w:line="128"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The charts below detail the relative share of the insured mortgage market covered by public and private participants, and historical NIW trends in the mortgage insurance market and private mortgage insurance penetration rates, which represents private mortgage insurance NIW to total U.S. residential mortgage origination volume. As depicted below, the severe economic and housing market dislocation experienced as a result of the 2007-2008 financial crisis had a profound impact on our industry. Incumbent insurers experienced record high claims activity and sustained significant financial losses, resulting in depleted capital positions. The private mortgage insurance industry, however, has more than doubled its share of the total insured market since 2009, leading to higher private mortgage insurance penetration of the total mortgage origination market. In 2020, private mortgage insurance increased to an estimated 46% of the total insured market and covered 17% of the total mortgage origination volume.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Relative Share of Private and Public Mortgage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111760</wp:posOffset>
            </wp:positionV>
            <wp:extent cx="5863590" cy="1997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359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6"/>
          <w:szCs w:val="16"/>
          <w:color w:val="auto"/>
        </w:rPr>
        <w:t>Inside Mortgage Finance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Private mortgage insurance NIW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102870</wp:posOffset>
            </wp:positionV>
            <wp:extent cx="5863590" cy="1800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359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Source: Inside Mortgage Finance, except for total originations for the purpose of calculating private mortgage insurance penetration, which is based on Mortgage Bankers Association. For 2011 through 2020, private mortgage insurance penetration includes private mortgage insurance NIW originated under the Home Affordable Refinancing Program, or "HARP".</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Competition</w:t>
      </w:r>
    </w:p>
    <w:p>
      <w:pPr>
        <w:spacing w:after="0" w:line="158"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The private mortgage insurance industry is highly competitive. Private mortgage insurers generally compete on the basis of pricing, customer relationships, underwriting guidelines, terms and conditions, financial strength, reputation, the strength of management and field organizations, the effective use of technology, and innovation in the delivery and servicing of insurance products. The private mortgage insurance industry currently consists of six active private mortgage insurers: Essent Guaranty, Arch Mortgage Insurance Company, Genworth Financial, Inc., Mortgage Guaranty Insurance Corporation, National Mortgage Insurance Corporation and Radian Guaranty Inc.</w:t>
      </w:r>
    </w:p>
    <w:p>
      <w:pPr>
        <w:spacing w:after="0" w:line="120"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We and other private mortgage insurers compete directly with Federal and state governmental and quasi-governmental agencies that provide mortgage insurance, principally, the FHA and, to a lesser degree, the VA. We and other private mortgage insurers also face limited competition from state-sponsored mortgage insurance funds in several states, including California and New York. From time to time, other state legislatures and agencies consider expanding the authority of their state governments to insure residential mortgages.</w:t>
      </w:r>
    </w:p>
    <w:p>
      <w:pPr>
        <w:spacing w:after="0" w:line="106"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Our industry also competes with products designed to eliminate the need for private mortgage insurance, such as "piggyback loans," which combine a first lien loan with a second lien in order to meet the 80% loan-to-value threshold required for sale to the GSEs without certain credit protections. In addition, we compete with investors willing to hold credit risk on their own balance sheets without credit enhancement and, in some markets, with alternative forms of credit enhancement such as structured finance products and derivatives.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there are two principal types of private mortgage insurance, primary and pool.</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Primary Mortgage Insurance</w:t>
      </w:r>
    </w:p>
    <w:p>
      <w:pPr>
        <w:spacing w:after="0" w:line="158" w:lineRule="exact"/>
        <w:rPr>
          <w:sz w:val="20"/>
          <w:szCs w:val="20"/>
          <w:color w:val="auto"/>
        </w:rPr>
      </w:pPr>
    </w:p>
    <w:p>
      <w:pPr>
        <w:ind w:right="60" w:firstLine="445"/>
        <w:spacing w:after="0" w:line="311" w:lineRule="auto"/>
        <w:rPr>
          <w:sz w:val="20"/>
          <w:szCs w:val="20"/>
          <w:color w:val="auto"/>
        </w:rPr>
      </w:pPr>
      <w:r>
        <w:rPr>
          <w:rFonts w:ascii="Arial" w:cs="Arial" w:eastAsia="Arial" w:hAnsi="Arial"/>
          <w:sz w:val="16"/>
          <w:szCs w:val="16"/>
          <w:color w:val="auto"/>
        </w:rPr>
        <w:t>Primary mortgage insurance provides protection on individual loans at specified coverage percentages. Primary mortgage insurance is typically offered to customers on individual loans at the time of origination on a flow (i.e., loan-by-loan) basis, but can also be written in bulk transactions (in which each loan in a portfolio of loans is insured in a single transaction). A substantial majority of our policies are primary mortgage insurance.</w:t>
      </w:r>
    </w:p>
    <w:p>
      <w:pPr>
        <w:spacing w:after="0" w:line="68"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Customers that purchase our primary mortgage insurance select a specific coverage level for each insured loan. To be eligible for purchase by a GSE, a low down payment loan must comply with the coverage percentages established by that GSE. For loans not sold to the GSEs, the customer determines its desired coverage percentage. Generally, our risk across all policies written is approximately 25% of the underlying primary insurance in force, but may vary from policy to policy between 6% and 35% coverage.</w:t>
      </w:r>
    </w:p>
    <w:p>
      <w:pPr>
        <w:spacing w:after="0" w:line="11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We file our premium rates with the insurance departments of the 50 states and the District of Columbia as required. Premium rates cannot be changed after the issuance of coverage and premiums applicable to an individual loan are based on a</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10" w:name="page11"/>
    <w:bookmarkEnd w:id="10"/>
    <w:p>
      <w:pPr>
        <w:jc w:val="both"/>
        <w:ind w:right="80"/>
        <w:spacing w:after="0" w:line="263" w:lineRule="auto"/>
        <w:rPr>
          <w:sz w:val="20"/>
          <w:szCs w:val="20"/>
          <w:color w:val="auto"/>
        </w:rPr>
      </w:pPr>
      <w:r>
        <w:rPr>
          <w:rFonts w:ascii="Arial" w:cs="Arial" w:eastAsia="Arial" w:hAnsi="Arial"/>
          <w:sz w:val="18"/>
          <w:szCs w:val="18"/>
          <w:color w:val="auto"/>
        </w:rPr>
        <w:t>broad spectrum of risk variables including coverage percentages, loan-to-value, or LTV, loan and property attributes, and borrower risk characteristics. See "Management's Discussion and Analysis of Financial Condition and Results of Operations—Factors Affecting Our Results of Operations—Net Premiums Written and Earned" and "—Key Performance Indicators—Average Net Premium Rate."</w:t>
      </w:r>
    </w:p>
    <w:p>
      <w:pPr>
        <w:spacing w:after="0" w:line="103"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Premium payments for primary mortgage insurance coverage are typically made by the borrower. Mortgage insurance paid directly by the borrower is referred to as borrower-paid mortgage insurance, or "BPMI." If the borrower is not required to pay the premium, then the premium is paid by the lender, who may recover the premium through an increase in the note rate on the mortgage or higher origination fees. Loans for which premiums are paid by the lender are referred to as lender-paid mortgage insurance, or "LPMI." In either case, the payment of premium to us generally is the legal responsibility of the insured.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Premiums are generally calculated as a percentage of the original principal balance and may be paid as follows:</w:t>
      </w:r>
    </w:p>
    <w:p>
      <w:pPr>
        <w:spacing w:after="0" w:line="158" w:lineRule="exact"/>
        <w:rPr>
          <w:sz w:val="20"/>
          <w:szCs w:val="20"/>
          <w:color w:val="auto"/>
        </w:rPr>
      </w:pPr>
    </w:p>
    <w:p>
      <w:pPr>
        <w:ind w:left="660" w:hanging="24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monthly, where premiums are collected on a monthly basis over the life of the policy;</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 single payment, where the entire premium is paid upfront at the time the mortgage loan is originated;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annually, where premiums are paid in advance for the subsequent 12 months; or</w:t>
      </w:r>
    </w:p>
    <w:p>
      <w:pPr>
        <w:spacing w:after="0" w:line="252" w:lineRule="exact"/>
        <w:rPr>
          <w:rFonts w:ascii="Arial" w:cs="Arial" w:eastAsia="Arial" w:hAnsi="Arial"/>
          <w:sz w:val="18"/>
          <w:szCs w:val="18"/>
          <w:color w:val="auto"/>
        </w:rPr>
      </w:pPr>
    </w:p>
    <w:p>
      <w:pPr>
        <w:ind w:left="460" w:right="3280" w:hanging="47"/>
        <w:spacing w:after="0" w:line="466" w:lineRule="auto"/>
        <w:tabs>
          <w:tab w:leader="none" w:pos="658"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a "split" basis, where an initial premium is paid upfront along with subsequent monthly payments. As of December 31, 2020, substantially all of our policies are monthly or single premium policies.</w:t>
      </w:r>
    </w:p>
    <w:p>
      <w:pPr>
        <w:spacing w:after="0" w:line="1"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In general, we may not terminate mortgage insurance coverage except in the event there is non-payment of premiums or certain material violations of our mortgage insurance policies. The insured may cancel mortgage insurance coverage at any time at their option or upon mortgage repayment. GSE guidelines generally provide that a borrower meeting certain conditions may require the mortgage servicer to cancel mortgage insurance coverage upon the borrower's request when the principal balance of the loan is 80% or less of the property's current value. The Homeowners Protection Act of 1998, or HOPA, also requires the automatic termination of BPMI on most loans when the LTV ratio, based upon the original property value and amortized loan balance, reaches 78%, and provides for cancellation of BPMI upon a borrower's request when the LTV ratio, based on the current value of the property, reaches 80%, upon satisfaction of the conditions set forth in HOPA. See "—Regulation—Federal Mortgage—Related Laws and Regulations— Homeowners Protection Act of 1988" below. In addition, some states impose their own mortgage insurance notice and cancellation requirements on mortgage loan servicers.</w:t>
      </w:r>
    </w:p>
    <w:p>
      <w:pPr>
        <w:spacing w:after="0" w:line="129"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The GSEs have implemented certain guidelines that may provide more flexibility to certain borrowers to cancel mortgage insurance than is required for such loans under HOPA. For example, borrowers may request termination of mortgage insurance based on the current value of the property if certain loan-to-value and seasoning requirements are met and the borrower has an acceptable payment history. For loans seasoned between two and five years, the loan-to-value ratio must be 75% or less, and for loans seasoned more than five years, the loan-to-value ratio must be 80% or less. If the borrower has made substantial improvements to the property, the GSEs allow for cancellation once the loan-to-value ratio reaches 80% or less with no minimum seasoning requirement. In addition, GSE servicing guidelines currently require servicers to cancel BPMI on second homes with a 78% loan-to-value ratio, whereas HOPA applies to principal residences and excludes second homes.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Pool Insurance</w:t>
      </w:r>
    </w:p>
    <w:p>
      <w:pPr>
        <w:spacing w:after="0" w:line="144"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Pool insurance is typically used to provide additional credit enhancement for certain secondary market and other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Pool insurance may have a stated aggregate loss limit for a pool of loans and may also have a deductible under which no losses are paid by the insurer until losses on the pool of loans exceed the deductible. In another variation, generally referred to as modified pool insurance, policies are structured to include an exposure limit for each individual loan as well as an aggregate loss limit or a deductible for the entire pool.</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Master Policy</w:t>
      </w:r>
    </w:p>
    <w:p>
      <w:pPr>
        <w:spacing w:after="0" w:line="158" w:lineRule="exact"/>
        <w:rPr>
          <w:sz w:val="20"/>
          <w:szCs w:val="20"/>
          <w:color w:val="auto"/>
        </w:rPr>
      </w:pPr>
    </w:p>
    <w:p>
      <w:pPr>
        <w:ind w:right="160" w:firstLine="445"/>
        <w:spacing w:after="0" w:line="301" w:lineRule="auto"/>
        <w:rPr>
          <w:sz w:val="20"/>
          <w:szCs w:val="20"/>
          <w:color w:val="auto"/>
        </w:rPr>
      </w:pPr>
      <w:r>
        <w:rPr>
          <w:rFonts w:ascii="Arial" w:cs="Arial" w:eastAsia="Arial" w:hAnsi="Arial"/>
          <w:sz w:val="16"/>
          <w:szCs w:val="16"/>
          <w:color w:val="auto"/>
        </w:rPr>
        <w:t>We issue a master policy to each customer approved as a counterparty by our risk department before accepting their applications for insurance. The master policy, along with its related endorsements and certificates, sets forth the general terms and conditions of our mortgage insurance coverage, including loan eligibility requirements, coverage terms, policy administration, premium payment obligations, exclusions or reductions in coverage, conditions precedent to payment of a claim, claim payment requirements, subrogation and other matters attendant to our coverage.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1" w:name="page12"/>
    <w:bookmarkEnd w:id="11"/>
    <w:p>
      <w:pPr>
        <w:ind w:firstLine="445"/>
        <w:spacing w:after="0" w:line="286" w:lineRule="auto"/>
        <w:rPr>
          <w:sz w:val="20"/>
          <w:szCs w:val="20"/>
          <w:color w:val="auto"/>
        </w:rPr>
      </w:pPr>
      <w:r>
        <w:rPr>
          <w:rFonts w:ascii="Arial" w:cs="Arial" w:eastAsia="Arial" w:hAnsi="Arial"/>
          <w:sz w:val="16"/>
          <w:szCs w:val="16"/>
          <w:color w:val="auto"/>
        </w:rPr>
        <w:t>Mortgage insurance master policies generally protect mortgage insurers from the risk of material misrepresentations and fraud in the origination of an insured loan by establishing the right to rescind coverage in such event. Pursuant to the current minimum standards for mortgage insurer master policies enacted by the GSEs and the Federal Housing Finance Agency, or FHFA, which we refer to as the "Rescission Relief Principles," we implemented a new master policy effective March 1, 2020. Consistent with the Rescission Relief Principles, our current master policy provides rescission relief for loans that</w:t>
      </w:r>
    </w:p>
    <w:p>
      <w:pPr>
        <w:spacing w:after="0" w:line="1"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remain current up to 36 months after origination, have not experienced more than two late payments of 30 days or more, and have never been 60 days</w:t>
      </w:r>
    </w:p>
    <w:p>
      <w:pPr>
        <w:spacing w:after="0" w:line="32" w:lineRule="exact"/>
        <w:rPr>
          <w:rFonts w:ascii="Arial" w:cs="Arial" w:eastAsia="Arial" w:hAnsi="Arial"/>
          <w:sz w:val="16"/>
          <w:szCs w:val="16"/>
          <w:color w:val="auto"/>
        </w:rPr>
      </w:pPr>
    </w:p>
    <w:p>
      <w:pPr>
        <w:ind w:right="40"/>
        <w:spacing w:after="0" w:line="268" w:lineRule="auto"/>
        <w:rPr>
          <w:rFonts w:ascii="Arial" w:cs="Arial" w:eastAsia="Arial" w:hAnsi="Arial"/>
          <w:sz w:val="16"/>
          <w:szCs w:val="16"/>
          <w:color w:val="auto"/>
        </w:rPr>
      </w:pPr>
      <w:r>
        <w:rPr>
          <w:rFonts w:ascii="Arial" w:cs="Arial" w:eastAsia="Arial" w:hAnsi="Arial"/>
          <w:sz w:val="17"/>
          <w:szCs w:val="17"/>
          <w:color w:val="auto"/>
        </w:rPr>
        <w:t>late, or (ii) are current after 60 payments, and otherwise permits the provision of rescission relief concurrent with independent validation of representations, including validation by use of duly approved automated tools. Our current master policy also reserves rescission rights with respect to fraud committed by any party in connection with the origination or closing of a loan or application for mortgage insurance (provided, however, that the exclusion for fraud by borrowers may be sunset after the borrower has made 12 timely payments) and certain patterns of fraud or data inaccuracies and permits us to offer certain alternatives to rescission. See "Risk Factors—Risks Relating to the Operation of Our Business—</w:t>
      </w:r>
      <w:r>
        <w:rPr>
          <w:rFonts w:ascii="Arial" w:cs="Arial" w:eastAsia="Arial" w:hAnsi="Arial"/>
          <w:sz w:val="17"/>
          <w:szCs w:val="17"/>
          <w:i w:val="1"/>
          <w:iCs w:val="1"/>
          <w:color w:val="auto"/>
        </w:rPr>
        <w:t>Changes in the business practices of the GSEs, including</w:t>
      </w:r>
      <w:r>
        <w:rPr>
          <w:rFonts w:ascii="Arial" w:cs="Arial" w:eastAsia="Arial" w:hAnsi="Arial"/>
          <w:sz w:val="17"/>
          <w:szCs w:val="17"/>
          <w:color w:val="auto"/>
        </w:rPr>
        <w:t xml:space="preserve"> </w:t>
      </w:r>
      <w:r>
        <w:rPr>
          <w:rFonts w:ascii="Arial" w:cs="Arial" w:eastAsia="Arial" w:hAnsi="Arial"/>
          <w:sz w:val="17"/>
          <w:szCs w:val="17"/>
          <w:i w:val="1"/>
          <w:iCs w:val="1"/>
          <w:color w:val="auto"/>
        </w:rPr>
        <w:t>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7"/>
          <w:szCs w:val="17"/>
          <w:color w:val="auto"/>
        </w:rPr>
        <w:t>" elsewhere in this Annual Report and "—Regulation—Direct U.S. Regulation—GSE</w:t>
      </w:r>
      <w:r>
        <w:rPr>
          <w:rFonts w:ascii="Arial" w:cs="Arial" w:eastAsia="Arial" w:hAnsi="Arial"/>
          <w:sz w:val="17"/>
          <w:szCs w:val="17"/>
          <w:i w:val="1"/>
          <w:iCs w:val="1"/>
          <w:color w:val="auto"/>
        </w:rPr>
        <w:t xml:space="preserve"> </w:t>
      </w:r>
      <w:r>
        <w:rPr>
          <w:rFonts w:ascii="Arial" w:cs="Arial" w:eastAsia="Arial" w:hAnsi="Arial"/>
          <w:sz w:val="17"/>
          <w:szCs w:val="17"/>
          <w:color w:val="auto"/>
        </w:rPr>
        <w:t>Qualified Mortgage Insurer Requirements" below.</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 Underwriting</w:t>
      </w:r>
    </w:p>
    <w:p>
      <w:pPr>
        <w:spacing w:after="0" w:line="158"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As a part of these services, we assess whether data provided by the customer relating to a mortgage application complies with the customer's loan underwriting guidelines. These services are provided for loans that require private mortgage insurance, as well as for loans that do not require private mortgage insurance. Under the terms of our contract underwriting agreements with customers and subject to contractual limitations on liability, we agree to indemnify the customer against losses incurred in the event that we make an underwriting error which materially restricts or impairs the saleability of a loan, results in a material reduction in the value of a loan or results in the customer being required to repurchase a loan. The indemnification may be in the form of monetary or other remedies, subject to per loan and annual limitations. See "Risk Factors—Risks Relating to the Operation of Our Business—</w:t>
      </w:r>
      <w:r>
        <w:rPr>
          <w:rFonts w:ascii="Arial" w:cs="Arial" w:eastAsia="Arial" w:hAnsi="Arial"/>
          <w:sz w:val="18"/>
          <w:szCs w:val="18"/>
          <w:i w:val="1"/>
          <w:iCs w:val="1"/>
          <w:color w:val="auto"/>
        </w:rPr>
        <w:t>We face risks associated with our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underwriting business."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Bermuda-Based Insurance and Reinsurance</w:t>
      </w:r>
    </w:p>
    <w:p>
      <w:pPr>
        <w:spacing w:after="0" w:line="144"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We offer mortgage-related insurance and reinsurance through Essent Re, a Class 3A insurance company licensed pursuant to Section 4 of the Bermuda Insurance Act 1978. Essent Re provides insurance or reinsurance relating to the GSE risk share and other reinsurance transactions. Essent Re also reinsures 25% of Essent Guaranty's NIW under a quota share reinsurance agreement. Essent Re also provides underwriting consulting services to third-party reinsurers through its wholly-owned subsidiary, Essent Agency (Bermuda) Ltd.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Mortgage Insurance Portfolio</w:t>
      </w:r>
    </w:p>
    <w:p>
      <w:pPr>
        <w:spacing w:after="0" w:line="162"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All of our policies in force were written since May 2010. The following data presents information on our primary mortgage insurance portfolio for policies written by Essent Guaranty.</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in Force by Policy Year</w:t>
      </w:r>
    </w:p>
    <w:p>
      <w:pPr>
        <w:spacing w:after="0" w:line="158"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The following table sets forth our insurance in force, or IIF, as of December 31, 2020, by year of policy origination. IIF refers to the unpaid principal balance of mortgage loans that we insure.</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4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Pr>
          <w:p>
            <w:pPr>
              <w:spacing w:after="0"/>
              <w:rPr>
                <w:sz w:val="16"/>
                <w:szCs w:val="16"/>
                <w:color w:val="auto"/>
              </w:rPr>
            </w:pPr>
          </w:p>
        </w:tc>
        <w:tc>
          <w:tcPr>
            <w:tcW w:w="1220" w:type="dxa"/>
            <w:vAlign w:val="bottom"/>
          </w:tcPr>
          <w:p>
            <w:pPr>
              <w:jc w:val="right"/>
              <w:ind w:right="6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060" w:type="dxa"/>
            <w:vAlign w:val="bottom"/>
          </w:tcPr>
          <w:p>
            <w:pPr>
              <w:jc w:val="right"/>
              <w:ind w:right="372"/>
              <w:spacing w:after="0"/>
              <w:rPr>
                <w:sz w:val="20"/>
                <w:szCs w:val="20"/>
                <w:color w:val="auto"/>
              </w:rPr>
            </w:pPr>
            <w:r>
              <w:rPr>
                <w:rFonts w:ascii="Arial" w:cs="Arial" w:eastAsia="Arial" w:hAnsi="Arial"/>
                <w:sz w:val="14"/>
                <w:szCs w:val="14"/>
                <w:b w:val="1"/>
                <w:bCs w:val="1"/>
                <w:color w:val="auto"/>
              </w:rPr>
              <w:t>%</w:t>
            </w:r>
          </w:p>
        </w:tc>
      </w:tr>
      <w:tr>
        <w:trPr>
          <w:trHeight w:val="229"/>
        </w:trPr>
        <w:tc>
          <w:tcPr>
            <w:tcW w:w="8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102,123,354</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51.3 %</w:t>
            </w: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38,688,532</w:t>
            </w:r>
          </w:p>
        </w:tc>
        <w:tc>
          <w:tcPr>
            <w:tcW w:w="1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19.5</w:t>
            </w:r>
          </w:p>
        </w:tc>
      </w:tr>
      <w:tr>
        <w:trPr>
          <w:trHeight w:val="229"/>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18,677,363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9.4</w:t>
            </w: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16,268,294</w:t>
            </w:r>
          </w:p>
        </w:tc>
        <w:tc>
          <w:tcPr>
            <w:tcW w:w="1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8.2</w:t>
            </w: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11,314,546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w:t>
            </w:r>
          </w:p>
        </w:tc>
      </w:tr>
      <w:tr>
        <w:trPr>
          <w:trHeight w:val="230"/>
        </w:trPr>
        <w:tc>
          <w:tcPr>
            <w:tcW w:w="8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2015 and prior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11,810,263</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5.9</w:t>
            </w:r>
          </w:p>
        </w:tc>
      </w:tr>
      <w:tr>
        <w:trPr>
          <w:trHeight w:val="248"/>
        </w:trPr>
        <w:tc>
          <w:tcPr>
            <w:tcW w:w="8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198,882,352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b w:val="1"/>
          <w:bCs w:val="1"/>
          <w:i w:val="1"/>
          <w:iCs w:val="1"/>
          <w:color w:val="auto"/>
        </w:rPr>
        <w:t>Portfolio Characteristics</w:t>
      </w:r>
    </w:p>
    <w:p>
      <w:pPr>
        <w:spacing w:after="0" w:line="144"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following tables reflect our IIF and risk in force, or RIF, amounts by borrower credit scores at origination, LTV at origination, and IIF by loan type and amortization, each as of December 31, 2020 and 2019. RIF refers to the product of the coverage percentage applied to the unpaid principal balance of mortgage loans that we insure.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Portfolio by Credit Score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28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rPr>
              <w:t>IIF by FICO score</w:t>
            </w: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2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&gt;=760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82,452,139</w:t>
            </w: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68,123,523</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41.5 %</w:t>
            </w: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740-759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34,538,761</w:t>
            </w:r>
          </w:p>
        </w:tc>
        <w:tc>
          <w:tcPr>
            <w:tcW w:w="10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27,886,603</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720-739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29,599,646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24,069,139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700-719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23,807,982</w:t>
            </w:r>
          </w:p>
        </w:tc>
        <w:tc>
          <w:tcPr>
            <w:tcW w:w="10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19,183,219</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680-699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15,538,235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13,713,164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&lt;=679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12,945,589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11,030,205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198,882,352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164,005,853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8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rPr>
              <w:t>Gross RIF (1) by FICO score</w:t>
            </w: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2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&gt;=760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20,336,799</w:t>
            </w: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17,082,683</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41.3 %</w:t>
            </w: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740-759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8,682,265</w:t>
            </w:r>
          </w:p>
        </w:tc>
        <w:tc>
          <w:tcPr>
            <w:tcW w:w="10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7,056,654</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720-739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7,504,065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6,150,334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700-719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5,970,851</w:t>
            </w:r>
          </w:p>
        </w:tc>
        <w:tc>
          <w:tcPr>
            <w:tcW w:w="10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4,873,597</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680-699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3,887,059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3,491,755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&lt;=679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3,184,111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2,747,927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49,565,150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41,402,950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RIF includes risk ceded under third-party reinsurance.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Portfolio by LTV</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28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rPr>
              <w:t>IIF by LTV</w:t>
            </w: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2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85.00% and below</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27,308,296</w:t>
            </w: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17,128,008</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29"/>
        </w:trPr>
        <w:tc>
          <w:tcPr>
            <w:tcW w:w="6280" w:type="dxa"/>
            <w:vAlign w:val="bottom"/>
            <w:gridSpan w:val="2"/>
          </w:tcPr>
          <w:p>
            <w:pPr>
              <w:ind w:left="140"/>
              <w:spacing w:after="0"/>
              <w:rPr>
                <w:sz w:val="20"/>
                <w:szCs w:val="20"/>
                <w:color w:val="auto"/>
              </w:rPr>
            </w:pPr>
            <w:r>
              <w:rPr>
                <w:rFonts w:ascii="Arial" w:cs="Arial" w:eastAsia="Arial" w:hAnsi="Arial"/>
                <w:sz w:val="18"/>
                <w:szCs w:val="18"/>
                <w:color w:val="auto"/>
              </w:rPr>
              <w:t>85.01% to 90.00%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58,606,394</w:t>
            </w:r>
          </w:p>
        </w:tc>
        <w:tc>
          <w:tcPr>
            <w:tcW w:w="10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46,771,386</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90.01% to 95.00%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86,169,485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76,611,494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95.01% and above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26,798,177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23,494,965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198,882,352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164,005,853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28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rPr>
              <w:t>Gross RIF (1) by LTV</w:t>
            </w: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2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85.00% and below</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3,142,034</w:t>
            </w: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1,977,361</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9"/>
        </w:trPr>
        <w:tc>
          <w:tcPr>
            <w:tcW w:w="6280" w:type="dxa"/>
            <w:vAlign w:val="bottom"/>
            <w:gridSpan w:val="2"/>
          </w:tcPr>
          <w:p>
            <w:pPr>
              <w:ind w:left="140"/>
              <w:spacing w:after="0"/>
              <w:rPr>
                <w:sz w:val="20"/>
                <w:szCs w:val="20"/>
                <w:color w:val="auto"/>
              </w:rPr>
            </w:pPr>
            <w:r>
              <w:rPr>
                <w:rFonts w:ascii="Arial" w:cs="Arial" w:eastAsia="Arial" w:hAnsi="Arial"/>
                <w:sz w:val="18"/>
                <w:szCs w:val="18"/>
                <w:color w:val="auto"/>
              </w:rPr>
              <w:t>85.01% to 90.00%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14,061,553</w:t>
            </w:r>
          </w:p>
        </w:tc>
        <w:tc>
          <w:tcPr>
            <w:tcW w:w="10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11,249,383</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90.01% to 95.00%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24,895,471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21,981,598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95.01% and above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7,466,092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6,194,608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49,565,150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41,402,950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RIF includes risk ceded under third-party reinsurance.</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13" w:name="page14"/>
    <w:bookmarkEnd w:id="13"/>
    <w:p>
      <w:pPr>
        <w:jc w:val="center"/>
        <w:ind w:right="-39"/>
        <w:spacing w:after="0"/>
        <w:rPr>
          <w:sz w:val="20"/>
          <w:szCs w:val="20"/>
          <w:color w:val="auto"/>
        </w:rPr>
      </w:pPr>
      <w:r>
        <w:rPr>
          <w:rFonts w:ascii="Arial" w:cs="Arial" w:eastAsia="Arial" w:hAnsi="Arial"/>
          <w:sz w:val="18"/>
          <w:szCs w:val="18"/>
          <w:i w:val="1"/>
          <w:iCs w:val="1"/>
          <w:color w:val="auto"/>
        </w:rPr>
        <w:t>Portfolio by Loan Amortization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28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rPr>
              <w:t>IIF by Loan Amortization Period</w:t>
            </w: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2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FRM 30 years and higher</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187,704,000</w:t>
            </w: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154,905,519</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94.5 %</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FRM 20-25 years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4,365,585</w:t>
            </w:r>
          </w:p>
        </w:tc>
        <w:tc>
          <w:tcPr>
            <w:tcW w:w="10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2,854,560</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FRM 15 years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4,776,068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3,300,715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ARM 5 years and higher</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2,036,699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2,945,059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198,882,352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164,005,853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Portfolio by Geography</w:t>
      </w:r>
    </w:p>
    <w:p>
      <w:pPr>
        <w:spacing w:after="0" w:line="252"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Our in force portfolio is geographically diverse. As of December 31, 2020, only three states accounted for greater than 5% of our portfolio and no single metropolitan statistical area accounted for greater than 3% of our portfolio, as measured by either IIF or Gross RIF. The following tables provide detail of the IIF and Gross RIF in our top ten most concentrated states and our top ten most concentrated U.S. metropolitan statistical areas as of December 31, 2020 and 2019.</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Top Ten States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80" w:type="dxa"/>
            <w:vAlign w:val="bottom"/>
          </w:tcPr>
          <w:p>
            <w:pPr>
              <w:spacing w:after="0"/>
              <w:rPr>
                <w:sz w:val="16"/>
                <w:szCs w:val="16"/>
                <w:color w:val="auto"/>
              </w:rPr>
            </w:pPr>
          </w:p>
        </w:tc>
        <w:tc>
          <w:tcPr>
            <w:tcW w:w="15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0"/>
              </w:rPr>
              <w:t>December 31,</w:t>
            </w:r>
          </w:p>
        </w:tc>
        <w:tc>
          <w:tcPr>
            <w:tcW w:w="680" w:type="dxa"/>
            <w:vAlign w:val="bottom"/>
            <w:tcBorders>
              <w:bottom w:val="single" w:sz="8" w:color="auto"/>
            </w:tcBorders>
          </w:tcPr>
          <w:p>
            <w:pPr>
              <w:spacing w:after="0"/>
              <w:rPr>
                <w:sz w:val="16"/>
                <w:szCs w:val="16"/>
                <w:color w:val="auto"/>
              </w:rPr>
            </w:pPr>
          </w:p>
        </w:tc>
      </w:tr>
      <w:tr>
        <w:trPr>
          <w:trHeight w:val="187"/>
        </w:trPr>
        <w:tc>
          <w:tcPr>
            <w:tcW w:w="89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IIF by State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8980" w:type="dxa"/>
            <w:vAlign w:val="bottom"/>
          </w:tcPr>
          <w:p>
            <w:pPr>
              <w:ind w:left="140"/>
              <w:spacing w:after="0"/>
              <w:rPr>
                <w:sz w:val="20"/>
                <w:szCs w:val="20"/>
                <w:color w:val="auto"/>
              </w:rPr>
            </w:pPr>
            <w:r>
              <w:rPr>
                <w:rFonts w:ascii="Arial" w:cs="Arial" w:eastAsia="Arial" w:hAnsi="Arial"/>
                <w:sz w:val="18"/>
                <w:szCs w:val="18"/>
                <w:color w:val="auto"/>
              </w:rPr>
              <w:t>CA</w:t>
            </w:r>
          </w:p>
        </w:tc>
        <w:tc>
          <w:tcPr>
            <w:tcW w:w="1060" w:type="dxa"/>
            <w:vAlign w:val="bottom"/>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TX</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8.6</w:t>
            </w:r>
          </w:p>
        </w:tc>
      </w:tr>
      <w:tr>
        <w:trPr>
          <w:trHeight w:val="230"/>
        </w:trPr>
        <w:tc>
          <w:tcPr>
            <w:tcW w:w="8980" w:type="dxa"/>
            <w:vAlign w:val="bottom"/>
          </w:tcPr>
          <w:p>
            <w:pPr>
              <w:ind w:left="140"/>
              <w:spacing w:after="0"/>
              <w:rPr>
                <w:sz w:val="20"/>
                <w:szCs w:val="20"/>
                <w:color w:val="auto"/>
              </w:rPr>
            </w:pPr>
            <w:r>
              <w:rPr>
                <w:rFonts w:ascii="Arial" w:cs="Arial" w:eastAsia="Arial" w:hAnsi="Arial"/>
                <w:sz w:val="18"/>
                <w:szCs w:val="18"/>
                <w:color w:val="auto"/>
              </w:rPr>
              <w:t>FL</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7.9</w:t>
            </w:r>
          </w:p>
        </w:tc>
      </w:tr>
      <w:tr>
        <w:trPr>
          <w:trHeight w:val="230"/>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w:t>
            </w:r>
          </w:p>
        </w:tc>
      </w:tr>
      <w:tr>
        <w:trPr>
          <w:trHeight w:val="229"/>
        </w:trPr>
        <w:tc>
          <w:tcPr>
            <w:tcW w:w="8980" w:type="dxa"/>
            <w:vAlign w:val="bottom"/>
          </w:tcPr>
          <w:p>
            <w:pPr>
              <w:ind w:left="140"/>
              <w:spacing w:after="0"/>
              <w:rPr>
                <w:sz w:val="20"/>
                <w:szCs w:val="20"/>
                <w:color w:val="auto"/>
              </w:rPr>
            </w:pPr>
            <w:r>
              <w:rPr>
                <w:rFonts w:ascii="Arial" w:cs="Arial" w:eastAsia="Arial" w:hAnsi="Arial"/>
                <w:sz w:val="18"/>
                <w:szCs w:val="18"/>
                <w:color w:val="auto"/>
              </w:rPr>
              <w:t>WA</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4.4</w:t>
            </w:r>
          </w:p>
        </w:tc>
      </w:tr>
      <w:tr>
        <w:trPr>
          <w:trHeight w:val="230"/>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AZ</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w:t>
            </w:r>
          </w:p>
        </w:tc>
      </w:tr>
      <w:tr>
        <w:trPr>
          <w:trHeight w:val="230"/>
        </w:trPr>
        <w:tc>
          <w:tcPr>
            <w:tcW w:w="8980" w:type="dxa"/>
            <w:vAlign w:val="bottom"/>
          </w:tcPr>
          <w:p>
            <w:pPr>
              <w:ind w:left="140"/>
              <w:spacing w:after="0"/>
              <w:rPr>
                <w:sz w:val="20"/>
                <w:szCs w:val="20"/>
                <w:color w:val="auto"/>
              </w:rPr>
            </w:pPr>
            <w:r>
              <w:rPr>
                <w:rFonts w:ascii="Arial" w:cs="Arial" w:eastAsia="Arial" w:hAnsi="Arial"/>
                <w:sz w:val="18"/>
                <w:szCs w:val="18"/>
                <w:color w:val="auto"/>
              </w:rPr>
              <w:t>IL</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3.7</w:t>
            </w:r>
          </w:p>
        </w:tc>
      </w:tr>
      <w:tr>
        <w:trPr>
          <w:trHeight w:val="230"/>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NJ</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w:t>
            </w:r>
          </w:p>
        </w:tc>
      </w:tr>
      <w:tr>
        <w:trPr>
          <w:trHeight w:val="229"/>
        </w:trPr>
        <w:tc>
          <w:tcPr>
            <w:tcW w:w="8980" w:type="dxa"/>
            <w:vAlign w:val="bottom"/>
          </w:tcPr>
          <w:p>
            <w:pPr>
              <w:ind w:left="140"/>
              <w:spacing w:after="0"/>
              <w:rPr>
                <w:sz w:val="20"/>
                <w:szCs w:val="20"/>
                <w:color w:val="auto"/>
              </w:rPr>
            </w:pPr>
            <w:r>
              <w:rPr>
                <w:rFonts w:ascii="Arial" w:cs="Arial" w:eastAsia="Arial" w:hAnsi="Arial"/>
                <w:sz w:val="18"/>
                <w:szCs w:val="18"/>
                <w:color w:val="auto"/>
              </w:rPr>
              <w:t>VA</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3.2</w:t>
            </w:r>
          </w:p>
        </w:tc>
      </w:tr>
      <w:tr>
        <w:trPr>
          <w:trHeight w:val="230"/>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MD</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w:t>
            </w:r>
          </w:p>
        </w:tc>
      </w:tr>
      <w:tr>
        <w:trPr>
          <w:trHeight w:val="230"/>
        </w:trPr>
        <w:tc>
          <w:tcPr>
            <w:tcW w:w="8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Others</w:t>
            </w: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48.8</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6"/>
                <w:szCs w:val="16"/>
                <w:color w:val="auto"/>
              </w:rPr>
            </w:pPr>
          </w:p>
        </w:tc>
      </w:tr>
      <w:tr>
        <w:trPr>
          <w:trHeight w:val="187"/>
        </w:trPr>
        <w:tc>
          <w:tcPr>
            <w:tcW w:w="4100" w:type="dxa"/>
            <w:vAlign w:val="bottom"/>
            <w:tcBorders>
              <w:bottom w:val="single" w:sz="8" w:color="CCEEFF"/>
            </w:tcBorders>
          </w:tcPr>
          <w:p>
            <w:pPr>
              <w:spacing w:after="0"/>
              <w:rPr>
                <w:sz w:val="16"/>
                <w:szCs w:val="16"/>
                <w:color w:val="auto"/>
              </w:rPr>
            </w:pPr>
          </w:p>
        </w:tc>
        <w:tc>
          <w:tcPr>
            <w:tcW w:w="48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RIF by State</w:t>
            </w:r>
          </w:p>
        </w:tc>
        <w:tc>
          <w:tcPr>
            <w:tcW w:w="4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CA</w:t>
            </w:r>
          </w:p>
        </w:tc>
        <w:tc>
          <w:tcPr>
            <w:tcW w:w="5920" w:type="dxa"/>
            <w:vAlign w:val="bottom"/>
            <w:gridSpan w:val="3"/>
          </w:tcPr>
          <w:p>
            <w:pPr>
              <w:jc w:val="right"/>
              <w:spacing w:after="0"/>
              <w:rPr>
                <w:sz w:val="20"/>
                <w:szCs w:val="20"/>
                <w:color w:val="auto"/>
              </w:rPr>
            </w:pPr>
            <w:r>
              <w:rPr>
                <w:rFonts w:ascii="Arial" w:cs="Arial" w:eastAsia="Arial" w:hAnsi="Arial"/>
                <w:sz w:val="18"/>
                <w:szCs w:val="18"/>
                <w:color w:val="auto"/>
              </w:rPr>
              <w:t>11.8 %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TX</w:t>
            </w:r>
          </w:p>
        </w:tc>
        <w:tc>
          <w:tcPr>
            <w:tcW w:w="592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8.9</w:t>
            </w: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FL</w:t>
            </w:r>
          </w:p>
        </w:tc>
        <w:tc>
          <w:tcPr>
            <w:tcW w:w="5920" w:type="dxa"/>
            <w:vAlign w:val="bottom"/>
            <w:gridSpan w:val="3"/>
          </w:tcPr>
          <w:p>
            <w:pPr>
              <w:jc w:val="right"/>
              <w:ind w:right="144"/>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8.0</w:t>
            </w: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w:t>
            </w:r>
          </w:p>
        </w:tc>
        <w:tc>
          <w:tcPr>
            <w:tcW w:w="592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w:t>
            </w: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WA</w:t>
            </w:r>
          </w:p>
        </w:tc>
        <w:tc>
          <w:tcPr>
            <w:tcW w:w="5920" w:type="dxa"/>
            <w:vAlign w:val="bottom"/>
            <w:gridSpan w:val="3"/>
          </w:tcPr>
          <w:p>
            <w:pPr>
              <w:jc w:val="right"/>
              <w:ind w:right="144"/>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4.4</w:t>
            </w: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AZ</w:t>
            </w:r>
          </w:p>
        </w:tc>
        <w:tc>
          <w:tcPr>
            <w:tcW w:w="592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w:t>
            </w: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IL</w:t>
            </w:r>
          </w:p>
        </w:tc>
        <w:tc>
          <w:tcPr>
            <w:tcW w:w="5920" w:type="dxa"/>
            <w:vAlign w:val="bottom"/>
            <w:gridSpan w:val="3"/>
          </w:tcPr>
          <w:p>
            <w:pPr>
              <w:jc w:val="right"/>
              <w:ind w:right="144"/>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3.5</w:t>
            </w: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NJ</w:t>
            </w:r>
          </w:p>
        </w:tc>
        <w:tc>
          <w:tcPr>
            <w:tcW w:w="592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w:t>
            </w: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GA</w:t>
            </w:r>
          </w:p>
        </w:tc>
        <w:tc>
          <w:tcPr>
            <w:tcW w:w="5920" w:type="dxa"/>
            <w:vAlign w:val="bottom"/>
            <w:gridSpan w:val="3"/>
          </w:tcPr>
          <w:p>
            <w:pPr>
              <w:jc w:val="right"/>
              <w:ind w:right="144"/>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3.3</w:t>
            </w: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w:t>
            </w:r>
          </w:p>
        </w:tc>
        <w:tc>
          <w:tcPr>
            <w:tcW w:w="592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w:t>
            </w: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All Others</w:t>
            </w:r>
          </w:p>
        </w:tc>
        <w:tc>
          <w:tcPr>
            <w:tcW w:w="5920" w:type="dxa"/>
            <w:vAlign w:val="bottom"/>
            <w:gridSpan w:val="3"/>
          </w:tcPr>
          <w:p>
            <w:pPr>
              <w:jc w:val="right"/>
              <w:ind w:right="144"/>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48.6</w:t>
            </w: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4100" w:type="dxa"/>
            <w:vAlign w:val="bottom"/>
          </w:tcPr>
          <w:p>
            <w:pPr>
              <w:spacing w:after="0"/>
              <w:rPr>
                <w:sz w:val="24"/>
                <w:szCs w:val="24"/>
                <w:color w:val="auto"/>
              </w:rPr>
            </w:pPr>
          </w:p>
        </w:tc>
        <w:tc>
          <w:tcPr>
            <w:tcW w:w="6420" w:type="dxa"/>
            <w:vAlign w:val="bottom"/>
            <w:gridSpan w:val="6"/>
          </w:tcPr>
          <w:p>
            <w:pPr>
              <w:ind w:left="140"/>
              <w:spacing w:after="0"/>
              <w:rPr>
                <w:sz w:val="20"/>
                <w:szCs w:val="20"/>
                <w:color w:val="auto"/>
              </w:rPr>
            </w:pPr>
            <w:r>
              <w:rPr>
                <w:rFonts w:ascii="Arial" w:cs="Arial" w:eastAsia="Arial" w:hAnsi="Arial"/>
                <w:sz w:val="18"/>
                <w:szCs w:val="18"/>
                <w:i w:val="1"/>
                <w:iCs w:val="1"/>
                <w:color w:val="auto"/>
              </w:rPr>
              <w:t>Top Ten Metropolitan Statistical Areas</w:t>
            </w:r>
          </w:p>
        </w:tc>
        <w:tc>
          <w:tcPr>
            <w:tcW w:w="680" w:type="dxa"/>
            <w:vAlign w:val="bottom"/>
          </w:tcPr>
          <w:p>
            <w:pPr>
              <w:spacing w:after="0"/>
              <w:rPr>
                <w:sz w:val="24"/>
                <w:szCs w:val="24"/>
                <w:color w:val="auto"/>
              </w:rPr>
            </w:pPr>
          </w:p>
        </w:tc>
      </w:tr>
      <w:tr>
        <w:trPr>
          <w:trHeight w:val="345"/>
        </w:trPr>
        <w:tc>
          <w:tcPr>
            <w:tcW w:w="4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w w:val="90"/>
              </w:rPr>
              <w:t>December 31,</w:t>
            </w:r>
          </w:p>
        </w:tc>
        <w:tc>
          <w:tcPr>
            <w:tcW w:w="680" w:type="dxa"/>
            <w:vAlign w:val="bottom"/>
            <w:tcBorders>
              <w:bottom w:val="single" w:sz="8" w:color="auto"/>
            </w:tcBorders>
          </w:tcPr>
          <w:p>
            <w:pPr>
              <w:spacing w:after="0"/>
              <w:rPr>
                <w:sz w:val="24"/>
                <w:szCs w:val="24"/>
                <w:color w:val="auto"/>
              </w:rPr>
            </w:pPr>
          </w:p>
        </w:tc>
      </w:tr>
      <w:tr>
        <w:trPr>
          <w:trHeight w:val="187"/>
        </w:trPr>
        <w:tc>
          <w:tcPr>
            <w:tcW w:w="410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gridSpan w:val="2"/>
          </w:tcPr>
          <w:p>
            <w:pPr>
              <w:spacing w:after="0"/>
              <w:rPr>
                <w:sz w:val="16"/>
                <w:szCs w:val="16"/>
                <w:color w:val="auto"/>
              </w:rPr>
            </w:pPr>
          </w:p>
        </w:tc>
        <w:tc>
          <w:tcPr>
            <w:tcW w:w="102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IIF by Metropolitan Statistical Area</w:t>
            </w:r>
          </w:p>
        </w:tc>
        <w:tc>
          <w:tcPr>
            <w:tcW w:w="4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Phoenix-Mesa-Chandler, AZ</w:t>
            </w:r>
          </w:p>
        </w:tc>
        <w:tc>
          <w:tcPr>
            <w:tcW w:w="5920" w:type="dxa"/>
            <w:vAlign w:val="bottom"/>
            <w:gridSpan w:val="3"/>
          </w:tcPr>
          <w:p>
            <w:pPr>
              <w:jc w:val="right"/>
              <w:spacing w:after="0"/>
              <w:rPr>
                <w:sz w:val="20"/>
                <w:szCs w:val="20"/>
                <w:color w:val="auto"/>
              </w:rPr>
            </w:pPr>
            <w:r>
              <w:rPr>
                <w:rFonts w:ascii="Arial" w:cs="Arial" w:eastAsia="Arial" w:hAnsi="Arial"/>
                <w:sz w:val="18"/>
                <w:szCs w:val="18"/>
                <w:color w:val="auto"/>
              </w:rPr>
              <w:t>3.0 %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Houston-The Woodlands-Sugar Land, TX</w:t>
            </w:r>
          </w:p>
        </w:tc>
        <w:tc>
          <w:tcPr>
            <w:tcW w:w="5920" w:type="dxa"/>
            <w:vAlign w:val="bottom"/>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Denver-Aurora-Lakewood, CO</w:t>
            </w:r>
          </w:p>
        </w:tc>
        <w:tc>
          <w:tcPr>
            <w:tcW w:w="5920" w:type="dxa"/>
            <w:vAlign w:val="bottom"/>
            <w:gridSpan w:val="3"/>
          </w:tcPr>
          <w:p>
            <w:pPr>
              <w:jc w:val="right"/>
              <w:ind w:right="124"/>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2.3</w:t>
            </w: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Washington-Arlington-Alexandria, DC-VA-MD-WV</w:t>
            </w:r>
          </w:p>
        </w:tc>
        <w:tc>
          <w:tcPr>
            <w:tcW w:w="5920" w:type="dxa"/>
            <w:vAlign w:val="bottom"/>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Dallas-Plano-Irving, TX</w:t>
            </w:r>
          </w:p>
        </w:tc>
        <w:tc>
          <w:tcPr>
            <w:tcW w:w="5920" w:type="dxa"/>
            <w:vAlign w:val="bottom"/>
            <w:gridSpan w:val="3"/>
          </w:tcPr>
          <w:p>
            <w:pPr>
              <w:jc w:val="right"/>
              <w:ind w:right="124"/>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2.0</w:t>
            </w: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 Angeles-Long Beach-Glendale, CA</w:t>
            </w:r>
          </w:p>
        </w:tc>
        <w:tc>
          <w:tcPr>
            <w:tcW w:w="5920" w:type="dxa"/>
            <w:vAlign w:val="bottom"/>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w:t>
            </w: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Chicago-Naperville-Evanston, IL</w:t>
            </w:r>
          </w:p>
        </w:tc>
        <w:tc>
          <w:tcPr>
            <w:tcW w:w="5920" w:type="dxa"/>
            <w:vAlign w:val="bottom"/>
            <w:gridSpan w:val="3"/>
          </w:tcPr>
          <w:p>
            <w:pPr>
              <w:jc w:val="right"/>
              <w:ind w:right="124"/>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2.5</w:t>
            </w: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Atlanta-Sandy Springs-Alpharetta, GA</w:t>
            </w:r>
          </w:p>
        </w:tc>
        <w:tc>
          <w:tcPr>
            <w:tcW w:w="5920" w:type="dxa"/>
            <w:vAlign w:val="bottom"/>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Riverside-San Bernardino-Ontario, CA</w:t>
            </w:r>
          </w:p>
        </w:tc>
        <w:tc>
          <w:tcPr>
            <w:tcW w:w="5920" w:type="dxa"/>
            <w:vAlign w:val="bottom"/>
            <w:gridSpan w:val="3"/>
          </w:tcPr>
          <w:p>
            <w:pPr>
              <w:jc w:val="right"/>
              <w:ind w:right="124"/>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1.6</w:t>
            </w: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Minneapolis-St. Paul-Bloomington, MN-WI</w:t>
            </w:r>
          </w:p>
        </w:tc>
        <w:tc>
          <w:tcPr>
            <w:tcW w:w="5920" w:type="dxa"/>
            <w:vAlign w:val="bottom"/>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All Others</w:t>
            </w:r>
          </w:p>
        </w:tc>
        <w:tc>
          <w:tcPr>
            <w:tcW w:w="5920" w:type="dxa"/>
            <w:vAlign w:val="bottom"/>
            <w:gridSpan w:val="3"/>
          </w:tcPr>
          <w:p>
            <w:pPr>
              <w:jc w:val="right"/>
              <w:ind w:right="124"/>
              <w:spacing w:after="0"/>
              <w:rPr>
                <w:sz w:val="20"/>
                <w:szCs w:val="20"/>
                <w:color w:val="auto"/>
              </w:rPr>
            </w:pPr>
            <w:r>
              <w:rPr>
                <w:rFonts w:ascii="Arial" w:cs="Arial" w:eastAsia="Arial" w:hAnsi="Arial"/>
                <w:sz w:val="18"/>
                <w:szCs w:val="18"/>
                <w:color w:val="auto"/>
              </w:rPr>
              <w:t>75.8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77.3</w:t>
            </w: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9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2"/>
        </w:trPr>
        <w:tc>
          <w:tcPr>
            <w:tcW w:w="8980" w:type="dxa"/>
            <w:vAlign w:val="bottom"/>
          </w:tcPr>
          <w:p>
            <w:pPr>
              <w:spacing w:after="0"/>
              <w:rPr>
                <w:sz w:val="16"/>
                <w:szCs w:val="16"/>
                <w:color w:val="auto"/>
              </w:rPr>
            </w:pPr>
          </w:p>
        </w:tc>
        <w:tc>
          <w:tcPr>
            <w:tcW w:w="15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0"/>
              </w:rPr>
              <w:t>December 31,</w:t>
            </w:r>
          </w:p>
        </w:tc>
        <w:tc>
          <w:tcPr>
            <w:tcW w:w="680" w:type="dxa"/>
            <w:vAlign w:val="bottom"/>
            <w:tcBorders>
              <w:bottom w:val="single" w:sz="8" w:color="auto"/>
            </w:tcBorders>
          </w:tcPr>
          <w:p>
            <w:pPr>
              <w:spacing w:after="0"/>
              <w:rPr>
                <w:sz w:val="16"/>
                <w:szCs w:val="16"/>
                <w:color w:val="auto"/>
              </w:rPr>
            </w:pPr>
          </w:p>
        </w:tc>
      </w:tr>
      <w:tr>
        <w:trPr>
          <w:trHeight w:val="187"/>
        </w:trPr>
        <w:tc>
          <w:tcPr>
            <w:tcW w:w="89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RIF by Metropolitan Statistical Area</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8980" w:type="dxa"/>
            <w:vAlign w:val="bottom"/>
          </w:tcPr>
          <w:p>
            <w:pPr>
              <w:ind w:left="140"/>
              <w:spacing w:after="0"/>
              <w:rPr>
                <w:sz w:val="20"/>
                <w:szCs w:val="20"/>
                <w:color w:val="auto"/>
              </w:rPr>
            </w:pPr>
            <w:r>
              <w:rPr>
                <w:rFonts w:ascii="Arial" w:cs="Arial" w:eastAsia="Arial" w:hAnsi="Arial"/>
                <w:sz w:val="18"/>
                <w:szCs w:val="18"/>
                <w:color w:val="auto"/>
              </w:rPr>
              <w:t>Phoenix-Mesa-Chandler, AZ</w:t>
            </w:r>
          </w:p>
        </w:tc>
        <w:tc>
          <w:tcPr>
            <w:tcW w:w="106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Houston-The Woodlands-Sugar Land, TX</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r>
      <w:tr>
        <w:trPr>
          <w:trHeight w:val="230"/>
        </w:trPr>
        <w:tc>
          <w:tcPr>
            <w:tcW w:w="8980" w:type="dxa"/>
            <w:vAlign w:val="bottom"/>
          </w:tcPr>
          <w:p>
            <w:pPr>
              <w:ind w:left="140"/>
              <w:spacing w:after="0"/>
              <w:rPr>
                <w:sz w:val="20"/>
                <w:szCs w:val="20"/>
                <w:color w:val="auto"/>
              </w:rPr>
            </w:pPr>
            <w:r>
              <w:rPr>
                <w:rFonts w:ascii="Arial" w:cs="Arial" w:eastAsia="Arial" w:hAnsi="Arial"/>
                <w:sz w:val="18"/>
                <w:szCs w:val="18"/>
                <w:color w:val="auto"/>
              </w:rPr>
              <w:t>Denver-Aurora-Lakewood, CO</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2.3</w:t>
            </w:r>
          </w:p>
        </w:tc>
      </w:tr>
      <w:tr>
        <w:trPr>
          <w:trHeight w:val="229"/>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Washington-Arlington-Alexandria, DC-VA-MD-WV</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r>
      <w:tr>
        <w:trPr>
          <w:trHeight w:val="229"/>
        </w:trPr>
        <w:tc>
          <w:tcPr>
            <w:tcW w:w="8980" w:type="dxa"/>
            <w:vAlign w:val="bottom"/>
          </w:tcPr>
          <w:p>
            <w:pPr>
              <w:ind w:left="140"/>
              <w:spacing w:after="0"/>
              <w:rPr>
                <w:sz w:val="20"/>
                <w:szCs w:val="20"/>
                <w:color w:val="auto"/>
              </w:rPr>
            </w:pPr>
            <w:r>
              <w:rPr>
                <w:rFonts w:ascii="Arial" w:cs="Arial" w:eastAsia="Arial" w:hAnsi="Arial"/>
                <w:sz w:val="18"/>
                <w:szCs w:val="18"/>
                <w:color w:val="auto"/>
              </w:rPr>
              <w:t>Dallas-Plano-Irving, TX</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2.0</w:t>
            </w:r>
          </w:p>
        </w:tc>
      </w:tr>
      <w:tr>
        <w:trPr>
          <w:trHeight w:val="230"/>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Atlanta-Sandy Springs-Alpharetta, GA</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r>
      <w:tr>
        <w:trPr>
          <w:trHeight w:val="229"/>
        </w:trPr>
        <w:tc>
          <w:tcPr>
            <w:tcW w:w="8980" w:type="dxa"/>
            <w:vAlign w:val="bottom"/>
          </w:tcPr>
          <w:p>
            <w:pPr>
              <w:ind w:left="140"/>
              <w:spacing w:after="0"/>
              <w:rPr>
                <w:sz w:val="20"/>
                <w:szCs w:val="20"/>
                <w:color w:val="auto"/>
              </w:rPr>
            </w:pPr>
            <w:r>
              <w:rPr>
                <w:rFonts w:ascii="Arial" w:cs="Arial" w:eastAsia="Arial" w:hAnsi="Arial"/>
                <w:sz w:val="18"/>
                <w:szCs w:val="18"/>
                <w:color w:val="auto"/>
              </w:rPr>
              <w:t>Los Angeles-Long Beach-Glendale, CA</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2.0</w:t>
            </w:r>
          </w:p>
        </w:tc>
      </w:tr>
      <w:tr>
        <w:trPr>
          <w:trHeight w:val="230"/>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Chicago-Naperville-Evanston, IL</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r>
      <w:tr>
        <w:trPr>
          <w:trHeight w:val="229"/>
        </w:trPr>
        <w:tc>
          <w:tcPr>
            <w:tcW w:w="8980" w:type="dxa"/>
            <w:vAlign w:val="bottom"/>
          </w:tcPr>
          <w:p>
            <w:pPr>
              <w:ind w:left="140"/>
              <w:spacing w:after="0"/>
              <w:rPr>
                <w:sz w:val="20"/>
                <w:szCs w:val="20"/>
                <w:color w:val="auto"/>
              </w:rPr>
            </w:pPr>
            <w:r>
              <w:rPr>
                <w:rFonts w:ascii="Arial" w:cs="Arial" w:eastAsia="Arial" w:hAnsi="Arial"/>
                <w:sz w:val="18"/>
                <w:szCs w:val="18"/>
                <w:color w:val="auto"/>
              </w:rPr>
              <w:t>Riverside-San Bernardino-Ontario, CA</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Arial" w:cs="Arial" w:eastAsia="Arial" w:hAnsi="Arial"/>
                <w:sz w:val="18"/>
                <w:szCs w:val="18"/>
                <w:color w:val="auto"/>
              </w:rPr>
              <w:t>1.6</w:t>
            </w:r>
          </w:p>
        </w:tc>
      </w:tr>
      <w:tr>
        <w:trPr>
          <w:trHeight w:val="229"/>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Minneapolis-St. Paul-Bloomington, MN-WI</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r>
      <w:tr>
        <w:trPr>
          <w:trHeight w:val="230"/>
        </w:trPr>
        <w:tc>
          <w:tcPr>
            <w:tcW w:w="8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Others</w:t>
            </w: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77.4</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Our customers consist of originators of residential mortgage loans, such as regulated depository institutions, mortgage banks, credit unions and other lenders. We classify our customers into two broad categories and target our marketing efforts based on the customer's operating model and whether decisions to select a mortgage insurance provider are made centrally, or at the field or customer branch level:</w:t>
      </w:r>
    </w:p>
    <w:p>
      <w:pPr>
        <w:spacing w:after="0" w:line="211" w:lineRule="exact"/>
        <w:rPr>
          <w:sz w:val="20"/>
          <w:szCs w:val="20"/>
          <w:color w:val="auto"/>
        </w:rPr>
      </w:pPr>
    </w:p>
    <w:p>
      <w:pPr>
        <w:ind w:left="660" w:right="160" w:hanging="247"/>
        <w:spacing w:after="0" w:line="286"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Centralized</w:t>
      </w:r>
      <w:r>
        <w:rPr>
          <w:rFonts w:ascii="Arial" w:cs="Arial" w:eastAsia="Arial" w:hAnsi="Arial"/>
          <w:sz w:val="17"/>
          <w:szCs w:val="17"/>
          <w:color w:val="auto"/>
        </w:rPr>
        <w:t>—Centralized customers make decisions regarding the placement and allocation of mortgage insurance among their approved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insurers at the corporate level. Generally, these customers consist of the larger, national mortgage originators which originate loans across multiple states, but there are several regional and mid-size lenders which use this method as well.</w:t>
      </w:r>
    </w:p>
    <w:p>
      <w:pPr>
        <w:spacing w:after="0" w:line="192" w:lineRule="exact"/>
        <w:rPr>
          <w:rFonts w:ascii="Arial" w:cs="Arial" w:eastAsia="Arial" w:hAnsi="Arial"/>
          <w:sz w:val="17"/>
          <w:szCs w:val="17"/>
          <w:color w:val="auto"/>
        </w:rPr>
      </w:pPr>
    </w:p>
    <w:p>
      <w:pPr>
        <w:ind w:left="660" w:right="100" w:hanging="247"/>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Decentralized</w:t>
      </w:r>
      <w:r>
        <w:rPr>
          <w:rFonts w:ascii="Arial" w:cs="Arial" w:eastAsia="Arial" w:hAnsi="Arial"/>
          <w:sz w:val="18"/>
          <w:szCs w:val="18"/>
          <w:color w:val="auto"/>
        </w:rPr>
        <w:t>—Decentralized customers make mortgage insurance purchasing decisions at the field or branch level. These customers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are more prevalent with regional and mid-size lenders which originate mortgages in a smaller geographic footprint, but are also seen, on a limited basis, among some national lenders.</w:t>
      </w:r>
    </w:p>
    <w:p>
      <w:pPr>
        <w:spacing w:after="0" w:line="211" w:lineRule="exact"/>
        <w:rPr>
          <w:sz w:val="20"/>
          <w:szCs w:val="20"/>
          <w:color w:val="auto"/>
        </w:rPr>
      </w:pPr>
    </w:p>
    <w:p>
      <w:pPr>
        <w:jc w:val="both"/>
        <w:ind w:right="80" w:firstLine="445"/>
        <w:spacing w:after="0" w:line="311" w:lineRule="auto"/>
        <w:rPr>
          <w:sz w:val="20"/>
          <w:szCs w:val="20"/>
          <w:color w:val="auto"/>
        </w:rPr>
      </w:pPr>
      <w:r>
        <w:rPr>
          <w:rFonts w:ascii="Arial" w:cs="Arial" w:eastAsia="Arial" w:hAnsi="Arial"/>
          <w:sz w:val="16"/>
          <w:szCs w:val="16"/>
          <w:color w:val="auto"/>
        </w:rPr>
        <w:t>We seek to maintain strong institutional relationships with all our customers. We provide them with ongoing risk, sales, training, service and product development support. We maintain regular and ongoing dialogue with our customers to develop an in-depth understanding of their strategies and needs, to share market perspectives and industry best practices, and to offer tailored solutions and training where necessary on a local level.</w:t>
      </w:r>
    </w:p>
    <w:p>
      <w:pPr>
        <w:spacing w:after="0" w:line="176"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Our top ten customers generated 35.8% of our NIW on a flow basis during the year ended December 31, 2020, compared to 42.8% and 43.5% for the years ended December 31, 2019 and 2018, respectively. For the year ended December 31, 2020, no customer exceeded 10% of our consolidated revenue. The loss of any of our larger customers could have a material adverse impact on us and our business. See "Risk Factors—Risks Relating to the Operation of Our Business—</w:t>
      </w:r>
      <w:r>
        <w:rPr>
          <w:rFonts w:ascii="Arial" w:cs="Arial" w:eastAsia="Arial" w:hAnsi="Arial"/>
          <w:sz w:val="17"/>
          <w:szCs w:val="17"/>
          <w:i w:val="1"/>
          <w:iCs w:val="1"/>
          <w:color w:val="auto"/>
        </w:rPr>
        <w:t>Our revenues, profitability and returns would decline if we lose a significant customer</w:t>
      </w:r>
      <w:r>
        <w:rPr>
          <w:rFonts w:ascii="Arial" w:cs="Arial" w:eastAsia="Arial" w:hAnsi="Arial"/>
          <w:sz w:val="17"/>
          <w:szCs w:val="17"/>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jc w:val="both"/>
        <w:ind w:right="260" w:firstLine="445"/>
        <w:spacing w:after="0" w:line="263" w:lineRule="auto"/>
        <w:rPr>
          <w:sz w:val="20"/>
          <w:szCs w:val="20"/>
          <w:color w:val="auto"/>
        </w:rPr>
      </w:pPr>
      <w:r>
        <w:rPr>
          <w:rFonts w:ascii="Arial" w:cs="Arial" w:eastAsia="Arial" w:hAnsi="Arial"/>
          <w:sz w:val="18"/>
          <w:szCs w:val="18"/>
          <w:color w:val="auto"/>
        </w:rPr>
        <w:t>Our sales and marketing efforts are designed to help us establish and maintain in-depth, quality customer relationships. We organize our sales and marketing efforts based on our centralized and decentralized customer segmentation, giving additional consideration to a customer's geographic location and whether its lending footprint is national or regional in nature.</w:t>
      </w:r>
    </w:p>
    <w:p>
      <w:pPr>
        <w:spacing w:after="0" w:line="211"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We emphasize a collaborative approach with our customers that includes a number of educational offerings and joint product development and marketing initiatives:</w:t>
      </w:r>
    </w:p>
    <w:p>
      <w:pPr>
        <w:spacing w:after="0" w:line="197" w:lineRule="exact"/>
        <w:rPr>
          <w:sz w:val="20"/>
          <w:szCs w:val="20"/>
          <w:color w:val="auto"/>
        </w:rPr>
      </w:pPr>
    </w:p>
    <w:p>
      <w:pPr>
        <w:ind w:left="660" w:right="300" w:hanging="247"/>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Regular Portfolio and Risk Management Reviews. </w:t>
      </w:r>
      <w:r>
        <w:rPr>
          <w:rFonts w:ascii="Arial" w:cs="Arial" w:eastAsia="Arial" w:hAnsi="Arial"/>
          <w:sz w:val="18"/>
          <w:szCs w:val="18"/>
          <w:color w:val="auto"/>
        </w:rPr>
        <w:t>We conduct periodic insured mortgage portfolio reviews with customers, including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loan performance metrics.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6" w:name="page17"/>
    <w:bookmarkEnd w:id="16"/>
    <w:p>
      <w:pPr>
        <w:ind w:left="660" w:right="320" w:hanging="247"/>
        <w:spacing w:after="0" w:line="279"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Joint Product Development and Marketing Initiatives. </w:t>
      </w:r>
      <w:r>
        <w:rPr>
          <w:rFonts w:ascii="Arial" w:cs="Arial" w:eastAsia="Arial" w:hAnsi="Arial"/>
          <w:sz w:val="17"/>
          <w:szCs w:val="17"/>
          <w:color w:val="auto"/>
        </w:rPr>
        <w:t>We emphasize the development of specialized products and programs that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opportunities for customers and address targeted segments of the market. We recognize the value in developing new products collaboratively with our customers. We also work closely with customers to understand their strategic priorities and business objectives while identifying opportunities that will enhance and complement the customers' marketing activities.</w:t>
      </w:r>
    </w:p>
    <w:p>
      <w:pPr>
        <w:spacing w:after="0" w:line="198" w:lineRule="exact"/>
        <w:rPr>
          <w:rFonts w:ascii="Arial" w:cs="Arial" w:eastAsia="Arial" w:hAnsi="Arial"/>
          <w:sz w:val="17"/>
          <w:szCs w:val="17"/>
          <w:color w:val="auto"/>
        </w:rPr>
      </w:pPr>
    </w:p>
    <w:p>
      <w:pPr>
        <w:ind w:left="660" w:right="160" w:hanging="247"/>
        <w:spacing w:after="0" w:line="275"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Customer Service, Support and Trainings. </w:t>
      </w:r>
      <w:r>
        <w:rPr>
          <w:rFonts w:ascii="Arial" w:cs="Arial" w:eastAsia="Arial" w:hAnsi="Arial"/>
          <w:sz w:val="17"/>
          <w:szCs w:val="17"/>
          <w:color w:val="auto"/>
        </w:rPr>
        <w:t>We have an experienced and knowledgeable customer services team that strives to provide premier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to our customers. We dedicate service representatives to our customers so they can establish relationships with their customer peers and become thoroughly familiar with unique customer systems, processes and service needs. We have developed mortgage industry training courses that are offered to our customers as a value added service. We have an experienced team that maintains the course materials so that they are relevant and current and who facilitate training sessions for our customers.</w:t>
      </w:r>
    </w:p>
    <w:p>
      <w:pPr>
        <w:spacing w:after="0" w:line="203"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We have an experienced team of national and regional account managers strategically deployed nationwide that markets our mortgage insurance products and support services.</w:t>
      </w:r>
    </w:p>
    <w:p>
      <w:pPr>
        <w:spacing w:after="0" w:line="197"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We assign national account managers to each of the national lenders, providing a point of communication between us and the customer's senior management team. These professionals are responsible for the development and execution of sales and marketing strategies aimed at growing customer volumes and ensuring each customer's needs are understood and helping them to pursue their strategies. The national account managers also coordinate the direct communication of customers with our underwriting and risk management groups to provide a continual flow of information between the organizations.</w:t>
      </w:r>
    </w:p>
    <w:p>
      <w:pPr>
        <w:spacing w:after="0" w:line="215" w:lineRule="exact"/>
        <w:rPr>
          <w:sz w:val="20"/>
          <w:szCs w:val="20"/>
          <w:color w:val="auto"/>
        </w:rPr>
      </w:pPr>
    </w:p>
    <w:p>
      <w:pPr>
        <w:jc w:val="both"/>
        <w:ind w:right="80" w:firstLine="445"/>
        <w:spacing w:after="0" w:line="279" w:lineRule="auto"/>
        <w:rPr>
          <w:sz w:val="20"/>
          <w:szCs w:val="20"/>
          <w:color w:val="auto"/>
        </w:rPr>
      </w:pPr>
      <w:r>
        <w:rPr>
          <w:rFonts w:ascii="Arial" w:cs="Arial" w:eastAsia="Arial" w:hAnsi="Arial"/>
          <w:sz w:val="17"/>
          <w:szCs w:val="17"/>
          <w:color w:val="auto"/>
        </w:rPr>
        <w:t>We also have regional account managers and dedicated support staff operating in defined geographic regions. Our regional account managers play a similar role to our national account managers with respect to customer relationship management, education and customer training, serving as our primary point of contact for small and mid-sized regional lenders operating in a given territory. Regional account managers also support our national account team by assisting with our efforts to directly market and service the branch locations of certain national lenders.</w:t>
      </w:r>
    </w:p>
    <w:p>
      <w:pPr>
        <w:spacing w:after="0" w:line="198"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color w:val="auto"/>
        </w:rPr>
        <w:t>We support our national and regional sales force, and improve their effectiveness in acquiring new customers, by raising our brand awareness through advertising and marketing campaigns, website enhancements, electronic communication strategies and sponsorship of industry and educational events.</w:t>
      </w:r>
    </w:p>
    <w:p>
      <w:pPr>
        <w:spacing w:after="0" w:line="211" w:lineRule="exact"/>
        <w:rPr>
          <w:sz w:val="20"/>
          <w:szCs w:val="20"/>
          <w:color w:val="auto"/>
        </w:rPr>
      </w:pPr>
    </w:p>
    <w:p>
      <w:pPr>
        <w:ind w:right="340" w:firstLine="445"/>
        <w:spacing w:after="0" w:line="257" w:lineRule="auto"/>
        <w:rPr>
          <w:sz w:val="20"/>
          <w:szCs w:val="20"/>
          <w:color w:val="auto"/>
        </w:rPr>
      </w:pPr>
      <w:r>
        <w:rPr>
          <w:rFonts w:ascii="Arial" w:cs="Arial" w:eastAsia="Arial" w:hAnsi="Arial"/>
          <w:sz w:val="18"/>
          <w:szCs w:val="18"/>
          <w:color w:val="auto"/>
        </w:rPr>
        <w:t>We continue to build our sales force by hiring qualified mortgage professionals who generally have well-established relationships with industry-leading lenders and significant experience in both mortgage insurance and mortgage lending. Our approach is reflected in and supported by our compensation structure, pursuant to which we have successfully implemented a non-commission-based structure that includes an equity ownership program, which we believe aligns their efforts with our long-term corporate objectives, including providing better customer service and better risk selection.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and Cybersecurity</w:t>
      </w:r>
    </w:p>
    <w:p>
      <w:pPr>
        <w:spacing w:after="0" w:line="256" w:lineRule="exact"/>
        <w:rPr>
          <w:sz w:val="20"/>
          <w:szCs w:val="20"/>
          <w:color w:val="auto"/>
        </w:rPr>
      </w:pPr>
    </w:p>
    <w:p>
      <w:pPr>
        <w:ind w:right="320" w:firstLine="445"/>
        <w:spacing w:after="0" w:line="259" w:lineRule="auto"/>
        <w:rPr>
          <w:sz w:val="20"/>
          <w:szCs w:val="20"/>
          <w:color w:val="auto"/>
        </w:rPr>
      </w:pPr>
      <w:r>
        <w:rPr>
          <w:rFonts w:ascii="Arial" w:cs="Arial" w:eastAsia="Arial" w:hAnsi="Arial"/>
          <w:sz w:val="18"/>
          <w:szCs w:val="18"/>
          <w:color w:val="auto"/>
        </w:rPr>
        <w:t>We have a highly automated business that relies on information technology. We accept insurance applications through electronic submission and issue electronic insurance approvals. In order to facilitate this process, we establish direct connections to the origination and servicing systems of our customers and servicers, which may require a significant upfront investment. We also provide our customers secure access to our web-based mortgage insurance ordering and servicing systems to facilitate transactions.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continue to upgrade and enhance our systems and technology, including:</w:t>
      </w:r>
    </w:p>
    <w:p>
      <w:pPr>
        <w:spacing w:after="0" w:line="252" w:lineRule="exact"/>
        <w:rPr>
          <w:sz w:val="20"/>
          <w:szCs w:val="20"/>
          <w:color w:val="auto"/>
        </w:rPr>
      </w:pPr>
    </w:p>
    <w:p>
      <w:pPr>
        <w:ind w:left="660" w:right="20" w:hanging="247"/>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investing in new customer-facing technology that enables our customers to transact business faster and easier, whether over an internet browser or through direct system-to-system interfacing with our customers' loan origination and servicing systems;</w:t>
      </w:r>
    </w:p>
    <w:p>
      <w:pPr>
        <w:spacing w:after="0" w:line="197" w:lineRule="exact"/>
        <w:rPr>
          <w:rFonts w:ascii="Arial" w:cs="Arial" w:eastAsia="Arial" w:hAnsi="Arial"/>
          <w:sz w:val="18"/>
          <w:szCs w:val="18"/>
          <w:color w:val="auto"/>
        </w:rPr>
      </w:pPr>
    </w:p>
    <w:p>
      <w:pPr>
        <w:ind w:left="660" w:right="120" w:hanging="247"/>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integrating our platform with third-party technology providers used by our customers in their loan origination process and for ordering mortgage insurance;</w:t>
      </w:r>
    </w:p>
    <w:p>
      <w:pPr>
        <w:spacing w:after="0" w:line="197" w:lineRule="exact"/>
        <w:rPr>
          <w:rFonts w:ascii="Arial" w:cs="Arial" w:eastAsia="Arial" w:hAnsi="Arial"/>
          <w:sz w:val="18"/>
          <w:szCs w:val="18"/>
          <w:color w:val="auto"/>
        </w:rPr>
      </w:pPr>
    </w:p>
    <w:p>
      <w:pPr>
        <w:ind w:left="660" w:right="480" w:hanging="247"/>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supporting a business rules engine that automatically enforces our eligibility guidelines and pricing rules at the time the mortgage insurance application is submitted; and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17" w:name="page18"/>
    <w:bookmarkEnd w:id="17"/>
    <w:p>
      <w:pPr>
        <w:ind w:left="660" w:right="360" w:hanging="247"/>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implementing advanced business process management software that focuses on improving our underwriting productivity and that may also be used to improve our quality assurance and loss management functions.</w:t>
      </w:r>
    </w:p>
    <w:p>
      <w:pPr>
        <w:spacing w:after="0" w:line="19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We believe that our technology, together with our information technology team, greatly enhances our operating efficiency and creates competitive advantages. Our team is experienced in large-scale project delivery, including mortgage insurance administration systems and the development of web-enabled servicing capabilities. Technology costs are managed by standardizing our technology infrastructure, consolidating application systems, managing project execution risks and using contract employees as needed.</w:t>
      </w:r>
    </w:p>
    <w:p>
      <w:pPr>
        <w:spacing w:after="0" w:line="214"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As for all institutions involved in financial services, information security represents a significant operational risk. To mitigate this risk, Essent has developed and manages comprehensive information security program dedicated to protecting data entrusted to us by our clients as well as our own proprietary corporate information. Essent’s approach is a considered a defense-in-depth strategy, with multiple tiers of security controls and monitoring. Essent has developed our security program using National Institute of Standards and Technology Cybersecurity Framework (the “NIST”) as our benchmark to manage cybersecurity-related risks. Based on NIST, we have designed our security services, including but not limited to, Application Security, Vulnerability Management and Data Protection, Threat Detection and Incident Response. We test our programs effectiveness and readiness through table top exercises, regular external and internal penetration testing, “Red Team” testing and other means to ensure our program is effectively meeting our program goals as designed.</w:t>
      </w:r>
    </w:p>
    <w:p>
      <w:pPr>
        <w:spacing w:after="0" w:line="219" w:lineRule="exact"/>
        <w:rPr>
          <w:sz w:val="20"/>
          <w:szCs w:val="20"/>
          <w:color w:val="auto"/>
        </w:rPr>
      </w:pPr>
    </w:p>
    <w:p>
      <w:pPr>
        <w:ind w:right="100" w:firstLine="445"/>
        <w:spacing w:after="0" w:line="270" w:lineRule="auto"/>
        <w:rPr>
          <w:sz w:val="20"/>
          <w:szCs w:val="20"/>
          <w:color w:val="auto"/>
        </w:rPr>
      </w:pPr>
      <w:r>
        <w:rPr>
          <w:rFonts w:ascii="Arial" w:cs="Arial" w:eastAsia="Arial" w:hAnsi="Arial"/>
          <w:sz w:val="17"/>
          <w:szCs w:val="17"/>
          <w:color w:val="auto"/>
        </w:rPr>
        <w:t xml:space="preserve">Our commitment to our information security program extends across the organization. We have an information security committee comprised of cross-departmental company executives and IT leaders to ensure that we maintain strong governance mechanisms and to ensure compliance with our security policies and procedures. Additionally, our board of directors, led by the board’s technology, innovation and operations committee, actively oversees our information security program, with Essent's management providing that committee with regular updates and reporting on our IT strategy, including information security strategies and initiatives, event preparedness and incremental improvement efforts. Although our information security program is designed to attempt to prevent, detect and respond to unauthorized use or disclosure of confidential information, including non-public personal information, there can be no assurance that such use or disclosure will not occur. See “Risk Factors—Risks Relating to the Operation of Our Business— </w:t>
      </w:r>
      <w:r>
        <w:rPr>
          <w:rFonts w:ascii="Arial" w:cs="Arial" w:eastAsia="Arial" w:hAnsi="Arial"/>
          <w:sz w:val="17"/>
          <w:szCs w:val="17"/>
          <w:i w:val="1"/>
          <w:iCs w:val="1"/>
          <w:color w:val="auto"/>
        </w:rPr>
        <w:t>The security of our information technology systems may be compromised and confidential information, including non-public personal information that we maintain, could be improperly disclosed."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56"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We have established underwriting guidelines that we believe protect our balance sheet and result in the insurance of high quality business. Most applications for mortgage insurance are submitted to us electronically, and we rely upon the lender's representations and warranties that the data submitted is true and correct when making our insurance decision. Our underwriting guidelines incorporate credit eligibility requirements that, among other things, restrict our coverage to mortgages that meet our requirements with respect to borrower FICO scores, maximum debt-to-income levels, maximum LTV ratios and documentation requirements. Our underwriting guidelines also limit the coverage we provide for mortgages made with certain high risk features, including those for cash-out refinance, second homes or investment properties.</w:t>
      </w:r>
    </w:p>
    <w:p>
      <w:pPr>
        <w:spacing w:after="0" w:line="205" w:lineRule="exact"/>
        <w:rPr>
          <w:sz w:val="20"/>
          <w:szCs w:val="20"/>
          <w:color w:val="auto"/>
        </w:rPr>
      </w:pPr>
    </w:p>
    <w:p>
      <w:pPr>
        <w:ind w:right="140" w:firstLine="445"/>
        <w:spacing w:after="0" w:line="301" w:lineRule="auto"/>
        <w:rPr>
          <w:sz w:val="20"/>
          <w:szCs w:val="20"/>
          <w:color w:val="auto"/>
        </w:rPr>
      </w:pPr>
      <w:r>
        <w:rPr>
          <w:rFonts w:ascii="Arial" w:cs="Arial" w:eastAsia="Arial" w:hAnsi="Arial"/>
          <w:sz w:val="16"/>
          <w:szCs w:val="16"/>
          <w:color w:val="auto"/>
        </w:rPr>
        <w:t>We regularly seek to enhance our underwriting guidelines through extensive data gathering, detailed loan level risk analysis, and assessments of trends in key macroeconomic factors such as housing prices, interest rates and employment. We utilize proprietary models that enable us to assess individual loan risks with a high degree of granularity and set pricing for our policies within a risk-adjusted return framework. See "—Risk Management" below. We have adopted a balanced underwriting approach, which considers our risk analysis, return objectives and market factors.</w:t>
      </w:r>
    </w:p>
    <w:p>
      <w:pPr>
        <w:spacing w:after="0" w:line="184"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At present, our underwriting guidelines are broadly consistent with those of the GSEs. Many of our customers use the GSEs' automated loan underwriting systems, Desktop Underwriter® and Loan Prospector®, for making credit determinations. We accept the underwriting decisions made by the GSEs' underwriting systems, subject to certain additional limitations and requirements. We monitor the GSEs for updates to these systems, and may engage in a deeper review for the more substantive releases. Our reviews may result in the maintenance or implementation of additional eligibility requirements. In addition, the performance results of loans scored via automated underwriting systems are monitored within our portfolio management protocols.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color w:val="auto"/>
        </w:rPr>
        <w:t>Our primary mortgage insurance policies are issued through one of two programs:</w:t>
      </w:r>
    </w:p>
    <w:p>
      <w:pPr>
        <w:spacing w:after="0" w:line="252" w:lineRule="exact"/>
        <w:rPr>
          <w:sz w:val="20"/>
          <w:szCs w:val="20"/>
          <w:color w:val="auto"/>
        </w:rPr>
      </w:pPr>
    </w:p>
    <w:p>
      <w:pPr>
        <w:ind w:left="660" w:right="100" w:hanging="247"/>
        <w:spacing w:after="0" w:line="284"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Delegated Underwriting. </w:t>
      </w:r>
      <w:r>
        <w:rPr>
          <w:rFonts w:ascii="Arial" w:cs="Arial" w:eastAsia="Arial" w:hAnsi="Arial"/>
          <w:sz w:val="16"/>
          <w:szCs w:val="16"/>
          <w:color w:val="auto"/>
        </w:rPr>
        <w:t>We delegate to eligible customers the ability to underwrite the loans based on agreed-upon underwriting guidelines. To</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delegated underwriting, customers must be approved by our risk management group. See "—Risk Management—Loan Life Cycle Risk Management" below. Some customers prefer to assume underwriting responsibilities because it is more efficient within their loan origination process. Because this delegated underwriting is performed by third parties, we regularly perform quality assurance reviews on a sample of delegated loans to assess compliance with our guidelines. As of December 31, 2020, approximately 66% of our insurance in force had been originated on a delegated basis, compared to 62% as of December 31, 2019. See "Risk Factors—Risks Relating to the Operation of Our Business</w:t>
      </w:r>
    </w:p>
    <w:p>
      <w:pPr>
        <w:spacing w:after="0" w:line="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Our delegated underwriting program may subject our mortgage insurance business to unanticipated claims</w:t>
      </w:r>
      <w:r>
        <w:rPr>
          <w:rFonts w:ascii="Arial" w:cs="Arial" w:eastAsia="Arial" w:hAnsi="Arial"/>
          <w:sz w:val="18"/>
          <w:szCs w:val="18"/>
          <w:color w:val="auto"/>
        </w:rPr>
        <w:t>."</w:t>
      </w:r>
    </w:p>
    <w:p>
      <w:pPr>
        <w:spacing w:after="0" w:line="237" w:lineRule="exact"/>
        <w:rPr>
          <w:rFonts w:ascii="Arial" w:cs="Arial" w:eastAsia="Arial" w:hAnsi="Arial"/>
          <w:sz w:val="16"/>
          <w:szCs w:val="16"/>
          <w:color w:val="auto"/>
        </w:rPr>
      </w:pPr>
    </w:p>
    <w:p>
      <w:pPr>
        <w:ind w:left="660" w:hanging="247"/>
        <w:spacing w:after="0" w:line="272"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Non-Delegated Underwriting. </w:t>
      </w:r>
      <w:r>
        <w:rPr>
          <w:rFonts w:ascii="Arial" w:cs="Arial" w:eastAsia="Arial" w:hAnsi="Arial"/>
          <w:sz w:val="17"/>
          <w:szCs w:val="17"/>
          <w:color w:val="auto"/>
        </w:rPr>
        <w:t>Customers who choose not to participate in, or do not qualify for, our delegated underwriting program submit loan</w:t>
      </w:r>
      <w:r>
        <w:rPr>
          <w:rFonts w:ascii="Arial" w:cs="Arial" w:eastAsia="Arial" w:hAnsi="Arial"/>
          <w:sz w:val="17"/>
          <w:szCs w:val="17"/>
          <w:i w:val="1"/>
          <w:iCs w:val="1"/>
          <w:color w:val="auto"/>
        </w:rPr>
        <w:t xml:space="preserve"> </w:t>
      </w:r>
      <w:r>
        <w:rPr>
          <w:rFonts w:ascii="Arial" w:cs="Arial" w:eastAsia="Arial" w:hAnsi="Arial"/>
          <w:sz w:val="17"/>
          <w:szCs w:val="17"/>
          <w:color w:val="auto"/>
        </w:rPr>
        <w:t>files to us so that we may reach a decision as to whether we will insure the loan. In addition, customers participating in our delegated underwriting program may choose not to use their delegated authority, and instead may submit loans for our independent underwriting. Some customers prefer our non-delegated program because we assume underwriting responsibility and will not rescind coverage if we make an underwriting error, subject to the terms of our master policy. We seek to ensure that our employees properly underwrite our loans through quality assurance sampling, loan performance monitoring and training. As of December 31, 2020, approximately 34% of our insurance in force had been originated on a non-delegated basis, compared to 38% as of December 31, 2019.</w:t>
      </w:r>
    </w:p>
    <w:p>
      <w:pPr>
        <w:spacing w:after="0" w:line="204"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We maintain primary underwriting centers in Radnor, Pennsylvania, Winston-Salem, North Carolina and Irvine, California. We believe that the geographical distribution of our underwriting staff allows us to make underwriting determinations across different time zones and to best serve customers across the United States. Although our employees conduct the substantial majority of our non-delegated underwriting, we engage underwriters on an outsourced basis from time to time in order to provide temporary underwriting capacity.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56" w:lineRule="exact"/>
        <w:rPr>
          <w:sz w:val="20"/>
          <w:szCs w:val="20"/>
          <w:color w:val="auto"/>
        </w:rPr>
      </w:pPr>
    </w:p>
    <w:p>
      <w:pPr>
        <w:ind w:right="280" w:firstLine="445"/>
        <w:spacing w:after="0" w:line="259" w:lineRule="auto"/>
        <w:rPr>
          <w:sz w:val="20"/>
          <w:szCs w:val="20"/>
          <w:color w:val="auto"/>
        </w:rPr>
      </w:pPr>
      <w:r>
        <w:rPr>
          <w:rFonts w:ascii="Arial" w:cs="Arial" w:eastAsia="Arial" w:hAnsi="Arial"/>
          <w:sz w:val="18"/>
          <w:szCs w:val="18"/>
          <w:color w:val="auto"/>
        </w:rPr>
        <w:t>We have established risk management controls throughout our organization and have a risk management framework that we believe reduces the volatility of our financial results and capital position. The risk committee of our board of directors has formal oversight responsibility for the risks associated with our business and is supported by a management risk committee, chaired by our Chief Risk Officer, comprised of senior members of our executive management team.</w:t>
      </w:r>
    </w:p>
    <w:p>
      <w:pPr>
        <w:spacing w:after="0" w:line="214"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We believe that our risk management framework encompasses all of the major risks we face, including our mortgage insurance portfolio, investment risk, liquidity risk and regulatory compliance risk, among others. The majority of our risk analysis is directed toward the risks embedded in our mortgage insurance portfolio. As such, we have established a risk management approach that analyzes the risk across the full life cycle of a mortgage, into what we term the "loan life cycle."</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Loan Life Cycle Risk Management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generally break down the loan life cycle risk management process into three components:</w:t>
      </w:r>
    </w:p>
    <w:p>
      <w:pPr>
        <w:spacing w:after="0" w:line="252" w:lineRule="exact"/>
        <w:rPr>
          <w:sz w:val="20"/>
          <w:szCs w:val="20"/>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Customer qualification</w:t>
      </w:r>
      <w:r>
        <w:rPr>
          <w:rFonts w:ascii="Arial" w:cs="Arial" w:eastAsia="Arial" w:hAnsi="Arial"/>
          <w:sz w:val="18"/>
          <w:szCs w:val="18"/>
          <w:color w:val="auto"/>
        </w:rPr>
        <w:t>—customer review and approval process;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Policy acquisition</w:t>
      </w:r>
      <w:r>
        <w:rPr>
          <w:rFonts w:ascii="Arial" w:cs="Arial" w:eastAsia="Arial" w:hAnsi="Arial"/>
          <w:sz w:val="18"/>
          <w:szCs w:val="18"/>
          <w:color w:val="auto"/>
        </w:rPr>
        <w:t>—loan underwriting, valuation and risk approval; and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Portfolio management</w:t>
      </w:r>
      <w:r>
        <w:rPr>
          <w:rFonts w:ascii="Arial" w:cs="Arial" w:eastAsia="Arial" w:hAnsi="Arial"/>
          <w:sz w:val="18"/>
          <w:szCs w:val="18"/>
          <w:color w:val="auto"/>
        </w:rPr>
        <w:t>—loan performance and lender monitoring with continuous oversight through the settlement of a claim.</w:t>
      </w:r>
    </w:p>
    <w:p>
      <w:pPr>
        <w:spacing w:after="0" w:line="252"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Customer qualification involves a process in which we diligence a potential customer's financial resources, operational practices, management experience and track record of originating quality mortgages prior to formalizing a customer relationship. We leverage the experience of our management team to pre-screen lenders prior to formally engaging and performing a lender qualification review. Once engaged, our counterparty risk management team conducts a lender qualification review with oversight from the management risk committee. Approved lenders are subject to clear parameters regarding underwriting delegation status, credit guideline requirements and variances and collateral thresholds and volume mix expectations for loan diversification.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9" w:name="page20"/>
    <w:bookmarkEnd w:id="19"/>
    <w:p>
      <w:pPr>
        <w:ind w:right="80" w:firstLine="445"/>
        <w:spacing w:after="0" w:line="257" w:lineRule="auto"/>
        <w:rPr>
          <w:sz w:val="20"/>
          <w:szCs w:val="20"/>
          <w:color w:val="auto"/>
        </w:rPr>
      </w:pPr>
      <w:r>
        <w:rPr>
          <w:rFonts w:ascii="Arial" w:cs="Arial" w:eastAsia="Arial" w:hAnsi="Arial"/>
          <w:sz w:val="18"/>
          <w:szCs w:val="18"/>
          <w:color w:val="auto"/>
        </w:rPr>
        <w:t>The policy acquisition process involves the establishment of underwriting guidelines, pricing schedules and aggregate risk limits. See "— Underwriting" above. These guidelines and schedules are coded in our credit risk rule engine which is utilized to screen each loan underwritten, and are constructed to ensure prudent risk acquisition with adequate return on capital. These guidelines and schedules are maintained and periodically reviewed by our risk management team and adjusted to reflect the most current risk assessment based on ongoing experience in the insurance portfolio as well as industry loan quality trends.</w:t>
      </w:r>
    </w:p>
    <w:p>
      <w:pPr>
        <w:spacing w:after="0" w:line="215"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The portfolio management process involves two main functions, quality assurance, or QA, reviews, and a comprehensive surveillance protocol, in order to provide customers timely feedback that fosters high quality loan production. Through our QA process, we review a statistically significant sample of individual mortgages from our customers to ensure that the loans accepted through our underwriting process meet our pre-determined eligibility and underwriting criteria. The QA process allows us to identify trends in lender underwriting and origination practices, as well as to back-test underlying reasons for delinquencies, defaults and claims within our portfolio. The information gathered from the QA process is incorporated into our policy acquisition function and is intended to prevent continued aggregation of underperforming risks. Our surveillance protocol maintains oversight over customer and vendor activities, industry dynamics, production trends and portfolio performance. The portfolio management process also involves loss mitigation aimed to reduce both frequency and severity of non-performing risk. See "—Defaults and Claims" below.</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Modeling and Analytics</w:t>
      </w:r>
    </w:p>
    <w:p>
      <w:pPr>
        <w:spacing w:after="0" w:line="252"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Our risk management professionals are supported by substantial data analysis and sophisticated risk models. We have a dedicated modeling and analytics team which is responsible for delivering actionable models, tools, analysis and reporting to inform our credit underwriting and pricing decisions. The team analyzes mortgage, financial, economic and housing data to develop proprietary behavioral models that help us assess credit, prepayment and loss severity trends and collateral valuation models to help inform business decisions. Performance and profitability are evaluated across customers and products to identify the emergence of potential weaknesses and adverse risks. Geographic housing market analysis also is utilized in establishing market restrictions for certain products and segments. We utilize an economic capital framework to evaluate risk-adjusted returns. We also perform stress tests on our portfolio to analyze how our book of business may perform under adverse scenarios. We believe that our economic capital framework and stress testing analysis helps to inform our optimal capitalization targets, allowing us to prudently manage and protect our balance sheet.</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Reinsurance</w:t>
      </w:r>
    </w:p>
    <w:p>
      <w:pPr>
        <w:spacing w:after="0" w:line="252"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We proactively manage our risk exposure and capital in part through the use of third-party reinsurance arrangements. Since 2018, we have entered into several types of reinsurance arrangements:</w:t>
      </w:r>
    </w:p>
    <w:p>
      <w:pPr>
        <w:spacing w:after="0" w:line="197" w:lineRule="exact"/>
        <w:rPr>
          <w:sz w:val="20"/>
          <w:szCs w:val="20"/>
          <w:color w:val="auto"/>
        </w:rPr>
      </w:pPr>
    </w:p>
    <w:p>
      <w:pPr>
        <w:ind w:left="660" w:right="180" w:hanging="247"/>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fully collateralized excess of loss reinsurance coverage on mortgage insurance policies that we have already issued with special purpose insurers funding such reinsurance obligations through the issuance of mortgage insurance-linked notes;</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excess of loss reinsurance arrangements with third party reinsurers on mortgage insurance policies that we have already issued; and</w:t>
      </w:r>
    </w:p>
    <w:p>
      <w:pPr>
        <w:spacing w:after="0" w:line="23" w:lineRule="exact"/>
        <w:rPr>
          <w:rFonts w:ascii="Arial" w:cs="Arial" w:eastAsia="Arial" w:hAnsi="Arial"/>
          <w:sz w:val="18"/>
          <w:szCs w:val="18"/>
          <w:color w:val="auto"/>
        </w:rPr>
      </w:pPr>
    </w:p>
    <w:p>
      <w:pPr>
        <w:ind w:left="660" w:right="180" w:hanging="247"/>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quota share reinsurance arrangements in which third party reinsurers agree to prospectively reinsure a pro rata portion of the risk on policies that we write.</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reinsurance programs offer us a number of benefits, including:</w:t>
      </w:r>
    </w:p>
    <w:p>
      <w:pPr>
        <w:spacing w:after="0" w:line="252"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hedging against adverse losses in times of stress and mitigation of portfolio risk and volatility through the housing and economic cycle;</w:t>
      </w:r>
    </w:p>
    <w:p>
      <w:pPr>
        <w:spacing w:after="0" w:line="263" w:lineRule="exact"/>
        <w:rPr>
          <w:rFonts w:ascii="Arial" w:cs="Arial" w:eastAsia="Arial" w:hAnsi="Arial"/>
          <w:sz w:val="17"/>
          <w:szCs w:val="17"/>
          <w:color w:val="auto"/>
        </w:rPr>
      </w:pPr>
    </w:p>
    <w:p>
      <w:pPr>
        <w:ind w:left="660" w:right="60" w:hanging="247"/>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capital relief under the various state insurance risk to capital framework, rating agency capital requirements and GSE PMIERs available asset requirements;</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a diversified source of capital to support and grow our business; and</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enhancing our counterparty strength and improving the sustainability of our franchise.</w:t>
      </w:r>
    </w:p>
    <w:p>
      <w:pPr>
        <w:spacing w:after="0" w:line="238"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For additional information regarding our third-party reinsurance programs, see Note 5 to our consolidated financial statements entitled "Reinsurance" included elsewhere in this Annual Report.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Defaults and Claims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Defaults</w:t>
      </w:r>
    </w:p>
    <w:p>
      <w:pPr>
        <w:spacing w:after="0" w:line="252"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default and claim cycle for a mortgage insurance policy begins with receipt of a default notice from the servicer. We consider a loan to be in default when we are notified by the servicer that the borrower has missed at least two consecutive monthly payments. Defaults may occur for a variety of reasons including death or illness, divorce or other family problems, unemployment, changes in economic conditions, declines in property values that cause the outstanding mortgage amount to exceed the value of a home or other events.</w:t>
      </w:r>
    </w:p>
    <w:p>
      <w:pPr>
        <w:spacing w:after="0" w:line="214"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We expect servicers to make timely collection efforts on borrowers who have defaulted, and to attempt to restore the defaulted mortgage, and our mortgage insurance coverage, to current status. If the servicer cannot restore a borrower to current status, the servicer may be able to offer the borrower a forbearance or loan modification alternatives. Where these alternatives cannot cure the default, the servicer is responsible for pursuing remedies for the default, including foreclosure or acceptable foreclosure alternatives, certain of which, such as short sales and deeds in lieu of foreclosure, require our prior approval under the terms of our master policy. We have delegated certain authority to the GSEs and their servicers to exercise some of these alternatives. Among other requirements, servicers operate under protocols established by the GSEs. See "Risk Factors—Risks Relating to the Operation of Our Business —</w:t>
      </w:r>
      <w:r>
        <w:rPr>
          <w:rFonts w:ascii="Arial" w:cs="Arial" w:eastAsia="Arial" w:hAnsi="Arial"/>
          <w:sz w:val="16"/>
          <w:szCs w:val="16"/>
          <w:i w:val="1"/>
          <w:iCs w:val="1"/>
          <w:color w:val="auto"/>
        </w:rPr>
        <w:t>If servicers fail to adhere to appropriate servicing standards or experience disruptions to their businesses, our losses could unexpectedly increase</w:t>
      </w:r>
      <w:r>
        <w:rPr>
          <w:rFonts w:ascii="Arial" w:cs="Arial" w:eastAsia="Arial" w:hAnsi="Arial"/>
          <w:sz w:val="16"/>
          <w:szCs w:val="16"/>
          <w:color w:val="auto"/>
        </w:rPr>
        <w:t>."</w:t>
      </w:r>
    </w:p>
    <w:p>
      <w:pPr>
        <w:spacing w:after="0" w:line="193"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 following table shows the number of primary insured loans and the percentage of loans insured by us that are in default as of December 31, 2020 and 2019:</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Number of Loans in Default and Default Rate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87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250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policies in force</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799,893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702,925</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Loans in default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2"/>
          </w:tcPr>
          <w:p>
            <w:pPr>
              <w:jc w:val="right"/>
              <w:ind w:right="143"/>
              <w:spacing w:after="0"/>
              <w:rPr>
                <w:sz w:val="20"/>
                <w:szCs w:val="20"/>
                <w:color w:val="auto"/>
              </w:rPr>
            </w:pPr>
            <w:r>
              <w:rPr>
                <w:rFonts w:ascii="Arial" w:cs="Arial" w:eastAsia="Arial" w:hAnsi="Arial"/>
                <w:sz w:val="18"/>
                <w:szCs w:val="18"/>
                <w:color w:val="auto"/>
              </w:rPr>
              <w:t>31,469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of loans in default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0.85 %</w:t>
            </w:r>
          </w:p>
        </w:tc>
        <w:tc>
          <w:tcPr>
            <w:tcW w:w="0" w:type="dxa"/>
            <w:vAlign w:val="bottom"/>
          </w:tcPr>
          <w:p>
            <w:pPr>
              <w:spacing w:after="0"/>
              <w:rPr>
                <w:sz w:val="1"/>
                <w:szCs w:val="1"/>
                <w:color w:val="auto"/>
              </w:rPr>
            </w:pPr>
          </w:p>
        </w:tc>
      </w:tr>
      <w:tr>
        <w:trPr>
          <w:trHeight w:val="540"/>
        </w:trPr>
        <w:tc>
          <w:tcPr>
            <w:tcW w:w="2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ind w:left="220"/>
              <w:spacing w:after="0"/>
              <w:rPr>
                <w:sz w:val="20"/>
                <w:szCs w:val="20"/>
                <w:color w:val="auto"/>
              </w:rPr>
            </w:pPr>
            <w:r>
              <w:rPr>
                <w:rFonts w:ascii="Arial" w:cs="Arial" w:eastAsia="Arial" w:hAnsi="Arial"/>
                <w:sz w:val="18"/>
                <w:szCs w:val="18"/>
                <w:i w:val="1"/>
                <w:iCs w:val="1"/>
                <w:color w:val="auto"/>
                <w:w w:val="92"/>
              </w:rPr>
              <w:t>Loan Defaults by Originating Year</w:t>
            </w: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50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Percentage</w:t>
            </w:r>
          </w:p>
        </w:tc>
        <w:tc>
          <w:tcPr>
            <w:tcW w:w="160" w:type="dxa"/>
            <w:vAlign w:val="bottom"/>
          </w:tcPr>
          <w:p>
            <w:pPr>
              <w:spacing w:after="0"/>
              <w:rPr>
                <w:sz w:val="11"/>
                <w:szCs w:val="11"/>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Defaulted</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0"/>
              </w:rPr>
              <w:t>Percentage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3"/>
              </w:rPr>
              <w:t>Defaulted</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5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Loans in</w:t>
            </w: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of policies</w:t>
            </w: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Loans in</w:t>
            </w:r>
          </w:p>
        </w:tc>
        <w:tc>
          <w:tcPr>
            <w:tcW w:w="100" w:type="dxa"/>
            <w:vAlign w:val="bottom"/>
          </w:tcPr>
          <w:p>
            <w:pPr>
              <w:spacing w:after="0"/>
              <w:rPr>
                <w:sz w:val="11"/>
                <w:szCs w:val="11"/>
                <w:color w:val="auto"/>
              </w:rPr>
            </w:pPr>
          </w:p>
        </w:tc>
        <w:tc>
          <w:tcPr>
            <w:tcW w:w="128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89"/>
              </w:rPr>
              <w:t>of policies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Originating Year</w:t>
            </w:r>
          </w:p>
        </w:tc>
        <w:tc>
          <w:tcPr>
            <w:tcW w:w="1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6"/>
              </w:rPr>
              <w:t>written in</w:t>
            </w:r>
          </w:p>
        </w:tc>
        <w:tc>
          <w:tcPr>
            <w:tcW w:w="16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RIF</w:t>
            </w:r>
          </w:p>
        </w:tc>
        <w:tc>
          <w:tcPr>
            <w:tcW w:w="1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6"/>
              </w:rPr>
              <w:t>written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188"/>
        </w:trPr>
        <w:tc>
          <w:tcPr>
            <w:tcW w:w="2500" w:type="dxa"/>
            <w:vAlign w:val="bottom"/>
            <w:vMerge w:val="continue"/>
          </w:tcPr>
          <w:p>
            <w:pPr>
              <w:spacing w:after="0"/>
              <w:rPr>
                <w:sz w:val="16"/>
                <w:szCs w:val="16"/>
                <w:color w:val="auto"/>
              </w:rPr>
            </w:pPr>
          </w:p>
        </w:tc>
        <w:tc>
          <w:tcPr>
            <w:tcW w:w="1560" w:type="dxa"/>
            <w:vAlign w:val="bottom"/>
          </w:tcPr>
          <w:p>
            <w:pPr>
              <w:jc w:val="right"/>
              <w:ind w:right="474"/>
              <w:spacing w:after="0"/>
              <w:rPr>
                <w:sz w:val="20"/>
                <w:szCs w:val="20"/>
                <w:color w:val="auto"/>
              </w:rPr>
            </w:pPr>
            <w:r>
              <w:rPr>
                <w:rFonts w:ascii="Arial" w:cs="Arial" w:eastAsia="Arial" w:hAnsi="Arial"/>
                <w:sz w:val="14"/>
                <w:szCs w:val="14"/>
                <w:b w:val="1"/>
                <w:bCs w:val="1"/>
                <w:color w:val="auto"/>
              </w:rPr>
              <w:t>Default</w:t>
            </w:r>
          </w:p>
        </w:tc>
        <w:tc>
          <w:tcPr>
            <w:tcW w:w="100" w:type="dxa"/>
            <w:vAlign w:val="bottom"/>
          </w:tcPr>
          <w:p>
            <w:pPr>
              <w:spacing w:after="0"/>
              <w:rPr>
                <w:sz w:val="16"/>
                <w:szCs w:val="16"/>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period</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Pr>
          <w:p>
            <w:pPr>
              <w:spacing w:after="0"/>
              <w:rPr>
                <w:sz w:val="16"/>
                <w:szCs w:val="16"/>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period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2010 - 2014</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1"/>
              </w:rPr>
              <w:t>0.7 %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106,380</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gridSpan w:val="2"/>
            <w:shd w:val="clear" w:color="auto" w:fill="CCEEFF"/>
          </w:tcPr>
          <w:p>
            <w:pPr>
              <w:ind w:left="820"/>
              <w:spacing w:after="0"/>
              <w:rPr>
                <w:sz w:val="20"/>
                <w:szCs w:val="20"/>
                <w:color w:val="auto"/>
              </w:rPr>
            </w:pPr>
            <w:r>
              <w:rPr>
                <w:rFonts w:ascii="Arial" w:cs="Arial" w:eastAsia="Arial" w:hAnsi="Arial"/>
                <w:sz w:val="18"/>
                <w:szCs w:val="18"/>
                <w:color w:val="auto"/>
                <w:w w:val="91"/>
              </w:rPr>
              <w:t>0.3 %</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46,989</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2015</w:t>
            </w:r>
          </w:p>
        </w:tc>
        <w:tc>
          <w:tcPr>
            <w:tcW w:w="1560" w:type="dxa"/>
            <w:vAlign w:val="bottom"/>
          </w:tcPr>
          <w:p>
            <w:pPr>
              <w:jc w:val="right"/>
              <w:spacing w:after="0"/>
              <w:rPr>
                <w:sz w:val="20"/>
                <w:szCs w:val="20"/>
                <w:color w:val="auto"/>
              </w:rPr>
            </w:pPr>
            <w:r>
              <w:rPr>
                <w:rFonts w:ascii="Arial" w:cs="Arial" w:eastAsia="Arial" w:hAnsi="Arial"/>
                <w:sz w:val="18"/>
                <w:szCs w:val="18"/>
                <w:color w:val="auto"/>
              </w:rPr>
              <w:t>1,615</w:t>
            </w:r>
          </w:p>
        </w:tc>
        <w:tc>
          <w:tcPr>
            <w:tcW w:w="1360" w:type="dxa"/>
            <w:vAlign w:val="bottom"/>
            <w:gridSpan w:val="2"/>
          </w:tcPr>
          <w:p>
            <w:pPr>
              <w:ind w:left="9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91,288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669</w:t>
            </w:r>
          </w:p>
        </w:tc>
        <w:tc>
          <w:tcPr>
            <w:tcW w:w="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36,362</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188,240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51,304</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2017</w:t>
            </w:r>
          </w:p>
        </w:tc>
        <w:tc>
          <w:tcPr>
            <w:tcW w:w="1560" w:type="dxa"/>
            <w:vAlign w:val="bottom"/>
          </w:tcPr>
          <w:p>
            <w:pPr>
              <w:jc w:val="right"/>
              <w:spacing w:after="0"/>
              <w:rPr>
                <w:sz w:val="20"/>
                <w:szCs w:val="20"/>
                <w:color w:val="auto"/>
              </w:rPr>
            </w:pPr>
            <w:r>
              <w:rPr>
                <w:rFonts w:ascii="Arial" w:cs="Arial" w:eastAsia="Arial" w:hAnsi="Arial"/>
                <w:sz w:val="18"/>
                <w:szCs w:val="18"/>
                <w:color w:val="auto"/>
              </w:rPr>
              <w:t>5,614</w:t>
            </w:r>
          </w:p>
        </w:tc>
        <w:tc>
          <w:tcPr>
            <w:tcW w:w="1360" w:type="dxa"/>
            <w:vAlign w:val="bottom"/>
            <w:gridSpan w:val="2"/>
          </w:tcPr>
          <w:p>
            <w:pPr>
              <w:ind w:left="9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307,133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1,623</w:t>
            </w:r>
          </w:p>
        </w:tc>
        <w:tc>
          <w:tcPr>
            <w:tcW w:w="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81,398</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414,691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76,955</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2019</w:t>
            </w:r>
          </w:p>
        </w:tc>
        <w:tc>
          <w:tcPr>
            <w:tcW w:w="1560" w:type="dxa"/>
            <w:vAlign w:val="bottom"/>
          </w:tcPr>
          <w:p>
            <w:pPr>
              <w:jc w:val="right"/>
              <w:spacing w:after="0"/>
              <w:rPr>
                <w:sz w:val="20"/>
                <w:szCs w:val="20"/>
                <w:color w:val="auto"/>
              </w:rPr>
            </w:pPr>
            <w:r>
              <w:rPr>
                <w:rFonts w:ascii="Arial" w:cs="Arial" w:eastAsia="Arial" w:hAnsi="Arial"/>
                <w:sz w:val="18"/>
                <w:szCs w:val="18"/>
                <w:color w:val="auto"/>
              </w:rPr>
              <w:t>9,230</w:t>
            </w:r>
          </w:p>
        </w:tc>
        <w:tc>
          <w:tcPr>
            <w:tcW w:w="1360" w:type="dxa"/>
            <w:vAlign w:val="bottom"/>
            <w:gridSpan w:val="2"/>
          </w:tcPr>
          <w:p>
            <w:pPr>
              <w:ind w:left="9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666,756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26,902</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234,117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ind w:left="1240"/>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31,469</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2,008,605</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319,910</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60" w:firstLine="445"/>
        <w:spacing w:after="0" w:line="271" w:lineRule="auto"/>
        <w:rPr>
          <w:sz w:val="20"/>
          <w:szCs w:val="20"/>
          <w:color w:val="auto"/>
        </w:rPr>
      </w:pPr>
      <w:r>
        <w:rPr>
          <w:rFonts w:ascii="Arial" w:cs="Arial" w:eastAsia="Arial" w:hAnsi="Arial"/>
          <w:sz w:val="17"/>
          <w:szCs w:val="17"/>
          <w:color w:val="auto"/>
        </w:rPr>
        <w:t>We have experienced a relatively low level of defaults to date. This is due, in part, to the weighted average life of our mortgage insurance portfolio being 19.0 months as of December 31, 2020, whereas the peak default period for insured mortgage loans has historically been three to six years after loan origination. As a result, we do expect default levels to increase as our portfolio seasons. We believe that in recent years the underwriting practices in the industry have improved substantially and that the quality of mortgage loans originated has been high. Consequently, we expect that the default rate and losses on the business we have underwritten to date will be favorable in comparison to the default rate and losses historically experienced by mortgage insurers. Due to business restrictions, stay-at-home orders and travel restrictions initially implemented in March 2020 as a result of COVID-19, unemployment in the United States increased significantly in the second quarter of 2020 and remained elevated at December 31, 2020. As unemployment is one of the most common reasons for borrowers to default on their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1" w:name="page22"/>
    <w:bookmarkEnd w:id="21"/>
    <w:p>
      <w:pPr>
        <w:spacing w:after="0" w:line="254" w:lineRule="auto"/>
        <w:rPr>
          <w:sz w:val="20"/>
          <w:szCs w:val="20"/>
          <w:color w:val="auto"/>
        </w:rPr>
      </w:pPr>
      <w:r>
        <w:rPr>
          <w:rFonts w:ascii="Arial" w:cs="Arial" w:eastAsia="Arial" w:hAnsi="Arial"/>
          <w:sz w:val="18"/>
          <w:szCs w:val="18"/>
          <w:color w:val="auto"/>
        </w:rPr>
        <w:t>mortgage, the increase in unemployment has increased the number of delinquencies on the mortgages we insure, and has the potential to increase claim frequencies on defaults. As of December 31, 2020, insured loans in default totaled 31,469 and included 28,922 defaults classified as COVID-19 defaults.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COVID-19 defaulted loans, we expect the ultimate number of COVID-19-related defaults that result in claims will be less than our historical default-to-claim experience.</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Claims</w:t>
      </w:r>
    </w:p>
    <w:p>
      <w:pPr>
        <w:spacing w:after="0" w:line="252"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Defaulted mortgages that are not cured turn into claims. The insured customer must acquire title to the property before submitting a claim. The time in which a customer may acquire title to a property through foreclosure varies, depending on the state in which the property is located. Historically, on average, mortgage insurers do not receive a request for claim payment until approximately 18 months following a default on a first-lien mortgage. This time lag has increased in recent years as the industry has experienced a slowdown in foreclosures (and, consequently, a slowdown in claims submitted to mortgage insurers) largely due to foreclosure moratoriums imposed by various government entities and lenders and increased scrutiny within the mortgage servicing industry on the foreclosure process.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review and determination that a claim is valid, we generally have the following three settlement options:</w:t>
      </w:r>
    </w:p>
    <w:p>
      <w:pPr>
        <w:spacing w:after="0" w:line="252" w:lineRule="exact"/>
        <w:rPr>
          <w:sz w:val="20"/>
          <w:szCs w:val="20"/>
          <w:color w:val="auto"/>
        </w:rPr>
      </w:pPr>
    </w:p>
    <w:p>
      <w:pPr>
        <w:jc w:val="both"/>
        <w:ind w:left="660" w:right="240" w:hanging="247"/>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Percentage option—determined by multiplying the claim amount by the applicable coverage percentage, with the customer retaining title to the property. The claim amount is defined in the master policy as consisting of the unpaid loan principal, plus past due interest, subject to a defined maximum, and certain expenses associated with the default;</w:t>
      </w:r>
    </w:p>
    <w:p>
      <w:pPr>
        <w:spacing w:after="0" w:line="210" w:lineRule="exact"/>
        <w:rPr>
          <w:rFonts w:ascii="Arial" w:cs="Arial" w:eastAsia="Arial" w:hAnsi="Arial"/>
          <w:sz w:val="18"/>
          <w:szCs w:val="18"/>
          <w:color w:val="auto"/>
        </w:rPr>
      </w:pPr>
    </w:p>
    <w:p>
      <w:pPr>
        <w:ind w:left="660" w:right="20" w:hanging="247"/>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sale option—pay the amount of the claim required to make the customer whole, commonly referred to as the "actual loss amount" (not to exceed our maximum liability as outlined under the percentage option), following an approved sale; or</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 option—pay the full claim amount and acquire title to the property.</w:t>
      </w:r>
    </w:p>
    <w:p>
      <w:pPr>
        <w:spacing w:after="0" w:line="252"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We believe there are opportunities to mitigate losses between the time a loan defaults and the ultimate loss we may experience. Because of the small number of defaults and filed claims in our insurance portfolio to date, our opportunities to pursue these activities have been limited. However, we expect both defaulted loan counts and claim filings to increase as our portfolio grows and matures, expanding the potential benefit from these loss mitigation activities. Our loss mitigation and claims area is led by seasoned personnel supported by default tracking and claims processing capabilities within our integrated platform. Our loss mitigation staff is also actively engaged with our servicers and the GSEs with regard to appropriate servicing and loss mitigation practices.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56"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Our investment portfolio, including cash, comprises the largest single component of our balance sheet, representing 91.4% of our total assets at December 31, 2020. Our primary objectives with respect to our investment portfolio are to preserve capital, generate investment income and maintain sufficient liquidity to cover operating expenses and pay future insurance claims. As of December 31, 2020, predominantly all of our investment securities were rated investment-grade.</w:t>
      </w:r>
    </w:p>
    <w:p>
      <w:pPr>
        <w:spacing w:after="0" w:line="214" w:lineRule="exact"/>
        <w:rPr>
          <w:sz w:val="20"/>
          <w:szCs w:val="20"/>
          <w:color w:val="auto"/>
        </w:rPr>
      </w:pPr>
    </w:p>
    <w:p>
      <w:pPr>
        <w:ind w:right="420" w:firstLine="445"/>
        <w:spacing w:after="0" w:line="259" w:lineRule="auto"/>
        <w:rPr>
          <w:sz w:val="20"/>
          <w:szCs w:val="20"/>
          <w:color w:val="auto"/>
        </w:rPr>
      </w:pPr>
      <w:r>
        <w:rPr>
          <w:rFonts w:ascii="Arial" w:cs="Arial" w:eastAsia="Arial" w:hAnsi="Arial"/>
          <w:sz w:val="18"/>
          <w:szCs w:val="18"/>
          <w:color w:val="auto"/>
        </w:rPr>
        <w:t>We have adopted and our board of directors has approved an investment policy that defines specific limits for asset sectors, single issuer, credit rating, asset duration, industry and geographic concentration and eligible and ineligible investments. Our senior management is responsible for the execution of our investment strategy and compliance with the adopted investment policy, and review of investment performance and strategy with the investment committee of the board of directors on a quarterly basis.</w:t>
      </w:r>
    </w:p>
    <w:p>
      <w:pPr>
        <w:spacing w:after="0" w:line="214" w:lineRule="exact"/>
        <w:rPr>
          <w:sz w:val="20"/>
          <w:szCs w:val="20"/>
          <w:color w:val="auto"/>
        </w:rPr>
      </w:pPr>
    </w:p>
    <w:p>
      <w:pPr>
        <w:ind w:right="440" w:firstLine="445"/>
        <w:spacing w:after="0" w:line="286" w:lineRule="auto"/>
        <w:rPr>
          <w:sz w:val="20"/>
          <w:szCs w:val="20"/>
          <w:color w:val="auto"/>
        </w:rPr>
      </w:pPr>
      <w:r>
        <w:rPr>
          <w:rFonts w:ascii="Arial" w:cs="Arial" w:eastAsia="Arial" w:hAnsi="Arial"/>
          <w:sz w:val="17"/>
          <w:szCs w:val="17"/>
          <w:color w:val="auto"/>
        </w:rPr>
        <w:t>Our current strategy for the investment portfolio is focused primarily on the following: selecting fixed income securities; maintaining sufficient liquidity to meet expected and unexpected financial obligations; mitigating interest rate risk through management of asset durations; continuously monitoring investment quality; and limiting investments in assets that are highly correlated to the residential mortgage market.</w:t>
      </w:r>
    </w:p>
    <w:p>
      <w:pPr>
        <w:spacing w:after="0" w:line="192"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We engage external asset managers to assist with the trading, investment research, investment due diligence and portfolio allocation within the guidelines that we have set. Approximately 86.2% of our investments available for sale were managed by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2" w:name="page23"/>
    <w:bookmarkEnd w:id="22"/>
    <w:p>
      <w:pPr>
        <w:ind w:right="120"/>
        <w:spacing w:after="0" w:line="259" w:lineRule="auto"/>
        <w:rPr>
          <w:sz w:val="20"/>
          <w:szCs w:val="20"/>
          <w:color w:val="auto"/>
        </w:rPr>
      </w:pPr>
      <w:r>
        <w:rPr>
          <w:rFonts w:ascii="Arial" w:cs="Arial" w:eastAsia="Arial" w:hAnsi="Arial"/>
          <w:sz w:val="18"/>
          <w:szCs w:val="18"/>
          <w:color w:val="auto"/>
        </w:rPr>
        <w:t>external managers as of December 31, 2020. Assets not managed by external managers include securities on deposit with state regulatory agencies in connection with the insurance licenses and bonds issued by the U.S. Treasury and U.S. government agencies. To date, we have not used any derivatives to hedge any investment or business risks that we are currently assuming. We measure investment performance against market benchmarks on both total return and return volatility dimensions.</w:t>
      </w:r>
    </w:p>
    <w:p>
      <w:pPr>
        <w:spacing w:after="0" w:line="214"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Operations—Financial Condition—Investments" for information regarding the performance of our investment portfolio.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Direct U.S. Regulation</w:t>
      </w:r>
    </w:p>
    <w:p>
      <w:pPr>
        <w:spacing w:after="0" w:line="252"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We are subject to comprehensive, detailed regulation by Federal regulators and state insurance departments. State regulations are principally designed for the protection of the public and our insured policyholders, rather than for the benefit of investors. Although their scope varies, state insurance laws generally grant broad supervisory powers to agencies or to officials to examine insurance companies and to enforce rules or to exercise discretion affecting almost every significant aspect of the insurance business.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GSE Qualified Mortgage Insurer Requirements</w:t>
      </w:r>
    </w:p>
    <w:p>
      <w:pPr>
        <w:spacing w:after="0" w:line="252" w:lineRule="exact"/>
        <w:rPr>
          <w:sz w:val="20"/>
          <w:szCs w:val="20"/>
          <w:color w:val="auto"/>
        </w:rPr>
      </w:pPr>
    </w:p>
    <w:p>
      <w:pPr>
        <w:jc w:val="both"/>
        <w:ind w:right="160" w:firstLine="445"/>
        <w:spacing w:after="0" w:line="263" w:lineRule="auto"/>
        <w:rPr>
          <w:sz w:val="20"/>
          <w:szCs w:val="20"/>
          <w:color w:val="auto"/>
        </w:rPr>
      </w:pPr>
      <w:r>
        <w:rPr>
          <w:rFonts w:ascii="Arial" w:cs="Arial" w:eastAsia="Arial" w:hAnsi="Arial"/>
          <w:sz w:val="18"/>
          <w:szCs w:val="18"/>
          <w:color w:val="auto"/>
        </w:rPr>
        <w:t>Pursuant to their charters, Fannie Mae and Freddie Mac purchase or guaranty low down payment loans insured by entities that they determine to be qualified mortgage insurance companies. Our primary insurance subsidiary, Essent Guaranty, Inc., is currently approved by both Fannie Mae and Freddie Mac as a mortgage insurer.</w:t>
      </w:r>
    </w:p>
    <w:p>
      <w:pPr>
        <w:spacing w:after="0" w:line="211"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FHFA, as the conservator of the GSEs since 2008, has the authority to establish the priorities of the GSEs and to control and direct their operations. The FHFA has established a strategic plan for the GSEs, including the development by the GSEs of aligned counterparty risk management standards for mortgage insurers that include uniform master policy and eligibility requirements. See "—Our Products and Services—Mortgage Insurance— Master Policy" above.</w:t>
      </w:r>
    </w:p>
    <w:p>
      <w:pPr>
        <w:spacing w:after="0" w:line="214" w:lineRule="exact"/>
        <w:rPr>
          <w:sz w:val="20"/>
          <w:szCs w:val="20"/>
          <w:color w:val="auto"/>
        </w:rPr>
      </w:pPr>
    </w:p>
    <w:p>
      <w:pPr>
        <w:ind w:right="120" w:firstLine="445"/>
        <w:spacing w:after="0" w:line="271" w:lineRule="auto"/>
        <w:rPr>
          <w:sz w:val="20"/>
          <w:szCs w:val="20"/>
          <w:color w:val="auto"/>
        </w:rPr>
      </w:pPr>
      <w:r>
        <w:rPr>
          <w:rFonts w:ascii="Arial" w:cs="Arial" w:eastAsia="Arial" w:hAnsi="Arial"/>
          <w:sz w:val="17"/>
          <w:szCs w:val="17"/>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(which may be offset in part by third-party reinsurance obtained by private mortgage insurers on terms set forth in the PMIERs) from which to pay claims. The PMIERs also include enhanced operational performance expectations and define remedial actions that apply should an approved insurer fail to comply with these requirements. A revised PMIERs framework, which we refer to as "PMIERs 2.0," became effective on March 31, 2019. As of December 31, 2020, Essent Guaranty, our GSE-approved mortgage insurance company, was in compliance with PMIERs 2.0.</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State Insurance Regulation</w:t>
      </w:r>
    </w:p>
    <w:p>
      <w:pPr>
        <w:spacing w:after="0" w:line="252"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Our U.S. insurance subsidiaries are required by the insurance regulatory authority of its state of domicile, and the insurance regulatory authority of each other jurisdiction in which they are licensed to transact business, to make various filings with those insurance regulatory authorities and with the National Association of Insurance Commissioners, or NAIC, including quarterly and annual financial statements prepared in accordance with statutory accounting principles. We are licensed to write mortgage insurance in all 50 states and the District of Columbia. Most states also regulate transactions between insurance companies and their affiliates and have restrictions on transactions that have the effect of inducing lenders to place business with the insurer. For a description of limits on dividends payable to Essent Group Ltd. from our insurance subsidiaries, see "Management's Discussion and Analysis of Financial Condition and Results of Operations—Liquidity and Capital Resources" and Note 11 to our consolidated financial statements entitled "Dividends Restrictions" included elsewhere in this Annual Report.</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state regulation of our insurance business relates to:</w:t>
      </w:r>
    </w:p>
    <w:p>
      <w:pPr>
        <w:spacing w:after="0" w:line="252"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licenses to transact business;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producer licensing;</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approval of policy forms;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23" w:name="page24"/>
    <w:bookmarkEnd w:id="23"/>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approval of premium rates;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limits on insurable loans;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quarterly, annual and other reports on our financial condition;</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basis upon which assets and liabilities must be stated;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requirements regarding contingency reserves;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minimum capital levels and adequacy ratios;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credit for reinsurance;</w:t>
      </w:r>
    </w:p>
    <w:p>
      <w:pPr>
        <w:spacing w:after="0" w:line="237"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the types of investment instruments which may be held in our investment portfolio;</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special deposits of securities;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limits on dividends payable;</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advertising compliance;</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establishment of reserves;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claims handling;</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237"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hazardous financial condition; and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enterprise risk management.</w:t>
      </w:r>
    </w:p>
    <w:p>
      <w:pPr>
        <w:spacing w:after="0" w:line="252" w:lineRule="exact"/>
        <w:rPr>
          <w:sz w:val="20"/>
          <w:szCs w:val="20"/>
          <w:color w:val="auto"/>
        </w:rPr>
      </w:pPr>
    </w:p>
    <w:p>
      <w:pPr>
        <w:ind w:right="100" w:firstLine="445"/>
        <w:spacing w:after="0" w:line="293" w:lineRule="auto"/>
        <w:rPr>
          <w:sz w:val="20"/>
          <w:szCs w:val="20"/>
          <w:color w:val="auto"/>
        </w:rPr>
      </w:pPr>
      <w:r>
        <w:rPr>
          <w:rFonts w:ascii="Arial" w:cs="Arial" w:eastAsia="Arial" w:hAnsi="Arial"/>
          <w:sz w:val="16"/>
          <w:szCs w:val="16"/>
          <w:color w:val="auto"/>
        </w:rPr>
        <w:t>Mortgage insurance premium rates are regulated to protect policyholders against the adverse effects of excessive, inadequate or unfairly discriminatory rates and to encourage competition in the insurance marketplace. Any increase in premium rates must be actuarially justified, generally on the basis of the insurer's loss experience, expenses and future trend analysis. The general mortgage default experience may also be considered. Premium rates are subject to review and approval by state regulators, except in states where such approval has been exempted by statute or regulation. See "Management's Discussion and Analysis of Financial Condition and Results of Operations—Liquidity and Capital Resources" for information about regulations governing our capital adequacy, information about our current capital and our expectations regarding our future capital position.</w:t>
      </w:r>
    </w:p>
    <w:p>
      <w:pPr>
        <w:spacing w:after="0" w:line="191"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The insurance holding company laws and regulations of Pennsylvania, the state in which our U.S. insurance subsidiaries are domiciled, regulate, among other things, certain transactions between Essent Group Ltd., our insurance subsidiaries and other parties affiliated with us and certain transactions involving our common shares, including transactions that constitute a change of control of Essent Group Ltd. and, consequently, a change of control of our insurance subsidiaries. Specifically, these laws and regulations require that, before a person can acquire direct or indirect control of an insurer domiciled in the state, prior written approval must be obtained from the Pennsylvania Insurance Department. The Pennsylvania Insurance Department is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93" w:lineRule="exact"/>
        <w:rPr>
          <w:sz w:val="20"/>
          <w:szCs w:val="20"/>
          <w:color w:val="auto"/>
        </w:rPr>
      </w:pPr>
    </w:p>
    <w:p>
      <w:pPr>
        <w:ind w:right="580" w:firstLine="445"/>
        <w:spacing w:after="0" w:line="277" w:lineRule="auto"/>
        <w:rPr>
          <w:sz w:val="20"/>
          <w:szCs w:val="20"/>
          <w:color w:val="auto"/>
        </w:rPr>
      </w:pPr>
      <w:r>
        <w:rPr>
          <w:rFonts w:ascii="Arial" w:cs="Arial" w:eastAsia="Arial" w:hAnsi="Arial"/>
          <w:sz w:val="18"/>
          <w:szCs w:val="18"/>
          <w:color w:val="auto"/>
        </w:rPr>
        <w:t>State insurance law, and not Federal bankruptcy law, would apply to any insolvency or financially hazardous condition of our U.S. insurance subsidiaries.</w:t>
      </w:r>
    </w:p>
    <w:p>
      <w:pPr>
        <w:spacing w:after="0" w:line="197" w:lineRule="exact"/>
        <w:rPr>
          <w:sz w:val="20"/>
          <w:szCs w:val="20"/>
          <w:color w:val="auto"/>
        </w:rPr>
      </w:pPr>
    </w:p>
    <w:p>
      <w:pPr>
        <w:ind w:right="920" w:firstLine="445"/>
        <w:spacing w:after="0" w:line="277" w:lineRule="auto"/>
        <w:rPr>
          <w:sz w:val="20"/>
          <w:szCs w:val="20"/>
          <w:color w:val="auto"/>
        </w:rPr>
      </w:pPr>
      <w:r>
        <w:rPr>
          <w:rFonts w:ascii="Arial" w:cs="Arial" w:eastAsia="Arial" w:hAnsi="Arial"/>
          <w:sz w:val="18"/>
          <w:szCs w:val="18"/>
          <w:color w:val="auto"/>
        </w:rPr>
        <w:t>The NAIC has established a Mortgage Guaranty Insurance Working Group, which we refer to as the "MGIWG," to determine and make recommendations to the NAIC's Financial Condition Committee regarding what, if any, changes to the</w:t>
      </w:r>
    </w:p>
    <w:p>
      <w:pPr>
        <w:sectPr>
          <w:pgSz w:w="11900" w:h="16838" w:orient="portrait"/>
          <w:cols w:equalWidth="0" w:num="1">
            <w:col w:w="11160"/>
          </w:cols>
          <w:pgMar w:left="320" w:top="1138" w:right="41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38" w:right="419" w:bottom="1440" w:gutter="0" w:footer="0" w:header="0"/>
          <w:type w:val="continuous"/>
        </w:sectPr>
      </w:pPr>
    </w:p>
    <w:bookmarkStart w:id="24" w:name="page25"/>
    <w:bookmarkEnd w:id="24"/>
    <w:p>
      <w:pPr>
        <w:jc w:val="both"/>
        <w:ind w:right="260"/>
        <w:spacing w:after="0" w:line="263" w:lineRule="auto"/>
        <w:rPr>
          <w:sz w:val="20"/>
          <w:szCs w:val="20"/>
          <w:color w:val="auto"/>
        </w:rPr>
      </w:pPr>
      <w:r>
        <w:rPr>
          <w:rFonts w:ascii="Arial" w:cs="Arial" w:eastAsia="Arial" w:hAnsi="Arial"/>
          <w:sz w:val="18"/>
          <w:szCs w:val="18"/>
          <w:color w:val="auto"/>
        </w:rPr>
        <w:t xml:space="preserve">Mortgage Guaranty Insurance Model Act are deemed necessary to the solvency regulation of mortgage guaranty insurers, including, but not limited to, revisions to </w:t>
      </w:r>
      <w:r>
        <w:rPr>
          <w:rFonts w:ascii="Arial" w:cs="Arial" w:eastAsia="Arial" w:hAnsi="Arial"/>
          <w:sz w:val="18"/>
          <w:szCs w:val="18"/>
          <w:i w:val="1"/>
          <w:iCs w:val="1"/>
          <w:color w:val="auto"/>
        </w:rPr>
        <w:t>Statement of Statutory Accounting Principles (SSAP) No. 58 - Mortgage Guaranty Insurance</w:t>
      </w:r>
      <w:r>
        <w:rPr>
          <w:rFonts w:ascii="Arial" w:cs="Arial" w:eastAsia="Arial" w:hAnsi="Arial"/>
          <w:sz w:val="18"/>
          <w:szCs w:val="18"/>
          <w:color w:val="auto"/>
        </w:rPr>
        <w:t>. In December 2019, the MGIWG released for public comment a draft revised Model Act and a proposed risk-based mortgage guaranty capital model.</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Statutory Accounting</w:t>
      </w:r>
    </w:p>
    <w:p>
      <w:pPr>
        <w:spacing w:after="0" w:line="252" w:lineRule="exact"/>
        <w:rPr>
          <w:sz w:val="20"/>
          <w:szCs w:val="20"/>
          <w:color w:val="auto"/>
        </w:rPr>
      </w:pPr>
    </w:p>
    <w:p>
      <w:pPr>
        <w:jc w:val="both"/>
        <w:ind w:right="200" w:firstLine="445"/>
        <w:spacing w:after="0" w:line="311" w:lineRule="auto"/>
        <w:rPr>
          <w:sz w:val="20"/>
          <w:szCs w:val="20"/>
          <w:color w:val="auto"/>
        </w:rPr>
      </w:pPr>
      <w:r>
        <w:rPr>
          <w:rFonts w:ascii="Arial" w:cs="Arial" w:eastAsia="Arial" w:hAnsi="Arial"/>
          <w:sz w:val="16"/>
          <w:szCs w:val="16"/>
          <w:color w:val="auto"/>
        </w:rPr>
        <w:t>The preparation of financial statements in conformity with state-regulated statutory accounting principles requires management to make estimates and assumptions that affect the reported amounts of assets and liabilities. It also requires disclosure of contingent assets and liabilities at the date of the financial statements and the reported amounts of revenue and expenses during the period. Actual results could differ from those estimates.</w:t>
      </w:r>
    </w:p>
    <w:p>
      <w:pPr>
        <w:spacing w:after="0" w:line="176"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We are required to establish statutory accounting contingency loss reserves in an amount equal to 50% of our net earned premiums. These amounts generally cannot be withdrawn for a period of 10 years, except as permitted by applicable insurance law and regulations. With regulatory approval, a mortgage guaranty insurance company may make early withdrawals from the contingency reserve when incurred losses exceed 35% of net premiums earned in a calendar year. For further information, see Note 16 to our consolidated financial statements entitled "Statutory Accounting" included elsewhere in this Annual Report.</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Federal Mortgage-Related Laws and Regulations</w:t>
      </w:r>
    </w:p>
    <w:p>
      <w:pPr>
        <w:spacing w:after="0" w:line="252" w:lineRule="exact"/>
        <w:rPr>
          <w:sz w:val="20"/>
          <w:szCs w:val="20"/>
          <w:color w:val="auto"/>
        </w:rPr>
      </w:pPr>
    </w:p>
    <w:p>
      <w:pPr>
        <w:ind w:right="80" w:firstLine="445"/>
        <w:spacing w:after="0" w:line="270" w:lineRule="auto"/>
        <w:rPr>
          <w:sz w:val="20"/>
          <w:szCs w:val="20"/>
          <w:color w:val="auto"/>
        </w:rPr>
      </w:pPr>
      <w:r>
        <w:rPr>
          <w:rFonts w:ascii="Arial" w:cs="Arial" w:eastAsia="Arial" w:hAnsi="Arial"/>
          <w:sz w:val="17"/>
          <w:szCs w:val="17"/>
          <w:color w:val="auto"/>
        </w:rPr>
        <w:t>Certain Federal laws directly or indirectly affect private mortgage insurers. Private mortgage insurers are impacted indirectly by Federal laws and regulations affecting mortgage originators and lenders, purchasers of mortgage loans, such as the GSEs, and governmental insurers such as the FHA and the VA. For example, changes in Federal housing laws and regulation or other laws and regulations that affect the demand for private mortgage insurance may have a material adverse effect on us. In addition, mortgage origination and servicing transactions are subject to compliance with various Federal and state laws, including the Real Estate Settlement Procedures Act, or RESPA, the Equal Credit Opportunity Act, the Fair Housing Act, the Truth In Lending Act, or TILA, the Homeowners Protection Act of 1998, or HOPA, and the Fair Credit Reporting Act of 1970. Among other things, these laws and their implementing regulations prohibit payments for referrals of settlement service business, require fairness and non-discrimination in granting or facilitating the granting of credit, govern the circumstances under which companies may obtain and use consumer credit information, and provide for other consumer protections.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Dodd-Frank Act</w:t>
      </w:r>
    </w:p>
    <w:p>
      <w:pPr>
        <w:spacing w:after="0" w:line="252" w:lineRule="exact"/>
        <w:rPr>
          <w:sz w:val="20"/>
          <w:szCs w:val="20"/>
          <w:color w:val="auto"/>
        </w:rPr>
      </w:pPr>
    </w:p>
    <w:p>
      <w:pPr>
        <w:ind w:right="340" w:firstLine="445"/>
        <w:spacing w:after="0" w:line="286" w:lineRule="auto"/>
        <w:rPr>
          <w:sz w:val="20"/>
          <w:szCs w:val="20"/>
          <w:color w:val="auto"/>
        </w:rPr>
      </w:pPr>
      <w:r>
        <w:rPr>
          <w:rFonts w:ascii="Arial" w:cs="Arial" w:eastAsia="Arial" w:hAnsi="Arial"/>
          <w:sz w:val="17"/>
          <w:szCs w:val="17"/>
          <w:color w:val="auto"/>
        </w:rPr>
        <w:t>The Dodd-Frank Act Wall Street Reform and Consumer Protection Act of 2010, which we refer to as the Dodd-Frank Act, amended certain provisions of TILA and RESPA that may have a significant impact on our business prospects. The Consumer Financial Protection Bureau, or CFPB, a Federal agency created by the Dodd-Frank Act, is charged with implementation and enforcement of these provisions.</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Qualified Mortgage Regulations—Ability To Repay Requirements</w:t>
      </w:r>
    </w:p>
    <w:p>
      <w:pPr>
        <w:spacing w:after="0" w:line="252"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The CFPB regulates the offering and provision of consumer financial products and services under Federal law, including residential mortgages, and is authorized to issue regulations governing a loan originator's determination that, at the time a loan is originated, the consumer has a reasonable ability to repay the loan. The Dodd-Frank Act provides for a statutory presumption that a borrower will have the ability to repay a loan if the loan has characteristics satisfying the qualified mortgage, or QM, definition. Creditors who violate the ability-to-repay, or ATR, standard can be liable for all interest and fees paid by the borrower as well as actual and statutory damages. Furthermore, the borrower may assert this as a defense by recoupment or set off without regard to any statute of limitation in any foreclosure action initiated by or on behalf of the creditor, assignee or any holder of the mortgage.</w:t>
      </w:r>
    </w:p>
    <w:p>
      <w:pPr>
        <w:spacing w:after="0" w:line="191" w:lineRule="exact"/>
        <w:rPr>
          <w:sz w:val="20"/>
          <w:szCs w:val="20"/>
          <w:color w:val="auto"/>
        </w:rPr>
      </w:pPr>
    </w:p>
    <w:p>
      <w:pPr>
        <w:ind w:right="400" w:firstLine="445"/>
        <w:spacing w:after="0" w:line="277" w:lineRule="auto"/>
        <w:rPr>
          <w:sz w:val="20"/>
          <w:szCs w:val="20"/>
          <w:color w:val="auto"/>
        </w:rPr>
      </w:pPr>
      <w:r>
        <w:rPr>
          <w:rFonts w:ascii="Arial" w:cs="Arial" w:eastAsia="Arial" w:hAnsi="Arial"/>
          <w:sz w:val="18"/>
          <w:szCs w:val="18"/>
          <w:color w:val="auto"/>
        </w:rPr>
        <w:t>Pursuant to the CFPB's announced final rule regarding QMs, which we refer to as the QM Rule, a loan is deemed to be a QM if it meets certain specified requirements, including if:</w:t>
      </w:r>
    </w:p>
    <w:p>
      <w:pPr>
        <w:spacing w:after="0" w:line="197" w:lineRule="exact"/>
        <w:rPr>
          <w:sz w:val="20"/>
          <w:szCs w:val="20"/>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 of the mortgage is less than or equal to 30 years;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no negative amortization, interest only or balloon features;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and</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25" w:name="page26"/>
    <w:bookmarkEnd w:id="25"/>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total debt-to-income ratio does not exceed 43%.</w:t>
      </w:r>
    </w:p>
    <w:p>
      <w:pPr>
        <w:spacing w:after="0" w:line="252"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97"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The Dodd-Frank Act separately granted statutory authority to HUD (for FHA-insured loans), the VA (for VA-guaranteed loans) and certain other government agency insurance programs have developed their own definitions of a qualified mortgage in consultation with the CFPB. Under both the FHA's and the VA's QM standards, certain loans which would not qualify as QM loans in the conventional market would still be deemed to be QM loans if insured or guaranteed by FHA or VA. As a result, lenders may favor the use of FHA or VA insurance to achieve the legal protections of making a QM loan through these agencies, even if the same loan could be made at the same or lower cost to the borrower using private mortgage insurance, which could adversely impact our business. To the extent that the other government agencies adopt their own definitions of a QM which are more favorable to lenders and mortgage holders than those applicable to the market in which we operate, our business may be adversely affected.</w:t>
      </w:r>
    </w:p>
    <w:p>
      <w:pPr>
        <w:spacing w:after="0" w:line="193"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In October 2020, the CFPB announced a final rule that would implement a currently temporary second category under the QM Rule providing for more flexible underwriting requirements (the "GSE Patch"). To qualify under the GSE Patch, a mortgage must meet the general product feature requirements and be eligible to be purchased or guaranteed by either of the GSEs (while they remain under FHFA conservatorship), the FHA, the VA, and the U.S. Department of Agriculture Rural Development program.</w:t>
      </w:r>
    </w:p>
    <w:p>
      <w:pPr>
        <w:spacing w:after="0" w:line="214"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On February 23, 2021, the CFPB announced that, in light of the economic dislocations resulting from the COVID-19 pandemic, it intends to issue a proposed rule to delay the implementation of the final QM Rule and the GSE Patch.</w:t>
      </w:r>
    </w:p>
    <w:p>
      <w:pPr>
        <w:spacing w:after="0" w:line="197" w:lineRule="exact"/>
        <w:rPr>
          <w:sz w:val="20"/>
          <w:szCs w:val="20"/>
          <w:color w:val="auto"/>
        </w:rPr>
      </w:pPr>
    </w:p>
    <w:p>
      <w:pPr>
        <w:ind w:right="80" w:firstLine="445"/>
        <w:spacing w:after="0" w:line="272" w:lineRule="auto"/>
        <w:rPr>
          <w:sz w:val="20"/>
          <w:szCs w:val="20"/>
          <w:color w:val="auto"/>
        </w:rPr>
      </w:pPr>
      <w:r>
        <w:rPr>
          <w:rFonts w:ascii="Arial" w:cs="Arial" w:eastAsia="Arial" w:hAnsi="Arial"/>
          <w:sz w:val="17"/>
          <w:szCs w:val="17"/>
          <w:color w:val="auto"/>
        </w:rPr>
        <w:t>We expect that most lenders will continue to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have a direct impact on establishing a subset of borrowers who can meet the regulatory standards and directly affect the willingness of lenders and mortgage investors to extend mortgage credit and therefore the size of the residential mortgage market. See "Risk Factors—Risks Relating to Regulation and Litigation—</w:t>
      </w:r>
      <w:r>
        <w:rPr>
          <w:rFonts w:ascii="Arial" w:cs="Arial" w:eastAsia="Arial" w:hAnsi="Arial"/>
          <w:sz w:val="17"/>
          <w:szCs w:val="17"/>
          <w:i w:val="1"/>
          <w:iCs w:val="1"/>
          <w:color w:val="auto"/>
        </w:rPr>
        <w:t>Our business prospects and operating results could be</w:t>
      </w:r>
      <w:r>
        <w:rPr>
          <w:rFonts w:ascii="Arial" w:cs="Arial" w:eastAsia="Arial" w:hAnsi="Arial"/>
          <w:sz w:val="17"/>
          <w:szCs w:val="17"/>
          <w:color w:val="auto"/>
        </w:rPr>
        <w:t xml:space="preserve"> </w:t>
      </w:r>
      <w:r>
        <w:rPr>
          <w:rFonts w:ascii="Arial" w:cs="Arial" w:eastAsia="Arial" w:hAnsi="Arial"/>
          <w:sz w:val="17"/>
          <w:szCs w:val="17"/>
          <w:i w:val="1"/>
          <w:iCs w:val="1"/>
          <w:color w:val="auto"/>
        </w:rPr>
        <w:t>adversely impacted if, and to the extent that, the Consumer Financial Protection Bureau's ("CFPB") final rule defining a qualified mortgage ("QM") reduces the size of the origination market or creates incentives to use government mortgage insurance programs."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Qualified Residential Mortgage Regulations—Risk Retention Requirements</w:t>
      </w:r>
    </w:p>
    <w:p>
      <w:pPr>
        <w:spacing w:after="0" w:line="252"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The Dodd-Frank Act generally requires an issuer of an asset-backed security or a person who organizes and initiates an asset-backed transaction (a "securitizer") to retain at least 5% of the risk associated with securitized mortgage loans, although in some cases the retained risk may be allocated between the securitizer and the mortgage originator. This risk retention requirement does not apply to a mortgage loan that is a "qualified residential mortgage," or a "QRM," or that is insured or guaranteed by the FHA or other specified Federal agencies.</w:t>
      </w:r>
    </w:p>
    <w:p>
      <w:pPr>
        <w:spacing w:after="0" w:line="214" w:lineRule="exact"/>
        <w:rPr>
          <w:sz w:val="20"/>
          <w:szCs w:val="20"/>
          <w:color w:val="auto"/>
        </w:rPr>
      </w:pPr>
    </w:p>
    <w:p>
      <w:pPr>
        <w:ind w:right="120" w:firstLine="445"/>
        <w:spacing w:after="0" w:line="296" w:lineRule="auto"/>
        <w:rPr>
          <w:sz w:val="20"/>
          <w:szCs w:val="20"/>
          <w:color w:val="auto"/>
        </w:rPr>
      </w:pPr>
      <w:r>
        <w:rPr>
          <w:rFonts w:ascii="Arial" w:cs="Arial" w:eastAsia="Arial" w:hAnsi="Arial"/>
          <w:sz w:val="16"/>
          <w:szCs w:val="16"/>
          <w:color w:val="auto"/>
        </w:rPr>
        <w:t>The QRM regulations align the definition of a QRM loan with that of a QM loan.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"Risk Factors—Risks Relating to Regulation and Litigation—</w:t>
      </w:r>
      <w:r>
        <w:rPr>
          <w:rFonts w:ascii="Arial" w:cs="Arial" w:eastAsia="Arial" w:hAnsi="Arial"/>
          <w:sz w:val="16"/>
          <w:szCs w:val="16"/>
          <w:i w:val="1"/>
          <w:iCs w:val="1"/>
          <w:color w:val="auto"/>
        </w:rPr>
        <w:t>The amount of insurance we</w:t>
      </w:r>
      <w:r>
        <w:rPr>
          <w:rFonts w:ascii="Arial" w:cs="Arial" w:eastAsia="Arial" w:hAnsi="Arial"/>
          <w:sz w:val="16"/>
          <w:szCs w:val="16"/>
          <w:color w:val="auto"/>
        </w:rPr>
        <w:t xml:space="preserve"> </w:t>
      </w:r>
      <w:r>
        <w:rPr>
          <w:rFonts w:ascii="Arial" w:cs="Arial" w:eastAsia="Arial" w:hAnsi="Arial"/>
          <w:sz w:val="16"/>
          <w:szCs w:val="16"/>
          <w:i w:val="1"/>
          <w:iCs w:val="1"/>
          <w:color w:val="auto"/>
        </w:rPr>
        <w:t>write could be adversely affected by the Dodd-Frank Act's risk retention requirements and the definition of Qualified Residential Mortgage ("QRM").</w:t>
      </w:r>
      <w:r>
        <w:rPr>
          <w:rFonts w:ascii="Arial" w:cs="Arial" w:eastAsia="Arial" w:hAnsi="Arial"/>
          <w:sz w:val="16"/>
          <w:szCs w:val="16"/>
          <w:color w:val="auto"/>
        </w:rPr>
        <w: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Mortgage Servicing Rules</w:t>
      </w:r>
    </w:p>
    <w:p>
      <w:pPr>
        <w:spacing w:after="0" w:line="252"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The Dodd-Frank Act amended and expanded upon mortgage servicing requirements under TILA and RESPA, Regulation Z (promulgated pursuant to TILA) and Regulation X (promulgated pursuant to RESPA) subsequently amended to conform these regulations accordingly. Included within these rules are new or enhanced requirements for handling escrow accounts, responding to borrower assertions of error and inquiries from borrower, special handling of loans that are in default, and loss mitigation in the event of borrower default. A provision of the required loss mitigation procedures prohibits the loan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6" w:name="page27"/>
    <w:bookmarkEnd w:id="26"/>
    <w:p>
      <w:pPr>
        <w:ind w:right="160"/>
        <w:spacing w:after="0" w:line="311" w:lineRule="auto"/>
        <w:rPr>
          <w:sz w:val="20"/>
          <w:szCs w:val="20"/>
          <w:color w:val="auto"/>
        </w:rPr>
      </w:pPr>
      <w:r>
        <w:rPr>
          <w:rFonts w:ascii="Arial" w:cs="Arial" w:eastAsia="Arial" w:hAnsi="Arial"/>
          <w:sz w:val="16"/>
          <w:szCs w:val="16"/>
          <w:color w:val="auto"/>
        </w:rPr>
        <w:t>holder or servicer from commencing foreclosure until 120 days after the borrower's delinquency. Complying with the new rules could cause the servicing of mortgage loans to become more burdensome and costly than it had been prior to the implementation of these rules. As to servicing of mortgage loans covered by our insurance policies, these rules could contribute to delays in realization upon collateral and have an adverse impact on resolution of claims.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Homeowners Protection Act of 1998</w:t>
      </w:r>
    </w:p>
    <w:p>
      <w:pPr>
        <w:spacing w:after="0" w:line="252" w:lineRule="exact"/>
        <w:rPr>
          <w:sz w:val="20"/>
          <w:szCs w:val="20"/>
          <w:color w:val="auto"/>
        </w:rPr>
      </w:pPr>
    </w:p>
    <w:p>
      <w:pPr>
        <w:ind w:right="80" w:firstLine="445"/>
        <w:spacing w:after="0" w:line="288" w:lineRule="auto"/>
        <w:rPr>
          <w:sz w:val="20"/>
          <w:szCs w:val="20"/>
          <w:color w:val="auto"/>
        </w:rPr>
      </w:pPr>
      <w:r>
        <w:rPr>
          <w:rFonts w:ascii="Arial" w:cs="Arial" w:eastAsia="Arial" w:hAnsi="Arial"/>
          <w:sz w:val="16"/>
          <w:szCs w:val="16"/>
          <w:color w:val="auto"/>
        </w:rPr>
        <w:t>The Homeowners Protection Act of 1998, or HOPA, provides for the automatic termination, or cancellation upon a borrower's request, of private mortgage insurance upon satisfaction of certain conditions. HOPA requires that lenders give borrowers certain notices with regard to the automatic termination or cancellation of mortgage insurance. These provisions apply to borrower-paid mortgage insurance for purchase money, refinance and construction loans secured by the borrower's principal dwelling. FHA and VA loans are not covered by HOPA. Under HOPA, automatic termination of mortgage insurance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mortgage insurance when the LTV is first scheduled to reach 80% of the home's original value or when actual payments reduce the loan balance to 80% of the home's original value, whichever occurs earlier. If mortgage insurance coverage is not cancelled at the borrower's request or by the automatic termination provision, the mortgage servicer must terminate mortgage insurance coverage by the first day of the month following the date that is the midpoint of the loan's amortization, assuming the borrower is current on the required mortgage payments.</w:t>
      </w:r>
    </w:p>
    <w:p>
      <w:pPr>
        <w:spacing w:after="0" w:line="195"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The GSEs have implemented certain guidelines that may provide more flexibility to certain borrowers to cancel BPMI than is otherwise required for such loans under HOPA. See "—Our Products and Services—Mortgage Insurance—Primary Mortgage Insurance" above.</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Real Estate Settlement Procedures Act of 1974</w:t>
      </w:r>
    </w:p>
    <w:p>
      <w:pPr>
        <w:spacing w:after="0" w:line="252"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Mortgage insurance generally may be considered to be a "settlement service" for purposes of RESPA under applicable regulations. Subject to limited exceptions, RESPA prohibits persons from giving or accepting anything of value in connection with the referral of a settlement service. RESPA authorizes the CFPB, the U.S. Department of Justice, state attorneys general and state insurance commissioners to bring civil enforcement actions, and also provides for criminal penalties and private rights of action.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and entered into consent orders with, the CFPB as part of its investigation to determine whether mortgage lenders and mortgage insurance providers engaged in acts or practices in connection with their captive mortgage insurance arrangements in violation of the RESPA, the Consumer Financial Protection Act and the Dodd-Frank Act. The CFPB’s ruling in its enforcement order against PHH Corporation for alleged RESPA violations stemming from captive mortgage insurance arrangements was overturned on appeal by a panel of the U.S. Court of Appeals for the D.C. Circuit, a decision affirmed in January 2018 by the D.C. Circuit en banc. Although we did not participate in the practices that were the subject of the CFPB consent orders or the PHH case, the private mortgage insurance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 Act (Mortgage Loan Originator Licensing)</w:t>
      </w:r>
    </w:p>
    <w:p>
      <w:pPr>
        <w:spacing w:after="0" w:line="252" w:lineRule="exact"/>
        <w:rPr>
          <w:sz w:val="20"/>
          <w:szCs w:val="20"/>
          <w:color w:val="auto"/>
        </w:rPr>
      </w:pPr>
    </w:p>
    <w:p>
      <w:pPr>
        <w:ind w:right="120" w:firstLine="445"/>
        <w:spacing w:after="0" w:line="271" w:lineRule="auto"/>
        <w:rPr>
          <w:sz w:val="20"/>
          <w:szCs w:val="20"/>
          <w:color w:val="auto"/>
        </w:rPr>
      </w:pPr>
      <w:r>
        <w:rPr>
          <w:rFonts w:ascii="Arial" w:cs="Arial" w:eastAsia="Arial" w:hAnsi="Arial"/>
          <w:sz w:val="17"/>
          <w:szCs w:val="17"/>
          <w:color w:val="auto"/>
        </w:rPr>
        <w:t>The SAFE Act requires mortgage loan originators to be licensed and/or registered with the Nationwide Mortgage Licensing System and Registry, or the NMLS. The NMLS is a database established by the Conference of State Bank Supervisors and the American Association of Residential Mortgage Regulators. Among other things, the database was established to support the licensing of mortgage loan originators by each state. As part of this licensing and registration process, loan originators who are employees of institutions other than depository institutions or certain of their subsidiaries that are regulated by a Federal banking agency, must generally be licensed under the SAFE Act guidelines enacted by each state in which they engage in loan originator activities and registered with the NMLS. The SAFE Act generally prohibits employees of a depository institution (including certain of their subsidiaries that are regulated by a Federal banking agency) from originating residential mortgage loans without first registering with the NMLS and maintaining that registration. Certain of our underwriters are licensed pursuant to the SAFE Act.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i w:val="1"/>
          <w:iCs w:val="1"/>
          <w:color w:val="auto"/>
        </w:rPr>
        <w:t>Privacy and Information Security</w:t>
      </w:r>
    </w:p>
    <w:p>
      <w:pPr>
        <w:spacing w:after="0" w:line="252"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The Gramm-Leach-Bliley Act of 1999, or GLB, imposes privacy requirements on financial institutions, including obligations to protect and safeguard consumers' nonpublic personal information and records, and limitations on the re-use of such information. Federal regulatory agencies have issued the Interagency Guidelines Establishing Information Security Standards, or "Security Guidelines," and interagency regulations regarding financial privacy, or "Privacy Rule," implementing sections of GLB. The Security Guidelines establish standards relating to administrative, technical, and physical safeguards to ensure the security, confidentiality, integrity, and the proper disposal of consumer information. The Privacy Rule limits a financial institution's disclosure of nonpublic personal information to unaffiliated third parties unless certain notice requirements are met and the consumer does not elect to prevent or "opt out" of the disclosure. The Privacy Rule also requires that privacy notices provided to customers and consumers describe the financial institutions' policies and practices to protect the confidentiality and security of the information. With respect to our business, GLB is enforced by the U.S. Federal Trade Commission, or FTC, and state insurance regulators. Many states have enacted legislation implementing GLB and establishing information security regulation. Many states have enacted privacy and data security laws which impose compliance obligations beyond GLB, including obligations to protect social security numbers and provide notification in the event that a security breach results in a reasonable belief that unauthorized persons may have obtained access to consumer nonpublic information.</w:t>
      </w:r>
    </w:p>
    <w:p>
      <w:pPr>
        <w:spacing w:after="0" w:line="206"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The New York Department of Financial Services, or NYDFS, has adopted a Cybersecurity Regulation that applies to all individuals and entities licensed by the NYDFS, pursuant to which licensees must file for exemption or submit an annual compliance certification. Several other jurisdictions in which we operate have enacted similar laws.</w:t>
      </w:r>
    </w:p>
    <w:p>
      <w:pPr>
        <w:spacing w:after="0" w:line="211"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On January 1, 2020, the California Consumer Privacy Act, which we refer to as the "CCPA", became effective. The CCPA applies to any company that does business in California and meets certain threshold requirements. The CCPA creates a new privacy framework for covered businesses that collect, sell or disclose "personal information" of California consumers. The CCPA defines “personal information” broadly within five new categories of data privacy rights: the right to (1) know what personal information is being collected about them, whether their personal information is sold or disclosed and to whom; (2) access a copy of their personal information; (3) delete their personal information from business servers and service providers, unless it is necessary to maintain the information under enumerated exceptions; (4) opt out of the sale of their personal information to third parties; and (5) have equal access and service if they exercise their rights. The CCPA provides a limited private right of action for data breaches in non-encrypted or non-redacted form, including statutory or actual damages, and public enforcement by the California Attorney General for other violations. It is reasonably possible that the CCPA will prompt other state and federal regulators to move forward with new privacy regulations that could impact the businesses of us or our customers.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Credit Reporting Act</w:t>
      </w:r>
    </w:p>
    <w:p>
      <w:pPr>
        <w:spacing w:after="0" w:line="252" w:lineRule="exact"/>
        <w:rPr>
          <w:sz w:val="20"/>
          <w:szCs w:val="20"/>
          <w:color w:val="auto"/>
        </w:rPr>
      </w:pPr>
    </w:p>
    <w:p>
      <w:pPr>
        <w:ind w:right="80" w:firstLine="445"/>
        <w:spacing w:after="0" w:line="275" w:lineRule="auto"/>
        <w:rPr>
          <w:sz w:val="20"/>
          <w:szCs w:val="20"/>
          <w:color w:val="auto"/>
        </w:rPr>
      </w:pPr>
      <w:r>
        <w:rPr>
          <w:rFonts w:ascii="Arial" w:cs="Arial" w:eastAsia="Arial" w:hAnsi="Arial"/>
          <w:sz w:val="17"/>
          <w:szCs w:val="17"/>
          <w:color w:val="auto"/>
        </w:rPr>
        <w:t>The Fair Credit Reporting Act of 1970, as amended, or FCRA, imposes restrictions on the permissible use of credit report information. FCRA has been interpreted by some FTC staff and Federal courts to require mortgage insurance companies to provide "adverse action" notices to consumers in the event an application for mortgage insurance is declined or offered at less than the best available rate for the loan program applied for on the basis of a review of the consumer's credit. We provide such notices as required. Although we have not been involved, there has been class action litigation over these FCRA adverse action notices involving the mortgage insurance industry, including court-approved settlements.</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Housing Finance Reform</w:t>
      </w:r>
    </w:p>
    <w:p>
      <w:pPr>
        <w:spacing w:after="0" w:line="252"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Presently, the Federal government plays a dominant role in the U.S. housing finance system through the involvement of the GSEs and the FHA, VA and Ginnie Mae. There is broad policy consensus toward the need for private capital to play a larger role and government credit risk to be reduced. However, to date there has been a lack of consensus with regard to the specific changes necessary to return a larger role for private capital and how small the eventual role of government should become. Since the GSEs were placed into conservatorship in September 2008, there have been a wide ranging set of GSE and secondary market reform advocacy proposals put forward, including nearly complete privatization and elimination of the role of the GSEs, recapitalization of the GSEs and a number of alternatives that combine a Federal role with private capital, some of which eliminate the GSEs and others of which envision an ongoing role for the GSEs. Since 2011, a number of comprehensive GSE/secondary market legislative reform bills have also been introduced or discussed in the U.S. Congress, differing with regard to the future role of the GSEs, the overall structure of the secondary market and the role of the Federal government within the mortgage market. In addition, the size, complexity and centrality of the GSEs to the current housing finance system and the importance of housing to the economy make the transition to any new housing finance system difficult.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ind w:right="280" w:firstLine="445"/>
        <w:spacing w:after="0" w:line="311" w:lineRule="auto"/>
        <w:rPr>
          <w:sz w:val="20"/>
          <w:szCs w:val="20"/>
          <w:color w:val="auto"/>
        </w:rPr>
      </w:pPr>
      <w:r>
        <w:rPr>
          <w:rFonts w:ascii="Arial" w:cs="Arial" w:eastAsia="Arial" w:hAnsi="Arial"/>
          <w:sz w:val="16"/>
          <w:szCs w:val="16"/>
          <w:color w:val="auto"/>
        </w:rPr>
        <w:t>On January 14, 2021, FHFA and the Treasury Department announced amendments to the preferred stock purchase agreements under which the Treasury Department acquired preferred equity in the GSEs in 2008. The amendments will allow each of the GSEs to continue to retain earnings for the foreseeable future, until they satisfy the requirements of the capital framework implemented for the GSEs in 2020 needed to exit conservatorship.</w:t>
      </w:r>
    </w:p>
    <w:p>
      <w:pPr>
        <w:spacing w:after="0" w:line="176"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Any changes to the charters or statutory authorities of the GSEs would require Congressional action to implement. Congress, however, has not enacted any legislation to date. We believe that the continuing conservatorship of the GSEs by the FHFA makes it likely that the U.S. Congress will eventually address the role and purpose of the GSEs in the U.S. housing market and potentially legislate structural and other changes to the GSEs and the functioning of the secondary mortgage market. New Federal legislation could reduce the level of private mortgage insurance coverage used by the GSEs as credit enhancement, eliminate the requirement altogether or otherwise alter or eliminate the role of the GSEs, and thereby materially affect our ability to compete, demand for our products and the profitability of our business.</w:t>
      </w:r>
    </w:p>
    <w:p>
      <w:pPr>
        <w:spacing w:after="0" w:line="205"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There can be no assurance that other Federal laws and regulations affecting these institutions and entities will not change, or that new legislation or regulations will not be adopted that will adversely affect the private mortgage insurance industry. See "Risk Factors—Risks Relating to Regulation and Litigation—</w:t>
      </w:r>
      <w:r>
        <w:rPr>
          <w:rFonts w:ascii="Arial" w:cs="Arial" w:eastAsia="Arial" w:hAnsi="Arial"/>
          <w:sz w:val="18"/>
          <w:szCs w:val="18"/>
          <w:i w:val="1"/>
          <w:iCs w:val="1"/>
          <w:color w:val="auto"/>
        </w:rPr>
        <w:t>Legislative or regulatory actions or decisions to change the role of the GSEs in the U.S. housing market generally, or changes to the charters</w:t>
      </w:r>
      <w:r>
        <w:rPr>
          <w:rFonts w:ascii="Arial" w:cs="Arial" w:eastAsia="Arial" w:hAnsi="Arial"/>
          <w:sz w:val="18"/>
          <w:szCs w:val="18"/>
          <w:color w:val="auto"/>
        </w:rPr>
        <w:t xml:space="preserve"> </w:t>
      </w:r>
      <w:r>
        <w:rPr>
          <w:rFonts w:ascii="Arial" w:cs="Arial" w:eastAsia="Arial" w:hAnsi="Arial"/>
          <w:sz w:val="18"/>
          <w:szCs w:val="18"/>
          <w:i w:val="1"/>
          <w:iCs w:val="1"/>
          <w:color w:val="auto"/>
        </w:rPr>
        <w:t>of the GSEs with regard to the use of credit enhancements generally and private mortgage insurance specifically, could reduce our revenues or adversely affect our profitability and returns</w:t>
      </w:r>
      <w:r>
        <w:rPr>
          <w:rFonts w:ascii="Arial" w:cs="Arial" w:eastAsia="Arial" w:hAnsi="Arial"/>
          <w:sz w:val="18"/>
          <w:szCs w:val="18"/>
          <w:color w:val="auto"/>
        </w:rPr>
        <w:t>" and "—</w:t>
      </w:r>
      <w:r>
        <w:rPr>
          <w:rFonts w:ascii="Arial" w:cs="Arial" w:eastAsia="Arial" w:hAnsi="Arial"/>
          <w:sz w:val="18"/>
          <w:szCs w:val="18"/>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8"/>
          <w:szCs w:val="18"/>
          <w:color w:val="auto"/>
        </w:rPr>
        <w:t>"</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FHA Reform</w:t>
      </w:r>
    </w:p>
    <w:p>
      <w:pPr>
        <w:spacing w:after="0" w:line="25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compete with the single-family mortgage insurance programs of the FHA, which is part of HUD. The most recent FHA report to Congress dated November 13, 2020 on the financial status of the FHA Mutual Mortgage Insurance Fund, or MMIF, showed the capital reserve ratio of the MMIF at 6.10%, above the Congressionally mandated required minimum level of 2%.</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Federal Insurance Office</w:t>
      </w:r>
    </w:p>
    <w:p>
      <w:pPr>
        <w:spacing w:after="0" w:line="252"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On December 9, 2013, the U.S. Department of the Treasury's Federal Insurance Office released a report entitled "How to Modernize and Improve the System of Insurance Regulation in the United States." This report, which was mandated by Title V of the Dodd-Frank Act, states that that mortgage insurance is "interconnected with other aspects of the federal housing finance system" and will be "an important component of any reform package as an alternative way to place private capital in front of any taxpayer risk." Given this role, the report recommends "national solvency and business practice standards" for mortgage insurers to ensure "confidence in the solvency and performance of housing finance." To the extent any such Federal oversight or standards as may be established exceed the current standards and oversight represented by the overlay of FHFA and GSE-driven eligibility requirements and the direct prudential and solvency regulatory and supervisory oversight of state insurance commissioners, it may adversely affect the results of our business operations.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Basel III</w:t>
      </w:r>
    </w:p>
    <w:p>
      <w:pPr>
        <w:spacing w:after="0" w:line="252"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In 1988, the Basel Committee on Banking Supervision, which we refer to as the "Basel Committee," developed the Basel Capital Accord, which we refer to as "Basel I," which set out international benchmarks for assessing banks' capital adequacy requirements. In 2005, the Basel Committee issued Basel II, which, among other things, governs the capital treatment of mortgage insurance purchased and held on balance sheet by banks in respect of their origination and securitization activities. In July 2013, the Federal Reserve Board, the Office of the Comptroller of the Currency and the Federal Deposit Insurance Corporation approved publication of the Basel III Rules, which govern almost all U.S. banking organizations regardless of size or business model. The Basel III Rules revise and enhance the Federal banking agencies' general risk-based capital, advanced approaches and leverage rules. The Basel</w:t>
      </w:r>
    </w:p>
    <w:p>
      <w:pPr>
        <w:spacing w:after="0" w:line="4" w:lineRule="exact"/>
        <w:rPr>
          <w:sz w:val="20"/>
          <w:szCs w:val="20"/>
          <w:color w:val="auto"/>
        </w:rPr>
      </w:pPr>
    </w:p>
    <w:p>
      <w:pPr>
        <w:ind w:right="140" w:firstLine="8"/>
        <w:spacing w:after="0" w:line="295" w:lineRule="auto"/>
        <w:tabs>
          <w:tab w:leader="none" w:pos="225" w:val="left"/>
        </w:tabs>
        <w:numPr>
          <w:ilvl w:val="0"/>
          <w:numId w:val="25"/>
        </w:numPr>
        <w:rPr>
          <w:rFonts w:ascii="Arial" w:cs="Arial" w:eastAsia="Arial" w:hAnsi="Arial"/>
          <w:sz w:val="16"/>
          <w:szCs w:val="16"/>
          <w:color w:val="auto"/>
        </w:rPr>
      </w:pPr>
      <w:r>
        <w:rPr>
          <w:rFonts w:ascii="Arial" w:cs="Arial" w:eastAsia="Arial" w:hAnsi="Arial"/>
          <w:sz w:val="16"/>
          <w:szCs w:val="16"/>
          <w:color w:val="auto"/>
        </w:rPr>
        <w:t>Rules became effective on January 1, 2014, with a mandatory compliance date of January 1, 2015 for banking organizations other than advanced approaches banking organizations that are not savings and loan holding companies. On January 1, 2014, most banking organizations became required to begin a multi-year transition period to the full implementation of the new capital framework. The effective date and compliance period, and the beginning of the transitional period, was January 1, 2014 for advanced approaches banking organizations that are not savings and loan holding companies.</w:t>
      </w:r>
    </w:p>
    <w:p>
      <w:pPr>
        <w:spacing w:after="0" w:line="188" w:lineRule="exact"/>
        <w:rPr>
          <w:sz w:val="20"/>
          <w:szCs w:val="20"/>
          <w:color w:val="auto"/>
        </w:rPr>
      </w:pPr>
    </w:p>
    <w:p>
      <w:pPr>
        <w:ind w:right="780" w:firstLine="445"/>
        <w:spacing w:after="0" w:line="277" w:lineRule="auto"/>
        <w:rPr>
          <w:sz w:val="20"/>
          <w:szCs w:val="20"/>
          <w:color w:val="auto"/>
        </w:rPr>
      </w:pPr>
      <w:r>
        <w:rPr>
          <w:rFonts w:ascii="Arial" w:cs="Arial" w:eastAsia="Arial" w:hAnsi="Arial"/>
          <w:sz w:val="18"/>
          <w:szCs w:val="18"/>
          <w:color w:val="auto"/>
        </w:rPr>
        <w:t>The Federal banking agencies' proposed rule to implement Basel III in the United States would have made extensive changes to the capital requirements for residential mortgages. In addition, the proposed rule would have eliminated existing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9" w:name="page30"/>
    <w:bookmarkEnd w:id="29"/>
    <w:p>
      <w:pPr>
        <w:spacing w:after="0" w:line="271" w:lineRule="auto"/>
        <w:rPr>
          <w:sz w:val="20"/>
          <w:szCs w:val="20"/>
          <w:color w:val="auto"/>
        </w:rPr>
      </w:pPr>
      <w:r>
        <w:rPr>
          <w:rFonts w:ascii="Arial" w:cs="Arial" w:eastAsia="Arial" w:hAnsi="Arial"/>
          <w:sz w:val="17"/>
          <w:szCs w:val="17"/>
          <w:color w:val="auto"/>
        </w:rPr>
        <w:t>capital recognition for certain low down payment mortgages if covered by mortgage insurance. After consideration of extensive comments with regard to the proposed capital rules for residential mortgages, the Federal banking agencies revised the Basel III Rules to retain the treatment for residential mortgage exposures under the general risk-based capital rules and the treatment of mortgage insurance. Consistent with such rules, the Basel III Rules assign a 50% or 100% risk weight to loans secured by one-to-four-family residential properties. Generally, residential mortgage exposures secured by a first lien on a one-to-four family residential property that are prudently underwritten and that are performing according to their original terms receive a 50% risk weighting. All other one-to-four family residential mortgage loans are assigned a 100% risk weight. The Basel III Rules continue to afford FHA-insured loans a lower risk weighting than low down payment loans insured with private mortgage insurance, and Ginnie Mae mortgage-backed securities are afforded a lower risk weighting than Fannie Mae and Freddie Mac mortgage-backed securities.</w:t>
      </w:r>
    </w:p>
    <w:p>
      <w:pPr>
        <w:spacing w:after="0" w:line="205"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If implementation of the Basel III Rules increases the capital requirements of banking organizations with respect to the residential mortgages we insure, it could adversely affect the size of the portfolio lending market, which in turn would reduce the demand for our mortgage insurance. If the Federal banking agencies revise the Basel III Rules to reduce or eliminate the capital benefit banks receive from insuring low down payment loans with private mortgage insurance, or if our bank customers believe that such adverse changes may occur at some time in the future, our current and future business may be adversely affected. In addition, with regard to the separate Basel III Rules applicable to general credit risk mitigation for banking exposures, insurance companies engaged predominantly in the business of providing credit protection, such as private mortgage insurance companies, are not eligible guarantors, which could affect our business prospects. In addition, the Federal banking agencies established liquidity coverage ratio requirements in 2014 that require that certain “high quality liquid assets” be held against a total net cash outflow amount, which includes a bank’s potential outflow amounts based on loan commitments.</w:t>
      </w:r>
    </w:p>
    <w:p>
      <w:pPr>
        <w:spacing w:after="0" w:line="223"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See "Risk Factors—Risks Relating to Regulation and Litigation—</w:t>
      </w:r>
      <w:r>
        <w:rPr>
          <w:rFonts w:ascii="Arial" w:cs="Arial" w:eastAsia="Arial" w:hAnsi="Arial"/>
          <w:sz w:val="18"/>
          <w:szCs w:val="18"/>
          <w:i w:val="1"/>
          <w:iCs w:val="1"/>
          <w:color w:val="auto"/>
        </w:rPr>
        <w:t>The implementation of the Basel III Capital Accord, or other changes to our</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capital requirements, may discourage the use of mortgage insurance</w:t>
      </w:r>
      <w:r>
        <w:rPr>
          <w:rFonts w:ascii="Arial" w:cs="Arial" w:eastAsia="Arial" w:hAnsi="Arial"/>
          <w:sz w:val="18"/>
          <w:szCs w:val="18"/>
          <w:color w:val="auto"/>
        </w:rPr>
        <w:t>."</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Bermuda Insurance Regulation</w:t>
      </w:r>
    </w:p>
    <w:p>
      <w:pPr>
        <w:spacing w:after="0" w:line="252" w:lineRule="exact"/>
        <w:rPr>
          <w:sz w:val="20"/>
          <w:szCs w:val="20"/>
          <w:color w:val="auto"/>
        </w:rPr>
      </w:pPr>
    </w:p>
    <w:p>
      <w:pPr>
        <w:ind w:right="40" w:firstLine="445"/>
        <w:spacing w:after="0" w:line="291" w:lineRule="auto"/>
        <w:rPr>
          <w:sz w:val="20"/>
          <w:szCs w:val="20"/>
          <w:color w:val="auto"/>
        </w:rPr>
      </w:pPr>
      <w:r>
        <w:rPr>
          <w:rFonts w:ascii="Arial" w:cs="Arial" w:eastAsia="Arial" w:hAnsi="Arial"/>
          <w:sz w:val="16"/>
          <w:szCs w:val="16"/>
          <w:color w:val="auto"/>
        </w:rPr>
        <w:t>The Insurance Act 1978 of Bermuda and related regulations, as amended, or the Insurance Act, regulates the insurance business of our Bermuda-based reinsurance subsidiary, Essent Reinsurance Ltd., and provides that no person may carry on any insurance business in or from within Bermuda unless registered as an insurer under the Insurance Act by the Bermuda Monetary Authority, or the BMA. In deciding whether to grant registration, the BMA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to operate an insurance business. In addition, the BMA is required by the Insurance Act to determine whether a person who proposes to control 10%, 20%, 33% or 50% (as applicable) of the voting powers of a Bermuda-registered insurer or its parent company is a fit and proper person to exercise such degree of control.</w:t>
      </w:r>
    </w:p>
    <w:p>
      <w:pPr>
        <w:spacing w:after="0" w:line="193" w:lineRule="exact"/>
        <w:rPr>
          <w:sz w:val="20"/>
          <w:szCs w:val="20"/>
          <w:color w:val="auto"/>
        </w:rPr>
      </w:pPr>
    </w:p>
    <w:p>
      <w:pPr>
        <w:ind w:right="380" w:firstLine="445"/>
        <w:spacing w:after="0" w:line="263" w:lineRule="auto"/>
        <w:rPr>
          <w:sz w:val="20"/>
          <w:szCs w:val="20"/>
          <w:color w:val="auto"/>
        </w:rPr>
      </w:pPr>
      <w:r>
        <w:rPr>
          <w:rFonts w:ascii="Arial" w:cs="Arial" w:eastAsia="Arial" w:hAnsi="Arial"/>
          <w:sz w:val="18"/>
          <w:szCs w:val="18"/>
          <w:color w:val="auto"/>
        </w:rPr>
        <w:t>The continued registration of an applicant as an insurer is subject to the applicant complying with the terms of its registration and such other conditions as the BMA may impose from time to time. The Insurance Act also grants to the BMA powers to supervise, investigate and intervene in the affairs of insurance companies.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Insurance Act imposes on Bermuda insurance companies solvency and liquidity standards as well as auditing and reporting requirements.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Certain significant aspects of the Bermuda insurance regulatory framework are set forth below.</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Classification of Insurers</w:t>
      </w:r>
    </w:p>
    <w:p>
      <w:pPr>
        <w:spacing w:after="0" w:line="252"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Insurance Act distinguishes between insurers carrying on long-term business, insurers carrying on special purpose business and insurers carrying on general business. There are six classifications of insurers carrying on general business (Classes 1, 2, 3, 3A, 3B, and 4) with Class 1 insurers subject to the lightest regulation and Class 4 insurers subject to the strictest regulation.</w:t>
      </w:r>
    </w:p>
    <w:p>
      <w:pPr>
        <w:spacing w:after="0" w:line="211"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Essent Reinsurance Ltd., which is incorporated in Bermuda to carry on general insurance and reinsurance business, is registered as a Class 3A insurer in Bermuda and is regulated as such under the Insurance Act. We are not, however, licensed in Bermuda to carry on long-term business. Long-term business broadly includes life insurance and disability insurance with terms in excess of five years. General business broadly includes all types of insurance that is not long-term business.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Cancellation of Insurer's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ind w:right="260" w:firstLine="445"/>
        <w:spacing w:after="0" w:line="263" w:lineRule="auto"/>
        <w:rPr>
          <w:sz w:val="20"/>
          <w:szCs w:val="20"/>
          <w:color w:val="auto"/>
        </w:rPr>
      </w:pPr>
      <w:r>
        <w:rPr>
          <w:rFonts w:ascii="Arial" w:cs="Arial" w:eastAsia="Arial" w:hAnsi="Arial"/>
          <w:sz w:val="18"/>
          <w:szCs w:val="18"/>
          <w:color w:val="auto"/>
        </w:rPr>
        <w:t>An insurer's registration may be cancelled by the BMA on certain grounds specified in the Insurance Act. Failure of the insurer to comply with its obligations under the Insurance Act, or if the BMA believes that the insurer has not been carrying on business in accordance with sound insurance principles, would be such grounds.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Principal Representative</w:t>
      </w:r>
    </w:p>
    <w:p>
      <w:pPr>
        <w:spacing w:after="0" w:line="252" w:lineRule="exact"/>
        <w:rPr>
          <w:sz w:val="20"/>
          <w:szCs w:val="20"/>
          <w:color w:val="auto"/>
        </w:rPr>
      </w:pPr>
    </w:p>
    <w:p>
      <w:pPr>
        <w:ind w:right="140" w:firstLine="445"/>
        <w:spacing w:after="0" w:line="289" w:lineRule="auto"/>
        <w:rPr>
          <w:sz w:val="20"/>
          <w:szCs w:val="20"/>
          <w:color w:val="auto"/>
        </w:rPr>
      </w:pPr>
      <w:r>
        <w:rPr>
          <w:rFonts w:ascii="Arial" w:cs="Arial" w:eastAsia="Arial" w:hAnsi="Arial"/>
          <w:sz w:val="16"/>
          <w:szCs w:val="16"/>
          <w:color w:val="auto"/>
        </w:rPr>
        <w:t>An insurer is required to maintain a principal office in Bermuda and to appoint and maintain a principal representative in Bermuda. For the purpose of the Insurance Act, Essent Reinsurance Ltd.'s principal representative is Artex Risk Solutions and its principal office for these purposes is the offices of Artex. Without a reason acceptable to the BMA, an insurer may not terminate the appointment of its principal representative, and the principal representative may not cease to act as such, unless 30 days' notice in writing to the BMA is given of the intention to do so. It is the duty of the principal representative to forthwith notify the BMA where the principal representative believes there is a likelihood of the insurer (for which the principal representative acts) becoming insolvent or that a reportable "event" has, to the principal representative's knowledge, occurred or is believed to have occurred. Examples of such a reportable "event" include failure by the insurer to comply substantially with a condition imposed upon the insurer by the BMA relating to a solvency margin or a liquidity or other ratio. Within 14 days of such notification to the BMA, the principal representative must furnish the BMA with a written report setting out all the particulars of the case that are available to the principal representative.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Independent Approved Auditor</w:t>
      </w:r>
    </w:p>
    <w:p>
      <w:pPr>
        <w:spacing w:after="0" w:line="252"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A Class 3A insurer must appoint an independent auditor who will annually audit and report on the insurer's financial statements prepared under generally accepted accounting principles or international financial reporting standards, statutory financial statements and statutory financial returns each of which are required to be filed annually with the BMA. The auditor must be approved by the BMA as the independent auditor of the insurer. If the insurer fails to appoint an approved auditor or at any time fails to fill a vacancy for such auditor, the BMA may appoint an approved auditor for the insurer and shall fix the remuneration to be paid to the approved auditor within 14 days, if not agreed sooner by the insurer and the auditor.</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Loss Reserve Specialist</w:t>
      </w:r>
    </w:p>
    <w:p>
      <w:pPr>
        <w:spacing w:after="0" w:line="252" w:lineRule="exact"/>
        <w:rPr>
          <w:sz w:val="20"/>
          <w:szCs w:val="20"/>
          <w:color w:val="auto"/>
        </w:rPr>
      </w:pPr>
    </w:p>
    <w:p>
      <w:pPr>
        <w:ind w:firstLine="445"/>
        <w:spacing w:after="0" w:line="308" w:lineRule="auto"/>
        <w:rPr>
          <w:sz w:val="20"/>
          <w:szCs w:val="20"/>
          <w:color w:val="auto"/>
        </w:rPr>
      </w:pPr>
      <w:r>
        <w:rPr>
          <w:rFonts w:ascii="Arial" w:cs="Arial" w:eastAsia="Arial" w:hAnsi="Arial"/>
          <w:sz w:val="17"/>
          <w:szCs w:val="17"/>
          <w:color w:val="auto"/>
        </w:rPr>
        <w:t>A Class 3A insurer is required to submit an opinion of its approved loss reserve specialist with its statutory financial return in respect of its losses and loss expenses provisions. The loss reserve specialist will normally be a qualified casualty actuary and must be approved by the BMA.</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 Financial Statements</w:t>
      </w:r>
    </w:p>
    <w:p>
      <w:pPr>
        <w:spacing w:after="0" w:line="252"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A Class 3A insurer is required to prepare annual GAAP financial statements and statutory financial statements. The Insurance Act prescribes rules for the preparation and substance of statutory financial statements (which include, in statutory form, a balance sheet, income statement, a statement of capital and surplus, and notes thereto). The statutory financial statements include detailed information and analysis regarding premiums, claims, reinsurance and investments of the insurer. An insurer is required to file with the BMA the annual GAAP financial statements and statutory financial statements within four months from the end of the relevant financial year (unless specifically extended). The statutory financial statements do not form part of the public records maintained by the BMA but the GAAP financial statements are available for public inspection.</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 Statutory Financial Return</w:t>
      </w:r>
    </w:p>
    <w:p>
      <w:pPr>
        <w:spacing w:after="0" w:line="252"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An insurer is required to file with the BMA a statutory financial return no later than four months after its financial year end (unless specifically extended). The statutory financial return includes, among other matters, a report of the approved independent auditor on the statutory financial statements of the insurer, a general business solvency certificate, the statutory financial statements themselves and the opinion of the loss reserve specialist. The principal representative and at least two directors of the insurer must sign the solvency certificate. The directors are required to certify whether the minimum solvency margin has been met, and the independent approved auditor is required to state whether in its opinion it was reasonable for the directors to so certify. Where an insurer's accounts have been audited for any purpose other than compliance with the Insurance Act, a statement to that effect must be filed with the statutory financial return. The statutory financial return is not available for public inspection.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i w:val="1"/>
          <w:iCs w:val="1"/>
          <w:color w:val="auto"/>
        </w:rPr>
        <w:t>Minimum Solvency Margin, Enhanced Capital Requirement and Restrictions on Dividends and Distributions</w:t>
      </w:r>
    </w:p>
    <w:p>
      <w:pPr>
        <w:spacing w:after="0" w:line="252"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A Class 3A insurer must maintain at all times a solvency margin and an enhanced capital requirement in accordance with the provisions of the Insurance Act. Each year the insurer is required to file with the BMA a capital and solvency return within four months of its relevant financial year end (unless specifically extended). The prescribed form of capital and solvency return comprises the insurer's Bermuda Solvency Capital Requirement model, a schedule of fixed income investments by rating categories, a schedule of net loss and loss expense provisions by line of business, a schedule of premiums written by line of business, a schedule of risk management and a schedule of fixed income securities.</w:t>
      </w:r>
    </w:p>
    <w:p>
      <w:pPr>
        <w:spacing w:after="0" w:line="203"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The Insurance Act mandates certain actions and filings with the BMA if a Class 3A insurer fails to meet and/or maintain its enhanced capital requirement or solvency margin including the filing of a written report detailing the circumstances giving rise to the failure and the manner and time within which the insurer intends to rectify the failure. A Class 3A insurer is prohibited from declaring or paying a dividend if in breach of its enhanced capital requirement, solvency margin or minimum liquidity ratio or if the declaration or payment of such dividend would cause such a breach. Where an insurer fails to meet its solvency margin or minimum liquidity ratio on the last day of any financial year, it is prohibited from declaring or paying any dividends during the next financial year without the approval of the BMA. Class 3A insurers must obtain the BMA's prior approval for a reduction by 15% or more of the total statutory capital as set forth in its previous year's financial statements. These restrictions on declaring or paying dividends and distributions under the Insurance Act are in addition to those under the Companies Act which apply to all Bermuda companies.</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Minimum Liquidity Ratio</w:t>
      </w:r>
    </w:p>
    <w:p>
      <w:pPr>
        <w:spacing w:after="0" w:line="252"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Insurance Act provides a minimum liquidity ratio for general business. An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and reinsurance balances receivable.</w:t>
      </w:r>
    </w:p>
    <w:p>
      <w:pPr>
        <w:spacing w:after="0" w:line="214"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There are certain categories of assets which, unless specifically permitted by the BMA, do not automatically qualify as relevant assets, such as unquoted equity securities, investments in and advances to affiliates and real estate and collateral loans.</w:t>
      </w:r>
    </w:p>
    <w:p>
      <w:pPr>
        <w:spacing w:after="0" w:line="197"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The relevant liabilities are total general business insurance reserves and total other liabilities less deferred income tax and sundry liabilities (by interpretation, those not specifically defined).</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Supervision, Investigation and Intervention</w:t>
      </w:r>
    </w:p>
    <w:p>
      <w:pPr>
        <w:spacing w:after="0" w:line="252" w:lineRule="exact"/>
        <w:rPr>
          <w:sz w:val="20"/>
          <w:szCs w:val="20"/>
          <w:color w:val="auto"/>
        </w:rPr>
      </w:pPr>
    </w:p>
    <w:p>
      <w:pPr>
        <w:ind w:right="240" w:firstLine="445"/>
        <w:spacing w:after="0" w:line="286" w:lineRule="auto"/>
        <w:rPr>
          <w:sz w:val="20"/>
          <w:szCs w:val="20"/>
          <w:color w:val="auto"/>
        </w:rPr>
      </w:pPr>
      <w:r>
        <w:rPr>
          <w:rFonts w:ascii="Arial" w:cs="Arial" w:eastAsia="Arial" w:hAnsi="Arial"/>
          <w:sz w:val="17"/>
          <w:szCs w:val="17"/>
          <w:color w:val="auto"/>
        </w:rPr>
        <w:t>The BMA may appoint an inspector with powers to investigate the affairs of an insurer if the BMA believes that an investigation is required in the interests of the insurer's policyholders or potential policyholders. In order to verify or supplement information otherwise provided to the inspector, the BMA may direct an insurer to produce documents or information relating to matters connected with its business.</w:t>
      </w:r>
    </w:p>
    <w:p>
      <w:pPr>
        <w:spacing w:after="0" w:line="192"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An inspector may examine on oath any past or present officer, employee or insurance manager of the insurer under investigation in relation to its business and apply to the court in Bermuda for an order that other persons may also be examined on any matter relevant to the investigation. It shall be the duty of any insurer in relation to whose affairs an inspector has been appointed and of any past or present officer, employee or insurance manager of such insurer, to produce to the inspector on request all books, records and documents relating to the insurer under investigation which are in its or his custody or control and otherwise to give to the inspector all assistance in connection with the investigation which it or he is reasonably able to give.</w:t>
      </w:r>
    </w:p>
    <w:p>
      <w:pPr>
        <w:spacing w:after="0" w:line="188" w:lineRule="exact"/>
        <w:rPr>
          <w:sz w:val="20"/>
          <w:szCs w:val="20"/>
          <w:color w:val="auto"/>
        </w:rPr>
      </w:pPr>
    </w:p>
    <w:p>
      <w:pPr>
        <w:ind w:right="80" w:firstLine="445"/>
        <w:spacing w:after="0" w:line="286" w:lineRule="auto"/>
        <w:rPr>
          <w:sz w:val="20"/>
          <w:szCs w:val="20"/>
          <w:color w:val="auto"/>
        </w:rPr>
      </w:pPr>
      <w:r>
        <w:rPr>
          <w:rFonts w:ascii="Arial" w:cs="Arial" w:eastAsia="Arial" w:hAnsi="Arial"/>
          <w:sz w:val="16"/>
          <w:szCs w:val="16"/>
          <w:color w:val="auto"/>
        </w:rPr>
        <w:t>If it appears to the BMA that there is a risk of an insurer becoming insolvent, or that it is in breach of the Insurance Act or any conditions imposed upon its registration, the BMA may, among other things, direct the insurer (1) not to take on any new insurance business, (2) not to vary any insurance contract if the effect would be to increase its liabilities, (3) not to make certain investments, (4) to realize certain investments, (5) to maintain or transfer to the custody of a specified bank, certain assets, (6) not to declare or pay any dividends or other distributions or to restrict the making of such payments,</w:t>
      </w:r>
    </w:p>
    <w:p>
      <w:pPr>
        <w:spacing w:after="0" w:line="1" w:lineRule="exact"/>
        <w:rPr>
          <w:sz w:val="20"/>
          <w:szCs w:val="20"/>
          <w:color w:val="auto"/>
        </w:rPr>
      </w:pPr>
    </w:p>
    <w:p>
      <w:pPr>
        <w:ind w:right="20" w:firstLine="8"/>
        <w:spacing w:after="0" w:line="255"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limit its premium income, (8) not to enter into any specified transaction with any specified persons or persons of a specified class, (9) to provide such written particulars relating to the financial circumstances of the insurer as the BMA thinks fit, (10) to obtain the opinion of a loss reserve specialist and to submit it to the BMA and (11) to remove a controller or officer.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2" w:name="page33"/>
    <w:bookmarkEnd w:id="32"/>
    <w:p>
      <w:pPr>
        <w:ind w:left="420"/>
        <w:spacing w:after="0"/>
        <w:rPr>
          <w:sz w:val="20"/>
          <w:szCs w:val="20"/>
          <w:color w:val="auto"/>
        </w:rPr>
      </w:pPr>
      <w:r>
        <w:rPr>
          <w:rFonts w:ascii="Arial" w:cs="Arial" w:eastAsia="Arial" w:hAnsi="Arial"/>
          <w:sz w:val="18"/>
          <w:szCs w:val="18"/>
          <w:i w:val="1"/>
          <w:iCs w:val="1"/>
          <w:color w:val="auto"/>
        </w:rPr>
        <w:t>Disclosure of Information</w:t>
      </w:r>
    </w:p>
    <w:p>
      <w:pPr>
        <w:spacing w:after="0" w:line="252"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In addition to powers under the Insurance Act to investigate the affairs of an insurer, the BMA may require certain information from an insurer (or certain other persons) to be produced to the BMA. Further, the BMA has been given powers to assist other regulatory authorities, including foreign insurance regulatory authorities, with their investigations involving insurance and reinsurance companies in Bermuda but subject to restrictions. For example, the BMA must be satisfied that the assistance being requested is in connection with the discharge of regulatory responsibilities of the foreign regulatory authority. Further, the BMA must consider whether cooperation is in the public interest. The grounds for disclosure are limited and the Insurance Act provides for sanctions for breach of the statutory duty of confidentiality.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56" w:lineRule="exact"/>
        <w:rPr>
          <w:sz w:val="20"/>
          <w:szCs w:val="20"/>
          <w:color w:val="auto"/>
        </w:rPr>
      </w:pPr>
    </w:p>
    <w:p>
      <w:pPr>
        <w:jc w:val="both"/>
        <w:ind w:right="220" w:firstLine="445"/>
        <w:spacing w:after="0" w:line="342" w:lineRule="auto"/>
        <w:rPr>
          <w:sz w:val="20"/>
          <w:szCs w:val="20"/>
          <w:color w:val="auto"/>
        </w:rPr>
      </w:pPr>
      <w:r>
        <w:rPr>
          <w:rFonts w:ascii="Arial" w:cs="Arial" w:eastAsia="Arial" w:hAnsi="Arial"/>
          <w:sz w:val="16"/>
          <w:szCs w:val="16"/>
          <w:color w:val="auto"/>
        </w:rPr>
        <w:t>We believe that attracting, developing and retaining quality employees is imperative to a successful and sustainable business model. We make significant investments in our employees, providing a wide range of continuing education opportunities to support their professional growth and success.</w:t>
      </w:r>
    </w:p>
    <w:p>
      <w:pPr>
        <w:spacing w:after="0" w:line="151" w:lineRule="exact"/>
        <w:rPr>
          <w:sz w:val="20"/>
          <w:szCs w:val="20"/>
          <w:color w:val="auto"/>
        </w:rPr>
      </w:pPr>
    </w:p>
    <w:p>
      <w:pPr>
        <w:jc w:val="both"/>
        <w:ind w:right="220" w:firstLine="445"/>
        <w:spacing w:after="0" w:line="311" w:lineRule="auto"/>
        <w:rPr>
          <w:sz w:val="20"/>
          <w:szCs w:val="20"/>
          <w:color w:val="auto"/>
        </w:rPr>
      </w:pPr>
      <w:r>
        <w:rPr>
          <w:rFonts w:ascii="Arial" w:cs="Arial" w:eastAsia="Arial" w:hAnsi="Arial"/>
          <w:sz w:val="16"/>
          <w:szCs w:val="16"/>
          <w:color w:val="auto"/>
        </w:rPr>
        <w:t>As of December 31, 2020, we had 381 employees, including 375 employees based in our Radnor, PA, Winston-Salem, NC, Irvine, CA locations or remotely throughout the United States, and 6 employees located in Hamilton, Bermuda. None of our employees are represented by a labor union and we consider our employee relations to be good. We also periodically engage contractors who provide services to us on a temporary basis.</w:t>
      </w:r>
    </w:p>
    <w:p>
      <w:pPr>
        <w:spacing w:after="0" w:line="176"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We believe that our “do the right thing” culture has enabled us to average our approximately 95% retention rate over the past 10 years. We design compelling job opportunities, aligned with our mission, in a fast-paced, results-driven work environment. The process through which we recruit employees has an impact on the quality, diversity and timing of filling positions. Open positions may be filled internally through our internal posting process or externally through a combination of broadly available Internet job boards as well as college placement services, trade journals, newspapers and professional recruiting firms.</w:t>
      </w:r>
    </w:p>
    <w:p>
      <w:pPr>
        <w:spacing w:after="0" w:line="215"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Employee engagement begins at the time of hire by paying a fair and livable wage and providing medical, dental, vision, prescription, life and long-and short-term disability coverage to full-time employees. We contribute generously to the retirement savings plans of our U.S.-based employees, with an immediately vested non-discretionary matching contribution to our 401(k) plan in an amount equal to 100% of up to the first 5% of an employee’s eligible compensation. We so strongly believe that all employees should make good decisions, do the right thing and act like owners that we have made all employees owners through a share grant program. As of December 31, 2020, over 90% of our current workforce have been granted awards for equity shares in our company.</w:t>
      </w:r>
    </w:p>
    <w:p>
      <w:pPr>
        <w:spacing w:after="0" w:line="219" w:lineRule="exact"/>
        <w:rPr>
          <w:sz w:val="20"/>
          <w:szCs w:val="20"/>
          <w:color w:val="auto"/>
        </w:rPr>
      </w:pPr>
    </w:p>
    <w:p>
      <w:pPr>
        <w:ind w:right="140" w:firstLine="445"/>
        <w:spacing w:after="0" w:line="274" w:lineRule="auto"/>
        <w:rPr>
          <w:sz w:val="20"/>
          <w:szCs w:val="20"/>
          <w:color w:val="auto"/>
        </w:rPr>
      </w:pPr>
      <w:r>
        <w:rPr>
          <w:rFonts w:ascii="Arial" w:cs="Arial" w:eastAsia="Arial" w:hAnsi="Arial"/>
          <w:sz w:val="16"/>
          <w:szCs w:val="16"/>
          <w:color w:val="auto"/>
        </w:rPr>
        <w:t>We offer varied employee training, development, mentorship and leadership opportunities and encourage our employees to continue to develop in their careers. We provide compliance and job-related training to all newly hired employees, as well as annual compliance training, to ensure their ongoing success. We also provide many opportunities throughout the year to participate in sales, underwriting, risk management and other related training, as well as education around how to stay connected virtually and have held numerous classes around video conferencing options. We also have a tuition reimbursement program and offer certifications and professional training opportunities, including MBA certifications, Nationwide Multistate Licensing System &amp; Registry (NMLS) continuing education for underwriters and other professional training in areas including but not limited to cybersecurity, risk, accountancy, actuarial sciences, human resources, underwriting, information technology, appraisals, marketing and project management.</w:t>
      </w:r>
    </w:p>
    <w:p>
      <w:pPr>
        <w:spacing w:after="0" w:line="190" w:lineRule="exact"/>
        <w:rPr>
          <w:sz w:val="20"/>
          <w:szCs w:val="20"/>
          <w:color w:val="auto"/>
        </w:rPr>
      </w:pPr>
    </w:p>
    <w:p>
      <w:pPr>
        <w:ind w:right="160" w:firstLine="445"/>
        <w:spacing w:after="0" w:line="248" w:lineRule="auto"/>
        <w:rPr>
          <w:sz w:val="20"/>
          <w:szCs w:val="20"/>
          <w:color w:val="auto"/>
        </w:rPr>
      </w:pPr>
      <w:r>
        <w:rPr>
          <w:rFonts w:ascii="Arial" w:cs="Arial" w:eastAsia="Arial" w:hAnsi="Arial"/>
          <w:sz w:val="18"/>
          <w:szCs w:val="18"/>
          <w:color w:val="auto"/>
        </w:rPr>
        <w:t>We value honest and timely feedback. We use a third-party firm to periodically conduct anonymous employee-wide engagement surveys, as well as targeted “pulse” surveys, to identify areas of strength and opportunities for improvement and to ensure continued engagement and retention of our employees. Our most recent such survey had a 97% participation rate.</w:t>
      </w:r>
    </w:p>
    <w:p>
      <w:pPr>
        <w:spacing w:after="0" w:line="209" w:lineRule="exact"/>
        <w:rPr>
          <w:sz w:val="20"/>
          <w:szCs w:val="20"/>
          <w:color w:val="auto"/>
        </w:rPr>
      </w:pPr>
    </w:p>
    <w:p>
      <w:pPr>
        <w:ind w:right="160" w:firstLine="445"/>
        <w:spacing w:after="0"/>
        <w:rPr>
          <w:sz w:val="20"/>
          <w:szCs w:val="20"/>
          <w:color w:val="auto"/>
        </w:rPr>
      </w:pPr>
      <w:r>
        <w:rPr>
          <w:rFonts w:ascii="Arial" w:cs="Arial" w:eastAsia="Arial" w:hAnsi="Arial"/>
          <w:sz w:val="18"/>
          <w:szCs w:val="18"/>
          <w:color w:val="auto"/>
        </w:rPr>
        <w:t>We believe a diverse and inclusive workforce provides for a broad array of viewpoints, talents and skills and assists in building a sustainable future, and we are focused on cultivating a diverse and inclusive culture where our employees can freely bring diverse perspectives and varied experiences to work. We seek to hire and retain highly talented employees and empower them to create value for our shareholders. In our employee recruitment and selection process and operation of our business, we adhere to equal employment opportunity policies and encourage the participation of our employees in training programs that will enhance their effectiveness in the performance of their duties. As of December 31, 2020, approximately 66% of our workforce was comprised of women and minorities.</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COVID-19 pandemic had a significant impact on our human capital management in 2020. A majority of our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ind w:right="220"/>
        <w:spacing w:after="0" w:line="243" w:lineRule="auto"/>
        <w:rPr>
          <w:sz w:val="20"/>
          <w:szCs w:val="20"/>
          <w:color w:val="auto"/>
        </w:rPr>
      </w:pPr>
      <w:r>
        <w:rPr>
          <w:rFonts w:ascii="Arial" w:cs="Arial" w:eastAsia="Arial" w:hAnsi="Arial"/>
          <w:sz w:val="18"/>
          <w:szCs w:val="18"/>
          <w:color w:val="auto"/>
        </w:rPr>
        <w:t>workforce worked remotely beginning in the first quarter. We reopened several of our office locations in September 2020 on a fully volunteer basis to provide our employees an in office option. We support a healthy work environment by implementing new Health Safety policies and practices including temperature scanning, face masks requirements, staggered shifts, upgraded cleaning practices, social distancing requirements and contact tracing. We did not furlough or conduct any employee layoffs due to the pandemic during the year.</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please see the section titled “Social Issues and Human Capital” in our 2020 Proxy Statement.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256" w:lineRule="exact"/>
        <w:rPr>
          <w:sz w:val="20"/>
          <w:szCs w:val="20"/>
          <w:color w:val="auto"/>
        </w:rPr>
      </w:pPr>
    </w:p>
    <w:p>
      <w:pPr>
        <w:ind w:right="580" w:firstLine="445"/>
        <w:spacing w:after="0" w:line="311" w:lineRule="auto"/>
        <w:rPr>
          <w:sz w:val="20"/>
          <w:szCs w:val="20"/>
          <w:color w:val="auto"/>
        </w:rPr>
      </w:pPr>
      <w:r>
        <w:rPr>
          <w:rFonts w:ascii="Arial" w:cs="Arial" w:eastAsia="Arial" w:hAnsi="Arial"/>
          <w:sz w:val="16"/>
          <w:szCs w:val="16"/>
          <w:color w:val="auto"/>
        </w:rPr>
        <w:t>Essent Group Ltd. was organized as a limited liability company under the laws of Bermuda on July 1, 2008. Our registered office is located at Clarendon House, 2 Church Street, Hamilton HM11, Bermuda and our telephone number is (441) 297-9901. Our corporate website address is www.essentgroup.com. The information contained on, or accessible through, our corporate website does not constitute part of this Annual Report.</w:t>
      </w:r>
    </w:p>
    <w:p>
      <w:pPr>
        <w:spacing w:after="0" w:line="176" w:lineRule="exact"/>
        <w:rPr>
          <w:sz w:val="20"/>
          <w:szCs w:val="20"/>
          <w:color w:val="auto"/>
        </w:rPr>
      </w:pPr>
    </w:p>
    <w:p>
      <w:pPr>
        <w:ind w:right="400" w:firstLine="445"/>
        <w:spacing w:after="0" w:line="263" w:lineRule="auto"/>
        <w:rPr>
          <w:sz w:val="20"/>
          <w:szCs w:val="20"/>
          <w:color w:val="auto"/>
        </w:rPr>
      </w:pPr>
      <w:r>
        <w:rPr>
          <w:rFonts w:ascii="Arial" w:cs="Arial" w:eastAsia="Arial" w:hAnsi="Arial"/>
          <w:sz w:val="18"/>
          <w:szCs w:val="18"/>
          <w:color w:val="auto"/>
        </w:rPr>
        <w:t>Our primary mortgage insurance operations are conducted through Essent Guaranty, Inc., a Pennsylvania-domiciled insurer which is a monoline insurance company licensed in all 50 states and the District of Columbia. We also have a wholly-owned Bermuda-domiciled reinsurer, Essent Reinsurance Ltd., which has a Class 3A insurance license issued by the Bermuda Monetary Authority.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file annual reports on Form 10-K, quarterly reports on Form 10-Q and current reports on Form 8-K and other information with the SEC. The SEC maintains an Internet web site that contains reports, proxy and information statements and other information regarding issuers, including us, that file electronically with the SEC. The address of that site is http://www.sec.gov. Our annual reports on Form 10-K, quarterly reports on Form 10-Q and current reports on Form 8-K and other information filed by us with the SEC are available, without charge, on our Internet web site, http://www.essentgroup.com, as soon as reasonably practicable after they are filed electronically with the SEC. Copies are also available, without charge, by writing to Secretary, Essent Group Ltd., Clarendon House, 2 Church Street, Hamilton HM11, Bermuda. The information on our website is not a part of this Annual Report on Form 10-K.</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340" w:firstLine="445"/>
        <w:spacing w:after="0" w:line="257" w:lineRule="auto"/>
        <w:rPr>
          <w:sz w:val="20"/>
          <w:szCs w:val="20"/>
          <w:color w:val="auto"/>
        </w:rPr>
      </w:pPr>
      <w:r>
        <w:rPr>
          <w:rFonts w:ascii="Arial" w:cs="Arial" w:eastAsia="Arial" w:hAnsi="Arial"/>
          <w:sz w:val="18"/>
          <w:szCs w:val="18"/>
          <w:color w:val="auto"/>
        </w:rPr>
        <w:t>Our current business and future results may be affected by a number of risks and uncertainties, including those described below. The risks and uncertainties described below are not the only risks and uncertainties we face. Additional risks and uncertainties not currently known to us or that we currently deem immaterial also may impair our business operations. If any of the following risks actually occur, our business, results of operations and financial condition could suffer. The risks discussed below also include forward-looking statements and our actual results may differ substantially from those discussed in these forward-looking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COVID-19 Pandemic</w:t>
      </w:r>
    </w:p>
    <w:p>
      <w:pPr>
        <w:spacing w:after="0" w:line="256" w:lineRule="exact"/>
        <w:rPr>
          <w:sz w:val="20"/>
          <w:szCs w:val="20"/>
          <w:color w:val="auto"/>
        </w:rPr>
      </w:pPr>
    </w:p>
    <w:p>
      <w:pPr>
        <w:ind w:right="20" w:firstLine="445"/>
        <w:spacing w:after="0" w:line="274" w:lineRule="auto"/>
        <w:rPr>
          <w:sz w:val="20"/>
          <w:szCs w:val="20"/>
          <w:color w:val="auto"/>
        </w:rPr>
      </w:pPr>
      <w:r>
        <w:rPr>
          <w:rFonts w:ascii="Arial" w:cs="Arial" w:eastAsia="Arial" w:hAnsi="Arial"/>
          <w:sz w:val="16"/>
          <w:szCs w:val="16"/>
          <w:color w:val="auto"/>
        </w:rPr>
        <w:t>The COVID-19 pandemic had a material impact on our 2020 financial results. While uncertain, the future impact of the COVID-19 pandemic on our business, results of operations, financial condition and liquidity may also be material. The extent to which the pandemic will continue to materially adversely affect our business, results of operations, financial condition and liquidity will depend on numerous evolving factors and future developments that we are not able to predict, including the duration and severity of the pandemic and the impact of virus mutations; the nature, extent and effectiveness of containment measures; the speed and effectiveness of U.S. vaccination efforts, the extent and duration of the effect on the economy, unemployment, consumer confidence and consumer and business spending; and the impact of government initiatives and actions taken by Fannie Mae and Freddie Mac (including implementation of mortgage forbearance and modification programs) to mitigate the economic harm caused by COVID-19.</w:t>
      </w:r>
    </w:p>
    <w:p>
      <w:pPr>
        <w:spacing w:after="0" w:line="190"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Since the outbreak of the pandemic, there have been a number of governmental and GSE efforts to implement programs designed to assist individuals and businesses impacted by the virus. On March 27, 2020, the Coronavirus Aid, Relief and Economic Security Act, referred to as the CARES Act, was signed into law. The CARES Act provides financial assistance for businesses and individuals and targeted regulatory relief for financial institutions. Among many other things, the CARES Act suspends foreclosures and evictions for at least 60 days from March 18, 2020, on mortgages purchased or securitized by the GSEs, which moratorium has been extended by the GSEs through at least March 31, 2021 and may be further extended. In addition, the CARES Act provided for a requirement to offer payment forbearance on federally-backed mortgages to borrowers experiencing a hardship during the COVID-19 emergency. Forbearance under the CARES Act allows for a mortgage payment to be suspended for up to 360 days due to hardship caused by COVID-19. The CARES Act also provides for enhanced unemployment benefits and direct aid to individuals, among other things.</w:t>
      </w:r>
    </w:p>
    <w:p>
      <w:pPr>
        <w:spacing w:after="0" w:line="192" w:lineRule="exact"/>
        <w:rPr>
          <w:sz w:val="20"/>
          <w:szCs w:val="20"/>
          <w:color w:val="auto"/>
        </w:rPr>
      </w:pPr>
    </w:p>
    <w:p>
      <w:pPr>
        <w:ind w:right="240" w:firstLine="445"/>
        <w:spacing w:after="0" w:line="241" w:lineRule="auto"/>
        <w:rPr>
          <w:sz w:val="20"/>
          <w:szCs w:val="20"/>
          <w:color w:val="auto"/>
        </w:rPr>
      </w:pPr>
      <w:r>
        <w:rPr>
          <w:rFonts w:ascii="Arial" w:cs="Arial" w:eastAsia="Arial" w:hAnsi="Arial"/>
          <w:sz w:val="18"/>
          <w:szCs w:val="18"/>
          <w:color w:val="auto"/>
        </w:rPr>
        <w:t>In addition, on December 27, 2020, the Consolidated Appropriations Act was signed into law, which contains a nearly $900 billion COVID-19 aid package, including cash payments to individuals, enhanced federal unemployment benefits and additional support for the paycheck protection program enacted under the CARES Act. In addition, the U.S. federal government, by executive order or legislation, may implement additional relief measures, including foreclosure relief measures, from time to time. Many U.S. states have also implemented similar measures relating to forbearance relief and foreclosure or eviction moratoria.</w:t>
      </w:r>
    </w:p>
    <w:p>
      <w:pPr>
        <w:spacing w:after="0" w:line="216" w:lineRule="exact"/>
        <w:rPr>
          <w:sz w:val="20"/>
          <w:szCs w:val="20"/>
          <w:color w:val="auto"/>
        </w:rPr>
      </w:pPr>
    </w:p>
    <w:p>
      <w:pPr>
        <w:ind w:right="80" w:firstLine="445"/>
        <w:spacing w:after="0" w:line="270" w:lineRule="auto"/>
        <w:rPr>
          <w:sz w:val="20"/>
          <w:szCs w:val="20"/>
          <w:color w:val="auto"/>
        </w:rPr>
      </w:pPr>
      <w:r>
        <w:rPr>
          <w:rFonts w:ascii="Arial" w:cs="Arial" w:eastAsia="Arial" w:hAnsi="Arial"/>
          <w:sz w:val="16"/>
          <w:szCs w:val="16"/>
          <w:color w:val="auto"/>
        </w:rPr>
        <w:t>Fannie Mae and Freddie Mac, the primary purchasers of mortgages we insure, have adopted relief measures consistent with the CARES Act to assist borrowers impacted by COVID-19. Under forbearance plans announced by the GSEs and implemented by their servicers, eligible homeowners who are adversely impacted by COVID-19 are permitted to temporarily reduce or suspend their mortgage payments for up to 15 months for borrowers entering forbearance before the end of February 2021. The GSEs have announced that, at the end of the forbearance plan, the homeowner may not be required to pay back their reduced or suspended mortgage payments in one lump sum, but may be eligible for a number of different options offered by their mortgage servicer, including repayment plans, resuming normal payments or lowering the monthly loan payment through a modification. However, there can be no assurances that homeowners will be able to remain current on their mortgages once the forbearance period ends, and a significant percentage could ultimately default and result in a mortgage insurance claim despite the GSE and other programs. Moreover, the expiration or discontinuation of any governmental or GSE forbearance or foreclosure relief program could further exacerbate the financial condition of borrowers on loans we insure or economic conditions generally, which could have a material adverse effect our financial condition, results of operations or liquidity.</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COVID-19 pandemic and containment measures have contributed to, among other things:</w:t>
      </w:r>
    </w:p>
    <w:p>
      <w:pPr>
        <w:spacing w:after="0" w:line="252" w:lineRule="exact"/>
        <w:rPr>
          <w:sz w:val="20"/>
          <w:szCs w:val="20"/>
          <w:color w:val="auto"/>
        </w:rPr>
      </w:pPr>
    </w:p>
    <w:p>
      <w:pPr>
        <w:ind w:left="660" w:right="80" w:hanging="328"/>
        <w:spacing w:after="0" w:line="296"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risk that policy losses and loss adjustment expenses we ultimately incur as a result of COVID-19 and the related economic impact may be substantially different than the loss reserves established on our financial statements at the end of each period. In accordance with industry practice and statutory accounting rules applicable to mortgage guaranty insurance companies, we establish loss reserves only for loans reported to us in default, including forbearance-related defaults. These reserves are established using estimated claim rates and claim amounts in estimating the ultimate loss, which estimates are subject to significant uncertainty given the unprecedented nature and magnitude of the COVID-19</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jc w:val="both"/>
        <w:ind w:left="660" w:right="140"/>
        <w:spacing w:after="0" w:line="263" w:lineRule="auto"/>
        <w:rPr>
          <w:sz w:val="20"/>
          <w:szCs w:val="20"/>
          <w:color w:val="auto"/>
        </w:rPr>
      </w:pPr>
      <w:r>
        <w:rPr>
          <w:rFonts w:ascii="Arial" w:cs="Arial" w:eastAsia="Arial" w:hAnsi="Arial"/>
          <w:sz w:val="18"/>
          <w:szCs w:val="18"/>
          <w:color w:val="auto"/>
        </w:rPr>
        <w:t>pandemic. In addition, because our reserving method does not account for the impact of future losses that could occur from loans that are not yet delinquent, our obligation for ultimate losses that we expect to occur under our policies in force at any period end is not reflected in our financial statements, except in the case where a premium deficiency exists.</w:t>
      </w:r>
    </w:p>
    <w:p>
      <w:pPr>
        <w:spacing w:after="0" w:line="211" w:lineRule="exact"/>
        <w:rPr>
          <w:sz w:val="20"/>
          <w:szCs w:val="20"/>
          <w:color w:val="auto"/>
        </w:rPr>
      </w:pPr>
    </w:p>
    <w:p>
      <w:pPr>
        <w:ind w:left="660" w:right="100" w:hanging="328"/>
        <w:spacing w:after="0" w:line="296"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deterioration in the ability and willingness of homeowners to continue to make mortgage payments on loans that we insure, which could result in an increase in the amount of insurance regulatory and PMIERs capital we are required to hold for delinquent loans, including forbearance-related delinquencies, as well as an increase in claims ultimately made with respect to such mortgage loans. Mortgage delinquencies are typically affected by a variety of borrower-specific factors, such as job loss, illness, death and divorce, and macroeconomic factors, such as rising unemployment, market deterioration and home price depreciation, many of which are likely exacerbated by the COVID-19 pandemic.</w:t>
      </w:r>
    </w:p>
    <w:p>
      <w:pPr>
        <w:spacing w:after="0" w:line="188" w:lineRule="exact"/>
        <w:rPr>
          <w:rFonts w:ascii="Arial" w:cs="Arial" w:eastAsia="Arial" w:hAnsi="Arial"/>
          <w:sz w:val="16"/>
          <w:szCs w:val="16"/>
          <w:color w:val="auto"/>
        </w:rPr>
      </w:pPr>
    </w:p>
    <w:p>
      <w:pPr>
        <w:jc w:val="both"/>
        <w:ind w:left="660" w:right="140" w:hanging="328"/>
        <w:spacing w:after="0" w:line="24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to the PMIERs and related guidance from the GSEs, which have been amended as a result of the pandemic and may be subject to future amendment, such as extending disaster related capital charges to all loans in pandemic-related forbearance programs and other amendments that include restrictions on our mortgage insurance business, operations and capital position.</w:t>
      </w:r>
    </w:p>
    <w:p>
      <w:pPr>
        <w:spacing w:after="0" w:line="208" w:lineRule="exact"/>
        <w:rPr>
          <w:rFonts w:ascii="Arial" w:cs="Arial" w:eastAsia="Arial" w:hAnsi="Arial"/>
          <w:sz w:val="18"/>
          <w:szCs w:val="18"/>
          <w:color w:val="auto"/>
        </w:rPr>
      </w:pPr>
    </w:p>
    <w:p>
      <w:pPr>
        <w:ind w:left="660" w:right="100" w:hanging="328"/>
        <w:spacing w:after="0" w:line="291"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Decreases in overall policy persistency and an increased level of mortgage loan refinancings, driven by historically low mortgage rates as a result of U.S. monetary policy following COVID-19 and other reasons, which could reduce the profitability of our insurance portfolio.</w:t>
      </w:r>
    </w:p>
    <w:p>
      <w:pPr>
        <w:spacing w:after="0" w:line="173" w:lineRule="exact"/>
        <w:rPr>
          <w:rFonts w:ascii="Arial" w:cs="Arial" w:eastAsia="Arial" w:hAnsi="Arial"/>
          <w:sz w:val="17"/>
          <w:szCs w:val="17"/>
          <w:color w:val="auto"/>
        </w:rPr>
      </w:pPr>
    </w:p>
    <w:p>
      <w:pPr>
        <w:ind w:left="660" w:right="420" w:hanging="328"/>
        <w:spacing w:after="0" w:line="308"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Adverse impacts on capital, credit and reinsurance market conditions, which may limit our ability to acquire reinsurance or access traditional financing methods. Such adverse impacts may increase our cost of capital and affect our ability to meet liquidity needs.</w:t>
      </w:r>
    </w:p>
    <w:p>
      <w:pPr>
        <w:spacing w:after="0" w:line="173" w:lineRule="exact"/>
        <w:rPr>
          <w:rFonts w:ascii="Arial" w:cs="Arial" w:eastAsia="Arial" w:hAnsi="Arial"/>
          <w:sz w:val="17"/>
          <w:szCs w:val="17"/>
          <w:color w:val="auto"/>
        </w:rPr>
      </w:pPr>
    </w:p>
    <w:p>
      <w:pPr>
        <w:ind w:left="660" w:right="1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increased strain on our risk management policies generally, including, but not limited to, the effectiveness and accuracy of our models, given the lack of data inputs and comparable precedent.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increased risk to the value of our investments and other assets, which has the potential to result in impairment charges.</w:t>
      </w:r>
    </w:p>
    <w:p>
      <w:pPr>
        <w:spacing w:after="0" w:line="252"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impacts on our daily business operations and our employees’ ability to perform necessary business functions, including as a result of illness or as a result of restrictions on movement.</w:t>
      </w:r>
    </w:p>
    <w:p>
      <w:pPr>
        <w:spacing w:after="0" w:line="197"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impacts on our costs structure, including the need for increased staffing in certain segments of our business, increased spending on our business continuity efforts, such as technology, and readiness efforts for returning to our offices, which may in turn limit our ability to make investments in other areas.</w:t>
      </w:r>
    </w:p>
    <w:p>
      <w:pPr>
        <w:spacing w:after="0" w:line="210"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increased risk of an information or cyber-security incident, fraud, a failure to maintain the uninterrupted operation of our information systems or a failure in the effectiveness of our anti-money laundering and other compliance programs due to, among other things, an increase in remote work.</w:t>
      </w:r>
    </w:p>
    <w:p>
      <w:pPr>
        <w:spacing w:after="0" w:line="211" w:lineRule="exact"/>
        <w:rPr>
          <w:sz w:val="20"/>
          <w:szCs w:val="20"/>
          <w:color w:val="auto"/>
        </w:rPr>
      </w:pPr>
    </w:p>
    <w:p>
      <w:pPr>
        <w:jc w:val="both"/>
        <w:ind w:right="60" w:firstLine="445"/>
        <w:spacing w:after="0" w:line="259" w:lineRule="auto"/>
        <w:rPr>
          <w:sz w:val="20"/>
          <w:szCs w:val="20"/>
          <w:color w:val="auto"/>
        </w:rPr>
      </w:pPr>
      <w:r>
        <w:rPr>
          <w:rFonts w:ascii="Arial" w:cs="Arial" w:eastAsia="Arial" w:hAnsi="Arial"/>
          <w:sz w:val="18"/>
          <w:szCs w:val="18"/>
          <w:color w:val="auto"/>
        </w:rPr>
        <w:t>The above impacts of the COVID-19 pandemic and containment measures are likely to continue and in some cases, may worsen. The pandemic and containment measures may cause us to modify our strategic plans and business practices, and we may take further actions that we determine are in the best interests of our employees, customers and business partners. As a result of the above risks, COVID-19 could materially and adversely impact our business, results of operations, financial position and liquidity.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Operation of Our Business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Intense competition within the private mortgage insurance industry could result in the loss of customers, lower premiums, wider credit guidelines and other changes which could lower our revenues or raise our costs.</w:t>
      </w:r>
    </w:p>
    <w:p>
      <w:pPr>
        <w:spacing w:after="0" w:line="197"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The private mortgage insurance industry is intensely competitive, with six private mortgage insurers currently approved and eligible to write business for the GSEs. We compete with other private mortgage insurers on the basis of pricing, terms and conditions, underwriting guidelines, loss mitigation practices, financial strength, reputation, customer relationships, service and other factors. One or more private mortgage insurers may seek increased market share from government-supported insurance programs, such as those sponsored by the FHA, or from other private mortgage insurers by reducing pricing, loosening their underwriting guidelines or relaxing their risk management practices, which could, in turn, improve their competitive position in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6" w:name="page37"/>
    <w:bookmarkEnd w:id="36"/>
    <w:p>
      <w:pPr>
        <w:ind w:right="120"/>
        <w:spacing w:after="0" w:line="275" w:lineRule="auto"/>
        <w:rPr>
          <w:sz w:val="20"/>
          <w:szCs w:val="20"/>
          <w:color w:val="auto"/>
        </w:rPr>
      </w:pPr>
      <w:r>
        <w:rPr>
          <w:rFonts w:ascii="Arial" w:cs="Arial" w:eastAsia="Arial" w:hAnsi="Arial"/>
          <w:sz w:val="17"/>
          <w:szCs w:val="17"/>
          <w:color w:val="auto"/>
        </w:rPr>
        <w:t>the industry and negatively impact our level of new insurance written, or NIW. A decline in industry NIW might result in increased competition as certain private mortgage insurance companies may seek to maintain their NIW levels within a smaller market. In addition, the perceived increase in the credit quality of loans that currently are being insured, the relative financial strength of the existing mortgage insurance companies and the possibility of the private mortgage insurance market acquiring a greater share of the overall mortgage insurance market may encourage new entrants into the private mortgage insurance industry, which could further increase competition in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profitability and returns would decline if we lose a significant customer.</w:t>
      </w:r>
    </w:p>
    <w:p>
      <w:pPr>
        <w:spacing w:after="0" w:line="252" w:lineRule="exact"/>
        <w:rPr>
          <w:sz w:val="20"/>
          <w:szCs w:val="20"/>
          <w:color w:val="auto"/>
        </w:rPr>
      </w:pPr>
    </w:p>
    <w:p>
      <w:pPr>
        <w:ind w:right="240" w:firstLine="445"/>
        <w:spacing w:after="0" w:line="279" w:lineRule="auto"/>
        <w:rPr>
          <w:sz w:val="20"/>
          <w:szCs w:val="20"/>
          <w:color w:val="auto"/>
        </w:rPr>
      </w:pPr>
      <w:r>
        <w:rPr>
          <w:rFonts w:ascii="Arial" w:cs="Arial" w:eastAsia="Arial" w:hAnsi="Arial"/>
          <w:sz w:val="17"/>
          <w:szCs w:val="17"/>
          <w:color w:val="auto"/>
        </w:rPr>
        <w:t>Our mortgage insurance business depends on our relationships with our largest lending customers. Our top ten customers generated 35.8% of our NIW during year ended December 31, 2020, compared to 42.8% and 43.5% for the years ended December 31, 2019 and 2018, respectively. For the year ended December 31, 2020, no customer represented more than 10% of our consolidated revenues. Maintaining our business relationships and business volumes with our largest lending customers remains critical to the success of our business.</w:t>
      </w:r>
    </w:p>
    <w:p>
      <w:pPr>
        <w:spacing w:after="0" w:line="198" w:lineRule="exact"/>
        <w:rPr>
          <w:sz w:val="20"/>
          <w:szCs w:val="20"/>
          <w:color w:val="auto"/>
        </w:rPr>
      </w:pPr>
    </w:p>
    <w:p>
      <w:pPr>
        <w:jc w:val="both"/>
        <w:ind w:right="80" w:firstLine="445"/>
        <w:spacing w:after="0" w:line="286" w:lineRule="auto"/>
        <w:rPr>
          <w:sz w:val="20"/>
          <w:szCs w:val="20"/>
          <w:color w:val="auto"/>
        </w:rPr>
      </w:pPr>
      <w:r>
        <w:rPr>
          <w:rFonts w:ascii="Arial" w:cs="Arial" w:eastAsia="Arial" w:hAnsi="Arial"/>
          <w:sz w:val="17"/>
          <w:szCs w:val="17"/>
          <w:color w:val="auto"/>
        </w:rPr>
        <w:t>Our master policies do not, and by law cannot, require our customers to do business with us. Under the terms of our master policy, our customers, or the parties they designate to service the loans we insure, have the unilateral right to cancel our insurance coverage at any time for any loan that we insure. Upon cancellation of coverage, subject to the type of coverage, we may be required to refund unearned premiums, if any.</w:t>
      </w:r>
    </w:p>
    <w:p>
      <w:pPr>
        <w:spacing w:after="0" w:line="192"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In addition, adverse macroeconomic conditions could subject customers to serious financial constraints that may jeopardize the viability of their business plans or their access to additional capital, forcing them to consider alternatives such as bankruptcy or consolidation with others in the industry. Other factors, such as rising interest rates, which could reduce mortgage origination volumes generally, rising costs associated with regulatory compliance and the relative cost of capital, may also result in consolidation among our customers. In the event our customers consolidate, they may revisit their relationships with individual private mortgage insurers, such as us, which could result in a loss of customers or a reduction in our business. The loss of business from a significant customer could have a material adverse effect on the amount of new business we are able to write, and consequently, our revenue, and we can provide no assurance that any loss of business from a significant customer would be replaced from other new or existing lending customers.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amount of insurance we may be able to write could be adversely affected if lenders and investors select alternatives to private mortgage insurance.</w:t>
      </w:r>
    </w:p>
    <w:p>
      <w:pPr>
        <w:spacing w:after="0" w:line="287"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We compete for business with alternatives to private mortgage insurance, consisting primarily of government-supported mortgage insurance programs as well as home purchase or refinancing alternatives that do not use any form of mortgage insurance.</w:t>
      </w:r>
    </w:p>
    <w:p>
      <w:pPr>
        <w:spacing w:after="0" w:line="197"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Government-supported mortgage insurance programs include, but are not limited to federal mortgage insurance programs, including those offered by the FHA and VA, and state-supported mortgage insurance funds, including, but not limited to, those funds supported by the states of California and New York.</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Alternatives to mortgage insurance include, but are not limited to:</w:t>
      </w:r>
    </w:p>
    <w:p>
      <w:pPr>
        <w:spacing w:after="0" w:line="252" w:lineRule="exact"/>
        <w:rPr>
          <w:sz w:val="20"/>
          <w:szCs w:val="20"/>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lenders and other investors holding mortgages in their portfolios and self-insuring;</w:t>
      </w:r>
    </w:p>
    <w:p>
      <w:pPr>
        <w:spacing w:after="0" w:line="252"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investors using other risk mitigation techniques in conjunction with reduced levels of private mortgage insurance coverage, or accepting credit risk without credit enhancement;</w:t>
      </w:r>
    </w:p>
    <w:p>
      <w:pPr>
        <w:spacing w:after="0" w:line="197" w:lineRule="exact"/>
        <w:rPr>
          <w:rFonts w:ascii="Arial" w:cs="Arial" w:eastAsia="Arial" w:hAnsi="Arial"/>
          <w:sz w:val="18"/>
          <w:szCs w:val="18"/>
          <w:color w:val="auto"/>
        </w:rPr>
      </w:pPr>
    </w:p>
    <w:p>
      <w:pPr>
        <w:ind w:left="660" w:right="440" w:hanging="247"/>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mortgage sellers retaining at least a 10% participation in a loan or mortgage sellers agreeing to repurchase or replace a loan upon an event of default; and</w:t>
      </w:r>
    </w:p>
    <w:p>
      <w:pPr>
        <w:spacing w:after="0" w:line="197" w:lineRule="exact"/>
        <w:rPr>
          <w:rFonts w:ascii="Arial" w:cs="Arial" w:eastAsia="Arial" w:hAnsi="Arial"/>
          <w:sz w:val="18"/>
          <w:szCs w:val="18"/>
          <w:color w:val="auto"/>
        </w:rPr>
      </w:pPr>
    </w:p>
    <w:p>
      <w:pPr>
        <w:ind w:left="660" w:hanging="247"/>
        <w:spacing w:after="0" w:line="286"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lenders originating mortgages using "piggyback structures" which avoid private mortgage insurance, such as a first mortgage with an 80% loan-to-value ratio and a second mortgage with a 10%, 15% or 20% loan-to-value ratio (referred to as 80-10-10, 80-15-5 or 80-20 loans, respectively) rather than a first mortgage with a 90%, 95% or 100% loan-to-value ratio that has private mortgage insurance.</w:t>
      </w:r>
    </w:p>
    <w:p>
      <w:pPr>
        <w:spacing w:after="0" w:line="192"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Any of these alternatives to private mortgage insurance could reduce or eliminate the demand for our product, cause us to lose business or limit our ability to attract the business that we would prefer to insure. Government-supported mortgage insurance programs are not subject to the same capital requirements, risk tolerance or business objectives that we and other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7" w:name="page38"/>
    <w:bookmarkEnd w:id="37"/>
    <w:p>
      <w:pPr>
        <w:ind w:right="80"/>
        <w:spacing w:after="0" w:line="279" w:lineRule="auto"/>
        <w:rPr>
          <w:sz w:val="20"/>
          <w:szCs w:val="20"/>
          <w:color w:val="auto"/>
        </w:rPr>
      </w:pPr>
      <w:r>
        <w:rPr>
          <w:rFonts w:ascii="Arial" w:cs="Arial" w:eastAsia="Arial" w:hAnsi="Arial"/>
          <w:sz w:val="17"/>
          <w:szCs w:val="17"/>
          <w:color w:val="auto"/>
        </w:rPr>
        <w:t>private mortgage insurance companies are, and therefore, generally have greater financial flexibility in setting their pricing, guidelines and capacity, which could put us at a competitive disadvantage. In addition, loans insured under FHA and other Federal government-supported mortgage insurance programs are eligible for securitization in Ginnie Mae securities, which may be viewed by investors as more desirable than Fannie Mae and Freddie Mac securities due to the explicit backing of Ginnie Mae securities by the full faith and credit of the U.S. Federal government.</w:t>
      </w:r>
    </w:p>
    <w:p>
      <w:pPr>
        <w:spacing w:after="0" w:line="198"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Consequently, if the FHA or other government-supported mortgage insurance programs maintain or increase their share of the mortgage insurance market, our business could be affected. Factors that could cause the FHA or other government-supported mortgage insurance programs to maintain or increase their share of the mortgage insurance market include:</w:t>
      </w:r>
    </w:p>
    <w:p>
      <w:pPr>
        <w:spacing w:after="0" w:line="211" w:lineRule="exact"/>
        <w:rPr>
          <w:sz w:val="20"/>
          <w:szCs w:val="20"/>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reduction in the premiums charged for government mortgage insurance or a loosening of underwriting guidelines;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past and potential future capital constraints in the private mortgage insurance industry;</w:t>
      </w:r>
    </w:p>
    <w:p>
      <w:pPr>
        <w:spacing w:after="0" w:line="252" w:lineRule="exact"/>
        <w:rPr>
          <w:rFonts w:ascii="Arial" w:cs="Arial" w:eastAsia="Arial" w:hAnsi="Arial"/>
          <w:sz w:val="18"/>
          <w:szCs w:val="18"/>
          <w:color w:val="auto"/>
        </w:rPr>
      </w:pPr>
    </w:p>
    <w:p>
      <w:pPr>
        <w:ind w:left="660" w:right="360" w:hanging="247"/>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premium rates or tightening of underwriting guidelines by private mortgage insurers based on past loan performance or other risk concerns;</w:t>
      </w:r>
    </w:p>
    <w:p>
      <w:pPr>
        <w:spacing w:after="0" w:line="197" w:lineRule="exact"/>
        <w:rPr>
          <w:rFonts w:ascii="Arial" w:cs="Arial" w:eastAsia="Arial" w:hAnsi="Arial"/>
          <w:sz w:val="18"/>
          <w:szCs w:val="18"/>
          <w:color w:val="auto"/>
        </w:rPr>
      </w:pPr>
    </w:p>
    <w:p>
      <w:pPr>
        <w:ind w:left="660" w:right="540" w:hanging="247"/>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levels of loss mitigation activity by private mortgage insurers on older vintage portfolios when compared to the more limited loss mitigation activities of government insurance programs;</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imposition of additional loan level delivery fees by the GSEs on loans that require mortgage insurance;</w:t>
      </w:r>
    </w:p>
    <w:p>
      <w:pPr>
        <w:spacing w:after="0" w:line="252" w:lineRule="exact"/>
        <w:rPr>
          <w:rFonts w:ascii="Arial" w:cs="Arial" w:eastAsia="Arial" w:hAnsi="Arial"/>
          <w:sz w:val="18"/>
          <w:szCs w:val="18"/>
          <w:color w:val="auto"/>
        </w:rPr>
      </w:pPr>
    </w:p>
    <w:p>
      <w:pPr>
        <w:ind w:left="660" w:right="480" w:hanging="247"/>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GSE guaranty fees and the difference in the spread between Fannie Mae mortgage-backed securities and Ginnie Mae mortgage-backed securities;</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perceived operational ease of using government insurance compared to the products of private mortgage insurers;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differences in the enforcement of program requirements by the FHA relative to the enforcement of policy terms by private entities;</w:t>
      </w:r>
    </w:p>
    <w:p>
      <w:pPr>
        <w:spacing w:after="0" w:line="252" w:lineRule="exact"/>
        <w:rPr>
          <w:rFonts w:ascii="Arial" w:cs="Arial" w:eastAsia="Arial" w:hAnsi="Arial"/>
          <w:sz w:val="18"/>
          <w:szCs w:val="18"/>
          <w:color w:val="auto"/>
        </w:rPr>
      </w:pPr>
    </w:p>
    <w:p>
      <w:pPr>
        <w:ind w:left="660" w:hanging="247"/>
        <w:spacing w:after="0" w:line="284"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implementation of new or the amendment of current regulations under the Dodd-Frank Act (particularly with respect to the Qualified Mortgage and Qualified Residential Mortgage rules) and the Basel III Rules, which may be more favorable to the FHA than to private mortgage insurers (see "Risks Related to Regulation and Litigation</w:t>
      </w:r>
      <w:r>
        <w:rPr>
          <w:rFonts w:ascii="Arial" w:cs="Arial" w:eastAsia="Arial" w:hAnsi="Arial"/>
          <w:sz w:val="16"/>
          <w:szCs w:val="16"/>
          <w:i w:val="1"/>
          <w:iCs w:val="1"/>
          <w:color w:val="auto"/>
        </w:rPr>
        <w:t>—Our business prospects and operating results could be adversely impacted if, and to the</w:t>
      </w:r>
      <w:r>
        <w:rPr>
          <w:rFonts w:ascii="Arial" w:cs="Arial" w:eastAsia="Arial" w:hAnsi="Arial"/>
          <w:sz w:val="16"/>
          <w:szCs w:val="16"/>
          <w:color w:val="auto"/>
        </w:rPr>
        <w:t xml:space="preserve"> </w:t>
      </w:r>
      <w:r>
        <w:rPr>
          <w:rFonts w:ascii="Arial" w:cs="Arial" w:eastAsia="Arial" w:hAnsi="Arial"/>
          <w:sz w:val="16"/>
          <w:szCs w:val="16"/>
          <w:i w:val="1"/>
          <w:iCs w:val="1"/>
          <w:color w:val="auto"/>
        </w:rPr>
        <w:t>extent that, the Consumer Financial Protection Bureau's ("CFPB") final rule defining a qualified mortgage ("QM") reduces the size of the origination market or creates incentives to use government mortgage insurance programs</w:t>
      </w:r>
      <w:r>
        <w:rPr>
          <w:rFonts w:ascii="Arial" w:cs="Arial" w:eastAsia="Arial" w:hAnsi="Arial"/>
          <w:sz w:val="16"/>
          <w:szCs w:val="16"/>
          <w:color w:val="auto"/>
        </w:rPr>
        <w:t>", "Risks Related to Regulation and Litigation—</w:t>
      </w:r>
      <w:r>
        <w:rPr>
          <w:rFonts w:ascii="Arial" w:cs="Arial" w:eastAsia="Arial" w:hAnsi="Arial"/>
          <w:sz w:val="16"/>
          <w:szCs w:val="16"/>
          <w:i w:val="1"/>
          <w:iCs w:val="1"/>
          <w:color w:val="auto"/>
        </w:rPr>
        <w:t>The amount of insurance we write could be adversely affected by the implementation of the Dodd-Frank Act's risk retention requirements and the definition of Qualified Residential Mortgage ("QRM")</w:t>
      </w:r>
      <w:r>
        <w:rPr>
          <w:rFonts w:ascii="Arial" w:cs="Arial" w:eastAsia="Arial" w:hAnsi="Arial"/>
          <w:sz w:val="16"/>
          <w:szCs w:val="16"/>
          <w:color w:val="auto"/>
        </w:rPr>
        <w:t>" and "Risks Related to Regulation and Litigation—</w:t>
      </w:r>
      <w:r>
        <w:rPr>
          <w:rFonts w:ascii="Arial" w:cs="Arial" w:eastAsia="Arial" w:hAnsi="Arial"/>
          <w:sz w:val="16"/>
          <w:szCs w:val="16"/>
          <w:i w:val="1"/>
          <w:iCs w:val="1"/>
          <w:color w:val="auto"/>
        </w:rPr>
        <w:t>The implementation of the</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7"/>
          <w:szCs w:val="17"/>
          <w:i w:val="1"/>
          <w:iCs w:val="1"/>
          <w:color w:val="auto"/>
        </w:rPr>
        <w:t>Basel III Capital Accord, or other changes to our customers' capital requirements, may discourage the use of mortgage insurance</w:t>
      </w:r>
      <w:r>
        <w:rPr>
          <w:rFonts w:ascii="Arial" w:cs="Arial" w:eastAsia="Arial" w:hAnsi="Arial"/>
          <w:sz w:val="17"/>
          <w:szCs w:val="17"/>
          <w:color w:val="auto"/>
        </w:rPr>
        <w:t>"); and</w:t>
      </w:r>
    </w:p>
    <w:p>
      <w:pPr>
        <w:spacing w:after="0" w:line="249" w:lineRule="exact"/>
        <w:rPr>
          <w:rFonts w:ascii="Arial" w:cs="Arial" w:eastAsia="Arial" w:hAnsi="Arial"/>
          <w:sz w:val="16"/>
          <w:szCs w:val="16"/>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FHA loan limits above GSE loan limits.</w:t>
      </w:r>
    </w:p>
    <w:p>
      <w:pPr>
        <w:spacing w:after="0" w:line="252"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Further, at the direction of the FHFA, the GSEs continue to expand their credit risk sharing programs. These programs have included the use of structured finance vehicles and off-shore reinsurance. The growth of these programs and the perception that some of these risk-sharing structures have beneficial features in comparison to private mortgage insurance (e.g. lower costs, reduced counterparty risk due to collateral on hand or more diversified insurance exposures) may create increased competition for mortgage insurance going forward on loans traditionally sold to the GSEs with private mortgage insurance. As part of their expanded risk sharing programs, the GSEs have also developed pilot programs to directly place mortgage insurance rather than have lenders place the mortgage insurance with private mortgage insurers. No assurances can be given that these practices may not be expanded to cover more loans traditionally insured by lenders with private mortgage insurance prior to sale to the GSEs, which could impact our business.</w:t>
      </w:r>
    </w:p>
    <w:p>
      <w:pPr>
        <w:spacing w:after="0" w:line="193" w:lineRule="exact"/>
        <w:rPr>
          <w:sz w:val="20"/>
          <w:szCs w:val="20"/>
          <w:color w:val="auto"/>
        </w:rPr>
      </w:pPr>
    </w:p>
    <w:p>
      <w:pPr>
        <w:jc w:val="both"/>
        <w:ind w:right="300" w:firstLine="445"/>
        <w:spacing w:after="0" w:line="259" w:lineRule="auto"/>
        <w:rPr>
          <w:sz w:val="20"/>
          <w:szCs w:val="20"/>
          <w:color w:val="auto"/>
        </w:rPr>
      </w:pPr>
      <w:r>
        <w:rPr>
          <w:rFonts w:ascii="Arial" w:cs="Arial" w:eastAsia="Arial" w:hAnsi="Arial"/>
          <w:sz w:val="18"/>
          <w:szCs w:val="18"/>
          <w:color w:val="auto"/>
        </w:rPr>
        <w:t>In addition, in the event that a government-supported mortgage insurance program in one of our markets reduces prices significantly or alters the terms and conditions of its mortgage insurance or other credit enhancement products in furtherance of political, social or other goals rather than a profit motive, we may be unable to compete in that market effectively, which could have an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b w:val="1"/>
          <w:bCs w:val="1"/>
          <w:i w:val="1"/>
          <w:iCs w:val="1"/>
          <w:color w:val="auto"/>
        </w:rPr>
        <w:t>If the volume of low down payment home mortgage originations declines, the amount of insurance that we write could decline, which would reduce our revenues.</w:t>
      </w:r>
    </w:p>
    <w:p>
      <w:pPr>
        <w:spacing w:after="0" w:line="197"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Our ability to write new business depends, among other things, on the origination volume of low down payment mortgages that require mortgage insurance. Factors that affect the volume of low down payment mortgage originations include:</w:t>
      </w:r>
    </w:p>
    <w:p>
      <w:pPr>
        <w:spacing w:after="0" w:line="197" w:lineRule="exact"/>
        <w:rPr>
          <w:sz w:val="20"/>
          <w:szCs w:val="20"/>
          <w:color w:val="auto"/>
        </w:rPr>
      </w:pPr>
    </w:p>
    <w:p>
      <w:pPr>
        <w:ind w:left="660" w:hanging="247"/>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level of home mortgage interest rates and the deductibility of mortgage interest and mortgage insurance for income tax purposes;</w:t>
      </w:r>
    </w:p>
    <w:p>
      <w:pPr>
        <w:spacing w:after="0" w:line="263" w:lineRule="exact"/>
        <w:rPr>
          <w:rFonts w:ascii="Arial" w:cs="Arial" w:eastAsia="Arial" w:hAnsi="Arial"/>
          <w:sz w:val="17"/>
          <w:szCs w:val="17"/>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health of the domestic economy as well as conditions in regional and local economies;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housing affordability;</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population trends, including the rate of household formation;</w:t>
      </w:r>
    </w:p>
    <w:p>
      <w:pPr>
        <w:spacing w:after="0" w:line="252" w:lineRule="exact"/>
        <w:rPr>
          <w:rFonts w:ascii="Arial" w:cs="Arial" w:eastAsia="Arial" w:hAnsi="Arial"/>
          <w:sz w:val="18"/>
          <w:szCs w:val="18"/>
          <w:color w:val="auto"/>
        </w:rPr>
      </w:pPr>
    </w:p>
    <w:p>
      <w:pPr>
        <w:ind w:left="660" w:right="380" w:hanging="247"/>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rate of home price appreciation, which in times of significant refinancing can affect whether refinance loans have loan-to-value ratios that require private mortgage insurance;</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government housing policies encouraging loans to borrowers that may need low down payment financing, such as first-time homebuyers;</w:t>
      </w:r>
    </w:p>
    <w:p>
      <w:pPr>
        <w:spacing w:after="0" w:line="263" w:lineRule="exact"/>
        <w:rPr>
          <w:rFonts w:ascii="Arial" w:cs="Arial" w:eastAsia="Arial" w:hAnsi="Arial"/>
          <w:sz w:val="17"/>
          <w:szCs w:val="17"/>
          <w:color w:val="auto"/>
        </w:rPr>
      </w:pPr>
    </w:p>
    <w:p>
      <w:pPr>
        <w:ind w:left="660" w:right="100" w:hanging="247"/>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the guaranty fees, loan-level price adjustments, credit underwriting guidelines and other business terms provided by the GSEs affect lenders' willingness to extend credit for low down payment mortgages;</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for ability-to-pay determinations prior to extending credit as discussed below;</w:t>
      </w:r>
    </w:p>
    <w:p>
      <w:pPr>
        <w:spacing w:after="0" w:line="252" w:lineRule="exact"/>
        <w:rPr>
          <w:rFonts w:ascii="Arial" w:cs="Arial" w:eastAsia="Arial" w:hAnsi="Arial"/>
          <w:sz w:val="18"/>
          <w:szCs w:val="18"/>
          <w:color w:val="auto"/>
        </w:rPr>
      </w:pPr>
    </w:p>
    <w:p>
      <w:pPr>
        <w:ind w:left="660" w:right="300" w:hanging="247"/>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mortgage credit due to more stringent underwriting standards and the risk retention requirements for securitized mortgage loans affecting lenders as discussed below; and</w:t>
      </w:r>
    </w:p>
    <w:p>
      <w:pPr>
        <w:spacing w:after="0" w:line="197" w:lineRule="exact"/>
        <w:rPr>
          <w:rFonts w:ascii="Arial" w:cs="Arial" w:eastAsia="Arial" w:hAnsi="Arial"/>
          <w:sz w:val="18"/>
          <w:szCs w:val="18"/>
          <w:color w:val="auto"/>
        </w:rPr>
      </w:pPr>
    </w:p>
    <w:p>
      <w:pPr>
        <w:ind w:left="660" w:right="620" w:hanging="247"/>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credit standards, premiums or other terms of obtaining FHA, VA or USDA insurance, which competes directly with private mortgage insurance.</w:t>
      </w:r>
    </w:p>
    <w:p>
      <w:pPr>
        <w:spacing w:after="0" w:line="197"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If the volume of low down payment loan originations declines, then our ability to write new policies may suffer, and our revenue and results of operations may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claims to increase as our portfolio matures.</w:t>
      </w:r>
    </w:p>
    <w:p>
      <w:pPr>
        <w:spacing w:after="0" w:line="252" w:lineRule="exact"/>
        <w:rPr>
          <w:sz w:val="20"/>
          <w:szCs w:val="20"/>
          <w:color w:val="auto"/>
        </w:rPr>
      </w:pPr>
    </w:p>
    <w:p>
      <w:pPr>
        <w:ind w:right="20" w:firstLine="445"/>
        <w:spacing w:after="0" w:line="287" w:lineRule="auto"/>
        <w:rPr>
          <w:sz w:val="20"/>
          <w:szCs w:val="20"/>
          <w:color w:val="auto"/>
        </w:rPr>
      </w:pPr>
      <w:r>
        <w:rPr>
          <w:rFonts w:ascii="Arial" w:cs="Arial" w:eastAsia="Arial" w:hAnsi="Arial"/>
          <w:sz w:val="16"/>
          <w:szCs w:val="16"/>
          <w:color w:val="auto"/>
        </w:rPr>
        <w:t>We believe that, based upon our experience and industry data, claims incidence for mortgage insurance is generally highest in the third through sixth years after loan origination. Although the claims experience on new insurance written by us since we began to write coverage in 2010 has been relatively favorable to date, we expect incurred losses and claims to increase as a greater amount of this book of insurance reaches its anticipated period of highest claim frequency. As a result of the significant decrease in our persistency rate in 2020 largely resulting from historically low interest rates precipitated by the economic impacts of the COVID-19 pandemic, approximately 70% of our aggregate insurance in force as of December 31, 2020 corresponds to policies we have written since January 1, 2019.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 Incurred losses and claims could be further increased in the future in the event of general economic weakness or decreases in housing values. An increase in the number or size of claims, compared to what we anticipate, could adversely affect our results of operations or financial conditions.</w:t>
      </w:r>
    </w:p>
    <w:p>
      <w:pPr>
        <w:spacing w:after="0" w:line="19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Because we establish loss reserves only upon a loan default rather than based on estimates of our ultimate losses on risk in force, losses may have a disproportionate adverse effect on our earnings in certain periods.</w:t>
      </w:r>
    </w:p>
    <w:p>
      <w:pPr>
        <w:spacing w:after="0" w:line="19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In accordance with industry practice and statutory accounting rules applicable to mortgage guaranty insurance companies, we establish loss reserves only for loans in default. Reserves are established for reported insurance losses and loss adjustment expenses based on when notices of default on insured mortgage loans are received. Reserves are also established for estimated losses incurred in connection with defaults that have not yet been reported. We establish reserves using estimated claim rates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39" w:name="page40"/>
    <w:bookmarkEnd w:id="39"/>
    <w:p>
      <w:pPr>
        <w:ind w:right="200"/>
        <w:spacing w:after="0" w:line="259" w:lineRule="auto"/>
        <w:rPr>
          <w:sz w:val="20"/>
          <w:szCs w:val="20"/>
          <w:color w:val="auto"/>
        </w:rPr>
      </w:pPr>
      <w:r>
        <w:rPr>
          <w:rFonts w:ascii="Arial" w:cs="Arial" w:eastAsia="Arial" w:hAnsi="Arial"/>
          <w:sz w:val="18"/>
          <w:szCs w:val="18"/>
          <w:color w:val="auto"/>
        </w:rPr>
        <w:t>and claim amounts in estimating the ultimate loss. Because our reserving method does not account for the impact of future losses that could occur from loans that are not yet delinquent, our obligation for ultimate losses that we expect to occur under our policies in force at any period end is not reflected in our financial statements, except in the case where a premium deficiency exists. As a result, future losses may have a material impact on future results as defaults occur.</w:t>
      </w:r>
    </w:p>
    <w:p>
      <w:pPr>
        <w:spacing w:after="0" w:line="21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A downturn in the U.S. economy, a decline in the value of borrowers' homes from their value at the time their loans close and natural disasters, acts of terrorism or other catastrophic events may result in more homeowners defaulting and could increase our losses.</w:t>
      </w:r>
    </w:p>
    <w:p>
      <w:pPr>
        <w:spacing w:after="0" w:line="173"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Losses result from events that reduce a borrower's ability to continue to make mortgage payments, such as increasing unemployment and whether the home of a borrower who defaults on his or her mortgage can be sold for an amount that will cover unpaid principal and interest and the expenses of the sale. In general, favorable economic conditions reduce the likelihood that borrowers will lack sufficient income to pay their mortgages and also favorably affect the value of homes, thereby reducing and in some cases even eliminating a loss from a mortgage default. Deterioration in economic conditions generally increases the likelihood that borrowers will not have sufficient income to pay their mortgages and can also adversely affect housing values, which in turn can decrease the willingness of borrowers with sufficient resources to make mortgage payments when the mortgage balance exceeds the value of the home. Housing values may decline even absent deterioration in economic conditions due to declines in demand for homes, which may result from changes in buyers' perceptions of the potential for future appreciation, restrictions on mortgage credit due to more stringent underwriting standards, liquidity issues affecting lenders or other factors, such as the phase-out of the mortgage interest deduction, reductions or elimination in the deductibility of mortgage insurance premiums or changes in the tax treatment of residential property. If our loss projections are inaccurate, our loss payments could materially exceed our expectations resulting in an adverse effect on our financial position and operating results. If economic conditions, such as employment and home prices, are less favorable than we expect, our premiums and underwriting standards may prove inadequate to shield us from a material increase in losses. In addition, natural disasters, such as hurricanes and floods, and acts of terrorism or other catastrophic events could result in increased claims against policies that we have written due to the impact that such events may have on the employment and income of borrowers and the value of affected homes, resulting in defaults on and claims under our policies. We cannot assure you that any strategies we may employ to mitigate the impact on us of such events, including limitations under our master policy on the payment of claims in certain circumstances where a property is damaged, the dispersal of our risk by geography and the potential use of third-party reinsurance structures, will be successful.</w:t>
      </w:r>
    </w:p>
    <w:p>
      <w:pPr>
        <w:spacing w:after="0" w:line="20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interest rates decline, house prices appreciate or mortgage insurance cancellation requirements change, the length of time that our policies remain in force could decline and cause a decline in our revenue.</w:t>
      </w:r>
    </w:p>
    <w:p>
      <w:pPr>
        <w:spacing w:after="0" w:line="197"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Generally, in each year, most of our premiums are from insurance that has been written in prior years. As a result, the length of time insurance remains in force, which is also generally referred to as persistency, is a significant determinant of our revenues. A lower level of persistency could reduce our future revenues. Our annual persistency rate was 60.1%, 77.5% and 84.9% at December 31, 2020, 2019 and 2018, respectively. The factors affecting the persistency of our insurance portfolio include:</w:t>
      </w:r>
    </w:p>
    <w:p>
      <w:pPr>
        <w:spacing w:after="0" w:line="214" w:lineRule="exact"/>
        <w:rPr>
          <w:sz w:val="20"/>
          <w:szCs w:val="20"/>
          <w:color w:val="auto"/>
        </w:rPr>
      </w:pPr>
    </w:p>
    <w:p>
      <w:pPr>
        <w:ind w:left="660" w:right="520" w:hanging="247"/>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current mortgage interest rates compared to the mortgage interest rates on the insurance in force, which affects the incentives of borrowers we have insured to refinance;</w:t>
      </w:r>
    </w:p>
    <w:p>
      <w:pPr>
        <w:spacing w:after="0" w:line="197" w:lineRule="exact"/>
        <w:rPr>
          <w:rFonts w:ascii="Arial" w:cs="Arial" w:eastAsia="Arial" w:hAnsi="Arial"/>
          <w:sz w:val="18"/>
          <w:szCs w:val="18"/>
          <w:color w:val="auto"/>
        </w:rPr>
      </w:pPr>
    </w:p>
    <w:p>
      <w:pPr>
        <w:ind w:left="660" w:right="60" w:hanging="247"/>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of equity in a home, as homeowners with more equity in their homes can generally more readily move to a new residence or refinance their existing mortgage;</w:t>
      </w:r>
    </w:p>
    <w:p>
      <w:pPr>
        <w:spacing w:after="0" w:line="197" w:lineRule="exact"/>
        <w:rPr>
          <w:rFonts w:ascii="Arial" w:cs="Arial" w:eastAsia="Arial" w:hAnsi="Arial"/>
          <w:sz w:val="18"/>
          <w:szCs w:val="18"/>
          <w:color w:val="auto"/>
        </w:rPr>
      </w:pPr>
    </w:p>
    <w:p>
      <w:pPr>
        <w:ind w:left="660" w:right="380" w:hanging="247"/>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rate at which homeowners sell their existing homes and move to new locations, generally referred to as housing turnover, with more rapid economic growth and stronger job markets tending to increase housing turnover;</w:t>
      </w:r>
    </w:p>
    <w:p>
      <w:pPr>
        <w:spacing w:after="0" w:line="197" w:lineRule="exact"/>
        <w:rPr>
          <w:rFonts w:ascii="Arial" w:cs="Arial" w:eastAsia="Arial" w:hAnsi="Arial"/>
          <w:sz w:val="18"/>
          <w:szCs w:val="18"/>
          <w:color w:val="auto"/>
        </w:rPr>
      </w:pPr>
    </w:p>
    <w:p>
      <w:pPr>
        <w:ind w:left="660" w:right="320" w:hanging="247"/>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mortgage insurance cancellation policies of mortgage investors along with the current values of the homes underlying the mortgages in the insurance in force; and</w:t>
      </w:r>
    </w:p>
    <w:p>
      <w:pPr>
        <w:spacing w:after="0" w:line="197" w:lineRule="exact"/>
        <w:rPr>
          <w:rFonts w:ascii="Arial" w:cs="Arial" w:eastAsia="Arial" w:hAnsi="Arial"/>
          <w:sz w:val="18"/>
          <w:szCs w:val="18"/>
          <w:color w:val="auto"/>
        </w:rPr>
      </w:pPr>
    </w:p>
    <w:p>
      <w:pPr>
        <w:ind w:left="660" w:right="300" w:hanging="247"/>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cancellation of borrower-paid mortgage insurance mandated by law based on the amortization schedule of the loan, which generally occurs sooner the lower the note rate of the insured loan.</w:t>
      </w:r>
    </w:p>
    <w:p>
      <w:pPr>
        <w:spacing w:after="0" w:line="19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Although interest rates are currently at historic lows primarily as a result of the economic impact of the COVID-19 pandemic, if interest rates rise, persistency is likely to increase, which may extend the average life of our insured portfolio and result in higher levels of future claims as more loans remain outstanding.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0" w:name="page41"/>
    <w:bookmarkEnd w:id="40"/>
    <w:p>
      <w:pPr>
        <w:ind w:right="280"/>
        <w:spacing w:after="0" w:line="277" w:lineRule="auto"/>
        <w:rPr>
          <w:sz w:val="20"/>
          <w:szCs w:val="20"/>
          <w:color w:val="auto"/>
        </w:rPr>
      </w:pPr>
      <w:r>
        <w:rPr>
          <w:rFonts w:ascii="Arial" w:cs="Arial" w:eastAsia="Arial" w:hAnsi="Arial"/>
          <w:sz w:val="18"/>
          <w:szCs w:val="18"/>
          <w:b w:val="1"/>
          <w:bCs w:val="1"/>
          <w:i w:val="1"/>
          <w:iCs w:val="1"/>
          <w:color w:val="auto"/>
        </w:rPr>
        <w:t>The premiums we charge may not be adequate to compensate us for our liabilities for losses and, as a result, any inadequacy could materially affect our financial condition and results of operations.</w:t>
      </w:r>
    </w:p>
    <w:p>
      <w:pPr>
        <w:spacing w:after="0" w:line="197"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Our mortgage insurance premium rates may not be adequate to cover future losses. We set premiums at the time a policy is issued based on a number of factors, including our expectations regarding likely mortgage performance over the expected life of the coverage as well as competition from other private mortgage insurers, government programs and other products. These expectations may prove to be incorrect. Generally, we cannot cancel mortgage insurance coverage or adjust renewal premiums during the life of a mortgage insurance policy. As a result, higher than anticipated claims generally cannot be offset by premium increases on policies in force or mitigated by our non-renewal or cancellation of insurance coverage. The premiums we charge, and the associated investment income, may not be adequate to compensate us for the risks and costs associated with the insurance coverage provided to customers. Should we wish to increase our premium rates, any such change would be prospectively applied to new policies written, and the changes would be subject to approval by state regulatory agencies, which may delay or limit our ability to increase our premium rates.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on our ability to manage risks in our investment portfolio.</w:t>
      </w:r>
    </w:p>
    <w:p>
      <w:pPr>
        <w:spacing w:after="0" w:line="252"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Our investment portfolio consists predominantly of investment-grade debt obligations. Our investments are subject to fluctuations in value as a result of broad changes in market conditions as well as risks inherent in particular securities. Changing market conditions could materially impact the future valuation of securities in our investment portfolio, which may cause us to impair, in the future, some portion of the value of those securities and which could have a significant adverse effect on our liquidity, financial condition and operating results.</w:t>
      </w:r>
    </w:p>
    <w:p>
      <w:pPr>
        <w:spacing w:after="0" w:line="214"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Income from our investment portfolio is a source of cash flow to support our operations and make claim payments. If we, or our investment advisors, improperly structure our investments to meet those future 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 predominantly limited to highly rated fixed income securities.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219"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In addition, compared to historical averages, interest rates and investment yields on highly rated investments have generally been low during the period in which we purchased the securities in our portfolio, which limits the investment income we can generate. We depend on our investments as a source of revenue, and a prolonged period of low investment yields would have an adverse impact on our revenues and could adversely affect our operating results.</w:t>
      </w:r>
    </w:p>
    <w:p>
      <w:pPr>
        <w:spacing w:after="0" w:line="214"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We may be forced to change our investments or investment policies depending upon regulatory, economic and market conditions, and our existing or anticipated financial condition and operating requirements, including the tax position, of our business. Our investment objectives may not be achieved. Although our portfolio consists predominantly of investment-grade fixed income securities and complies with applicable regulatory requirements, the success of our investment activity and the value of our portfolio is affected by general economic conditions, which may adversely affect the markets for credit and interest-rate-sensitive securities, including the extent and timing of investor participation in these markets and the level and volatility of interest rates.</w:t>
      </w:r>
    </w:p>
    <w:p>
      <w:pPr>
        <w:spacing w:after="0" w:line="21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Because loss reserve estimates are subject to uncertainties and are based on assumptions that may be volatile, ultimate losses may be substantially different than our loss reserves.</w:t>
      </w:r>
    </w:p>
    <w:p>
      <w:pPr>
        <w:spacing w:after="0" w:line="197"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We establish reserves using estimated claim rates and claim amounts in estimating the ultimate loss on delinquent loans. The estimated claim rates and claim amounts represent our best estimates of what we will actually pay on the loans in default as of the reserve date. Our master policy provides us the right to rescind or deny claims under certain circumstances. Our reserve calculations do not currently include any estimate for claim rescissions, but we may be required to do so at some later time to ensure that our reserves meet the requirements of accounting principles generally accepted in the United States.</w:t>
      </w:r>
    </w:p>
    <w:p>
      <w:pPr>
        <w:spacing w:after="0" w:line="215" w:lineRule="exact"/>
        <w:rPr>
          <w:sz w:val="20"/>
          <w:szCs w:val="20"/>
          <w:color w:val="auto"/>
        </w:rPr>
      </w:pPr>
    </w:p>
    <w:p>
      <w:pPr>
        <w:ind w:right="120" w:firstLine="445"/>
        <w:spacing w:after="0" w:line="273" w:lineRule="auto"/>
        <w:rPr>
          <w:sz w:val="20"/>
          <w:szCs w:val="20"/>
          <w:color w:val="auto"/>
        </w:rPr>
      </w:pPr>
      <w:r>
        <w:rPr>
          <w:rFonts w:ascii="Arial" w:cs="Arial" w:eastAsia="Arial" w:hAnsi="Arial"/>
          <w:sz w:val="17"/>
          <w:szCs w:val="17"/>
          <w:color w:val="auto"/>
        </w:rPr>
        <w:t>The establishment of loss reserves is subject to inherent uncertainty and requires judgment by management. Our estimates of claim rates and claim sizes will be strongly influenced by prevailing economic conditions, such as current rates or trends in unemployment, housing price appreciation and/or interest rates, and our best judgments as to the future values or trends of these macroeconomic factors. If prevailing economic conditions deteriorate suddenly and/or unexpectedly, our estimates of loss reserves could be materially understated, which may adversely impact our financial condition and operating results. Changes to our estimates could result in a material impact to our results of operations, even in a stable economic environment, and there can be no assurance that actual claims paid by us will not be substantially different than our loss reserves.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A downgrade in our financial strength ratings may adversely affect the amount of business that we write.</w:t>
      </w:r>
    </w:p>
    <w:p>
      <w:pPr>
        <w:spacing w:after="0" w:line="252" w:lineRule="exact"/>
        <w:rPr>
          <w:sz w:val="20"/>
          <w:szCs w:val="20"/>
          <w:color w:val="auto"/>
        </w:rPr>
      </w:pPr>
    </w:p>
    <w:p>
      <w:pPr>
        <w:ind w:right="60" w:firstLine="445"/>
        <w:spacing w:after="0" w:line="287" w:lineRule="auto"/>
        <w:rPr>
          <w:sz w:val="20"/>
          <w:szCs w:val="20"/>
          <w:color w:val="auto"/>
        </w:rPr>
      </w:pPr>
      <w:r>
        <w:rPr>
          <w:rFonts w:ascii="Arial" w:cs="Arial" w:eastAsia="Arial" w:hAnsi="Arial"/>
          <w:sz w:val="16"/>
          <w:szCs w:val="16"/>
          <w:color w:val="auto"/>
        </w:rPr>
        <w:t>Financial strength ratings, which various ratings organizations publish as a measure of an insurance company's ability to meet contractholder and policyholder obligations, are important to maintain confidence in our products and our competitive position. A downgrade in our financial strength ratings, or the announced potential for a downgrade, could have an adverse effect on our financial condition and results of operations in many ways, including:</w:t>
      </w:r>
    </w:p>
    <w:p>
      <w:pPr>
        <w:spacing w:after="0" w:line="2" w:lineRule="exact"/>
        <w:rPr>
          <w:sz w:val="20"/>
          <w:szCs w:val="20"/>
          <w:color w:val="auto"/>
        </w:rPr>
      </w:pPr>
    </w:p>
    <w:p>
      <w:pPr>
        <w:ind w:right="20" w:firstLine="8"/>
        <w:spacing w:after="0" w:line="253" w:lineRule="auto"/>
        <w:tabs>
          <w:tab w:leader="none" w:pos="2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scrutiny of us and our financial condition by our customers, potentially resulting in a decrease in the amount of new insurance policies that we write; (ii) requiring us to reduce the premiums that we charge for mortgage insurance in order to remain competitive; and (iii) adversely affecting our ability to obtain reinsurance or to obtain reasonable pricing on reinsurance. A ratings downgrade could also increase our cost of capital and limit our access to the capital markets.</w:t>
      </w:r>
    </w:p>
    <w:p>
      <w:pPr>
        <w:spacing w:after="0" w:line="220"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In addition, if the GSEs renew their historical focus on financial strength or other third-party credit ratings as components of their eligibility requirements for private mortgage insurers and do not set such requirements at a level that we can satisfy, or if as a result of a downgrade we would no longer comply with such rating requirements, our revenues and results of operations would be materially adversely affected. See "—</w:t>
      </w:r>
      <w:r>
        <w:rPr>
          <w:rFonts w:ascii="Arial" w:cs="Arial" w:eastAsia="Arial" w:hAnsi="Arial"/>
          <w:sz w:val="18"/>
          <w:szCs w:val="18"/>
          <w:i w:val="1"/>
          <w:iCs w:val="1"/>
          <w:color w:val="auto"/>
        </w:rPr>
        <w:t>Changes in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practices of the GSEs, including actions or decisions to decrease or discontinue the use of mortgage insurance or changes in the GSEs' eligibility requirements for mortgage insurers, could reduce our revenues or adversely affect our profitability and returns" </w:t>
      </w:r>
      <w:r>
        <w:rPr>
          <w:rFonts w:ascii="Arial" w:cs="Arial" w:eastAsia="Arial" w:hAnsi="Arial"/>
          <w:sz w:val="18"/>
          <w:szCs w:val="18"/>
          <w:color w:val="auto"/>
        </w:rPr>
        <w:t>and "Business—Regulation—Direct 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Regulation—GSE Qualified Mortgage Insurer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servicers fail to adhere to appropriate servicing standards or experience disruptions to their businesses, our losses could unexpectedly increase.</w:t>
      </w:r>
    </w:p>
    <w:p>
      <w:pPr>
        <w:spacing w:after="0" w:line="287" w:lineRule="exact"/>
        <w:rPr>
          <w:sz w:val="20"/>
          <w:szCs w:val="20"/>
          <w:color w:val="auto"/>
        </w:rPr>
      </w:pPr>
    </w:p>
    <w:p>
      <w:pPr>
        <w:ind w:right="120" w:firstLine="445"/>
        <w:spacing w:after="0" w:line="290" w:lineRule="auto"/>
        <w:rPr>
          <w:sz w:val="20"/>
          <w:szCs w:val="20"/>
          <w:color w:val="auto"/>
        </w:rPr>
      </w:pPr>
      <w:r>
        <w:rPr>
          <w:rFonts w:ascii="Arial" w:cs="Arial" w:eastAsia="Arial" w:hAnsi="Arial"/>
          <w:sz w:val="16"/>
          <w:szCs w:val="16"/>
          <w:color w:val="auto"/>
        </w:rPr>
        <w:t>We depend on reliable, consistent third-party servicing of the loans that we insure. Among other things, our mortgage insurance policies require our policyholders and their servicers to timely submit premium and monthly insurance in force and default reports and utilize commercially reasonable efforts to limit and mitigate loss when a loan is in default. If one or more servicers were to experience adverse effects to its business, such servicers could experience delays in their reporting and premium payment requirements. Without reliable, consistent third-party servicing, our insurance subsidiaries may be unable to correctly record new loans as they are underwritten, receive and process payments on insured loans and/or properly recognize and establish loss reserves on loans when a default exists or occurs but is not reported to us. In addition, if these servicers fail to limit and mitigate losses when appropriate, our losses may unexpectedly increase. Significant failures by large servicers or disruptions in the servicing of mortgage loans covered by our insurance policies would adversely impact our business, financial condition and operating results.</w:t>
      </w:r>
    </w:p>
    <w:p>
      <w:pPr>
        <w:spacing w:after="0" w:line="192"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Furthermore, we have delegated to the GSEs, who have in turn delegated to most of their servicers, authority to accept modifications, short sales and deeds-in-lieu of foreclosure on loans we insure. Servicers are required to operate under protocols established by the GSEs in accepting these loss mitigation alternatives. We are dependent upon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financial condition and operating results. Our delegation of loss mitigation decisions to the GSEs is subject to cancellation but exercise of our cancellation rights may have an adverse impact on our relationship with the GSEs and lenders.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delegated underwriting program may subject our mortgage insurance business to unanticipated claims.</w:t>
      </w:r>
    </w:p>
    <w:p>
      <w:pPr>
        <w:spacing w:after="0" w:line="252"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In our mortgage insurance business, we enter into agreements with our customers that commit us to insure loans made by them using pre-established underwriting guidelines. Once we accept a customer into our delegated underwriting program, we generally insure a loan originated by that customer without re-confirming the customer followed our specified underwriting guidelines. Under this program, a customer could commit us to insure a material number of loans with unacceptable risk profiles before we discover the problem and terminate that customer's delegated underwriting authority or pursue other rights that may be available to us, such as our rights to rescind coverage or deny claims, which rights are limited by the terms of our master policy.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contract underwriting business.</w:t>
      </w:r>
    </w:p>
    <w:p>
      <w:pPr>
        <w:spacing w:after="0" w:line="252"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We provide contract underwriting services for certain of our customers, including on loans for which we are not providing mortgage insurance. For substantially all of the existing loans that were originated through our contract underwriting services, we have agreed that if we make a material error in providing these services and the error leads to a loss for the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42" w:name="page43"/>
    <w:bookmarkEnd w:id="42"/>
    <w:p>
      <w:pPr>
        <w:ind w:right="340"/>
        <w:spacing w:after="0" w:line="277" w:lineRule="auto"/>
        <w:rPr>
          <w:sz w:val="20"/>
          <w:szCs w:val="20"/>
          <w:color w:val="auto"/>
        </w:rPr>
      </w:pPr>
      <w:r>
        <w:rPr>
          <w:rFonts w:ascii="Arial" w:cs="Arial" w:eastAsia="Arial" w:hAnsi="Arial"/>
          <w:sz w:val="18"/>
          <w:szCs w:val="18"/>
          <w:color w:val="auto"/>
        </w:rPr>
        <w:t>customer, the customer may, subject to certain conditions and limitations, claim a remedy. Accordingly, we have assumed some risk in connection with providing these services. We also face regulatory and litigation risk in providing these services.</w:t>
      </w:r>
    </w:p>
    <w:p>
      <w:pPr>
        <w:spacing w:after="0" w:line="19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may become outmoded, be temporarily interrupted or fail thereby causing us to fail to meet our customers' demands.</w:t>
      </w:r>
    </w:p>
    <w:p>
      <w:pPr>
        <w:spacing w:after="0" w:line="197"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Our business is highly dependent on the effective operation of our information technology systems, which are vulnerable to damage or interruption from power outages, computer and telecommunications failures, computer viruses, cyber-attacks, security breaches, catastrophic events and errors in usage. Although we have disaster recovery and business continuity plans in place, we may not be able to adequately execute these plans in a timely fashion. Additionally, we may not satisfy our customers' requirements if we fail to invest sufficient resources in, or otherwise are unable to maintain and upgrade our information technology systems. Because we rely on our information technology systems for many critical functions, including connecting with our customers, if such systems were to fail or become outmoded, we may experience a significant disruption in our operations and in the business we receive, which could negatively affect our operating results, financial condition and profitability.</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security of our information technology systems may be compromised and confidential information, including non-public personal information that we maintain, could be improperly disclosed.</w:t>
      </w:r>
    </w:p>
    <w:p>
      <w:pPr>
        <w:spacing w:after="0" w:line="19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Our information technology systems may be vulnerable to physical or electronic intrusions, computer viruses or other attacks. As part of our business, we maintain large amounts of confidential information, including non-public personal information on consumers and our employees. Breaches in security could result in the loss or misuse of this information, which could, in turn, result in potential regulatory actions or litigation, including material claims for damages, interruption to our operations, damage to our reputation or otherwise have a material adverse effect on our business, financial condition and operating results. Although we believe that we have appropriate information security policies and systems in place in order to prevent unauthorized use or disclosure of confidential information, including non-public personal information, there can be no assurance that such use or disclosure will not occur.</w:t>
      </w:r>
    </w:p>
    <w:p>
      <w:pPr>
        <w:spacing w:after="0" w:line="1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not be able to collect all amounts due to us from reinsurers and reinsurance coverage may not be available to us in the future at commercially reasonable rates or at all.</w:t>
      </w:r>
    </w:p>
    <w:p>
      <w:pPr>
        <w:spacing w:after="0" w:line="197"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We have ceded to third-party reinsurers and special purpose reinsurers funded through the issuance of insurance-linked notes certain risk that we have insured in order to limit our maximum net loss arising in periods of elevated claims as well as to claim reinsurance credit and capital relief under insurance laws applicable to us and the regulations of the GSEs. Although the reinsurers to which we have ceded such risk are liable to us to the extent of the ceded insurance, we remain liable as the direct insurer on all risks so reinsured. As a result, our reinsurance arrangements do not fully eliminate our obligation to pay claims, and we have assumed credit risk with respect to our ability to recover amounts due from our reinsurers. We may not be able to collect all amounts due to us from reinsurers, which could have a material adverse effect on our results of operations or financial condition. The availability and cost of reinsurance are subject to prevailing market conditions that are beyond our control. For example, reinsurance may be more difficult or costly to obtain following an economic downturn that results in a significant negative impact on the U.S. housing market. No assurances can be made that reinsurance will remain continuously available to us in amounts that we consider sufficient and at rates that we consider acceptable, which would cause us to increase the amount of risk we retain, reduce the amount of business we write or look for alternatives to reinsurance. If investors are unwilling to purchase, or to purchase at a reasonable price, insurance-linked notes that fund the type of special purpose reinsurers with which we have entered into reinsurance transactions, we may not be able to obtain reinsurance on business that we write in the future at a level consistent with the reinsurance we have obtained on our current business. This, in turn, could have a material adverse effect on our financial condition or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Regulation and Litigation</w:t>
      </w:r>
    </w:p>
    <w:p>
      <w:pPr>
        <w:spacing w:after="0" w:line="256"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b w:val="1"/>
          <w:bCs w:val="1"/>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p>
    <w:p>
      <w:pPr>
        <w:spacing w:after="0" w:line="211" w:lineRule="exact"/>
        <w:rPr>
          <w:sz w:val="20"/>
          <w:szCs w:val="20"/>
          <w:color w:val="auto"/>
        </w:rPr>
      </w:pPr>
    </w:p>
    <w:p>
      <w:pPr>
        <w:ind w:right="140" w:firstLine="445"/>
        <w:spacing w:after="0" w:line="301" w:lineRule="auto"/>
        <w:rPr>
          <w:sz w:val="20"/>
          <w:szCs w:val="20"/>
          <w:color w:val="auto"/>
        </w:rPr>
      </w:pPr>
      <w:r>
        <w:rPr>
          <w:rFonts w:ascii="Arial" w:cs="Arial" w:eastAsia="Arial" w:hAnsi="Arial"/>
          <w:sz w:val="16"/>
          <w:szCs w:val="16"/>
          <w:color w:val="auto"/>
        </w:rPr>
        <w:t>The Department of the Treasury and the FHFA placed the GSEs into conservatorship in September 2008, putting regulatory and operational control of the GSEs under the auspices of the FHFA. Although we believe the FHFA's conservatorship was intended to be temporary, the GSEs have remained in conservatorship for over 12 years. During that time, there have been a wide-ranging set of GSE and secondary market reform advocacy proposals put forward, including nearly complete privatization of the mortgage market and elimination of the role of the GSEs, recapitalization of the GSEs and a set of</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3" w:name="page44"/>
    <w:bookmarkEnd w:id="43"/>
    <w:p>
      <w:pPr>
        <w:ind w:right="260"/>
        <w:spacing w:after="0" w:line="277" w:lineRule="auto"/>
        <w:rPr>
          <w:sz w:val="20"/>
          <w:szCs w:val="20"/>
          <w:color w:val="auto"/>
        </w:rPr>
      </w:pPr>
      <w:r>
        <w:rPr>
          <w:rFonts w:ascii="Arial" w:cs="Arial" w:eastAsia="Arial" w:hAnsi="Arial"/>
          <w:sz w:val="18"/>
          <w:szCs w:val="18"/>
          <w:color w:val="auto"/>
        </w:rPr>
        <w:t>alternatives that would combine a Federal role with private capital, some of which eliminate the GSEs and others which envision an ongoing role for the GSEs.</w:t>
      </w:r>
    </w:p>
    <w:p>
      <w:pPr>
        <w:spacing w:after="0" w:line="197"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It remains unclear whether any of these legislative or regulatory reforms will be enacted or implemented. Any changes to the charters or statutory authorities of the GSEs would require Congressional action to implement. Passage and timing of any GSE reform legislation or incremental change is uncertain and could change through the legislative process, which could take time, making the actual impact on us difficult to predict. As a result of the uncertainty regarding resolution of the conservatorship of the GSEs and the proper structure of any new secondary mortgage market, as well as the Federal government's increased role within the housing market since the start of the recent financial crisis, we cannot predict how or when the role of the GSEs may change. In addition, the size, complexity and centrality of the GSEs to the current housing finance system and the importance of housing to the nation's economy make the transition to any new housing finance system difficult and present risks to market participants, including to us.</w:t>
      </w:r>
    </w:p>
    <w:p>
      <w:pPr>
        <w:spacing w:after="0" w:line="193"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The charters of the GSEs currently require certain credit enhancement for low down payment mortgage loans in order for such loans to be eligible for purchase or guarantee by the GSEs, and lenders historically have relied on mortgage insurance to a significant degree in order to satisfy these credit enhancement requirements. Because the overwhelming majority of our current and expected future business is the provision of mortgage insurance on loans sold to the GSEs, if the charters of the GSEs are amended to change or eliminate the acceptability of private mortgage insurance in their purchasing practices, then our volume of new business and our revenue may decline significantly.</w:t>
      </w:r>
    </w:p>
    <w:p>
      <w:pPr>
        <w:spacing w:after="0" w:line="215"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Changes to the statutory requirements of the FHFA's conservatorship of the GSEs, the elimination of the GSEs or the replacement of the GSEs with any successor entities or structures, or changes to the GSE charters would require Federal legislative action, which makes predicting the timing or substance of such changes difficult. As a result, it is uncertain what role the GSEs, the FHFA, the government and private capital, including private mortgage insurance, will play in the U.S. housing finance system in the future or the impact and timing of any such changes on the market and our business.</w:t>
      </w:r>
    </w:p>
    <w:p>
      <w:pPr>
        <w:spacing w:after="0" w:line="21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p>
    <w:p>
      <w:pPr>
        <w:spacing w:after="0" w:line="151"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Changes in the business practices of the GSEs, which can be implemented by the GSEs at the FHFA's direction, could negatively impact our operating results and financial performance, including changes to:</w:t>
      </w:r>
    </w:p>
    <w:p>
      <w:pPr>
        <w:spacing w:after="0" w:line="197" w:lineRule="exact"/>
        <w:rPr>
          <w:sz w:val="20"/>
          <w:szCs w:val="20"/>
          <w:color w:val="auto"/>
        </w:rPr>
      </w:pPr>
    </w:p>
    <w:p>
      <w:pPr>
        <w:ind w:left="660" w:hanging="247"/>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level of coverage when private mortgage insurance is used to satisfy the GSEs' charter requirements on low down payment mortgages;</w:t>
      </w:r>
    </w:p>
    <w:p>
      <w:pPr>
        <w:spacing w:after="0" w:line="263" w:lineRule="exact"/>
        <w:rPr>
          <w:rFonts w:ascii="Arial" w:cs="Arial" w:eastAsia="Arial" w:hAnsi="Arial"/>
          <w:sz w:val="17"/>
          <w:szCs w:val="17"/>
          <w:color w:val="auto"/>
        </w:rPr>
      </w:pPr>
    </w:p>
    <w:p>
      <w:pPr>
        <w:ind w:left="660" w:hanging="247"/>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overall level of guaranty fees or the amount of loan level delivery fees that the GSEs assess on loans that require mortgage insurance;</w:t>
      </w:r>
    </w:p>
    <w:p>
      <w:pPr>
        <w:spacing w:after="0" w:line="263" w:lineRule="exact"/>
        <w:rPr>
          <w:rFonts w:ascii="Arial" w:cs="Arial" w:eastAsia="Arial" w:hAnsi="Arial"/>
          <w:sz w:val="17"/>
          <w:szCs w:val="17"/>
          <w:color w:val="auto"/>
        </w:rPr>
      </w:pPr>
    </w:p>
    <w:p>
      <w:pPr>
        <w:ind w:left="660" w:right="280" w:hanging="247"/>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GSEs' influence in the mortgage lender's selection of the mortgage insurer providing coverage and, if so, any transactions that are related to that selection;</w:t>
      </w:r>
    </w:p>
    <w:p>
      <w:pPr>
        <w:spacing w:after="0" w:line="197" w:lineRule="exact"/>
        <w:rPr>
          <w:rFonts w:ascii="Arial" w:cs="Arial" w:eastAsia="Arial" w:hAnsi="Arial"/>
          <w:sz w:val="18"/>
          <w:szCs w:val="18"/>
          <w:color w:val="auto"/>
        </w:rPr>
      </w:pPr>
    </w:p>
    <w:p>
      <w:pPr>
        <w:ind w:left="660" w:right="280" w:hanging="247"/>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underwriting standards that determine what loans are eligible for purchase by the GSEs, which can affect the volume and quality of the risk insured by the mortgage insurer;</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on which mortgage insurance coverage can be cancelled before reaching the cancellation thresholds established by law;</w:t>
      </w:r>
    </w:p>
    <w:p>
      <w:pPr>
        <w:spacing w:after="0" w:line="252" w:lineRule="exact"/>
        <w:rPr>
          <w:rFonts w:ascii="Arial" w:cs="Arial" w:eastAsia="Arial" w:hAnsi="Arial"/>
          <w:sz w:val="18"/>
          <w:szCs w:val="18"/>
          <w:color w:val="auto"/>
        </w:rPr>
      </w:pPr>
    </w:p>
    <w:p>
      <w:pPr>
        <w:ind w:left="660" w:right="360" w:hanging="247"/>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programs established by the GSEs intended to avoid or mitigate loss on insured mortgages and the circumstances in which mortgage servicers must implement such programs;</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extent to which the GSEs establish requirements for mortgage insurers' rescission practices or rescission settlement practices with lenders;</w:t>
      </w:r>
    </w:p>
    <w:p>
      <w:pPr>
        <w:spacing w:after="0" w:line="275" w:lineRule="exact"/>
        <w:rPr>
          <w:rFonts w:ascii="Arial" w:cs="Arial" w:eastAsia="Arial" w:hAnsi="Arial"/>
          <w:sz w:val="16"/>
          <w:szCs w:val="16"/>
          <w:color w:val="auto"/>
        </w:rPr>
      </w:pPr>
    </w:p>
    <w:p>
      <w:pPr>
        <w:ind w:left="660" w:right="440" w:hanging="247"/>
        <w:spacing w:after="0" w:line="308"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size of loans that are eligible for purchase or guaranty by the GSEs, which if reduced or otherwise limited may reduce the overall level of business and the number of low down payment loans with mortgage insurance that the GSEs purchase or guaranty; and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ind w:left="660" w:right="160" w:hanging="247"/>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for a mortgage insurer to become and remain an approved eligible insurer for the GSEs, including, among other items, minimum capital adequacy targets, the credit received against such capital requirements for reinsurance, and the terms that the GSEs require to be included in mortgage insurance master policies for loans that they purchase or guaranty.</w:t>
      </w:r>
    </w:p>
    <w:p>
      <w:pPr>
        <w:spacing w:after="0" w:line="211" w:lineRule="exact"/>
        <w:rPr>
          <w:sz w:val="20"/>
          <w:szCs w:val="20"/>
          <w:color w:val="auto"/>
        </w:rPr>
      </w:pPr>
    </w:p>
    <w:p>
      <w:pPr>
        <w:ind w:right="240" w:firstLine="445"/>
        <w:spacing w:after="0" w:line="255" w:lineRule="auto"/>
        <w:rPr>
          <w:sz w:val="20"/>
          <w:szCs w:val="20"/>
          <w:color w:val="auto"/>
        </w:rPr>
      </w:pPr>
      <w:r>
        <w:rPr>
          <w:rFonts w:ascii="Arial" w:cs="Arial" w:eastAsia="Arial" w:hAnsi="Arial"/>
          <w:sz w:val="18"/>
          <w:szCs w:val="18"/>
          <w:color w:val="auto"/>
        </w:rPr>
        <w:t>Effective for insurance applications received after October 1, 2014, the GSEs, in coordination with the FHFA, instituted minimum standards for mortgage insurer master policies, including standards relating to rescission rights. Pursuant to revised rules adopted by the GSEs for rescission relief, we implemented a new master policy effective March 1, 2020. The new master policy could result in us paying more claims than required under our prior master policy or could otherwise increase our operating costs. The imposition of standardized master policies may also make it more difficult for us to distinguish ourselves from our competitors on the basis of coverage terms. See "Business—Our Products and Services—Mortgage Insurance—Master Policy" above.</w:t>
      </w:r>
    </w:p>
    <w:p>
      <w:pPr>
        <w:spacing w:after="0" w:line="219" w:lineRule="exact"/>
        <w:rPr>
          <w:sz w:val="20"/>
          <w:szCs w:val="20"/>
          <w:color w:val="auto"/>
        </w:rPr>
      </w:pPr>
    </w:p>
    <w:p>
      <w:pPr>
        <w:ind w:right="80" w:firstLine="445"/>
        <w:spacing w:after="0" w:line="290" w:lineRule="auto"/>
        <w:rPr>
          <w:sz w:val="20"/>
          <w:szCs w:val="20"/>
          <w:color w:val="auto"/>
        </w:rPr>
      </w:pPr>
      <w:r>
        <w:rPr>
          <w:rFonts w:ascii="Arial" w:cs="Arial" w:eastAsia="Arial" w:hAnsi="Arial"/>
          <w:sz w:val="16"/>
          <w:szCs w:val="16"/>
          <w:color w:val="auto"/>
        </w:rPr>
        <w:t>Fannie Mae and Freddie Mac, at the direction of the FHFA, implemented new coordinated Private Mortgage Insurer Eligibility Requirements, which we refer to as the "PMIERs," beginning in 2016.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Revised PMIERs, which we refer to as "PMIERs 2.0," became effective on March 31, 2019. Future revisions to these eligibility requirements could negatively impact our ability to write mortgage insurance at our current levels, generate the returns we anticipate from our business or otherwise participate in the private mortgage insurance market at all. See "Business—Regulation—Direct U.S. Regulation—GSE Qualified Mortgage Insurer Requirements" above.</w:t>
      </w:r>
    </w:p>
    <w:p>
      <w:pPr>
        <w:spacing w:after="0" w:line="192"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Our business prospects and operating results could be adversely impacted if, and to the extent that, the Consumer Financial Protection Bureau's ("CFPB") final rule defining a qualified mortgage ("QM") reduces the size of the origination market or creates incentives to use government mortgage insurance programs.</w:t>
      </w:r>
    </w:p>
    <w:p>
      <w:pPr>
        <w:spacing w:after="0" w:line="211" w:lineRule="exact"/>
        <w:rPr>
          <w:sz w:val="20"/>
          <w:szCs w:val="20"/>
          <w:color w:val="auto"/>
        </w:rPr>
      </w:pPr>
    </w:p>
    <w:p>
      <w:pPr>
        <w:ind w:right="100" w:firstLine="445"/>
        <w:spacing w:after="0" w:line="296" w:lineRule="auto"/>
        <w:rPr>
          <w:sz w:val="20"/>
          <w:szCs w:val="20"/>
          <w:color w:val="auto"/>
        </w:rPr>
      </w:pPr>
      <w:r>
        <w:rPr>
          <w:rFonts w:ascii="Arial" w:cs="Arial" w:eastAsia="Arial" w:hAnsi="Arial"/>
          <w:sz w:val="16"/>
          <w:szCs w:val="16"/>
          <w:color w:val="auto"/>
        </w:rPr>
        <w:t>The Dodd-Frank Act established the CFPB to regulate the offering and provision of consumer financial products and services under Federal law, including residential mortgages, and generally requires creditors to make a reasonable, good faith determination of a consumer's ability-to-repay any consumer credit transaction secured by a dwelling prior to effecting such transaction. The CFPB is authorized to issue the regulations governing a good faith determination; the Dodd-Frank Act, however, provides a statutory presumption of eligibility of loans that satisfy the QM definition. The CFPB's final rule defining what constitutes a QM, which we refer to as the "QM Rule," a loan is deemed to be a QM if, among other factors:</w:t>
      </w:r>
    </w:p>
    <w:p>
      <w:pPr>
        <w:spacing w:after="0" w:line="188" w:lineRule="exact"/>
        <w:rPr>
          <w:sz w:val="20"/>
          <w:szCs w:val="20"/>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 of the loan is less than or equal to 30 years;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are no negative amortization, interest only or balloon features;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of the total loan amount; and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total debt-to-income ratio of the borrower does not exceed 43%.</w:t>
      </w:r>
    </w:p>
    <w:p>
      <w:pPr>
        <w:spacing w:after="0" w:line="252"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97" w:lineRule="exact"/>
        <w:rPr>
          <w:sz w:val="20"/>
          <w:szCs w:val="20"/>
          <w:color w:val="auto"/>
        </w:rPr>
      </w:pPr>
    </w:p>
    <w:p>
      <w:pPr>
        <w:ind w:right="80" w:firstLine="445"/>
        <w:spacing w:after="0" w:line="291" w:lineRule="auto"/>
        <w:rPr>
          <w:sz w:val="20"/>
          <w:szCs w:val="20"/>
          <w:color w:val="auto"/>
        </w:rPr>
      </w:pPr>
      <w:r>
        <w:rPr>
          <w:rFonts w:ascii="Arial" w:cs="Arial" w:eastAsia="Arial" w:hAnsi="Arial"/>
          <w:sz w:val="16"/>
          <w:szCs w:val="16"/>
          <w:color w:val="auto"/>
        </w:rPr>
        <w:t>The Dodd-Frank Act separately granted statutory authority to HUD (for FHA-insured loans), the VA (for VA-guaranteed loans) and certain other government agency insurance programs to develop their own definitions of a qualified mortgage in consultation with CFPB. Under both the FHA's and the VA's QM standards, certain loans which would not qualify as QM loans in the conventional market would still be deemed to be QM loans if insured or guaranteed by FHA or VA. As a result, lenders may favor the use of FHA or VA insurance to achieve the legal protections of a making a QM loan through these agencies, even if the same loan could be made at the same or lower cost to the borrower using private mortgage insurance, which could adversely impact our business. To the extent that the other government agencies adopt their own definitions of a QM which are more favorable to lenders and mortgage holders than those applicable to the market in which we operate, our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ind w:firstLine="445"/>
        <w:spacing w:after="0" w:line="257" w:lineRule="auto"/>
        <w:rPr>
          <w:sz w:val="20"/>
          <w:szCs w:val="20"/>
          <w:color w:val="auto"/>
        </w:rPr>
      </w:pPr>
      <w:r>
        <w:rPr>
          <w:rFonts w:ascii="Arial" w:cs="Arial" w:eastAsia="Arial" w:hAnsi="Arial"/>
          <w:sz w:val="18"/>
          <w:szCs w:val="18"/>
          <w:color w:val="auto"/>
        </w:rPr>
        <w:t>In October 2020, the CFPB announced a final rule that would implement a previously temporary second category under the QM Rule, which we refer to as the "GSE Patch", for loans to be either (i) purchased or guaranteed by the GSEs while they are in conservatorship, which represents the overwhelming majority of our business, or (ii) insured by the FHA, the VA, the Department of Agriculture or the Rural Housing Service. The second category still requires that loans satisfy certain criteria, including the requirement that the loans are fully amortizing, have terms of 30 years or less and have points and fees representing 3% or less of the total loan amount.</w:t>
      </w:r>
    </w:p>
    <w:p>
      <w:pPr>
        <w:spacing w:after="0" w:line="215"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On February 23, 2021, the CFPB announced that, in light of the economic dislocations resulting from the COVID-19 pandemic, it intends to issue a proposed rule to delay the implementation of the final QM Rule and the GSE Patch.</w:t>
      </w:r>
    </w:p>
    <w:p>
      <w:pPr>
        <w:spacing w:after="0" w:line="197" w:lineRule="exact"/>
        <w:rPr>
          <w:sz w:val="20"/>
          <w:szCs w:val="20"/>
          <w:color w:val="auto"/>
        </w:rPr>
      </w:pPr>
    </w:p>
    <w:p>
      <w:pPr>
        <w:ind w:right="60" w:firstLine="445"/>
        <w:spacing w:after="0" w:line="275" w:lineRule="auto"/>
        <w:rPr>
          <w:sz w:val="20"/>
          <w:szCs w:val="20"/>
          <w:color w:val="auto"/>
        </w:rPr>
      </w:pPr>
      <w:r>
        <w:rPr>
          <w:rFonts w:ascii="Arial" w:cs="Arial" w:eastAsia="Arial" w:hAnsi="Arial"/>
          <w:sz w:val="17"/>
          <w:szCs w:val="17"/>
          <w:color w:val="auto"/>
        </w:rPr>
        <w:t>Failure to comply with the ability-to-repay requirement exposes a lender to substantial potential liability. As a result, we believe that the QM regulations may cause changes in the lending standards and origination practices of our customers. Under the QM Rule, mortgage insurance premiums that are payable by the consumer at or prior to consummation of the loan may be included in the calculation of points and fees, including our borrower-paid single premium products. To the extent the use of private mortgage insurance causes a loan not to meet the definition of a QM, the volume of loans originated with mortgage insurance may decline or cause a change in the mix of premium plans and therefore our profitability.</w:t>
      </w:r>
    </w:p>
    <w:p>
      <w:pPr>
        <w:spacing w:after="0" w:line="20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amount of insurance we write could be adversely affected by the Dodd-Frank Act's risk retention requirements and the definition of Qualified Residential Mortgage ("QRM").</w:t>
      </w:r>
    </w:p>
    <w:p>
      <w:pPr>
        <w:spacing w:after="0" w:line="197"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The Dodd-Frank Act requires an originator or issuer to retain a specified percentage of the credit risk exposure on securitized mortgages that do not meet the definition of QRM. As required by the Dodd-Frank Act, the Office of the Comptroller of the Currency, the Federal Reserve Board, the Federal Deposit Insurance Commission, the Federal Housing Finance Agency, the Securities and Exchange Commission and the Department of Housing and Urban Development adopted in 2015 a joint final rule implementing the Qualified Residential Mortgage, or QRM, which aligns the definition of a QRM loan with that of a QM loan. If, however, the QRM definition is changed (or if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implementation of the Basel III Capital Accord, or other changes to our customers' capital requirements, may discourage the use of mortgage insurance.</w:t>
      </w:r>
    </w:p>
    <w:p>
      <w:pPr>
        <w:spacing w:after="0" w:line="197"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In 1988, the Basel Committee on Banking Supervision, which we refer to as the "Basel Committee," developed the Basel Capital Accord, which we refer to as "Basel I," which set out international benchmarks for assessing banks' capital adequacy requirements. In 2005, the Basel Committee issued an update to Basel I, which we refer to as "Basel II," which, among other things, governs the capital treatment of mortgage insurance purchased and held on balance sheet by banks in respect of their origination and securitization activities. In July 2013, the Federal Reserve Board, the Office of the Comptroller of the Currency and the Federal Deposit Insurance Corporation approved publication of final regulatory capital rules, which we refer to as the "Basel III Rules," which govern almost all U.S. banking organizations regardless of size or business model. The Basel III Rules revise and enhance the Federal banking agencies' general risk-based capital, advanced approaches and leverage rules. The Basel III Rules became effective on January 1, 2014, with a mandatory compliance date of January 1, 2015 for banking organizations other than advanced approaches banking organizations that are not savings and loans holding companies. On January 1, 2014, most banking organizations became required to begin a multi-year transition period to the full implementation of the new capital framework.</w:t>
      </w:r>
    </w:p>
    <w:p>
      <w:pPr>
        <w:spacing w:after="0" w:line="212"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The Federal banking agencies' previously proposed Basel III rule would have made extensive changes to the capital requirements for residential mortgages, including eliminating capital recognition for certain low down payment mortgages covered by mortgage insurance. The Federal banking agencies decided to retain in the Basel III Rules the treatment for residential mortgage exposures that is currently set forth in the general risk-based capital rules and the treatment of mortgage insurance. In addition, with regard to the separate Basel III Rules applicable to general credit risk mitigation for banking exposures, insurance companies engaged predominantly in the business of providing credit protection, such as private mortgage insurance companies, are not eligible guarantors.</w:t>
      </w:r>
    </w:p>
    <w:p>
      <w:pPr>
        <w:spacing w:after="0" w:line="219"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If implementation of the Basel III Rules increases the capital requirements of banking organizations with respect to the residential mortgages we insure, it could adversely affect the size of the portfolio lending market, which in turn would reduce the demand for our mortgage insurance. If the Federal banking agencies revise the Basel III Rules to reduce or eliminate the capital benefit banks receive from insuring low down payment loans with private mortgage insurance, or if our bank customers believe that such adverse changes may occur at some time in the future, our current and future business may be adversely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ind w:right="100"/>
        <w:spacing w:after="0" w:line="277" w:lineRule="auto"/>
        <w:rPr>
          <w:sz w:val="20"/>
          <w:szCs w:val="20"/>
          <w:color w:val="auto"/>
        </w:rPr>
      </w:pPr>
      <w:r>
        <w:rPr>
          <w:rFonts w:ascii="Arial" w:cs="Arial" w:eastAsia="Arial" w:hAnsi="Arial"/>
          <w:sz w:val="18"/>
          <w:szCs w:val="18"/>
          <w:color w:val="auto"/>
        </w:rPr>
        <w:t>affected. Furthermore, if mortgage insurance companies do not meet the requirements to be an eligible guarantor for purposes of general credit mitigation, our future business prospects may be adversely affected.</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operating insurance and reinsurance subsidiaries are subject to regulation in various jurisdictions, and material changes in the regulation of their operations could adversely affect us.</w:t>
      </w:r>
    </w:p>
    <w:p>
      <w:pPr>
        <w:spacing w:after="0" w:line="197" w:lineRule="exact"/>
        <w:rPr>
          <w:sz w:val="20"/>
          <w:szCs w:val="20"/>
          <w:color w:val="auto"/>
        </w:rPr>
      </w:pPr>
    </w:p>
    <w:p>
      <w:pPr>
        <w:ind w:right="120" w:firstLine="445"/>
        <w:spacing w:after="0" w:line="301" w:lineRule="auto"/>
        <w:rPr>
          <w:sz w:val="20"/>
          <w:szCs w:val="20"/>
          <w:color w:val="auto"/>
        </w:rPr>
      </w:pPr>
      <w:r>
        <w:rPr>
          <w:rFonts w:ascii="Arial" w:cs="Arial" w:eastAsia="Arial" w:hAnsi="Arial"/>
          <w:sz w:val="16"/>
          <w:szCs w:val="16"/>
          <w:color w:val="auto"/>
        </w:rPr>
        <w:t>Our insurance and reinsurance subsidiaries are subject to government regulation in each of the jurisdictions in which they are licensed or authorized to do business. Governmental agencies have broad administrative power to regulate many aspects of the insurance business, which may include trade and claim practices, accounting methods, premium rates, marketing practices, advertising, policy forms, and capital adequacy. These agencies are concerned primarily with the protection of policyholders rather than shareholders. Moreover, insurance laws and regulations, among other things:</w:t>
      </w:r>
    </w:p>
    <w:p>
      <w:pPr>
        <w:spacing w:after="0" w:line="18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solvency requirements, including minimum reserves and capital and surplus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determine the credit that we receive for reinsurance arrangements into which we enter;</w:t>
      </w:r>
    </w:p>
    <w:p>
      <w:pPr>
        <w:spacing w:after="0" w:line="237"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 the amount of dividends, tax distributions, intercompany loans and other payments our insurance subsidiaries can make without prior regulatory approval;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impose restrictions on the amount and type of investments we may hold.</w:t>
      </w:r>
    </w:p>
    <w:p>
      <w:pPr>
        <w:spacing w:after="0" w:line="252"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 xml:space="preserve">The NAIC examines existing state insurance laws and regulations in the United States. During 2012, the NAIC established a Mortgage Guaranty Insurance Working Group, which we refer to as the "MGIWG," to determine and make recommendations to the NAIC's Financial Condition Committee including, but not limited to, revisions to </w:t>
      </w:r>
      <w:r>
        <w:rPr>
          <w:rFonts w:ascii="Arial" w:cs="Arial" w:eastAsia="Arial" w:hAnsi="Arial"/>
          <w:sz w:val="18"/>
          <w:szCs w:val="18"/>
          <w:i w:val="1"/>
          <w:iCs w:val="1"/>
          <w:color w:val="auto"/>
        </w:rPr>
        <w:t>Statement of Statutory Accounting Principles (SSAP) No. 58 - Mortgage Guaranty Insurance</w:t>
      </w:r>
      <w:r>
        <w:rPr>
          <w:rFonts w:ascii="Arial" w:cs="Arial" w:eastAsia="Arial" w:hAnsi="Arial"/>
          <w:sz w:val="18"/>
          <w:szCs w:val="18"/>
          <w:color w:val="auto"/>
        </w:rPr>
        <w:t>. In December 2019, the MGIWG released a draft revised Mortgage Guaranty Insurance Model Act and proposed a risk-based mortgage guaranty capital model. If the NAIC were to adopt a revised Mortgage Guaranty Insurance Model Act as proposed, it may result in state legislatures enacting and implementing the revised provisions. We cannot predict the effect that any NAIC recommendations or proposed or future legislation or rule-making in the United States or elsewhere may have on our financial condition or operations.</w:t>
      </w:r>
    </w:p>
    <w:p>
      <w:pPr>
        <w:spacing w:after="0" w:line="22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If our Bermuda principal operating subsidiary becomes subject to insurance statutes and regulations in jurisdictions other than Bermuda or if there is a change in Bermuda law or regulations or the application of Bermuda law or regulations, there could be a significant and negative impact on our business.</w:t>
      </w:r>
    </w:p>
    <w:p>
      <w:pPr>
        <w:spacing w:after="0" w:line="211"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Our primary reinsurance subsidiary, Essent Reinsurance Ltd., is a registered Bermuda Class 3A insurer pursuant to Section 4 of the Insurance Act 1978. As such, it is subject to regulation and supervision in Bermuda and is not licensed or admitted to do business in any jurisdiction except Bermuda. Generally, Bermuda insurance statutes and regulations applicable to Essent Reinsurance Ltd. are less restrictive than those that would be applicable if they were governed by the laws of any state in the United States. We do not presently intend for Essent Reinsurance Ltd. to be admitted to do business in the United States, the U.K. or any jurisdiction other than Bermuda. However, recent scrutiny of the insurance and reinsurance industry in the United States and other countries could subject Essent Reinsurance Ltd. to additional regulation in the future that may make it unprofitable or illegal to operate a reinsurance business through our Bermuda subsidiary. We cannot assure you that insurance regulators in the United States, the U.K. or elsewhere will not review the activities of Essent Reinsurance Ltd. or its subsidiaries or agents and assert that Essent Reinsurance Ltd. is subject to such jurisdiction's licensing requirements. If in the future Essent Reinsurance Ltd. becomes subject to any insurance laws of the United States or any state thereof or of any other jurisdiction, we cannot assure you that Essent Reinsurance Ltd. would be in compliance with such laws or that complying with such laws would not have a significant and negative effect on our business.</w:t>
      </w:r>
    </w:p>
    <w:p>
      <w:pPr>
        <w:spacing w:after="0" w:line="209"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process of obtaining licenses is very time consuming and costly, and Essent Reinsurance Ltd. may not be able to become licensed in jurisdictions other than Bermuda should we choose to do so. The modification of the conduct of our business that would result if we were required or chose to become licensed in certain jurisdictions could significantly and negatively affect our financial condition and results of operations. In addition, our inability to comply with insurance statutes and regulations could significantly and adversely affect our financial condition and results of operations by limiting our ability to conduct business as well as subject us to penalties and fines.</w:t>
      </w:r>
    </w:p>
    <w:p>
      <w:pPr>
        <w:spacing w:after="0" w:line="215"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Because Essent Reinsurance Ltd. is a Bermuda company, it is subject to changes in Bermuda law and regulation that may have an adverse impact on our operations, including through the imposition of tax liability or increased regulatory supervision. Bermuda insurance statutes and the regulations, and policies of the BMA, require Essent Reinsurance Ltd. to, among other things: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7" w:name="page48"/>
    <w:bookmarkEnd w:id="47"/>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a minimum level of capital and surplus;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an enhanced capital requirement, general business solvency margins and a minimum liquidity ratio;</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 dividends and distributions;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prior approval regarding the ownership and transfer of shares;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a principal office and appoint and maintain a principal representative in Bermuda;</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 annual financial statements, an annual statutory financial return and an annual capital and solvency return; and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allow for the performance of certain periodic examinations of Essent Reinsurance Ltd. and its financial condition.</w:t>
      </w:r>
    </w:p>
    <w:p>
      <w:pPr>
        <w:spacing w:after="0" w:line="252"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These statutes and regulations may restrict Essent Reinsurance Ltd.'s ability to write insurance and reinsurance policies, distribute funds and pursue its investment strategy. In addition, Essent Reinsurance Ltd. is exposed to any changes in the political environment in Bermuda. The Bermuda insurance and reinsurance regulatory framework recently has become subject to increased scrutiny in many jurisdictions, including the U.K. As a result of the delay in implementation of Solvency II Directive 2009/138/EC ("Solvency II"), it is unclear when the European Commission will make a final decision on whether or not it will recognize the solvency regime in Bermuda to be equivalent to that laid down in Solvency II. While we cannot predict the future impact on our operations of changes in the laws and regulation to which we are or may become subject, any such changes could have a material adverse effect on our business,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mortgage insurance industry is, and as a participant in that industry we are, subject to litigation and regulatory risk generally.</w:t>
      </w:r>
    </w:p>
    <w:p>
      <w:pPr>
        <w:spacing w:after="0" w:line="264"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The mortgage insurance industry faces litigation risk in the ordinary course of operations, including the risk of class action lawsuits and administrative enforcement by Federal and state agencies. Consumers are bringing a growing number of lawsuits against home mortgage lenders and settlement service providers. Mortgage insurers have been involved in class action litigation alleging violations of Section 8 of the Real Estate Settlement Procedures Act of 1974, or RESPA, and the Fair Credit Reporting Act, or FCRA.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services. Violations of the referral fee limitations of RESPA may be enforced by the CFPB, HUD, the Department of Justice, state attorneys general and state insurance commissioners, as well as by private litigants in class actions.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and entered into consent orders with, the CFPB as part of its investigation to determine whether mortgage lenders and mortgage insurance providers engaged in acts or practices in connection with their captive mortgage insurance arrangements in violation of RESPA, the Consumer Financial Protection Act and the Dodd-Frank Act. The CFPB’s ruling in its enforcement order against PHH Corporation for alleged RESPA violations stemming from captive mortgage insurance arrangements was overturned on appeal by a panel of the U.S. Court of Appeals for the D.C. Circuit, a decision affirmed in January 2018 by the D.C. Circuit en banc. Although we did not participate in the practices that were the subject of the CFPB consent orders or the PHH case, the private mortgage insurance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Taxes and Our Corporate Structure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non-U.S. subsidiaries may become subject to U.S. Federal income and branch profits taxation.</w:t>
      </w:r>
    </w:p>
    <w:p>
      <w:pPr>
        <w:spacing w:after="0" w:line="158"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Essent Group Ltd. and Essent Reinsurance Ltd. intend to operate their business in a manner that will not cause them to be treated as engaged in a trade or business in the United States and, thus, will not be required to pay U.S. Federal income and branch profits taxes (other than U.S. excise taxes on insurance and reinsurance premium and withholding taxes on certain U.S.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38" w:right="499" w:bottom="1440" w:gutter="0" w:footer="0" w:header="0"/>
        </w:sectPr>
      </w:pPr>
    </w:p>
    <w:bookmarkStart w:id="48" w:name="page49"/>
    <w:bookmarkEnd w:id="48"/>
    <w:p>
      <w:pPr>
        <w:ind w:right="60"/>
        <w:spacing w:after="0" w:line="272" w:lineRule="auto"/>
        <w:rPr>
          <w:sz w:val="20"/>
          <w:szCs w:val="20"/>
          <w:color w:val="auto"/>
        </w:rPr>
      </w:pPr>
      <w:r>
        <w:rPr>
          <w:rFonts w:ascii="Arial" w:cs="Arial" w:eastAsia="Arial" w:hAnsi="Arial"/>
          <w:sz w:val="17"/>
          <w:szCs w:val="17"/>
          <w:color w:val="auto"/>
        </w:rPr>
        <w:t>source investment income, and dividends paid from U.S. subsidiaries) on their income. However, because there is uncertainty as to the activities which constitute being engaged in a trade or business in the United States, there can be no assurances that the U.S. Internal Revenue Service (the "IRS") will not contend successfully that Essent Group Ltd. or its non-U.S. subsidiaries are engaged in a trade or business in the United States. In addition, Section 845 of the Internal Revenue Code of 1986, as amended (the "Code"), was amended in 2004 to permit the IRS to reallocate, recharacterize or adjust items of income, deduction or certain other items related to a reinsurance contract between related parties to reflect the proper "amount, source or character" for each item (in contrast to prior law, which only covered "source and character"). Any U.S. Federal income and branch profits taxes levied upon earnings from our Bermuda operations could materially adversely affect our shareholders' equity and earnings.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10% or more of our common shares may be subject to U.S. income taxation under the "controlled foreign corporation" ("CFC") rules.</w:t>
      </w:r>
    </w:p>
    <w:p>
      <w:pPr>
        <w:spacing w:after="0" w:line="167"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The Tax Cuts and Jobs Act of 2017 (“TCJA”) contains substantial law changes to the CFC rules, and such changes could impact our shareholders under certain circumstances summarized below.</w:t>
      </w:r>
    </w:p>
    <w:p>
      <w:pPr>
        <w:spacing w:after="0" w:line="103"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If you are a "10% U.S. Shareholder" (defined to be a "U.S. Person" (as defined below) who owns (directly, or indirectly through non-U.S. entities or "constructively," as defined below) at least 10% of the total combined value or voting power of all classes of stock) of a non-U.S. corporation that is a CFC at any time during a taxable year and you own shares in such non-U.S. corporation directly or indirectly through non-U.S. entities on the last day of the non-U.S. corporation's taxable year on which it is a CFC, you must include in your gross income for U.S. Federal income tax purposes your pro rata share of the CFC's "subpart F income," even if the subpart F income is not distributed. Also, due to attribution rule changes contained in TCJA, the Company believes that, based upon ownership of its U.S. subsidiaries, its foreign reinsurer (Essent Reinsurance Ltd.) will be deemed a CFC. Accordingly, any shareholder who becomes a “10% U.S. Shareholder” at any time during the calendar year, by either vote or value will be subject to a "Subpart F income" inclusion on a per share per day basis. Subpart F income of a non-U.S. insurance corporation typically includes "foreign personal holding company income" (such as interest, dividends and other types of passive income), as well as insurance and reinsurance income (including underwriting and investment income).</w:t>
      </w:r>
    </w:p>
    <w:p>
      <w:pPr>
        <w:spacing w:after="0" w:line="118"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For purposes of this discussion, the term "U.S. Person" means: (i) an individual citizen or resident of the United States, (ii) a partnership or corporation, created in or organized under the laws of the United States, or organized under the laws of any political subdivision thereof, (iii) an estate the income of which is subject to U.S. Federal income taxation regardless of its source, (iv) a trust if either (x) a court within the United States is able to exercise primary supervision over the administration of such trust and one or more U.S. Persons have the authority to control all substantial decisions of such trust or (y) the trust has a valid election in effect to be treated as a U.S. Person for U.S. Federal income tax purposes; or (v) any other person or entity that is treated for U.S. Federal income tax purposes as if it were one of the foregoing.</w:t>
      </w:r>
    </w:p>
    <w:p>
      <w:pPr>
        <w:spacing w:after="0" w:line="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U.S. Persons who hold our shares may be subject to U.S. income taxation at ordinary income rates on their proportionate share of our "related party insurance income" ("RPII").</w:t>
      </w:r>
    </w:p>
    <w:p>
      <w:pPr>
        <w:spacing w:after="0" w:line="103"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If the RPII (determined on a gross basis) of Essent Reinsurance Ltd. were to equal or exceed 20% of Essent Reinsurance Ltd.'s gross insurance income in any taxable year and direct or indirect policyholders (and persons related to those policyholders) own directly or indirectly through entities 20% or more of the voting power or value of the Company, then a U.S. Person who owns any shares of Essent Reinsurance Ltd. (directly or indirectly through non-U.S. entities) on the last day of the taxable year on which it is an RPII CFC would be required to include in its income for U.S. Federal income tax purposes such person's pro rata share of Essent Reinsurance Ltd.'s RPII for the entire taxable year, determined as if such RPII were distributed proportionately only to U.S. Persons at that date regardless of whether such income is distributed, in which case your investment could be materially adversely affected. In addition, any RPII that is includible in the income of a U.S. tax-exempt organization may be treated as unrelated business taxable income. The amount of RPII earned by a non-U.S. insurance subsidiary (generally, premium and related investment income from the indirect or direct insurance or reinsurance of any direct or indirect U.S. holder of shares or any person related to such holder) will depend on a number of factors, including the identity of persons directly or indirectly insured or reinsured by the company. We do not expect gross RPII of Essent Reinsurance Ltd. to equal or exceed 20% of its gross insurance income in any taxable year for the foreseeable future, but we cannot be certain that this will be the case because some of the factors which determine the extent of RPII may be beyond our control.</w:t>
      </w:r>
    </w:p>
    <w:p>
      <w:pPr>
        <w:spacing w:after="0" w:line="1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U.S. Persons who dispose of our shares may be subject to U.S. Federal income taxation at the rates applicable to dividends on a portion of such disposition.</w:t>
      </w:r>
    </w:p>
    <w:p>
      <w:pPr>
        <w:spacing w:after="0" w:line="89"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Section 1248 of the Code in conjunction with the RPII rules provides that if a U.S. Person disposes of shares in a non-U.S. corporation that earns insurance income in which U.S. Persons own 25% or more of the shares (even if the amount of gross RPII is less than 20% of the corporation's gross insurance income or the ownership of its shares by direct or indirect policyholders and related persons is less than the 20% threshold), any gain from the disposition will generally be treated as 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49" w:name="page50"/>
    <w:bookmarkEnd w:id="49"/>
    <w:p>
      <w:pPr>
        <w:ind w:right="40"/>
        <w:spacing w:after="0" w:line="253" w:lineRule="auto"/>
        <w:rPr>
          <w:sz w:val="20"/>
          <w:szCs w:val="20"/>
          <w:color w:val="auto"/>
        </w:rPr>
      </w:pPr>
      <w:r>
        <w:rPr>
          <w:rFonts w:ascii="Arial" w:cs="Arial" w:eastAsia="Arial" w:hAnsi="Arial"/>
          <w:sz w:val="18"/>
          <w:szCs w:val="18"/>
          <w:color w:val="auto"/>
        </w:rPr>
        <w:t>dividend to the extent of the holder's share of the corporation's undistributed earnings and profits that were accumulated during the period that the holder owned the shares (whether or not such earnings and profits are attributable to RPII). In addition, such a holder will be required to comply with certain reporting requirements, regardless of the amount of shares owned by the holder. These RPII rules should not apply to dispositions of our shares because the Company will not itself be directly engaged in the insurance business. The RPII provisions, however, have never been interpreted by the courts or the U.S. Treasury in final regulations, and regulations interpreting the RPII provisions of the Code exist only in proposed form. It is not certain whether these regulations will be adopted in their proposed form or what changes or clarifications might ultimately be made thereto or whether any such changes, as well as any interpretation or application of the RPII rules by the IRS, the courts, or otherwise, might have retroactive effect. The U.S. Treasury has authority to impose, among other things, additional reporting requirements with respect to RPII. Accordingly, the meaning of the RPII provisions and the application thereof to us is uncertain.</w:t>
      </w:r>
    </w:p>
    <w:p>
      <w:pPr>
        <w:spacing w:after="0" w:line="1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U.S. Persons who hold our shares will be subject to adverse tax consequences if we are considered to be a passive foreign investment company ("PFIC") for U.S. Federal income tax purposes.</w:t>
      </w:r>
    </w:p>
    <w:p>
      <w:pPr>
        <w:spacing w:after="0" w:line="89" w:lineRule="exact"/>
        <w:rPr>
          <w:sz w:val="20"/>
          <w:szCs w:val="20"/>
          <w:color w:val="auto"/>
        </w:rPr>
      </w:pPr>
    </w:p>
    <w:p>
      <w:pPr>
        <w:ind w:right="760" w:firstLine="445"/>
        <w:spacing w:after="0" w:line="277" w:lineRule="auto"/>
        <w:rPr>
          <w:sz w:val="20"/>
          <w:szCs w:val="20"/>
          <w:color w:val="auto"/>
        </w:rPr>
      </w:pPr>
      <w:r>
        <w:rPr>
          <w:rFonts w:ascii="Arial" w:cs="Arial" w:eastAsia="Arial" w:hAnsi="Arial"/>
          <w:sz w:val="18"/>
          <w:szCs w:val="18"/>
          <w:color w:val="auto"/>
        </w:rPr>
        <w:t>The TCJA contains substantial law changes to the PFIC rules, and such changes could impact our shareholders under certain circumstances summarized below.</w:t>
      </w:r>
    </w:p>
    <w:p>
      <w:pPr>
        <w:spacing w:after="0" w:line="103"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Due to changes to the PFIC rules contained in the TCJA, we believe that Essent Reinsurance Ltd. is a PFIC, and any U.S. Person directly owning shares in Essent Reinsurance Ltd. could be subject to adverse tax consequences. However, as 100% of the shares of Essent Reinsurance Ltd. are owned by Essent Group Ltd., based upon the current relative value of its U.S. subsidiaries vs. foreign subsidiaries, management believes that Essent Group Ltd. is not currently a PFIC. However, in the event that future business circumstances (i.e. relative value changes) and/or tax law changes occur, Essent Group Ltd. may be considered a PFIC. Management has operated, and intends to continue to operate, in a manner such as to avoid Essent Group Ltd. being deemed a PFIC based upon relative value of its subsidiaries; however, there can be no guaranty that management will be successful in the future. If Essent Group Ltd. is considered a PFIC, then any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 In addition, if Essent Group Ltd. were considered a PFIC, upon the death of any U.S. individual owning shares, such individual's heirs or estate would not be entitled to a "step-up" in the basis of the shares that might otherwise be available under U.S. Federal income tax laws.</w:t>
      </w:r>
    </w:p>
    <w:p>
      <w:pPr>
        <w:spacing w:after="0" w:line="114"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color w:val="auto"/>
        </w:rPr>
        <w:t>We believe that Essent Group Ltd. is not, has not been, and currently does not expect to become, a PFIC for U.S. Federal income tax purposes. New PFIC regulations have been recently made final; however, such regulations do not materially impact the manner in which Essent Group Ltd. conducts its PFIC testing, nor the outcome of such testing. These new final regulations are generally effective for tax years of US shareholders beginning on or after January 1, 2022. In addition to the final regulations, newly proposed PFIC regulations were issued, which among other provisions, would limit the amount of assets of a U.S. insurance subsidiary, which are deemed allowable in the overall PFIC asset test of a foreign holding company. We cannot predict the likelihood of finalization of the newly proposed PFIC regulations or the ultimate scope, nature, and impact of such regulations. There can be no assurance that such new regulations when adopted will not adversely impact Essent Group Ltd.'s PFIC status or U.S. Persons owning Essent Group Ltd. shares. If Essent Group Ltd. were considered a PFIC, it would have material adverse tax consequences for an investor that is subject to U.S. Federal income taxation.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tax-exempt organizations who own our shares may recognize unrelated business taxable income.</w:t>
      </w:r>
    </w:p>
    <w:p>
      <w:pPr>
        <w:spacing w:after="0" w:line="144" w:lineRule="exact"/>
        <w:rPr>
          <w:sz w:val="20"/>
          <w:szCs w:val="20"/>
          <w:color w:val="auto"/>
        </w:rPr>
      </w:pPr>
    </w:p>
    <w:p>
      <w:pPr>
        <w:ind w:right="260" w:firstLine="445"/>
        <w:spacing w:after="0" w:line="257" w:lineRule="auto"/>
        <w:rPr>
          <w:sz w:val="20"/>
          <w:szCs w:val="20"/>
          <w:color w:val="auto"/>
        </w:rPr>
      </w:pPr>
      <w:r>
        <w:rPr>
          <w:rFonts w:ascii="Arial" w:cs="Arial" w:eastAsia="Arial" w:hAnsi="Arial"/>
          <w:sz w:val="18"/>
          <w:szCs w:val="18"/>
          <w:color w:val="auto"/>
        </w:rPr>
        <w:t>A U.S. tax-exempt organization may recognize unrelated business taxable income if a portion of the insurance income of any of our non-U.S. insurance subsidiaries is allocated to the organization, which generally would be the case if the tax-exempt shareholder is a 10% U.S. Shareholder or if there is RPII, and certain exceptions do not apply, and the tax-exempt organization owns any of our shares. Although we do not believe that any U.S. Persons should be allocated such insurance income, we cannot be certain that this will be the case. U.S. tax-exempt investors are advised to consult their own tax advisors.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the potential foreign bank account reporting and reporting of "Specified Foreign Financial Assets."</w:t>
      </w:r>
    </w:p>
    <w:p>
      <w:pPr>
        <w:spacing w:after="0" w:line="158"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U.S. Persons holding our common shares should consider their possible obligation to file a FinCEN Form 114, Report of Foreign Bank and Financial Accounts with respect to their shares. Additionally, such U.S. and non-U.S. persons should consider their possible obligations to annually report certain information with respect to us with their U.S. Federal income tax returns. Shareholders should consult their tax advisors with respect to these or any other reporting requirement which may apply with respect to their ownership of our common shares.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Reduced tax rates for qualified dividend income may not be available in the future.</w:t>
      </w:r>
    </w:p>
    <w:p>
      <w:pPr>
        <w:spacing w:after="0" w:line="158"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We believe that the dividends paid on the common shares should qualify as "qualified dividend income" if, as is intended, our common shares remain listed on a national securities exchange and we are not a PFIC. Qualified dividend income received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spacing w:after="0" w:line="286" w:lineRule="auto"/>
        <w:rPr>
          <w:sz w:val="20"/>
          <w:szCs w:val="20"/>
          <w:color w:val="auto"/>
        </w:rPr>
      </w:pPr>
      <w:r>
        <w:rPr>
          <w:rFonts w:ascii="Arial" w:cs="Arial" w:eastAsia="Arial" w:hAnsi="Arial"/>
          <w:sz w:val="17"/>
          <w:szCs w:val="17"/>
          <w:color w:val="auto"/>
        </w:rPr>
        <w:t>by non-corporate U.S. Persons is generally eligible for long-term capital gain rates. There has been proposed legislation before the U.S. Senate and House of Representatives that would exclude shareholders of certain foreign corporations from this advantageous tax treatment. If such legislation were to become law, non-corporate U.S. Persons would no longer qualify for the reduced tax rate on the dividends paid by us.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U.S. tax legislation could have an adverse impact on us or holders of our common shares.</w:t>
      </w:r>
    </w:p>
    <w:p>
      <w:pPr>
        <w:spacing w:after="0" w:line="144"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It is possible that legislation could be introduced and enacted by the current Congress or future Congresses that could have an adverse impact on us or holders of our common shares. It is also possible that Treasury Regulations, and/or IRS administrative rulings could be written under the TCJA that could have an adverse impact on the Company or the holders of our common shares. We cannot be certain if, when or in what form such Treasury Regulations or IRS administrative pronouncements may be provided and whether such guidance will have a retroactive effect, and/or a negative impact upon an investor subject to U.S. taxation.</w:t>
      </w:r>
    </w:p>
    <w:p>
      <w:pPr>
        <w:spacing w:after="0" w:line="120"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The TCJA contains provisions intended to eliminate certain perceived tax advantages of companies (including insurance companies) that have legal domiciles outside the United States but have certain affiliate transactions, U.S. connections, and/or United States persons investing in such companies. For example, the TCJA includes a base erosion anti-abuse tax or “BEAT” that could make certain levels of affiliate reinsurance between United States and non-U.S. members of our group economically unfeasible. Although we are not currently impacted by BEAT, there can be no assurance that changes to future taxable income calculations or future changes to BEAT will not have a negative impact on us. Further, it is possible that other legislation could be introduced and enacted by the current Congress or future Congresses that could adversely impact us.</w:t>
      </w:r>
    </w:p>
    <w:p>
      <w:pPr>
        <w:spacing w:after="0" w:line="1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holding company structure and certain regulatory and other constraints, including adverse business performance, could negatively impact our liquidity and potentially require us to raise more capital.</w:t>
      </w:r>
    </w:p>
    <w:p>
      <w:pPr>
        <w:spacing w:after="0" w:line="89"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Essent Group Ltd. serves as the holding company for our insurance and other subsidiaries and does not have any significant operations of its own. As a result, its principal source of funds is income from our investment portfolio, dividends and other distributions from our insurance and other subsidiaries, including permitted payments under our expense-sharing arrangements, and funds that may be raised from time to time in the capital markets. Our dividend income is limited to upstream dividend payments from our insurance and other subsidiaries, which may be restricted by applicable state insurance laws. Under Pennsylvania law, our insurance subsidiaries may pay ordinary dividends without prior approval of the Pennsylvania Insurance Commissioner (the "Commissioner"), but are not permitted to pay extraordinary dividends without the prior approval of the Commissioner. An extraordinary dividend is a dividend or distribution which, together with other dividends and distributions made within the preceding 12 months, exceeds the greater of (i) 10% of our surplus as shown in our last annual statement on file with the Commissioner, or (ii) our net income for the period covered by such statement, but shall not include pro rata distributions of any class of our own securities. Moreover, under Pennsylvania law, dividends and other distributions may only be paid out of unassigned surplus unless approved by the Commissioner. Our primary operating subsidiary, Essent Guaranty, Inc., had unassigned surplus of approximately $343.6 million as of December 31, 2020. In addition, Essent Guaranty of PA, Inc. had unassigned surplus of approximately $15.4 million as of December 31, 2020. For further information, see Note 11 to our consolidated financial statements entitled "Dividends Restrictions" included elsewhere in this Annual Report.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pay dividends is dependent on our receipt of dividends and other funds from our subsidiaries.</w:t>
      </w:r>
    </w:p>
    <w:p>
      <w:pPr>
        <w:spacing w:after="0" w:line="252"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Essent Group Ltd. is a holding company. As a result, our ability to pay dividends on our common shares in the future will depend on the earnings and cash flows of our operating subsidiaries and the ability of those subsidiaries to pay dividends or to advance or repay funds to it. This ability is subject to general economic, financial, competitive, regulatory and other factors beyond our control. Furthermore, our subsidiaries are restricted by state insurance laws and regulations from declaring dividends to us. Our subsidiaries are also restricted by state insurance laws and regulations from declaring dividends to us. See "Risks Related to Taxes and Our Corporate Structure—</w:t>
      </w:r>
      <w:r>
        <w:rPr>
          <w:rFonts w:ascii="Arial" w:cs="Arial" w:eastAsia="Arial" w:hAnsi="Arial"/>
          <w:sz w:val="16"/>
          <w:szCs w:val="16"/>
          <w:i w:val="1"/>
          <w:iCs w:val="1"/>
          <w:color w:val="auto"/>
        </w:rPr>
        <w:t>Our holding company structure and certain regulatory and other constraints, including</w:t>
      </w:r>
      <w:r>
        <w:rPr>
          <w:rFonts w:ascii="Arial" w:cs="Arial" w:eastAsia="Arial" w:hAnsi="Arial"/>
          <w:sz w:val="16"/>
          <w:szCs w:val="16"/>
          <w:color w:val="auto"/>
        </w:rPr>
        <w:t xml:space="preserve"> </w:t>
      </w:r>
      <w:r>
        <w:rPr>
          <w:rFonts w:ascii="Arial" w:cs="Arial" w:eastAsia="Arial" w:hAnsi="Arial"/>
          <w:sz w:val="16"/>
          <w:szCs w:val="16"/>
          <w:i w:val="1"/>
          <w:iCs w:val="1"/>
          <w:color w:val="auto"/>
        </w:rPr>
        <w:t>adverse business performance, could negatively impact our liquidity and potentially require us to raise more capital.</w:t>
      </w:r>
      <w:r>
        <w:rPr>
          <w:rFonts w:ascii="Arial" w:cs="Arial" w:eastAsia="Arial" w:hAnsi="Arial"/>
          <w:sz w:val="16"/>
          <w:szCs w:val="16"/>
          <w:color w:val="auto"/>
        </w:rPr>
        <w:t>" Accordingly, our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may not be able to pay dividends up to Essent Group Ltd. in the future, which could prevent us from paying dividends on our common shares.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of our shares may have difficulty effecting service of process on us or enforcing judgments against us in the United States.</w:t>
      </w:r>
    </w:p>
    <w:p>
      <w:pPr>
        <w:spacing w:after="0" w:line="264" w:lineRule="exact"/>
        <w:rPr>
          <w:sz w:val="20"/>
          <w:szCs w:val="20"/>
          <w:color w:val="auto"/>
        </w:rPr>
      </w:pPr>
    </w:p>
    <w:p>
      <w:pPr>
        <w:jc w:val="both"/>
        <w:ind w:right="100" w:firstLine="445"/>
        <w:spacing w:after="0" w:line="263" w:lineRule="auto"/>
        <w:rPr>
          <w:sz w:val="20"/>
          <w:szCs w:val="20"/>
          <w:color w:val="auto"/>
        </w:rPr>
      </w:pPr>
      <w:r>
        <w:rPr>
          <w:rFonts w:ascii="Arial" w:cs="Arial" w:eastAsia="Arial" w:hAnsi="Arial"/>
          <w:sz w:val="18"/>
          <w:szCs w:val="18"/>
          <w:color w:val="auto"/>
        </w:rPr>
        <w:t>We are a Bermuda exempted company. As a result, the rights of holders of our common shares are governed by Bermuda law and our memorandum of association and bye-laws. The rights of shareholders under Bermuda law may differ from the rights of shareholders of companies incorporated in other jurisdictions. Certain of our directors are not residents of the United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1" w:name="page52"/>
    <w:bookmarkEnd w:id="51"/>
    <w:p>
      <w:pPr>
        <w:ind w:right="60"/>
        <w:spacing w:after="0" w:line="275" w:lineRule="auto"/>
        <w:rPr>
          <w:sz w:val="20"/>
          <w:szCs w:val="20"/>
          <w:color w:val="auto"/>
        </w:rPr>
      </w:pPr>
      <w:r>
        <w:rPr>
          <w:rFonts w:ascii="Arial" w:cs="Arial" w:eastAsia="Arial" w:hAnsi="Arial"/>
          <w:sz w:val="17"/>
          <w:szCs w:val="17"/>
          <w:color w:val="auto"/>
        </w:rPr>
        <w:t>States, and a substantial portion of our assets are owned by subsidiaries domiciled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repurchase a shareholder's common shares without the shareholder's consent.</w:t>
      </w:r>
    </w:p>
    <w:p>
      <w:pPr>
        <w:spacing w:after="0" w:line="252"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Under our bye-laws and subject to Bermuda law, we have the option, but not the obligation, to require a shareholder to sell to us at fair market value the minimum number of common shares which is necessary to avoid or cure any adverse tax consequences or materially adverse legal or regulatory treatment to us, our subsidiaries or our shareholders if our board of directors reasonably determines, in good faith, that failure to exercise our option would result in such adverse consequences or treatment.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bye-laws may reduce or increase the voting rights of our shares.</w:t>
      </w:r>
    </w:p>
    <w:p>
      <w:pPr>
        <w:spacing w:after="0" w:line="252"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In general, and except as provided under our bye-laws and as provided below, our shareholders have one vote for each common share held by them and are entitled to vote, on a non-cumulative basis, at all meetings of shareholders. However, if, and so long as, the shares of a shareholder are treated as "controlled shares" (as determined pursuant to sections 957 and 958 of the Code) of any U.S. Person that owns shares directly or indirectly through non-U.S. entities) and such controlled shares constitute 9.5% or more of the votes conferred by our issued shares, the voting rights with respect to the controlled shares owned by such U.S. Person will be limited, in the aggregate, to a voting power of less than 9.5%, under a formula specified in our bye-laws. The formula is applied repeatedly until the voting power of all 9.5% U.S. Shareholders has been reduced to less than 9.5%. In addition, our board of directors may limit a shareholder's voting rights when it deems it appropriate to do so to (i) avoid the existence of any 9.5% U.S. Shareholder; and (ii) avoid certain material adverse legal or regulatory consequences to us, any of our subsidiaries or any direct or indirect shareholder or its affiliates. The amount of any reduction of votes that occurs by operation of the above limitations will generally be reallocated proportionately among our other shareholders whose shares were not "controlled shares" of the 9.5% U.S. Shareholder so long as such reallocation does not cause any person to become a 9.5% U.S. Shareholder.</w:t>
      </w:r>
    </w:p>
    <w:p>
      <w:pPr>
        <w:spacing w:after="0" w:line="209" w:lineRule="exact"/>
        <w:rPr>
          <w:sz w:val="20"/>
          <w:szCs w:val="20"/>
          <w:color w:val="auto"/>
        </w:rPr>
      </w:pPr>
    </w:p>
    <w:p>
      <w:pPr>
        <w:jc w:val="both"/>
        <w:ind w:right="200" w:firstLine="445"/>
        <w:spacing w:after="0" w:line="263" w:lineRule="auto"/>
        <w:rPr>
          <w:sz w:val="20"/>
          <w:szCs w:val="20"/>
          <w:color w:val="auto"/>
        </w:rPr>
      </w:pPr>
      <w:r>
        <w:rPr>
          <w:rFonts w:ascii="Arial" w:cs="Arial" w:eastAsia="Arial" w:hAnsi="Arial"/>
          <w:sz w:val="18"/>
          <w:szCs w:val="18"/>
          <w:color w:val="auto"/>
        </w:rPr>
        <w:t>Under these provisions, certain shareholders may have their voting rights limited, while other shareholders may have voting rights in excess of one vote per share. Moreover, these provisions could have the effect of reducing the votes of certain shareholders who would not otherwise be subject to the 9.5% limitation by virtue of their direct share ownership.</w:t>
      </w:r>
    </w:p>
    <w:p>
      <w:pPr>
        <w:spacing w:after="0" w:line="211"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We are authorized under our bye-laws to request information from any shareholder for the purpose of determining whether a shareholder's voting rights are to be reallocated under the bye-laws. If any holder fails to respond to this request or submits incomplete or inaccurate information, we may, in our sole discretion, eliminate the shareholder's voting rights.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regulatory limitations on the ownership and transfer of our common shares.</w:t>
      </w:r>
    </w:p>
    <w:p>
      <w:pPr>
        <w:spacing w:after="0" w:line="252" w:lineRule="exact"/>
        <w:rPr>
          <w:sz w:val="20"/>
          <w:szCs w:val="20"/>
          <w:color w:val="auto"/>
        </w:rPr>
      </w:pPr>
    </w:p>
    <w:p>
      <w:pPr>
        <w:ind w:right="120" w:firstLine="445"/>
        <w:spacing w:after="0" w:line="268" w:lineRule="auto"/>
        <w:rPr>
          <w:sz w:val="20"/>
          <w:szCs w:val="20"/>
          <w:color w:val="auto"/>
        </w:rPr>
      </w:pPr>
      <w:r>
        <w:rPr>
          <w:rFonts w:ascii="Arial" w:cs="Arial" w:eastAsia="Arial" w:hAnsi="Arial"/>
          <w:sz w:val="17"/>
          <w:szCs w:val="17"/>
          <w:color w:val="auto"/>
        </w:rPr>
        <w:t>Common shares may be offered or sold in Bermuda only in compliance with the provisions of the Companies Act and the Bermuda Investment Business Act 2003, which regulates the sale of securities in Bermuda. In addition, the BMA must approve all issues and transfers of shares of a Bermuda exempted company. However, the BMA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the New York Stock Exchange. This general permission would cease to apply if the Company were to cease to be so listed. We have obtained consent under the Bermuda Exchange Control Act 1972 (and its related regulations) from the BMA for the issue and transfer of our common shares to and between residents and non-residents of Bermuda for exchange control purposes provided our common shares remain listed on an appointed stock exchange, which includes the NYSE. Bermuda insurance law requires that any person who becomes a holder of at least 10%, 20%, 33% or 50% of the common shares of an insurance or reinsurance company or its parent company must notify the BMA in writing within 45 days of becoming such a holder or 30 days from the date they have knowledge of having such a holding, whichever is later. The BMA may, by written notice, object to a person holding 10%, 20%, 33% or 50% of our common shares if it appears to the BMA that the person is not fit and proper to be such a holder. The BMA may require the holder to reduce their shareholding in us and may direct, among other things, that the voting rights attaching to their shares shall not be exercisable. A person that does not comply with such a notice or direction from the BMA will be guilty of an offense.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ind w:right="20" w:firstLine="445"/>
        <w:spacing w:after="0" w:line="272" w:lineRule="auto"/>
        <w:rPr>
          <w:sz w:val="20"/>
          <w:szCs w:val="20"/>
          <w:color w:val="auto"/>
        </w:rPr>
      </w:pPr>
      <w:r>
        <w:rPr>
          <w:rFonts w:ascii="Arial" w:cs="Arial" w:eastAsia="Arial" w:hAnsi="Arial"/>
          <w:sz w:val="17"/>
          <w:szCs w:val="17"/>
          <w:color w:val="auto"/>
        </w:rPr>
        <w:t>The insurance holding company laws and regulations of the Commonwealth of Pennsylvania, the state in which our insurance subsidiaries are domiciled, require that, before a person can acquire direct or indirect control of an insurer domiciled in the state, prior written approval must be obtained from the Pennsylvania Insurance Department. The state insurance regulators are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204" w:lineRule="exact"/>
        <w:rPr>
          <w:sz w:val="20"/>
          <w:szCs w:val="20"/>
          <w:color w:val="auto"/>
        </w:rPr>
      </w:pPr>
    </w:p>
    <w:p>
      <w:pPr>
        <w:ind w:right="60" w:firstLine="445"/>
        <w:spacing w:after="0" w:line="293" w:lineRule="auto"/>
        <w:rPr>
          <w:sz w:val="20"/>
          <w:szCs w:val="20"/>
          <w:color w:val="auto"/>
        </w:rPr>
      </w:pPr>
      <w:r>
        <w:rPr>
          <w:rFonts w:ascii="Arial" w:cs="Arial" w:eastAsia="Arial" w:hAnsi="Arial"/>
          <w:sz w:val="16"/>
          <w:szCs w:val="16"/>
          <w:color w:val="auto"/>
        </w:rPr>
        <w:t>Except in connection with the settlement of trades or transactions entered into through the facilities of the NYSE, our board of directors may generally require any shareholder or any person proposing to acquire our shares to provide the information required under our bye-laws. If any such shareholder or proposed acquirer does not provide such information, or if the board of directors has reason to believe that any certification or other information provided pursuant to any such request is inaccurate or incomplete, the board of directors may decline to register any transfer or to effect any issuance or purchase of shares to which such request is related. Although these restrictions on transfer will not interfere with the settlement of trades on the NYSE, we may decline to register transfers in accordance with our bye-laws and board of directors resolutions after a settlement has taken place.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persons who own our shares may have more difficulty in protecting their interests than U.S. persons who are shareholders of a U.S. corporation.</w:t>
      </w:r>
    </w:p>
    <w:p>
      <w:pPr>
        <w:spacing w:after="0" w:line="28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The Bermuda Companies Act 1981 (the "Companies Act"), which applies to us, differs in certain material respects from laws generally applicable to U.S. corporations and their shareholders. Set forth below is a summary of certain significant provisions of the Companies Act and our bye-laws which differ in certain respects from provisions of Delaware corporate law. Because the following statements are summaries, they do not discuss all aspects of Bermuda law that may be relevant to us and our shareholders.</w:t>
      </w:r>
    </w:p>
    <w:p>
      <w:pPr>
        <w:spacing w:after="0" w:line="214" w:lineRule="exact"/>
        <w:rPr>
          <w:sz w:val="20"/>
          <w:szCs w:val="20"/>
          <w:color w:val="auto"/>
        </w:rPr>
      </w:pPr>
    </w:p>
    <w:p>
      <w:pPr>
        <w:ind w:right="220" w:firstLine="445"/>
        <w:spacing w:after="0" w:line="311" w:lineRule="auto"/>
        <w:rPr>
          <w:sz w:val="20"/>
          <w:szCs w:val="20"/>
          <w:color w:val="auto"/>
        </w:rPr>
      </w:pPr>
      <w:r>
        <w:rPr>
          <w:rFonts w:ascii="Arial" w:cs="Arial" w:eastAsia="Arial" w:hAnsi="Arial"/>
          <w:sz w:val="16"/>
          <w:szCs w:val="16"/>
          <w:i w:val="1"/>
          <w:iCs w:val="1"/>
          <w:color w:val="auto"/>
        </w:rPr>
        <w:t xml:space="preserve">Interested Directors: </w:t>
      </w:r>
      <w:r>
        <w:rPr>
          <w:rFonts w:ascii="Arial" w:cs="Arial" w:eastAsia="Arial" w:hAnsi="Arial"/>
          <w:sz w:val="16"/>
          <w:szCs w:val="16"/>
          <w:color w:val="auto"/>
        </w:rPr>
        <w:t>Bermuda law provides that if a director has an interest in a material contract or proposed material contract with us or any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subsidiaries or has a material interest in any person that is a party to such a contract, the director must disclose the nature of that interest at the first opportunity either at a meeting of directors or in writing to the board. Under Delaware law such transaction would not be voidable if:</w:t>
      </w:r>
    </w:p>
    <w:p>
      <w:pPr>
        <w:spacing w:after="0" w:line="176" w:lineRule="exact"/>
        <w:rPr>
          <w:sz w:val="20"/>
          <w:szCs w:val="20"/>
          <w:color w:val="auto"/>
        </w:rPr>
      </w:pPr>
    </w:p>
    <w:p>
      <w:pPr>
        <w:ind w:left="660" w:right="180" w:hanging="247"/>
        <w:spacing w:after="0" w:line="308"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material facts as to such interested director's relationship or interests were disclosed or were known to the board of directors and the board of directors had in good faith authorized the transaction by the affirmative vote of a majority of the disinterested directors;</w:t>
      </w:r>
    </w:p>
    <w:p>
      <w:pPr>
        <w:spacing w:after="0" w:line="173" w:lineRule="exact"/>
        <w:rPr>
          <w:rFonts w:ascii="Arial" w:cs="Arial" w:eastAsia="Arial" w:hAnsi="Arial"/>
          <w:sz w:val="17"/>
          <w:szCs w:val="17"/>
          <w:color w:val="auto"/>
        </w:rPr>
      </w:pPr>
    </w:p>
    <w:p>
      <w:pPr>
        <w:ind w:left="660" w:right="380" w:hanging="247"/>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material facts were disclosed or were known to the shareholders entitled to vote on such transaction and the transaction were specifically approved in good faith by vote of the majority of shares entitled to vote thereon; or</w:t>
      </w:r>
    </w:p>
    <w:p>
      <w:pPr>
        <w:spacing w:after="0" w:line="197" w:lineRule="exact"/>
        <w:rPr>
          <w:rFonts w:ascii="Arial" w:cs="Arial" w:eastAsia="Arial" w:hAnsi="Arial"/>
          <w:sz w:val="18"/>
          <w:szCs w:val="18"/>
          <w:color w:val="auto"/>
        </w:rPr>
      </w:pPr>
    </w:p>
    <w:p>
      <w:pPr>
        <w:ind w:left="660" w:right="360" w:hanging="247"/>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transaction was fair as to the corporation as of the time it was authorized, approved or ratified. Under Delaware law, the interested director could be held liable for a transaction in which the director derived an improper personal benefit.</w:t>
      </w:r>
    </w:p>
    <w:p>
      <w:pPr>
        <w:spacing w:after="0" w:line="19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i w:val="1"/>
          <w:iCs w:val="1"/>
          <w:color w:val="auto"/>
        </w:rPr>
        <w:t xml:space="preserve">Business Combinations with Large Shareholders or Affiliates. </w:t>
      </w:r>
      <w:r>
        <w:rPr>
          <w:rFonts w:ascii="Arial" w:cs="Arial" w:eastAsia="Arial" w:hAnsi="Arial"/>
          <w:sz w:val="18"/>
          <w:szCs w:val="18"/>
          <w:color w:val="auto"/>
        </w:rPr>
        <w:t>As a Bermuda company, we may enter into business combinations with our large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or affiliates, including mergers, asset sales and other transactions in which a large shareholder or affiliate receives, or could receive, a financial benefit that is greater than that received, or to be received, by other shareholders, without obtaining prior approval from our board of directors or from our shareholders. If we were a Delaware company, we would need prior approval from our board of directors or a supermajority of our shareholders to enter into a business combination with an interested shareholder for a period of three years from the time the person became an interested shareholder, unless we opted out of the relevant Delaware statute. Our bye-laws also include a provision restricting business combinations with interested shareholders consistent with the corresponding Delaware statute.</w:t>
      </w:r>
    </w:p>
    <w:p>
      <w:pPr>
        <w:spacing w:after="0" w:line="222"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i w:val="1"/>
          <w:iCs w:val="1"/>
          <w:color w:val="auto"/>
        </w:rPr>
        <w:t xml:space="preserve">Shareholders' Suits. </w:t>
      </w:r>
      <w:r>
        <w:rPr>
          <w:rFonts w:ascii="Arial" w:cs="Arial" w:eastAsia="Arial" w:hAnsi="Arial"/>
          <w:sz w:val="17"/>
          <w:szCs w:val="17"/>
          <w:color w:val="auto"/>
        </w:rPr>
        <w:t>The rights of shareholders under Bermuda law are not as extensive as the rights of shareholders in many U.S. jurisdictions.</w:t>
      </w:r>
      <w:r>
        <w:rPr>
          <w:rFonts w:ascii="Arial" w:cs="Arial" w:eastAsia="Arial" w:hAnsi="Arial"/>
          <w:sz w:val="17"/>
          <w:szCs w:val="17"/>
          <w:i w:val="1"/>
          <w:iCs w:val="1"/>
          <w:color w:val="auto"/>
        </w:rPr>
        <w:t xml:space="preserve"> </w:t>
      </w:r>
      <w:r>
        <w:rPr>
          <w:rFonts w:ascii="Arial" w:cs="Arial" w:eastAsia="Arial" w:hAnsi="Arial"/>
          <w:sz w:val="17"/>
          <w:szCs w:val="17"/>
          <w:color w:val="auto"/>
        </w:rPr>
        <w:t>Class actions and derivative actions are generally not available to shareholders under the laws of Bermuda. However, the Bermuda courts ordinarily would be expected to follow English case law precedent, which would permit a shareholder to commence an action in the name of the company to remedy a wrong done to the company where an act is alleged to be beyond the corporate power of the company, is illegal or would result in the violation of our memorandum of association or bye-laws. Furthermore, a court would consider acts that are alleged to constitute a fraud against the minority shareholders or where an act requires the approval of a greater percentage of our shareholders than actually approved it.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ind w:right="20"/>
        <w:spacing w:after="0" w:line="255" w:lineRule="auto"/>
        <w:rPr>
          <w:sz w:val="20"/>
          <w:szCs w:val="20"/>
          <w:color w:val="auto"/>
        </w:rPr>
      </w:pPr>
      <w:r>
        <w:rPr>
          <w:rFonts w:ascii="Arial" w:cs="Arial" w:eastAsia="Arial" w:hAnsi="Arial"/>
          <w:sz w:val="18"/>
          <w:szCs w:val="18"/>
          <w:color w:val="auto"/>
        </w:rPr>
        <w:t>prevailing party in such an action generally would be able to recover a portion of attorneys' fees incurred in connection with such action. Our bye-laws provide that shareholders waive all claims or rights of action that they might have, individually or in the right of the company, against any director or officer for any act or failure to act in the performance of such director's or officer's duties, except with respect to any fraud or dishonesty of such director or officer. Class actions and derivative actions generally are available to shareholders under Delaware law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19"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i w:val="1"/>
          <w:iCs w:val="1"/>
          <w:color w:val="auto"/>
        </w:rPr>
        <w:t xml:space="preserve">Indemnification of Directors. </w:t>
      </w:r>
      <w:r>
        <w:rPr>
          <w:rFonts w:ascii="Arial" w:cs="Arial" w:eastAsia="Arial" w:hAnsi="Arial"/>
          <w:sz w:val="16"/>
          <w:szCs w:val="16"/>
          <w:color w:val="auto"/>
        </w:rPr>
        <w:t>We may indemnify our directors or officers or any person appointed to any committee by the board of directors acting</w:t>
      </w:r>
      <w:r>
        <w:rPr>
          <w:rFonts w:ascii="Arial" w:cs="Arial" w:eastAsia="Arial" w:hAnsi="Arial"/>
          <w:sz w:val="16"/>
          <w:szCs w:val="16"/>
          <w:i w:val="1"/>
          <w:iCs w:val="1"/>
          <w:color w:val="auto"/>
        </w:rPr>
        <w:t xml:space="preserve"> </w:t>
      </w:r>
      <w:r>
        <w:rPr>
          <w:rFonts w:ascii="Arial" w:cs="Arial" w:eastAsia="Arial" w:hAnsi="Arial"/>
          <w:sz w:val="16"/>
          <w:szCs w:val="16"/>
          <w:color w:val="auto"/>
        </w:rPr>
        <w:t>in their capacity as such in relation to any of our affairs for any loss arising or liability attaching to them by virtue of any rule of law in respect of any negligence, default, breach of duty or breach of trust of which such person may be guilty in relation to the company other than in respect of his own fraud or dishonesty. Under Delaware law, a corporation may indemnify a director or officer of the corporation against expenses (including attorneys' fees), judgments, fines and amounts paid in settlement actually and reasonably incurred in defense of an action, suit or proceeding by reason of such position if such director or officer acted in good faith and in a manner he or she reasonably believed to be in or not be opposed to the best interests of the corporation and, with respect to any criminal action or proceeding, such director or officer had no reasonable cause to believe his or her conduct was unlawful.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senior management team and our business could be harmed if we are unable to retain qualified personnel.</w:t>
      </w:r>
    </w:p>
    <w:p>
      <w:pPr>
        <w:spacing w:after="0" w:line="252" w:lineRule="exact"/>
        <w:rPr>
          <w:sz w:val="20"/>
          <w:szCs w:val="20"/>
          <w:color w:val="auto"/>
        </w:rPr>
      </w:pPr>
    </w:p>
    <w:p>
      <w:pPr>
        <w:ind w:right="100" w:firstLine="445"/>
        <w:spacing w:after="0" w:line="296" w:lineRule="auto"/>
        <w:rPr>
          <w:sz w:val="20"/>
          <w:szCs w:val="20"/>
          <w:color w:val="auto"/>
        </w:rPr>
      </w:pPr>
      <w:r>
        <w:rPr>
          <w:rFonts w:ascii="Arial" w:cs="Arial" w:eastAsia="Arial" w:hAnsi="Arial"/>
          <w:sz w:val="16"/>
          <w:szCs w:val="16"/>
          <w:color w:val="auto"/>
        </w:rPr>
        <w:t>Our success depends, in part, on the skills, working relationships and continued services of our senior management team. We have employment agreements with each of our senior executives. The departure of any of our key executives could adversely affect the conduct of our business. In such an event, we would be required to obtain other personnel to manage and operate our business, and there can be no assurance that we would be able to employ a suitable replacement for the departing individual, or that a replacement could be hired on terms that are favorable to us. Volatility or lack of performance in our share price may affect our ability to retain our key personnel or attract replacements should key personnel depart.</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may need additional capital to fund our operations or expand our business, and if we are unable to obtain sufficient financing or such financing is obtained on adverse terms, we may not be able to operate or expand our business as planned, which could negatively affect our results of operations and future growth.</w:t>
      </w:r>
    </w:p>
    <w:p>
      <w:pPr>
        <w:spacing w:after="0" w:line="211"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We may require incremental capital to support our growth and comply with regulatory requirements. To the extent that we require capital in the future, we may need to obtain financing from the capital markets or other third-party sources of financing. We may also seek to reinsure part of our risk in force with third-party reinsurers in order to obtain reinsurance credit and capital relief under insurance laws applicable to us and the regulations of the GSEs. Potential investors, lenders or reinsurers may be unable to provide us with financing or reinsurance that is attractive to us. Our access to such financing will depend, in part, on:</w:t>
      </w:r>
    </w:p>
    <w:p>
      <w:pPr>
        <w:spacing w:after="0" w:line="215" w:lineRule="exact"/>
        <w:rPr>
          <w:sz w:val="20"/>
          <w:szCs w:val="20"/>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market's perception of our growth potential;</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debt levels, if any;</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expected results of operations;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cash flow;</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capital to third-party reinsurers to reinsurer our risks; and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market price of our common shares.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principal capital demands include funds for (i) the expansion of our business, (ii) the payment of certain corporate operating expenses,</w:t>
      </w:r>
    </w:p>
    <w:p>
      <w:pPr>
        <w:spacing w:after="0" w:line="35" w:lineRule="exact"/>
        <w:rPr>
          <w:sz w:val="20"/>
          <w:szCs w:val="20"/>
          <w:color w:val="auto"/>
        </w:rPr>
      </w:pPr>
    </w:p>
    <w:p>
      <w:pPr>
        <w:ind w:firstLine="8"/>
        <w:spacing w:after="0" w:line="253" w:lineRule="auto"/>
        <w:tabs>
          <w:tab w:leader="none" w:pos="3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capital support for our subsidiaries, and (iv) Federal, state and local taxes. We may need to provide additional capital support to our insurance subsidiaries if required pursuant to insurance laws and regulations or by the GSEs. If we were unable to meet our obligations, our insurance subsidiaries could lose GSE approval or be required to cease writing business in one or more states, which would adversely impact our business, financial condition and operating results.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We are exposed to risks relating to LIBOR and other benchmark rates</w:t>
      </w:r>
      <w:r>
        <w:rPr>
          <w:rFonts w:ascii="Arial" w:cs="Arial" w:eastAsia="Arial" w:hAnsi="Arial"/>
          <w:sz w:val="18"/>
          <w:szCs w:val="18"/>
          <w:color w:val="auto"/>
        </w:rPr>
        <w:t>.</w:t>
      </w:r>
    </w:p>
    <w:p>
      <w:pPr>
        <w:spacing w:after="0" w:line="252"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Regulators, law enforcement agencies, or the ICE Benchmark Association (the current administrator of LIBOR) may take actions resulting in changes to the way LIBOR is determined, the discontinuance of reliance on LIBOR as a benchmark rate or the establishment of alternative reference rates. The U.K. Financial Conduct Authority has announced that it intends to stop persuading or compelling banks to submit LIBOR rates after 2021. The Federal Reserve Bank of New York has begun publishing a Secured Overnight Funding Rate (“SOFR”), which is intended to replace U.S. dollar LIBOR, and central banks in several other jurisdictions have also announced plans for alternative reference rates for other currencies. At this time, we cannot predict how markets will respond to these new rates, and we cannot predict the effect of any changes to or discontinuation of LIBOR on new or existing financial instruments to which we have exposure. Any changes to or discontinuation of LIBOR may have an adverse effect on the reinsurance premium rates we are required to pay in connection with our “Radnor Re” insurance-linked notes transactions, which are tied to LIBOR, or other assets or liabilities whose value is tied to LIBOR or to a LIBOR alternative, including floating rate bonds we hold in our investment portfolio. Furthermore, changes to or the discontinuation of LIBOR may impact other aspects of our business, including products, pricing, and models.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maintain and enhance effective operating procedures and internal controls.</w:t>
      </w:r>
    </w:p>
    <w:p>
      <w:pPr>
        <w:spacing w:after="0" w:line="252" w:lineRule="exact"/>
        <w:rPr>
          <w:sz w:val="20"/>
          <w:szCs w:val="20"/>
          <w:color w:val="auto"/>
        </w:rPr>
      </w:pPr>
    </w:p>
    <w:p>
      <w:pPr>
        <w:ind w:right="60" w:firstLine="445"/>
        <w:spacing w:after="0" w:line="286" w:lineRule="auto"/>
        <w:rPr>
          <w:sz w:val="20"/>
          <w:szCs w:val="20"/>
          <w:color w:val="auto"/>
        </w:rPr>
      </w:pPr>
      <w:r>
        <w:rPr>
          <w:rFonts w:ascii="Arial" w:cs="Arial" w:eastAsia="Arial" w:hAnsi="Arial"/>
          <w:sz w:val="16"/>
          <w:szCs w:val="16"/>
          <w:color w:val="auto"/>
        </w:rPr>
        <w:t>Operational risk and losses can result from, among other things, fraud, errors, failure to document transactions properly or to obtain proper internal authorization, failure to comply with regulatory requirements, information technology failures, failure to appropriately transition new hires or external events. We continue to enhance our operating procedures and internal controls to effectively support our business and our regulatory and reporting requirements. Our management does not expect that our disclosure controls or our internal controls will prevent all potential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As a result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or by collusion of two or more people.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As a result of the inherent limitations in a cost-effective control system, misstatement due to error or fraud may occur and not be detected. Accordingly, our disclosure controls and procedures are designed to provide reasonable, not absolute, assurance that the disclosure controls and procedures are met. Any ineffectiveness in our controls or procedures could have a material adverse effect on our business.</w:t>
      </w:r>
    </w:p>
    <w:p>
      <w:pPr>
        <w:spacing w:after="0" w:line="194" w:lineRule="exact"/>
        <w:rPr>
          <w:sz w:val="20"/>
          <w:szCs w:val="20"/>
          <w:color w:val="auto"/>
        </w:rPr>
      </w:pPr>
    </w:p>
    <w:p>
      <w:pPr>
        <w:ind w:right="100" w:firstLine="445"/>
        <w:spacing w:after="0" w:line="275" w:lineRule="auto"/>
        <w:rPr>
          <w:sz w:val="20"/>
          <w:szCs w:val="20"/>
          <w:color w:val="auto"/>
        </w:rPr>
      </w:pPr>
      <w:r>
        <w:rPr>
          <w:rFonts w:ascii="Arial" w:cs="Arial" w:eastAsia="Arial" w:hAnsi="Arial"/>
          <w:sz w:val="17"/>
          <w:szCs w:val="17"/>
          <w:color w:val="auto"/>
        </w:rPr>
        <w:t>We have a risk management framework designed to assess and monitor our risks. However, there can be no assurance that we can effectively review and monitor all risks or that all of our employees will operate within our risk management framework, nor can there can be any assurance that our risk management framework will result in accurately identifying all risks and accurately limiting our exposures based on our assessments. Moreover, risk management is expected to be a new and important focus of regulatory examinations of companies under supervision. There can be no assurance that our risk management framework and documentation will meet the expectations of such regulators.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or may decline regardless of operating performance.</w:t>
      </w:r>
    </w:p>
    <w:p>
      <w:pPr>
        <w:spacing w:after="0" w:line="252"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The market price of our common shares may fluctuate significantly in the future. Some of the factors that could negatively affect the market price of our common shares include:</w:t>
      </w:r>
    </w:p>
    <w:p>
      <w:pPr>
        <w:spacing w:after="0" w:line="197" w:lineRule="exact"/>
        <w:rPr>
          <w:sz w:val="20"/>
          <w:szCs w:val="20"/>
          <w:color w:val="auto"/>
        </w:rPr>
      </w:pPr>
    </w:p>
    <w:p>
      <w:pPr>
        <w:ind w:left="660" w:hanging="24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real estate industry;</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indebtedness we incur in the future;</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credit markets and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5" w:name="page56"/>
    <w:bookmarkEnd w:id="55"/>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government policies, laws and regulations;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impacting Fannie Mae, Freddie Mac or Ginnie Mae;</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additions to or departures of our key management personnel;</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actions by shareholders;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availability of third-party reinsurance for the insurance coverage that we write;</w:t>
      </w:r>
    </w:p>
    <w:p>
      <w:pPr>
        <w:spacing w:after="0" w:line="237"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meet, or the lowering of, our earnings estimates or those of any securities analysts; and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generally.</w:t>
      </w:r>
    </w:p>
    <w:p>
      <w:pPr>
        <w:spacing w:after="0" w:line="252"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The stock markets have experienced extreme volatility in recent years that has been unrelated to the operating performance of particular companies. These broad market fluctuations may adversely affect the trading price of our common shares. In the past, securities class action litigation has often been instituted against companies following periods of volatility in their stock price. This type of litigation, even if it does not result in liability for us, could result in substantial costs to us and divert management's attention and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shareholders could cause our share price to decline.</w:t>
      </w:r>
    </w:p>
    <w:p>
      <w:pPr>
        <w:spacing w:after="0" w:line="252"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Sales of substantial amounts of our common shares in the public market, or the perception that these sales could occur, could cause the market price of our common shares to decline. As of February 19, 2021, we had 112,840,615 outstanding common shares. In the future, we may issue additional common shares or other equity or debt securities convertible into common shares in connection with a financing, acquisition, and litigation settlement or employee arrangement or otherwise. Any of these issuances could result in substantial dilution to our existing shareholders and could cause the trading price of our common shares to decline.</w:t>
      </w:r>
    </w:p>
    <w:p>
      <w:pPr>
        <w:spacing w:after="0" w:line="21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share price and trading volume could decline.</w:t>
      </w:r>
    </w:p>
    <w:p>
      <w:pPr>
        <w:spacing w:after="0" w:line="19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The trading market for our common shares depends in part on the research and reports that securities or industry analysts publish about us or our business. If one or more of these analysts downgrades our shares or publishes misleading or unfavorable research about our business, our share price would likely decline. If one or more of these analysts ceases coverage of our Company or fails to publish reports on us regularly, demand for our shares could decrease, which could cause our share price or trading volume to decline.</w:t>
      </w:r>
    </w:p>
    <w:p>
      <w:pPr>
        <w:spacing w:after="0" w:line="21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Future offerings of debt or equity securities, which may rank senior to our common shares, may restrict our operating flexibility and adversely affect the market price of our common shares.</w:t>
      </w:r>
    </w:p>
    <w:p>
      <w:pPr>
        <w:spacing w:after="0" w:line="197"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shares and may adversely affect the market price of our common shares. Any such debt or preference equity securities will rank senior to our common shares and will also have priority with respect to any distributions upon a liquidation, dissolution or similar event, which could result in the loss of all or a portion of your investment. Our decision to issue such securities will depend on market conditions and other factors beyond our control, and we cannot predict or estimate the amount, timing or nature of our future offerings.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6" w:name="page57"/>
    <w:bookmarkEnd w:id="56"/>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jc w:val="center"/>
        <w:ind w:right="86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We lease office facilities in Radnor, Pennsylvania and additional offices in Winston-Salem, North Carolina, and Irvine, California for our U.S. operations headquarters, and we lease office facilities in Bermuda for our Bermuda-based reinsurance company. We believe our current facilities are adequate for our current needs and that suitable additional space will be available as and when needed.</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891" w:right="89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ITEM 5. MARKET FOR THE COMPANY'S COMMON EQUITY, RELATED STOCKHOLDER MATTERS AND ISSUER PURCHASES OF EQUITY SECURITIES</w:t>
      </w:r>
    </w:p>
    <w:p>
      <w:pPr>
        <w:spacing w:after="0" w:line="193"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Our common shares trade on the New York Stock Exchange (NYSE) under the symbol "ESNT." As of February 19, 2021, we had approximately 11 holders of record of our common shares.</w:t>
      </w:r>
    </w:p>
    <w:p>
      <w:pPr>
        <w:spacing w:after="0" w:line="19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We have paid a quarterly dividend since September 2019. A dividend of $0.16 per share was declared and paid for each quarter in 2020 as well as for the first quarter of 2021. We presently expect to continue to declare a comparable regular quarterly dividend on our common stock in the future. For information on Essent Group's ability to pay dividends, see Item 7 "Management's Discussion and Analysis of Financial Condition and Results of Operations—Liquidity and Capital Resources."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ind w:right="80" w:firstLine="445"/>
        <w:spacing w:after="0" w:line="301" w:lineRule="auto"/>
        <w:rPr>
          <w:sz w:val="20"/>
          <w:szCs w:val="20"/>
          <w:color w:val="auto"/>
        </w:rPr>
      </w:pPr>
      <w:r>
        <w:rPr>
          <w:rFonts w:ascii="Arial" w:cs="Arial" w:eastAsia="Arial" w:hAnsi="Arial"/>
          <w:sz w:val="16"/>
          <w:szCs w:val="16"/>
          <w:color w:val="auto"/>
        </w:rPr>
        <w:t>The following performance graph compares, for the period from October 31, 2013 (the date our common shares commenced trading on the NYSE) through December 31, 2020, the cumulative total shareholder return of an investment in (i) our common shares, (ii) the S&amp;P 500 and (iii) a composite peer group selected by us consisting of Arch Capital Group Ltd., Genworth Financial, Inc., MGIC Investment Corporation, NMI Holdings, Inc. and Radian Group Inc. We selected the members of this peer group because each is a direct competitor of ours in the private mortgage insurance industry.</w:t>
      </w:r>
    </w:p>
    <w:p>
      <w:pPr>
        <w:spacing w:after="0" w:line="184"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The graph assumes an initial investment of $100 and the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134620</wp:posOffset>
            </wp:positionV>
            <wp:extent cx="5863590" cy="2357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6359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10/31/2013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4"/>
              </w:rPr>
              <w:t>12/31/2013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12/31/2014</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12/31/2015</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12/31/2016</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12/31/2017</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12/31/2018</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12/31/2019</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1"/>
              </w:rPr>
              <w:t>12/31/2020</w:t>
            </w:r>
          </w:p>
        </w:tc>
      </w:tr>
      <w:tr>
        <w:trPr>
          <w:trHeight w:val="22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500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117.21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116.36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127.46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152.21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142.71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183.93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w:t>
            </w: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Peer Index</w:t>
            </w: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101.24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133.32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166.77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173.37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152.23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262.00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224.15</w:t>
            </w: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ESNT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122.43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104.24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154.14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206.76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162.76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254.50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228.16</w:t>
            </w:r>
          </w:p>
        </w:tc>
      </w:tr>
    </w:tbl>
    <w:p>
      <w:pPr>
        <w:spacing w:after="0" w:line="323" w:lineRule="exact"/>
        <w:rPr>
          <w:sz w:val="20"/>
          <w:szCs w:val="20"/>
          <w:color w:val="auto"/>
        </w:rPr>
      </w:pPr>
    </w:p>
    <w:p>
      <w:pPr>
        <w:ind w:right="300" w:firstLine="445"/>
        <w:spacing w:after="0" w:line="279" w:lineRule="auto"/>
        <w:rPr>
          <w:sz w:val="20"/>
          <w:szCs w:val="20"/>
          <w:color w:val="auto"/>
        </w:rPr>
      </w:pPr>
      <w:r>
        <w:rPr>
          <w:rFonts w:ascii="Arial" w:cs="Arial" w:eastAsia="Arial" w:hAnsi="Arial"/>
          <w:sz w:val="17"/>
          <w:szCs w:val="17"/>
          <w:color w:val="auto"/>
        </w:rPr>
        <w:t>The performance graph and related information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of our common shares during the fourth quarter of 2020.</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8" w:name="page59"/>
    <w:bookmarkEnd w:id="58"/>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60" w:type="dxa"/>
            <w:vAlign w:val="bottom"/>
            <w:gridSpan w:val="2"/>
          </w:tcPr>
          <w:p>
            <w:pPr>
              <w:spacing w:after="0" w:line="122" w:lineRule="exact"/>
              <w:rPr>
                <w:sz w:val="20"/>
                <w:szCs w:val="20"/>
                <w:color w:val="auto"/>
              </w:rPr>
            </w:pPr>
            <w:r>
              <w:rPr>
                <w:rFonts w:ascii="Arial" w:cs="Arial" w:eastAsia="Arial" w:hAnsi="Arial"/>
                <w:sz w:val="14"/>
                <w:szCs w:val="14"/>
                <w:b w:val="1"/>
                <w:bCs w:val="1"/>
                <w:color w:val="auto"/>
              </w:rPr>
              <w:t>Summary of Operations</w:t>
            </w:r>
          </w:p>
        </w:tc>
        <w:tc>
          <w:tcPr>
            <w:tcW w:w="260" w:type="dxa"/>
            <w:vAlign w:val="bottom"/>
          </w:tcPr>
          <w:p>
            <w:pPr>
              <w:spacing w:after="0"/>
              <w:rPr>
                <w:sz w:val="10"/>
                <w:szCs w:val="10"/>
                <w:color w:val="auto"/>
              </w:rPr>
            </w:pPr>
          </w:p>
        </w:tc>
        <w:tc>
          <w:tcPr>
            <w:tcW w:w="8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thousands, except per share amounts)</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5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Net premiums written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834,113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760,845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685,287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570,186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441,278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Decrease (increase) in unearned premiums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Net premiums earned</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862,564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777,425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649,492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530,130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422,707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Realized investment gains, net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955,154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867,567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719,353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576,511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458,258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Losses and expenses: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Provision for losses and LAE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301,293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underwriting and operating expenses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130,425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losses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208,506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490,096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659,061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546,699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398,568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311,882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413,041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555,713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467,363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379,747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222,606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 (EPS):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90,913</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5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106,376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98,227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97,974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95,211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92,245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2860" w:type="dxa"/>
            <w:vAlign w:val="bottom"/>
            <w:gridSpan w:val="2"/>
          </w:tcPr>
          <w:p>
            <w:pPr>
              <w:spacing w:after="0" w:line="127" w:lineRule="exact"/>
              <w:rPr>
                <w:sz w:val="20"/>
                <w:szCs w:val="20"/>
                <w:color w:val="auto"/>
              </w:rPr>
            </w:pPr>
            <w:r>
              <w:rPr>
                <w:rFonts w:ascii="Arial" w:cs="Arial" w:eastAsia="Arial" w:hAnsi="Arial"/>
                <w:sz w:val="14"/>
                <w:szCs w:val="14"/>
                <w:b w:val="1"/>
                <w:bCs w:val="1"/>
                <w:color w:val="auto"/>
              </w:rPr>
              <w:t>Balance sheet data</w:t>
            </w:r>
          </w:p>
        </w:tc>
        <w:tc>
          <w:tcPr>
            <w:tcW w:w="3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4,654,277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3,429,620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2,791,018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2,305,565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Cash</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102,830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71,350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64,946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43,524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5,202,724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3,873,425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3,149,971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2,674,368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Reserve for losses and LAE</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374,941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69,362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49,464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46,850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Unearned premium reserve</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250,436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278,887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295,467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259,672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Credit facility borrowings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321,720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224,237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223,664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248,591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3,862,633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2,984,845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2,365,717</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1,940,436</w:t>
            </w:r>
          </w:p>
        </w:tc>
        <w:tc>
          <w:tcPr>
            <w:tcW w:w="4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1,343,773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860" w:type="dxa"/>
            <w:vAlign w:val="bottom"/>
            <w:gridSpan w:val="2"/>
          </w:tcPr>
          <w:p>
            <w:pPr>
              <w:spacing w:after="0" w:line="122" w:lineRule="exact"/>
              <w:rPr>
                <w:sz w:val="20"/>
                <w:szCs w:val="20"/>
                <w:color w:val="auto"/>
              </w:rPr>
            </w:pPr>
            <w:r>
              <w:rPr>
                <w:rFonts w:ascii="Arial" w:cs="Arial" w:eastAsia="Arial" w:hAnsi="Arial"/>
                <w:sz w:val="14"/>
                <w:szCs w:val="14"/>
                <w:b w:val="1"/>
                <w:bCs w:val="1"/>
                <w:color w:val="auto"/>
              </w:rPr>
              <w:t>Selected additional data</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insurance written(1)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w w:val="95"/>
              </w:rPr>
              <w:t>107,944,065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5"/>
              </w:rPr>
              <w:t>63,569,183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47,508,525</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43,858,322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34,949,319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Loss ratio(2)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 ratio(3)</w:t>
            </w:r>
          </w:p>
        </w:tc>
        <w:tc>
          <w:tcPr>
            <w:tcW w:w="3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Combined ratio</w:t>
            </w: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52.9 %</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Return on average equity</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20" w:type="dxa"/>
            <w:vAlign w:val="bottom"/>
            <w:gridSpan w:val="2"/>
          </w:tcPr>
          <w:p>
            <w:pPr>
              <w:spacing w:after="0" w:line="122" w:lineRule="exact"/>
              <w:rPr>
                <w:sz w:val="20"/>
                <w:szCs w:val="20"/>
                <w:color w:val="auto"/>
              </w:rPr>
            </w:pPr>
            <w:r>
              <w:rPr>
                <w:rFonts w:ascii="Arial" w:cs="Arial" w:eastAsia="Arial" w:hAnsi="Arial"/>
                <w:sz w:val="14"/>
                <w:szCs w:val="14"/>
                <w:b w:val="1"/>
                <w:bCs w:val="1"/>
                <w:color w:val="auto"/>
              </w:rPr>
              <w:t>Insurance portfolio</w:t>
            </w:r>
          </w:p>
        </w:tc>
        <w:tc>
          <w:tcPr>
            <w:tcW w:w="280" w:type="dxa"/>
            <w:vAlign w:val="bottom"/>
          </w:tcPr>
          <w:p>
            <w:pPr>
              <w:spacing w:after="0"/>
              <w:rPr>
                <w:sz w:val="10"/>
                <w:szCs w:val="10"/>
                <w:color w:val="auto"/>
              </w:rPr>
            </w:pPr>
          </w:p>
        </w:tc>
        <w:tc>
          <w:tcPr>
            <w:tcW w:w="130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in force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198,882,352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164,005,853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137,720,786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110,461,950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83,265,522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Risk in force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41,339,262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38,947,857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33,892,869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27,443,985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20,627,317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Policies in force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799,893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702,925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608,135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496,477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375,898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Loans in default</w:t>
            </w:r>
          </w:p>
        </w:tc>
        <w:tc>
          <w:tcPr>
            <w:tcW w:w="2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31,469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5,947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4,783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 loans in default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Insurance company capital</w:t>
            </w: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i w:val="1"/>
                <w:iCs w:val="1"/>
                <w:color w:val="auto"/>
                <w:w w:val="95"/>
              </w:rPr>
              <w:t>U.S. Mortgage Insurance Subsidiaries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statutory capital(4)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2,659,161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2,335,828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1,886,929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1,528,869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1,144,279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Risk-to-capital ratios: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Essent Guaranty, Inc.</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Essent Guaranty of PA, Inc.</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Combined(5)</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Essent Reinsurance Ltd.</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Stockholder's equity (GAAP basis)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1,101,003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939,360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798,612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662,819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401,273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risk in force(6)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12,892,300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10,314,942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8,265,763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6,299,437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4,181,737</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right="20" w:hanging="412"/>
        <w:spacing w:after="0" w:line="259" w:lineRule="auto"/>
        <w:tabs>
          <w:tab w:leader="none" w:pos="414"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New insurance written ("NIW") includes NIW on a flow basis (in which loans are insured in individual, loan-by-loan transactions) and bulk insurance that we write (in which each loan in a portfolio of loans is insured in a single transaction).</w:t>
      </w:r>
    </w:p>
    <w:p>
      <w:pPr>
        <w:spacing w:after="0" w:line="212" w:lineRule="exact"/>
        <w:rPr>
          <w:rFonts w:ascii="Arial" w:cs="Arial" w:eastAsia="Arial" w:hAnsi="Arial"/>
          <w:sz w:val="18"/>
          <w:szCs w:val="18"/>
          <w:color w:val="auto"/>
        </w:rPr>
      </w:pPr>
    </w:p>
    <w:p>
      <w:pPr>
        <w:ind w:left="400" w:hanging="392"/>
        <w:spacing w:after="0"/>
        <w:tabs>
          <w:tab w:leader="none" w:pos="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ratio is calculated by dividing the provision for losses and loss adjustment expenses ("LAE") by net premiums earned.</w:t>
      </w:r>
    </w:p>
    <w:p>
      <w:pPr>
        <w:spacing w:after="0" w:line="252" w:lineRule="exact"/>
        <w:rPr>
          <w:rFonts w:ascii="Arial" w:cs="Arial" w:eastAsia="Arial" w:hAnsi="Arial"/>
          <w:sz w:val="18"/>
          <w:szCs w:val="18"/>
          <w:color w:val="auto"/>
        </w:rPr>
      </w:pPr>
    </w:p>
    <w:p>
      <w:pPr>
        <w:ind w:left="400" w:hanging="392"/>
        <w:spacing w:after="0"/>
        <w:tabs>
          <w:tab w:leader="none" w:pos="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Expense ratio is calculated by dividing other underwriting and operating expenses by net premiums earned.</w:t>
      </w:r>
    </w:p>
    <w:p>
      <w:pPr>
        <w:spacing w:after="0" w:line="252" w:lineRule="exact"/>
        <w:rPr>
          <w:rFonts w:ascii="Arial" w:cs="Arial" w:eastAsia="Arial" w:hAnsi="Arial"/>
          <w:sz w:val="18"/>
          <w:szCs w:val="18"/>
          <w:color w:val="auto"/>
        </w:rPr>
      </w:pPr>
    </w:p>
    <w:p>
      <w:pPr>
        <w:ind w:left="420" w:right="120" w:hanging="412"/>
        <w:spacing w:after="0" w:line="286" w:lineRule="auto"/>
        <w:tabs>
          <w:tab w:leader="none" w:pos="414"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Combined statutory capital equals the sum of statutory capital of Essent Guaranty, Inc. plus Essent Guaranty of PA, Inc., after eliminating the impact of intercompany transactions. Statutory capital is computed based on accounting practices prescribed or permitted by the Pennsylvania Insurance Department and the National Association of Insurance Commissioners Accounting Practices and Procedures Manual.</w:t>
      </w:r>
    </w:p>
    <w:p>
      <w:pPr>
        <w:spacing w:after="0" w:line="192" w:lineRule="exact"/>
        <w:rPr>
          <w:rFonts w:ascii="Arial" w:cs="Arial" w:eastAsia="Arial" w:hAnsi="Arial"/>
          <w:sz w:val="17"/>
          <w:szCs w:val="17"/>
          <w:color w:val="auto"/>
        </w:rPr>
      </w:pPr>
    </w:p>
    <w:p>
      <w:pPr>
        <w:ind w:left="420" w:right="480" w:hanging="412"/>
        <w:spacing w:after="0" w:line="277" w:lineRule="auto"/>
        <w:tabs>
          <w:tab w:leader="none" w:pos="414"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Combined risk-to-capital ratio equals the sum of net risk in force of Essent Guaranty, Inc. and Essent Guaranty of PA, Inc. divided by combined statutory capital.</w:t>
      </w:r>
    </w:p>
    <w:p>
      <w:pPr>
        <w:spacing w:after="0" w:line="197" w:lineRule="exact"/>
        <w:rPr>
          <w:rFonts w:ascii="Arial" w:cs="Arial" w:eastAsia="Arial" w:hAnsi="Arial"/>
          <w:sz w:val="18"/>
          <w:szCs w:val="18"/>
          <w:color w:val="auto"/>
        </w:rPr>
      </w:pPr>
    </w:p>
    <w:p>
      <w:pPr>
        <w:ind w:left="400" w:hanging="392"/>
        <w:spacing w:after="0"/>
        <w:tabs>
          <w:tab w:leader="none" w:pos="4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Net risk in force represents total risk in force, net of reinsurance ceded and net of exposures on policies for which loss reserves have been established.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60" w:name="page61"/>
    <w:bookmarkEnd w:id="60"/>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i w:val="1"/>
          <w:iCs w:val="1"/>
          <w:color w:val="auto"/>
        </w:rPr>
        <w:t>The following discussion should be read in conjunction with the "Selected Financial Data" and our financial statements and related notes thereto included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We are an established and growing private mortgage insurance company. Essent Guaranty, Inc., our wholly-owned insurance subsidiary which we refer to as "Essent Guaranty," is licensed to write coverage in all 50 states and the District of Columbia. The financial strength ratings of Essent Guaranty are A3 with a stable outlook by Moody's Investors Service ("Moody's"), BBB+ with a negative outlook by S&amp;P Global Ratings ("S&amp;P") and A (Excellent) with a stable outlook by A.M. Best.</w:t>
      </w:r>
    </w:p>
    <w:p>
      <w:pPr>
        <w:spacing w:after="0" w:line="214"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with 381 employees as of December 31, 2020. For the years ended December 31, 2020, 2019 and 2018, we generated new insurance written, or NIW, of approximately $107.9 billion, $63.6 billion and $47.5 billion, respectively. As of December 31, 2020, we had approximately $198.9 billion of insurance in force. Our top ten customers represented approximately 35.8%, 42.8% and 43.5% of our NIW on a flow basis for the years ended December 31, 2020, 2019 and 2018, respectively.</w:t>
      </w:r>
    </w:p>
    <w:p>
      <w:pPr>
        <w:spacing w:after="0" w:line="219" w:lineRule="exact"/>
        <w:rPr>
          <w:sz w:val="20"/>
          <w:szCs w:val="20"/>
          <w:color w:val="auto"/>
        </w:rPr>
      </w:pPr>
    </w:p>
    <w:p>
      <w:pPr>
        <w:ind w:right="100" w:firstLine="445"/>
        <w:spacing w:after="0" w:line="301" w:lineRule="auto"/>
        <w:rPr>
          <w:sz w:val="20"/>
          <w:szCs w:val="20"/>
          <w:color w:val="auto"/>
        </w:rPr>
      </w:pPr>
      <w:r>
        <w:rPr>
          <w:rFonts w:ascii="Arial" w:cs="Arial" w:eastAsia="Arial" w:hAnsi="Arial"/>
          <w:sz w:val="16"/>
          <w:szCs w:val="16"/>
          <w:color w:val="auto"/>
        </w:rPr>
        <w:t>We also offer mortgage-related insurance and reinsurance through our wholly-owned Bermuda-based subsidiary, Essent Reinsurance Ltd., which we refer to as "Essent Re." As of December 31, 2020, Essent Re provided insurance or reinsurance relating to GSE risk share and other reinsurance transactions covering approximately $1.4 billion of risk. Essent Re also reinsures 25% of Essent Guaranty's NIW under a quota share reinsurance agreement. The financial strength ratings of Essent Re are BBB+ with a negative outlook by S&amp;P and A (Excellent) with a stable outlook by A.M. Best.</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The novel coronavirus disease 2019 ("COVID-19") was first identified in December 2019 in Wuhan, China. On March 11, 2020 the outbreak had spread such that it was declared to be a pandemic by the World Health Organization (“WHO”). Within a week of the WHO's declaration, most major economies had announced significant and increasing restrictions on the movement and interaction of people. By the end of March 2020, it was estimated that a quarter of the world’s population was under some form of lockdown or stay-at-home order. Most state governments in the United States implemented some form of travel and/or business restrictions to slow the spread of COVID-19. Due to business restrictions, stay-at-home orders and travel restrictions initially implemented in March 2020, unemployment in the United States increased significantly in the second quarter of 2020 and remained elevated at December 31, 2020. As unemployment is one of the most common reasons for borrowers to default on their mortgage, the increase in unemployment has increased the number of delinquencies and has the potential to increase claim frequencies on the mortgages we insure.</w:t>
      </w:r>
    </w:p>
    <w:p>
      <w:pPr>
        <w:spacing w:after="0" w:line="192"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In response to the impact of COVID-19, the federal government has implemented unprecedented measures to assist borrowers in avoiding foreclosures and allow families to remain in their homes. Most notably, under the Coronavirus Aid, Relief, and Economic Security Act ("CARES Act"), consumers with federally backed mortgages were granted two financial protections: (1) a temporary moratorium on foreclosures, and (2) mortgage forbearance, either in the form of a lower monthly payment or temporarily suspending payments. Under the new law, borrowers have the right to request forbearance for up to 360 days due to hardship caused by COVID-19. We believe that these measures will likely increase the overall duration of the default resolution process and reduce the number of defaults that result in claims compared to our historical default-to-claim experience. However, the increase in the default resolution process may result in increases in claim severities for loans that proceed to claim.</w:t>
      </w:r>
    </w:p>
    <w:p>
      <w:pPr>
        <w:spacing w:after="0" w:line="204"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Over 90% of loans insured by Essent are federally backed by Fannie Mae or Freddie Mac. As a mortgage loan in forbearance is considered delinquent, we will provide loss reserves as loans in forbearance are reported to us as delinquent once the borrower has missed two consecutive payments. However, we believe providing borrowers time to recover from the adverse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p>
      <w:pPr>
        <w:jc w:val="both"/>
        <w:ind w:right="180"/>
        <w:spacing w:after="0" w:line="263" w:lineRule="auto"/>
        <w:rPr>
          <w:sz w:val="20"/>
          <w:szCs w:val="20"/>
          <w:color w:val="auto"/>
        </w:rPr>
      </w:pPr>
      <w:r>
        <w:rPr>
          <w:rFonts w:ascii="Arial" w:cs="Arial" w:eastAsia="Arial" w:hAnsi="Arial"/>
          <w:sz w:val="18"/>
          <w:szCs w:val="18"/>
          <w:color w:val="auto"/>
        </w:rPr>
        <w:t>financial impact of the COVID-19 event may allow some families to be able to remain in their homes and avoid foreclosure. For borrowers that have the ability to begin to pay their mortgage at the end of the forbearance period, we expect that mortgage servicers will work with them to modify their loans at which time the mortgage will be removed from delinquency status.</w:t>
      </w:r>
    </w:p>
    <w:p>
      <w:pPr>
        <w:spacing w:after="0" w:line="211" w:lineRule="exact"/>
        <w:rPr>
          <w:sz w:val="20"/>
          <w:szCs w:val="20"/>
          <w:color w:val="auto"/>
        </w:rPr>
      </w:pPr>
    </w:p>
    <w:p>
      <w:pPr>
        <w:ind w:right="100" w:firstLine="445"/>
        <w:spacing w:after="0" w:line="279" w:lineRule="auto"/>
        <w:rPr>
          <w:sz w:val="20"/>
          <w:szCs w:val="20"/>
          <w:color w:val="auto"/>
        </w:rPr>
      </w:pPr>
      <w:r>
        <w:rPr>
          <w:rFonts w:ascii="Arial" w:cs="Arial" w:eastAsia="Arial" w:hAnsi="Arial"/>
          <w:sz w:val="17"/>
          <w:szCs w:val="17"/>
          <w:color w:val="auto"/>
        </w:rPr>
        <w:t>Essent has had a Pandemic Plan in place as part of its comprehensive Business Continuity Program for a number of years and invoked the Pandemic Plan in light of the COVID-19 event. A majority of our workforce has been working remotely since March 16, 2020. Through the use of technology, our national and regional account managers and customer service team have been in contact with our policyholders and their servicers, and we have made several COVID-19-related announcements which have been posted on our mortgage insurance website.</w:t>
      </w:r>
    </w:p>
    <w:p>
      <w:pPr>
        <w:spacing w:after="0" w:line="198"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As of March 31, 2020, COVID-19 had not had a significant impact on our financial position or results of operations. Beginning in April 2020 through December 2020, we experienced an increase in the number and percentage of mortgage loans we insure that were reported to have missed at least two consecutive payments of principal and interest as a result of COVID-19, which has resulted in an increase in our provision for losses in the year ended December 31, 2020. The impact on our reserves in future periods will be dependent upon the amount of delinquent notices received from loan servicers and our expectations for the amount of ultimate losses on these delinquencies. As noted in “— Liquidity and Capital Resources,” Essent had substantial liquidity and had Available Assets in excess of Minimum Required Assets under PMIERs 2.0 as of December 31, 2020. In order to maintain continuous MI coverage, mortgage servicers are required to advance MI premiums to us even if borrowers are in a forbearance plan. Future increases in defaults may result in an increase in our provisions for loss and loss adjustment expenses compared to prior periods, reduced profit commission under our quota share reinsurance agreement with a panel of third-party reinsurers (the "QSR Agreement") and an increase in our Minimum Required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56"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Key regulatory and legislative developments that may affect us include:</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Housing Finance, GSE Reform and GSE Qualified Mortgage Insurer Requirements</w:t>
      </w:r>
    </w:p>
    <w:p>
      <w:pPr>
        <w:spacing w:after="0" w:line="252" w:lineRule="exact"/>
        <w:rPr>
          <w:sz w:val="20"/>
          <w:szCs w:val="20"/>
          <w:color w:val="auto"/>
        </w:rPr>
      </w:pPr>
    </w:p>
    <w:p>
      <w:pPr>
        <w:ind w:right="60" w:firstLine="445"/>
        <w:spacing w:after="0" w:line="301" w:lineRule="auto"/>
        <w:rPr>
          <w:sz w:val="20"/>
          <w:szCs w:val="20"/>
          <w:color w:val="auto"/>
        </w:rPr>
      </w:pPr>
      <w:r>
        <w:rPr>
          <w:rFonts w:ascii="Arial" w:cs="Arial" w:eastAsia="Arial" w:hAnsi="Arial"/>
          <w:sz w:val="16"/>
          <w:szCs w:val="16"/>
          <w:color w:val="auto"/>
        </w:rPr>
        <w:t>Because a substantial majority of our current and expected future business is the provision of mortgage insurance on loans sold to the GSEs, changes to the business practices of the GSEs or any regulation relating to the GSEs may impact our business and our results of operations. The Federal Housing Finance Agency ("FHFA") is the regulator and conservator of the GSEs with authority to control and direct their operations. The FHFA has directed, and is likely to continue to direct, changes to the business operations of the GSEs in ways that affect the mortgage insurance industry.</w:t>
      </w:r>
    </w:p>
    <w:p>
      <w:pPr>
        <w:spacing w:after="0" w:line="184" w:lineRule="exact"/>
        <w:rPr>
          <w:sz w:val="20"/>
          <w:szCs w:val="20"/>
          <w:color w:val="auto"/>
        </w:rPr>
      </w:pPr>
    </w:p>
    <w:p>
      <w:pPr>
        <w:jc w:val="both"/>
        <w:ind w:right="160" w:firstLine="445"/>
        <w:spacing w:after="0" w:line="275" w:lineRule="auto"/>
        <w:rPr>
          <w:sz w:val="20"/>
          <w:szCs w:val="20"/>
          <w:color w:val="auto"/>
        </w:rPr>
      </w:pPr>
      <w:r>
        <w:rPr>
          <w:rFonts w:ascii="Arial" w:cs="Arial" w:eastAsia="Arial" w:hAnsi="Arial"/>
          <w:sz w:val="17"/>
          <w:szCs w:val="17"/>
          <w:color w:val="auto"/>
        </w:rPr>
        <w:t>It is likely that Federal legislation will be necessary to resolve the conservatorship of the GSEs, and such legislation could materially affect the role and charter of the GSEs and the operation of the housing finance system. In 2011, the U.S. Department of the Treasury recommended options for winding down the GSEs and using a combination of Federal housing policy changes to contract the government's footprint in housing finance and restore a larger role for private capital. Since 2011, members of Congress have introduced several bills intended to reform the secondary market and the role of the GSEs, although no comprehensive housing finance or GSE reform legislation has been enacted to date.</w:t>
      </w:r>
    </w:p>
    <w:p>
      <w:pPr>
        <w:spacing w:after="0" w:line="203" w:lineRule="exact"/>
        <w:rPr>
          <w:sz w:val="20"/>
          <w:szCs w:val="20"/>
          <w:color w:val="auto"/>
        </w:rPr>
      </w:pPr>
    </w:p>
    <w:p>
      <w:pPr>
        <w:ind w:right="120" w:firstLine="445"/>
        <w:spacing w:after="0" w:line="272" w:lineRule="auto"/>
        <w:rPr>
          <w:sz w:val="20"/>
          <w:szCs w:val="20"/>
          <w:color w:val="auto"/>
        </w:rPr>
      </w:pPr>
      <w:r>
        <w:rPr>
          <w:rFonts w:ascii="Arial" w:cs="Arial" w:eastAsia="Arial" w:hAnsi="Arial"/>
          <w:sz w:val="17"/>
          <w:szCs w:val="17"/>
          <w:color w:val="auto"/>
        </w:rPr>
        <w:t>Any changes to the charters or statutory authorities of the GSEs would require Congressional action to implement. Congress, however, has not enacted any legislation to date. See "Business—Regulation—Federal Mortgage-Related Laws and Regulations—Housing Finance Reform," "Risk Factors —Risks Relating to Regulation and Litigation—</w:t>
      </w:r>
      <w:r>
        <w:rPr>
          <w:rFonts w:ascii="Arial" w:cs="Arial" w:eastAsia="Arial" w:hAnsi="Arial"/>
          <w:sz w:val="17"/>
          <w:szCs w:val="17"/>
          <w:i w:val="1"/>
          <w:iCs w:val="1"/>
          <w:color w:val="auto"/>
        </w:rPr>
        <w:t>Legislative or regulatory actions or decisions to change the role of the GSEs in the U.S. housing market</w:t>
      </w:r>
      <w:r>
        <w:rPr>
          <w:rFonts w:ascii="Arial" w:cs="Arial" w:eastAsia="Arial" w:hAnsi="Arial"/>
          <w:sz w:val="17"/>
          <w:szCs w:val="17"/>
          <w:color w:val="auto"/>
        </w:rPr>
        <w:t xml:space="preserve"> </w:t>
      </w:r>
      <w:r>
        <w:rPr>
          <w:rFonts w:ascii="Arial" w:cs="Arial" w:eastAsia="Arial" w:hAnsi="Arial"/>
          <w:sz w:val="17"/>
          <w:szCs w:val="17"/>
          <w:i w:val="1"/>
          <w:iCs w:val="1"/>
          <w:color w:val="auto"/>
        </w:rPr>
        <w:t>generally, or changes to the charters of the GSEs with regard to the use of credit enhancements generally and private mortgage insurance specifically, could reduce our revenues or adversely affect our profitability and returns,</w:t>
      </w:r>
      <w:r>
        <w:rPr>
          <w:rFonts w:ascii="Arial" w:cs="Arial" w:eastAsia="Arial" w:hAnsi="Arial"/>
          <w:sz w:val="17"/>
          <w:szCs w:val="17"/>
          <w:color w:val="auto"/>
        </w:rPr>
        <w:t>" and "—</w:t>
      </w:r>
      <w:r>
        <w:rPr>
          <w:rFonts w:ascii="Arial" w:cs="Arial" w:eastAsia="Arial" w:hAnsi="Arial"/>
          <w:sz w:val="17"/>
          <w:szCs w:val="17"/>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7"/>
          <w:szCs w:val="17"/>
          <w:color w:val="auto"/>
        </w:rPr>
        <w:t>"</w:t>
      </w:r>
    </w:p>
    <w:p>
      <w:pPr>
        <w:spacing w:after="0" w:line="204" w:lineRule="exact"/>
        <w:rPr>
          <w:sz w:val="20"/>
          <w:szCs w:val="20"/>
          <w:color w:val="auto"/>
        </w:rPr>
      </w:pPr>
    </w:p>
    <w:p>
      <w:pPr>
        <w:ind w:right="140" w:firstLine="445"/>
        <w:spacing w:after="0" w:line="272" w:lineRule="auto"/>
        <w:rPr>
          <w:sz w:val="20"/>
          <w:szCs w:val="20"/>
          <w:color w:val="auto"/>
        </w:rPr>
      </w:pPr>
      <w:r>
        <w:rPr>
          <w:rFonts w:ascii="Arial" w:cs="Arial" w:eastAsia="Arial" w:hAnsi="Arial"/>
          <w:sz w:val="17"/>
          <w:szCs w:val="17"/>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 revised PMIERs framework, which we refer to as "PMIERs 2.0," became effective on March 31, 2019. As of December 31, 2020, Essent Guaranty, our GSE-approved mortgage insurance company, was in compliance with PMIERs 2.0.</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ind w:left="420"/>
        <w:spacing w:after="0"/>
        <w:rPr>
          <w:sz w:val="20"/>
          <w:szCs w:val="20"/>
          <w:color w:val="auto"/>
        </w:rPr>
      </w:pPr>
      <w:r>
        <w:rPr>
          <w:rFonts w:ascii="Arial" w:cs="Arial" w:eastAsia="Arial" w:hAnsi="Arial"/>
          <w:sz w:val="18"/>
          <w:szCs w:val="18"/>
          <w:b w:val="1"/>
          <w:bCs w:val="1"/>
          <w:i w:val="1"/>
          <w:iCs w:val="1"/>
          <w:color w:val="auto"/>
        </w:rPr>
        <w:t>Dodd-Frank Act</w:t>
      </w:r>
    </w:p>
    <w:p>
      <w:pPr>
        <w:spacing w:after="0" w:line="252" w:lineRule="exact"/>
        <w:rPr>
          <w:sz w:val="20"/>
          <w:szCs w:val="20"/>
          <w:color w:val="auto"/>
        </w:rPr>
      </w:pPr>
    </w:p>
    <w:p>
      <w:pPr>
        <w:ind w:right="560" w:firstLine="445"/>
        <w:spacing w:after="0" w:line="263" w:lineRule="auto"/>
        <w:rPr>
          <w:sz w:val="20"/>
          <w:szCs w:val="20"/>
          <w:color w:val="auto"/>
        </w:rPr>
      </w:pPr>
      <w:r>
        <w:rPr>
          <w:rFonts w:ascii="Arial" w:cs="Arial" w:eastAsia="Arial" w:hAnsi="Arial"/>
          <w:sz w:val="18"/>
          <w:szCs w:val="18"/>
          <w:color w:val="auto"/>
        </w:rPr>
        <w:t>Various regulatory agencies have produced, and are now in the process of developing additional, new rules under the Dodd-Frank Act that are expected to have a significant impact on the housing finance industry, including the Qualified Mortgage, or QM, definition and the risk retention requirement and related Qualified Residential Mortgage, or QRM, definition.</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QM Definition</w:t>
      </w:r>
    </w:p>
    <w:p>
      <w:pPr>
        <w:spacing w:after="0" w:line="252" w:lineRule="exact"/>
        <w:rPr>
          <w:sz w:val="20"/>
          <w:szCs w:val="20"/>
          <w:color w:val="auto"/>
        </w:rPr>
      </w:pPr>
    </w:p>
    <w:p>
      <w:pPr>
        <w:ind w:right="280" w:firstLine="445"/>
        <w:spacing w:after="0" w:line="257" w:lineRule="auto"/>
        <w:rPr>
          <w:sz w:val="20"/>
          <w:szCs w:val="20"/>
          <w:color w:val="auto"/>
        </w:rPr>
      </w:pPr>
      <w:r>
        <w:rPr>
          <w:rFonts w:ascii="Arial" w:cs="Arial" w:eastAsia="Arial" w:hAnsi="Arial"/>
          <w:sz w:val="18"/>
          <w:szCs w:val="18"/>
          <w:color w:val="auto"/>
        </w:rPr>
        <w:t>Under the Dodd-Frank Act, the Consumer Financial Protection Bureau ("CFPB") is authorized to issue regulations governing a loan originator's determination that, at the time a loan is originated, the consumer has a reasonable ability to repay the loan. The Dodd-Frank Act provides a statutory presumption that a borrower will have the ability to repay a loan if the loan has characteristics satisfying the QM definition. Under the CFPB's final rule regarding QMs, which we refer to as the "QM Rule," a loan is deemed to be a QM if it has certain loan features, satisfies extensive documentation requirements and meets limitations on fees and points and APRs.</w:t>
      </w:r>
    </w:p>
    <w:p>
      <w:pPr>
        <w:spacing w:after="0" w:line="215"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The QM Rule provides a "safe harbor" for QM loans with annual percentage rates, or APRs, below the threshold of 150 basis points over the Average Prime Offer Rate, or APOR, and a "rebuttable presumption" for QM loans with an APR above that threshold. In October 2020, the CFPB announced a final rule that would implement a previously temporary second category under the QM Rule providing for more flexible underwriting requirements (the "GSE Patch"). To qualify under this category, a mortgage must meet the general product feature requirements and be eligible to be purchased or guaranteed by either of the GSEs (while they remain under FHFA conservatorship), the FHA, the VA, and the U.S. Department of Agriculture Rural Development program. On February 23, 2021, the CFPB announced that, in light of the economic dislocations resulting from the COVID-19 pandemic, it intends to issue a proposed rule to delay the implementation of the final QM Rule and the GSE Patch.</w:t>
      </w:r>
    </w:p>
    <w:p>
      <w:pPr>
        <w:spacing w:after="0" w:line="204" w:lineRule="exact"/>
        <w:rPr>
          <w:sz w:val="20"/>
          <w:szCs w:val="20"/>
          <w:color w:val="auto"/>
        </w:rPr>
      </w:pPr>
    </w:p>
    <w:p>
      <w:pPr>
        <w:ind w:right="100" w:firstLine="445"/>
        <w:spacing w:after="0" w:line="288" w:lineRule="auto"/>
        <w:rPr>
          <w:sz w:val="20"/>
          <w:szCs w:val="20"/>
          <w:color w:val="auto"/>
        </w:rPr>
      </w:pPr>
      <w:r>
        <w:rPr>
          <w:rFonts w:ascii="Arial" w:cs="Arial" w:eastAsia="Arial" w:hAnsi="Arial"/>
          <w:sz w:val="16"/>
          <w:szCs w:val="16"/>
          <w:color w:val="auto"/>
        </w:rPr>
        <w:t>We expect that most lenders will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have a direct impact on establishing a subset of borrowers who can meet the regulatory standards and directly affect the willingness of lenders and mortgage investors to extend mortgage credit and therefore the size of the residential mortgage market. To the extent the use of private mortgage insurance causes a loan not to meet the definition of a QM, the volume of loans originated with mortgage insurance may decline. In addition, the impact of the mortgage insurance premiums on the calculation of points and fees for purposes of QM may influence the use of mortgage insurance, as well as our mix of premium plans and therefore our profitability. See "—Factors Affecting Our Results of Operations—Persistency and Business Mix" and "Risk Factors—Risks Relating to Regulation and Litigation—</w:t>
      </w:r>
      <w:r>
        <w:rPr>
          <w:rFonts w:ascii="Arial" w:cs="Arial" w:eastAsia="Arial" w:hAnsi="Arial"/>
          <w:sz w:val="16"/>
          <w:szCs w:val="16"/>
          <w:i w:val="1"/>
          <w:iCs w:val="1"/>
          <w:color w:val="auto"/>
        </w:rPr>
        <w:t>Our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prospects and operating results could be adversely impacted if, and to the extent that, the Consumer Financial Protection Bureau's ("CFPB") final rule defining a qualified mortgage ("QM") reduces the size of the origination market or creates incentives to use government mortgage insurance programs."</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Risk Retention Requirements and QRM Definition</w:t>
      </w:r>
    </w:p>
    <w:p>
      <w:pPr>
        <w:spacing w:after="0" w:line="252"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The Dodd-Frank Act provides for an originator or issuer risk retention requirement on securitized mortgage loans that do not meet the definition of a QRM. The QRM regulations align the definition of a QRM loan with that of a QM loan.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"Business—Regulation—Federal Mortgage-Related Laws and Regulation—Dodd-Frank Act—Qualified Residential Mortgage Regulations—Risk Retention Requirements" and "Risk Factors—Risks Relating to Our Business—</w:t>
      </w:r>
      <w:r>
        <w:rPr>
          <w:rFonts w:ascii="Arial" w:cs="Arial" w:eastAsia="Arial" w:hAnsi="Arial"/>
          <w:sz w:val="18"/>
          <w:szCs w:val="18"/>
          <w:i w:val="1"/>
          <w:iCs w:val="1"/>
          <w:color w:val="auto"/>
        </w:rPr>
        <w:t>The amount of</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 we write could be adversely affected by the Dodd-Frank Act's risk retention requirements and the definition of Qualified Residential Mortgage ("QRM")</w:t>
      </w:r>
      <w:r>
        <w:rPr>
          <w:rFonts w:ascii="Arial" w:cs="Arial" w:eastAsia="Arial" w:hAnsi="Arial"/>
          <w:sz w:val="18"/>
          <w:szCs w:val="18"/>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FHA Reform</w:t>
      </w:r>
    </w:p>
    <w:p>
      <w:pPr>
        <w:spacing w:after="0" w:line="252"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We compete with the single-family mortgage insurance programs of the FHA, which is part of the Department of Housing and Urban Development. The most recent FHA report to Congress dated November 13, 2020 on the financial status of the FHA's Mutual Mortgage Insurance Fund, or MMIF, showed the capital reserve ratio of the MMIF at 6.10%, above the Congressionally mandated required minimum level of 2%. See "Risk Factors—Risks Relating to the Operation of Our Business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amount of insurance we may be able to write could be adversely affected if lenders and investors select alternatives to private mortgage insurance.</w:t>
      </w:r>
      <w:r>
        <w:rPr>
          <w:rFonts w:ascii="Arial" w:cs="Arial" w:eastAsia="Arial" w:hAnsi="Arial"/>
          <w:sz w:val="16"/>
          <w:szCs w:val="16"/>
          <w:color w:val="auto"/>
        </w:rPr>
        <w:t>"</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 Reform</w:t>
      </w:r>
    </w:p>
    <w:p>
      <w:pPr>
        <w:spacing w:after="0" w:line="252"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The U.S. Internal Revenue Service and Department of the Treasury published both final and newly proposed regulations in January 2021 relating to the tax treatment of passive foreign investment companies ("PFICs"). The final regulations provide guidance on various PFIC rules, including changes resulting from the 2017 Tax Cuts and Jobs Act. In addition, the Company is evaluating the potential impact of the newly proposed PFIC regulations to its shareholders and business operations. The newly proposed regulations, among other provisions, set a limit on the amount of assets that may be deemed “good assets” within the PFIC asset test of a foreign holding company. See "Risk Factors—Risks Relating to Taxes and our Corporate Structure—</w:t>
      </w:r>
      <w:r>
        <w:rPr>
          <w:rFonts w:ascii="Arial" w:cs="Arial" w:eastAsia="Arial" w:hAnsi="Arial"/>
          <w:sz w:val="18"/>
          <w:szCs w:val="18"/>
          <w:i w:val="1"/>
          <w:iCs w:val="1"/>
          <w:color w:val="auto"/>
        </w:rPr>
        <w:t>U.S.</w:t>
      </w:r>
      <w:r>
        <w:rPr>
          <w:rFonts w:ascii="Arial" w:cs="Arial" w:eastAsia="Arial" w:hAnsi="Arial"/>
          <w:sz w:val="18"/>
          <w:szCs w:val="18"/>
          <w:color w:val="auto"/>
        </w:rPr>
        <w:t xml:space="preserve"> </w:t>
      </w:r>
      <w:r>
        <w:rPr>
          <w:rFonts w:ascii="Arial" w:cs="Arial" w:eastAsia="Arial" w:hAnsi="Arial"/>
          <w:sz w:val="18"/>
          <w:szCs w:val="18"/>
          <w:i w:val="1"/>
          <w:iCs w:val="1"/>
          <w:color w:val="auto"/>
        </w:rPr>
        <w:t>Persons who hold our shares will be subject to adverse tax consequences if we are considered to be a passive foreign investment company ("PFIC") for U.S. Federal income tax purposes.</w:t>
      </w:r>
      <w:r>
        <w:rPr>
          <w:rFonts w:ascii="Arial" w:cs="Arial" w:eastAsia="Arial" w:hAnsi="Arial"/>
          <w:sz w:val="18"/>
          <w:szCs w:val="18"/>
          <w:color w:val="auto"/>
        </w:rPr>
        <w:t>"</w:t>
      </w:r>
    </w:p>
    <w:p>
      <w:pPr>
        <w:spacing w:after="0" w:line="200" w:lineRule="exact"/>
        <w:rPr>
          <w:sz w:val="20"/>
          <w:szCs w:val="20"/>
          <w:color w:val="auto"/>
        </w:rPr>
      </w:pPr>
    </w:p>
    <w:p>
      <w:pPr>
        <w:spacing w:after="0" w:line="261" w:lineRule="exact"/>
        <w:rPr>
          <w:sz w:val="20"/>
          <w:szCs w:val="20"/>
          <w:color w:val="auto"/>
        </w:rPr>
      </w:pPr>
    </w:p>
    <w:p>
      <w:pPr>
        <w:jc w:val="center"/>
        <w:ind w:right="7820"/>
        <w:spacing w:after="0"/>
        <w:rPr>
          <w:sz w:val="20"/>
          <w:szCs w:val="20"/>
          <w:color w:val="auto"/>
        </w:rPr>
      </w:pPr>
      <w:r>
        <w:rPr>
          <w:rFonts w:ascii="Arial" w:cs="Arial" w:eastAsia="Arial" w:hAnsi="Arial"/>
          <w:sz w:val="16"/>
          <w:szCs w:val="16"/>
          <w:b w:val="1"/>
          <w:bCs w:val="1"/>
          <w:color w:val="auto"/>
        </w:rPr>
        <w:t>Factors Affecting Our Results of Operations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52"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Premiums associated with our U.S. mortgage insurance business are based on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84" w:lineRule="exact"/>
        <w:rPr>
          <w:sz w:val="20"/>
          <w:szCs w:val="20"/>
          <w:color w:val="auto"/>
        </w:rPr>
      </w:pPr>
    </w:p>
    <w:p>
      <w:pPr>
        <w:ind w:left="660" w:right="140" w:hanging="247"/>
        <w:spacing w:after="0" w:line="311" w:lineRule="auto"/>
        <w:tabs>
          <w:tab w:leader="none" w:pos="6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75" w:lineRule="exact"/>
        <w:rPr>
          <w:rFonts w:ascii="Arial" w:cs="Arial" w:eastAsia="Arial" w:hAnsi="Arial"/>
          <w:sz w:val="16"/>
          <w:szCs w:val="16"/>
          <w:color w:val="auto"/>
        </w:rPr>
      </w:pPr>
    </w:p>
    <w:p>
      <w:pPr>
        <w:ind w:left="660" w:right="260" w:hanging="247"/>
        <w:spacing w:after="0" w:line="308" w:lineRule="auto"/>
        <w:tabs>
          <w:tab w:leader="none" w:pos="6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73" w:lineRule="exact"/>
        <w:rPr>
          <w:rFonts w:ascii="Arial" w:cs="Arial" w:eastAsia="Arial" w:hAnsi="Arial"/>
          <w:sz w:val="17"/>
          <w:szCs w:val="17"/>
          <w:color w:val="auto"/>
        </w:rPr>
      </w:pPr>
    </w:p>
    <w:p>
      <w:pPr>
        <w:ind w:left="660" w:right="220" w:hanging="247"/>
        <w:spacing w:after="0" w:line="342" w:lineRule="auto"/>
        <w:tabs>
          <w:tab w:leader="none" w:pos="6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50" w:lineRule="exact"/>
        <w:rPr>
          <w:rFonts w:ascii="Arial" w:cs="Arial" w:eastAsia="Arial" w:hAnsi="Arial"/>
          <w:sz w:val="16"/>
          <w:szCs w:val="16"/>
          <w:color w:val="auto"/>
        </w:rPr>
      </w:pPr>
    </w:p>
    <w:p>
      <w:pPr>
        <w:ind w:left="660" w:right="80" w:hanging="247"/>
        <w:spacing w:after="0" w:line="263"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Premiums ceded or assumed under reinsurance arrangements. Prior to March 2018, we had not ceded any premiums under third-party reinsurance contracts. In 2018, 2019 and 2020, Essent Guaranty entered into third-party reinsurance agreements. See Note 5 to our consolidated financial statements.</w:t>
      </w:r>
    </w:p>
    <w:p>
      <w:pPr>
        <w:spacing w:after="0" w:line="211"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December 31, 2020 were non-refundable. Premiums collected on annual policies are recognized as net premiums earned on a straight-line basis over the year of coverage. For the years ended December 31, 2020 and 2019, monthly premium policies comprised 91% and 89% of our NIW, respectively.</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Premiums associated with our GSE and other risk share transactions are based on the level of risk in force and premium rates on the transactions.</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ind w:right="120" w:firstLine="445"/>
        <w:spacing w:after="0" w:line="263"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60.1% at December 31, 2020. Generally, higher prepayment speeds lead to lower persistency.</w:t>
      </w:r>
    </w:p>
    <w:p>
      <w:pPr>
        <w:spacing w:after="0" w:line="211"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52"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Our investment portfolio was predominantly comprised of investment-grade fixed income securities and money market funds as of December 31, 2020.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ind w:right="40" w:firstLine="445"/>
        <w:spacing w:after="0" w:line="279" w:lineRule="auto"/>
        <w:rPr>
          <w:sz w:val="20"/>
          <w:szCs w:val="20"/>
          <w:color w:val="auto"/>
        </w:rPr>
      </w:pPr>
      <w:r>
        <w:rPr>
          <w:rFonts w:ascii="Arial" w:cs="Arial" w:eastAsia="Arial" w:hAnsi="Arial"/>
          <w:sz w:val="17"/>
          <w:szCs w:val="17"/>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198"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Prior to December 1, 2019, this fee was adjusted monthly based on the number of Triad’s mortgage insurance policies in force and, accordingly, decreased over time as Triad’s existing policies were cancelled. Effective December 1, 2019, the services agreement was amended providing for a flat monthly fee through November 30, 2021. The services agreement provides for two subsequent one-year renewals at Triad's option.</w:t>
      </w:r>
    </w:p>
    <w:p>
      <w:pPr>
        <w:spacing w:after="0" w:line="191" w:lineRule="exact"/>
        <w:rPr>
          <w:sz w:val="20"/>
          <w:szCs w:val="20"/>
          <w:color w:val="auto"/>
        </w:rPr>
      </w:pPr>
    </w:p>
    <w:p>
      <w:pPr>
        <w:jc w:val="both"/>
        <w:ind w:right="80" w:firstLine="445"/>
        <w:spacing w:after="0" w:line="311" w:lineRule="auto"/>
        <w:rPr>
          <w:sz w:val="20"/>
          <w:szCs w:val="20"/>
          <w:color w:val="auto"/>
        </w:rPr>
      </w:pPr>
      <w:r>
        <w:rPr>
          <w:rFonts w:ascii="Arial" w:cs="Arial" w:eastAsia="Arial" w:hAnsi="Arial"/>
          <w:sz w:val="16"/>
          <w:szCs w:val="16"/>
          <w:color w:val="auto"/>
        </w:rPr>
        <w:t>As more fully described in Note 5 to our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52"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Losses incurred are generally affected by:</w:t>
      </w:r>
    </w:p>
    <w:p>
      <w:pPr>
        <w:spacing w:after="0" w:line="252" w:lineRule="exact"/>
        <w:rPr>
          <w:sz w:val="20"/>
          <w:szCs w:val="20"/>
          <w:color w:val="auto"/>
        </w:rPr>
      </w:pPr>
    </w:p>
    <w:p>
      <w:pPr>
        <w:ind w:left="660" w:right="200" w:hanging="247"/>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65" w:name="page66"/>
    <w:bookmarkEnd w:id="65"/>
    <w:p>
      <w:pPr>
        <w:ind w:left="660" w:right="240" w:hanging="247"/>
        <w:spacing w:after="0" w:line="342" w:lineRule="auto"/>
        <w:tabs>
          <w:tab w:leader="none" w:pos="6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50" w:lineRule="exact"/>
        <w:rPr>
          <w:rFonts w:ascii="Arial" w:cs="Arial" w:eastAsia="Arial" w:hAnsi="Arial"/>
          <w:sz w:val="16"/>
          <w:szCs w:val="16"/>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w:t>
      </w:r>
    </w:p>
    <w:p>
      <w:pPr>
        <w:spacing w:after="0" w:line="252" w:lineRule="exact"/>
        <w:rPr>
          <w:rFonts w:ascii="Arial" w:cs="Arial" w:eastAsia="Arial" w:hAnsi="Arial"/>
          <w:sz w:val="18"/>
          <w:szCs w:val="18"/>
          <w:color w:val="auto"/>
        </w:rPr>
      </w:pPr>
    </w:p>
    <w:p>
      <w:pPr>
        <w:jc w:val="both"/>
        <w:ind w:left="660" w:right="140" w:hanging="247"/>
        <w:spacing w:after="0" w:line="263"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210" w:lineRule="exact"/>
        <w:rPr>
          <w:rFonts w:ascii="Arial" w:cs="Arial" w:eastAsia="Arial" w:hAnsi="Arial"/>
          <w:sz w:val="18"/>
          <w:szCs w:val="18"/>
          <w:color w:val="auto"/>
        </w:rPr>
      </w:pPr>
    </w:p>
    <w:p>
      <w:pPr>
        <w:ind w:left="660" w:right="20" w:hanging="247"/>
        <w:spacing w:after="0" w:line="259"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As of December 31, 2020, 80% of our IIF relates to business written since January 1, 2018 and was less than three years old. As a result, based on historical industry performance, we expect the number of defaults and claims we experience, as well as our provision for losses and loss adjustment expenses ("LAE"), to increase as our portfolio seasons. See "—Mortgage Insurance Earnings and Cash Flow Cycle" below.</w:t>
      </w:r>
    </w:p>
    <w:p>
      <w:pPr>
        <w:spacing w:after="0" w:line="214"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"—Critical Accounting Policies" for further information.</w:t>
      </w:r>
    </w:p>
    <w:p>
      <w:pPr>
        <w:spacing w:after="0" w:line="215"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Based upon our experience and industry data, claims incidence for mortgage insurance is generally highest in the third through sixth years after loan origination. Claims incidence for defaults associated with COVID-19 may not follow this pattern. As of December 31, 2020, 80% of our IIF relates to business written since January 1, 2018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205"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Due to business restrictions, stay-at-home orders and travel restrictions initially implemented in March 2020 as a result of COVID-19, unemployment in the United States increased significantly in the second quarter of 2020 and remained elevated at December 31, 2020. As unemployment is one of the most common reasons for borrowers to default on their mortgage, the increase in unemployment has increased the number of delinquencies on the mortgages we insure, and has the potential to increase claim frequencies on defaults. As of December 31, 2020, insured loans in default totaled 31,469 and included 28,922 defaults classified as COVID-19 defaults compared to 5,947 total defaults and no COVID-19 defaults as of December 31, 2019.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COVID-19 defaulted loans, we expect the ultimate number of COVID-19-related defaults that result in claims will be less than our historical default-to-claim experience. We applied a lower reserve rate to COVID-19 default notices received in April 2020 through September 2020 than the rate used for defaults that had missed a comparable number of payments as of December 31, 2019 due to the sudden impact on the economy following the onset of the pandemic. The credit characteristics of defaults reported in October 2020 through December 2020</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6" w:name="page67"/>
    <w:bookmarkEnd w:id="66"/>
    <w:p>
      <w:pPr>
        <w:spacing w:after="0" w:line="286" w:lineRule="auto"/>
        <w:rPr>
          <w:sz w:val="20"/>
          <w:szCs w:val="20"/>
          <w:color w:val="auto"/>
        </w:rPr>
      </w:pPr>
      <w:r>
        <w:rPr>
          <w:rFonts w:ascii="Arial" w:cs="Arial" w:eastAsia="Arial" w:hAnsi="Arial"/>
          <w:sz w:val="16"/>
          <w:szCs w:val="16"/>
          <w:color w:val="auto"/>
        </w:rPr>
        <w:t>have trended towards those of the pre-pandemic periods and we have observed the normalization of other default patterns during this period. In addition, the economic conditions during the fourth quarter of 2020 have been different than those experienced in the second and third quarters of 2020. We believe that while defaults in October 2020 through December 2020 were impacted by the pandemic’s effect on the economy, the underlying credit performance of these defaults may not be the same as the expected performance for default notices received in April 2020 through September 2020 that occurred following the onset of the pandemic and these defaults are more likely to transition like pre-pandemic defaults. Accordingly, although these defaults are classified as COVID-19 defaults, we established reserves for defaults reported in October 2020 through December 2020 using our normal reserve methodology. It is reasonably possible that our estimate of the losses for the COVID-19 defaults could change in the near term as a result of the continued impact of the pandemic on the economic environment, the results of existing and future governmental programs designed to assist individuals and businesses impacted by the virus and the performance of the COVID-19 defaults in the forbearance programs. As more fully described in Note 5 to our consolidated financial statements, at December 31, 2020, we had approximately $2.0 billion of excess of loss reinsurance covering NIW from January 1, 2015 to July 31, 2020 and a quota share reinsurance transaction on a portion of our NIW effective September 1, 2019 through December 31, 2020. The impact on our reserves in future periods will be dependent upon the amount of delinquent notices received from loan servicers, the performance of COVID-19 defaults and our expectations for the amount of ultimate losses on these delinquencies.</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Third-Party Reinsurance</w:t>
      </w:r>
    </w:p>
    <w:p>
      <w:pPr>
        <w:spacing w:after="0" w:line="252"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5 to our consolidated financial statements.</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52" w:lineRule="exact"/>
        <w:rPr>
          <w:sz w:val="20"/>
          <w:szCs w:val="20"/>
          <w:color w:val="auto"/>
        </w:rPr>
      </w:pPr>
    </w:p>
    <w:p>
      <w:pPr>
        <w:ind w:right="580" w:firstLine="445"/>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97"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Our most significant expense is compensation and benefits for our employees, which represented 60%, 57% and 60% of other underwriting and operating expenses for the years ended December 31, 2020, 2019 and 2018, respectively. Compensation and benefits expense includes base and incentive cash compensation, stock compensation expense, benefits and payroll taxes.</w:t>
      </w:r>
    </w:p>
    <w:p>
      <w:pPr>
        <w:spacing w:after="0" w:line="211"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214"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Essent Group Ltd. ("Essent Group") and its wholly-owned subsidiary, Essent Re, are domiciled in Bermuda, which does not have a corporate income tax. Essent Re reinsures 25% of Essent Guaranty's NIW under a quota share reinsurance agreement. Essent Re also provides insurance and reinsurance to Freddie Mac and Fannie Mae.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67" w:name="page68"/>
    <w:bookmarkEnd w:id="67"/>
    <w:p>
      <w:pPr>
        <w:ind w:right="140" w:firstLine="445"/>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52"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52"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years ended December 31, 2020, 2019 and 2018 for our U.S. mortgage insurance portfolio. In addition, this table includes our RIF at the end of each period.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584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420" w:type="dxa"/>
            <w:vAlign w:val="bottom"/>
          </w:tcPr>
          <w:p>
            <w:pPr>
              <w:spacing w:after="0"/>
              <w:rPr>
                <w:sz w:val="16"/>
                <w:szCs w:val="16"/>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ind w:left="34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r>
      <w:tr>
        <w:trPr>
          <w:trHeight w:val="224"/>
        </w:trPr>
        <w:tc>
          <w:tcPr>
            <w:tcW w:w="57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IIF,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164,005,853</w:t>
            </w:r>
          </w:p>
        </w:tc>
        <w:tc>
          <w:tcPr>
            <w:tcW w:w="480" w:type="dxa"/>
            <w:vAlign w:val="bottom"/>
            <w:tcBorders>
              <w:top w:val="single" w:sz="8" w:color="auto"/>
            </w:tcBorders>
            <w:gridSpan w:val="3"/>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w w:val="95"/>
              </w:rPr>
              <w:t>137,720,786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110,461,950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800" w:type="dxa"/>
            <w:vAlign w:val="bottom"/>
            <w:gridSpan w:val="2"/>
          </w:tcPr>
          <w:p>
            <w:pPr>
              <w:ind w:left="100"/>
              <w:spacing w:after="0"/>
              <w:rPr>
                <w:sz w:val="20"/>
                <w:szCs w:val="20"/>
                <w:color w:val="auto"/>
              </w:rPr>
            </w:pPr>
            <w:r>
              <w:rPr>
                <w:rFonts w:ascii="Arial" w:cs="Arial" w:eastAsia="Arial" w:hAnsi="Arial"/>
                <w:sz w:val="18"/>
                <w:szCs w:val="18"/>
                <w:color w:val="auto"/>
              </w:rPr>
              <w:t>NIW</w:t>
            </w:r>
          </w:p>
        </w:tc>
        <w:tc>
          <w:tcPr>
            <w:tcW w:w="4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107,944,065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center"/>
              <w:ind w:left="292"/>
              <w:spacing w:after="0"/>
              <w:rPr>
                <w:sz w:val="20"/>
                <w:szCs w:val="20"/>
                <w:color w:val="auto"/>
              </w:rPr>
            </w:pPr>
            <w:r>
              <w:rPr>
                <w:rFonts w:ascii="Arial" w:cs="Arial" w:eastAsia="Arial" w:hAnsi="Arial"/>
                <w:sz w:val="18"/>
                <w:szCs w:val="18"/>
                <w:color w:val="auto"/>
                <w:w w:val="88"/>
              </w:rPr>
              <w:t>63,569,183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47,508,525</w:t>
            </w:r>
          </w:p>
        </w:tc>
        <w:tc>
          <w:tcPr>
            <w:tcW w:w="2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Cancellations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(73,067,566)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2"/>
              </w:rPr>
              <w:t>(37,284,116)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(20,249,689)</w:t>
            </w:r>
          </w:p>
        </w:tc>
        <w:tc>
          <w:tcPr>
            <w:tcW w:w="20" w:type="dxa"/>
            <w:vAlign w:val="bottom"/>
          </w:tcPr>
          <w:p>
            <w:pPr>
              <w:spacing w:after="0"/>
              <w:rPr>
                <w:sz w:val="19"/>
                <w:szCs w:val="19"/>
                <w:color w:val="auto"/>
              </w:rPr>
            </w:pPr>
          </w:p>
        </w:tc>
      </w:tr>
      <w:tr>
        <w:trPr>
          <w:trHeight w:val="223"/>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IIF, end of period</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198,882,352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w w:val="95"/>
              </w:rPr>
              <w:t>164,005,853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137,720,786</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Average IIF during the period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178,294,034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5"/>
              </w:rPr>
              <w:t>152,001,491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123,361,264</w:t>
            </w:r>
          </w:p>
        </w:tc>
        <w:tc>
          <w:tcPr>
            <w:tcW w:w="20" w:type="dxa"/>
            <w:vAlign w:val="bottom"/>
          </w:tcPr>
          <w:p>
            <w:pPr>
              <w:spacing w:after="0"/>
              <w:rPr>
                <w:sz w:val="19"/>
                <w:szCs w:val="19"/>
                <w:color w:val="auto"/>
              </w:rPr>
            </w:pPr>
          </w:p>
        </w:tc>
      </w:tr>
      <w:tr>
        <w:trPr>
          <w:trHeight w:val="230"/>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RIF, end of period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41,339,262</w:t>
            </w:r>
          </w:p>
        </w:tc>
        <w:tc>
          <w:tcPr>
            <w:tcW w:w="480" w:type="dxa"/>
            <w:vAlign w:val="bottom"/>
            <w:gridSpan w:val="3"/>
          </w:tcPr>
          <w:p>
            <w:pPr>
              <w:jc w:val="right"/>
              <w:ind w:right="176"/>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ind w:left="292"/>
              <w:spacing w:after="0"/>
              <w:rPr>
                <w:sz w:val="20"/>
                <w:szCs w:val="20"/>
                <w:color w:val="auto"/>
              </w:rPr>
            </w:pPr>
            <w:r>
              <w:rPr>
                <w:rFonts w:ascii="Arial" w:cs="Arial" w:eastAsia="Arial" w:hAnsi="Arial"/>
                <w:sz w:val="18"/>
                <w:szCs w:val="18"/>
                <w:color w:val="auto"/>
                <w:w w:val="88"/>
              </w:rPr>
              <w:t>38,947,857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33,892,869</w:t>
            </w:r>
          </w:p>
        </w:tc>
        <w:tc>
          <w:tcPr>
            <w:tcW w:w="20" w:type="dxa"/>
            <w:vAlign w:val="bottom"/>
          </w:tcPr>
          <w:p>
            <w:pPr>
              <w:spacing w:after="0"/>
              <w:rPr>
                <w:sz w:val="20"/>
                <w:szCs w:val="20"/>
                <w:color w:val="auto"/>
              </w:rPr>
            </w:pPr>
          </w:p>
        </w:tc>
      </w:tr>
      <w:tr>
        <w:trPr>
          <w:trHeight w:val="539"/>
        </w:trPr>
        <w:tc>
          <w:tcPr>
            <w:tcW w:w="40" w:type="dxa"/>
            <w:vAlign w:val="bottom"/>
          </w:tcPr>
          <w:p>
            <w:pPr>
              <w:spacing w:after="0"/>
              <w:rPr>
                <w:sz w:val="24"/>
                <w:szCs w:val="24"/>
                <w:color w:val="auto"/>
              </w:rPr>
            </w:pPr>
          </w:p>
        </w:tc>
        <w:tc>
          <w:tcPr>
            <w:tcW w:w="5800" w:type="dxa"/>
            <w:vAlign w:val="bottom"/>
            <w:gridSpan w:val="2"/>
          </w:tcPr>
          <w:p>
            <w:pPr>
              <w:ind w:left="420"/>
              <w:spacing w:after="0"/>
              <w:rPr>
                <w:sz w:val="20"/>
                <w:szCs w:val="20"/>
                <w:color w:val="auto"/>
              </w:rPr>
            </w:pPr>
            <w:r>
              <w:rPr>
                <w:rFonts w:ascii="Arial" w:cs="Arial" w:eastAsia="Arial" w:hAnsi="Arial"/>
                <w:sz w:val="18"/>
                <w:szCs w:val="18"/>
                <w:color w:val="auto"/>
                <w:w w:val="93"/>
              </w:rPr>
              <w:t>The following is a summary of our IIF at December 31, 2020 by vintage:</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5"/>
        </w:trPr>
        <w:tc>
          <w:tcPr>
            <w:tcW w:w="40" w:type="dxa"/>
            <w:vAlign w:val="bottom"/>
          </w:tcPr>
          <w:p>
            <w:pPr>
              <w:spacing w:after="0"/>
              <w:rPr>
                <w:sz w:val="24"/>
                <w:szCs w:val="24"/>
                <w:color w:val="auto"/>
              </w:rPr>
            </w:pPr>
          </w:p>
        </w:tc>
        <w:tc>
          <w:tcPr>
            <w:tcW w:w="5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102,123,354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51.3 %</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ind w:left="360"/>
              <w:spacing w:after="0"/>
              <w:rPr>
                <w:sz w:val="20"/>
                <w:szCs w:val="20"/>
                <w:color w:val="auto"/>
              </w:rPr>
            </w:pPr>
            <w:r>
              <w:rPr>
                <w:rFonts w:ascii="Arial" w:cs="Arial" w:eastAsia="Arial" w:hAnsi="Arial"/>
                <w:sz w:val="18"/>
                <w:szCs w:val="18"/>
                <w:color w:val="auto"/>
                <w:w w:val="95"/>
              </w:rPr>
              <w:t>38,688,532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18,677,363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ind w:left="360"/>
              <w:spacing w:after="0"/>
              <w:rPr>
                <w:sz w:val="20"/>
                <w:szCs w:val="20"/>
                <w:color w:val="auto"/>
              </w:rPr>
            </w:pPr>
            <w:r>
              <w:rPr>
                <w:rFonts w:ascii="Arial" w:cs="Arial" w:eastAsia="Arial" w:hAnsi="Arial"/>
                <w:sz w:val="18"/>
                <w:szCs w:val="18"/>
                <w:color w:val="auto"/>
                <w:w w:val="95"/>
              </w:rPr>
              <w:t>16,268,294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11,314,546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2015 and prior</w:t>
            </w:r>
          </w:p>
        </w:tc>
        <w:tc>
          <w:tcPr>
            <w:tcW w:w="4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5"/>
              </w:rPr>
              <w:t>11,810,263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auto"/>
            </w:tcBorders>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5"/>
              </w:rPr>
              <w:t>198,882,352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Average Net Premium Rate</w:t>
      </w:r>
    </w:p>
    <w:p>
      <w:pPr>
        <w:spacing w:after="0" w:line="252" w:lineRule="exact"/>
        <w:rPr>
          <w:sz w:val="20"/>
          <w:szCs w:val="20"/>
          <w:color w:val="auto"/>
        </w:rPr>
      </w:pPr>
    </w:p>
    <w:p>
      <w:pPr>
        <w:ind w:right="40" w:firstLine="445"/>
        <w:spacing w:after="0" w:line="293" w:lineRule="auto"/>
        <w:rPr>
          <w:sz w:val="20"/>
          <w:szCs w:val="20"/>
          <w:color w:val="auto"/>
        </w:rPr>
      </w:pPr>
      <w:r>
        <w:rPr>
          <w:rFonts w:ascii="Arial" w:cs="Arial" w:eastAsia="Arial" w:hAnsi="Arial"/>
          <w:sz w:val="16"/>
          <w:szCs w:val="16"/>
          <w:color w:val="auto"/>
        </w:rPr>
        <w:t>Our average net premium rate is calculated by dividing net premiums earned for the U.S. mortgage insurance portfolio by average insurance in force for the period and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For the years ended December 31, 2020, 2019 and 2018, our average net premium rate was 0.46%, 0.49% and 0.50%, respectively. We anticipate that the continued use of third-party reinsurance along with changes to the level of future cancellations of non-refundable single premium policies and mix of IIF will reduce our average net premium rate in future periods.</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52"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"—Factors Affecting Our Results of Operations—Persistency and Business Mix."</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68" w:name="page69"/>
    <w:bookmarkEnd w:id="68"/>
    <w:p>
      <w:pPr>
        <w:ind w:left="420"/>
        <w:spacing w:after="0"/>
        <w:rPr>
          <w:sz w:val="20"/>
          <w:szCs w:val="20"/>
          <w:color w:val="auto"/>
        </w:rPr>
      </w:pPr>
      <w:r>
        <w:rPr>
          <w:rFonts w:ascii="Arial" w:cs="Arial" w:eastAsia="Arial" w:hAnsi="Arial"/>
          <w:sz w:val="18"/>
          <w:szCs w:val="18"/>
          <w:b w:val="1"/>
          <w:bCs w:val="1"/>
          <w:i w:val="1"/>
          <w:iCs w:val="1"/>
          <w:color w:val="auto"/>
        </w:rPr>
        <w:t>Risk-to-Capital</w:t>
      </w:r>
    </w:p>
    <w:p>
      <w:pPr>
        <w:spacing w:after="0" w:line="252" w:lineRule="exact"/>
        <w:rPr>
          <w:sz w:val="20"/>
          <w:szCs w:val="20"/>
          <w:color w:val="auto"/>
        </w:rPr>
      </w:pPr>
    </w:p>
    <w:p>
      <w:pPr>
        <w:ind w:right="240" w:firstLine="445"/>
        <w:spacing w:after="0" w:line="301"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"—Liquidity and Capital Resources—Insurance Company Capital."</w:t>
      </w:r>
    </w:p>
    <w:p>
      <w:pPr>
        <w:spacing w:after="0" w:line="184"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As of December 31, 2020, our combined net risk in force for our U.S. insurance companies was $29.5 billion and our combined statutory capital was $2.7 billion, resulting in a risk-to-capital ratio of 11.1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98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rPr>
              <w:t>Summary of Operations</w:t>
            </w:r>
          </w:p>
        </w:tc>
        <w:tc>
          <w:tcPr>
            <w:tcW w:w="320" w:type="dxa"/>
            <w:vAlign w:val="bottom"/>
          </w:tcPr>
          <w:p>
            <w:pPr>
              <w:spacing w:after="0"/>
              <w:rPr>
                <w:sz w:val="10"/>
                <w:szCs w:val="10"/>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8"/>
        </w:trPr>
        <w:tc>
          <w:tcPr>
            <w:tcW w:w="6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Net premiums written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834,113</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760,845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685,287</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Decrease (increase)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(35,795)</w:t>
            </w:r>
          </w:p>
        </w:tc>
        <w:tc>
          <w:tcPr>
            <w:tcW w:w="0" w:type="dxa"/>
            <w:vAlign w:val="bottom"/>
          </w:tcPr>
          <w:p>
            <w:pPr>
              <w:spacing w:after="0"/>
              <w:rPr>
                <w:sz w:val="1"/>
                <w:szCs w:val="1"/>
                <w:color w:val="auto"/>
              </w:rPr>
            </w:pP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Net premiums earned</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862,564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777,425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649,492</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64,091</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Realized investment gains, net</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955,154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867,567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719,353</w:t>
            </w:r>
          </w:p>
        </w:tc>
        <w:tc>
          <w:tcPr>
            <w:tcW w:w="0" w:type="dxa"/>
            <w:vAlign w:val="bottom"/>
          </w:tcPr>
          <w:p>
            <w:pPr>
              <w:spacing w:after="0"/>
              <w:rPr>
                <w:sz w:val="1"/>
                <w:szCs w:val="1"/>
                <w:color w:val="auto"/>
              </w:rPr>
            </w:pPr>
          </w:p>
        </w:tc>
      </w:tr>
      <w:tr>
        <w:trPr>
          <w:trHeight w:val="250"/>
        </w:trPr>
        <w:tc>
          <w:tcPr>
            <w:tcW w:w="6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Losses and expenses: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losses and LAE</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301,293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154,691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165,369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150,900</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10,179</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losses and expenses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465,058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208,506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172,654</w:t>
            </w:r>
          </w:p>
        </w:tc>
        <w:tc>
          <w:tcPr>
            <w:tcW w:w="0" w:type="dxa"/>
            <w:vAlign w:val="bottom"/>
          </w:tcPr>
          <w:p>
            <w:pPr>
              <w:spacing w:after="0"/>
              <w:rPr>
                <w:sz w:val="1"/>
                <w:szCs w:val="1"/>
                <w:color w:val="auto"/>
              </w:rPr>
            </w:pPr>
          </w:p>
        </w:tc>
      </w:tr>
      <w:tr>
        <w:trPr>
          <w:trHeight w:val="223"/>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490,096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546,699</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77,055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103,348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79,336</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413,041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555,713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467,363</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the Year Ended December 31, 2019</w:t>
      </w:r>
    </w:p>
    <w:p>
      <w:pPr>
        <w:spacing w:after="0" w:line="256" w:lineRule="exact"/>
        <w:rPr>
          <w:sz w:val="20"/>
          <w:szCs w:val="20"/>
          <w:color w:val="auto"/>
        </w:rPr>
      </w:pPr>
    </w:p>
    <w:p>
      <w:pPr>
        <w:ind w:right="280" w:firstLine="445"/>
        <w:spacing w:after="0" w:line="311" w:lineRule="auto"/>
        <w:rPr>
          <w:sz w:val="20"/>
          <w:szCs w:val="20"/>
          <w:color w:val="auto"/>
        </w:rPr>
      </w:pPr>
      <w:r>
        <w:rPr>
          <w:rFonts w:ascii="Arial" w:cs="Arial" w:eastAsia="Arial" w:hAnsi="Arial"/>
          <w:sz w:val="16"/>
          <w:szCs w:val="16"/>
          <w:color w:val="auto"/>
        </w:rPr>
        <w:t>For the year ended December 31, 2020, we reported net income of $413.0 million, compared to net income of $555.7 million for the year ended December 31, 2019. The decrease in our operating results in 2020 over 2019 was primarily due to the increase in the provision for losses and LAE, partially offset by the increase in net premiums earned and other income and decreases in other underwriting and operating expenses and income taxes.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52" w:lineRule="exact"/>
        <w:rPr>
          <w:sz w:val="20"/>
          <w:szCs w:val="20"/>
          <w:color w:val="auto"/>
        </w:rPr>
      </w:pPr>
    </w:p>
    <w:p>
      <w:pPr>
        <w:jc w:val="both"/>
        <w:ind w:right="60" w:firstLine="445"/>
        <w:spacing w:after="0" w:line="263" w:lineRule="auto"/>
        <w:rPr>
          <w:sz w:val="20"/>
          <w:szCs w:val="20"/>
          <w:color w:val="auto"/>
        </w:rPr>
      </w:pPr>
      <w:r>
        <w:rPr>
          <w:rFonts w:ascii="Arial" w:cs="Arial" w:eastAsia="Arial" w:hAnsi="Arial"/>
          <w:sz w:val="18"/>
          <w:szCs w:val="18"/>
          <w:color w:val="auto"/>
        </w:rPr>
        <w:t>Net premiums earned increased in the year ended December 31, 2020 by 11% compared to the year ended December 31, 2019 due to the increase in our average IIF from $152.0 billion in 2019 to $178.3 billion in 2020, partially offset by the decrease in the average net premium rate from 0.49% for the year ended December 31, 2019 to 0.46% for the year ended</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38" w:right="399" w:bottom="1440" w:gutter="0" w:footer="0" w:header="0"/>
        </w:sectPr>
      </w:pPr>
    </w:p>
    <w:bookmarkStart w:id="69" w:name="page70"/>
    <w:bookmarkEnd w:id="69"/>
    <w:p>
      <w:pPr>
        <w:ind w:right="180"/>
        <w:spacing w:after="0" w:line="290" w:lineRule="auto"/>
        <w:rPr>
          <w:sz w:val="20"/>
          <w:szCs w:val="20"/>
          <w:color w:val="auto"/>
        </w:rPr>
      </w:pPr>
      <w:r>
        <w:rPr>
          <w:rFonts w:ascii="Arial" w:cs="Arial" w:eastAsia="Arial" w:hAnsi="Arial"/>
          <w:sz w:val="16"/>
          <w:szCs w:val="16"/>
          <w:color w:val="auto"/>
        </w:rPr>
        <w:t>December 31, 2020. The decrease in the average net premium rate during the year ended December 31, 2020 was a result of an increase in ceded premiums, changes in the mix of the mortgages we insure, in part due to lower persistency, and changes in our pricing which were partially offset by an increase in premiums earned on the cancellation of non-refundable single premium policies. In the year ended December 31, 2020, ceded premiums increased to $88.7 million from $35.5 million in the year ended December 31, 2019 primarily due to an increase in amounts ceded under our QSR Agreement associated with additional risk ceded in 2020 and reduced profit commission as a result of higher ceded losses, new third-party reinsurance agreements entered in 2020 and a full year of premiums ceded under third-party reinsurance agreements entered in 2019. In the year ended December 31, 2020, premiums earned on the cancellation of non-refundable single premium policies increased to $88.9 million from $42.5 million in the year ended December 31, 2019 as a result of an increase in existing borrowers refinancing their mortgages due to favorable mortgage interest rates.</w:t>
      </w:r>
    </w:p>
    <w:p>
      <w:pPr>
        <w:spacing w:after="0" w:line="192"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Net premiums written increased in the year ended December 31, 2020 by 10% over the prior year. The increase was due primarily to the increase in average IIF for the year ended December 31, 2020 as compared to the year ended December 31, 2019, partially offset by an increase in premiums ceded under third-party reinsurance agreements, a decrease in new single premium policies written, changes in the mix of mortgages we insure and changes in our pricing.</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year ended December 31, 2020, unearned premiums decreased by $28.5 million as a result of net premiums written on single premium policies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$121.9 million which was offset by $150.4 million of unearned premium that was recognized in earnings during the year. In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unearned premiums decreased by $16.6 million as a result of net premiums written on single premium policies of $93.5 million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partially offset by $110.1 million of unearned premium that was recognized in earnings during the year.</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net investment income was derived from the following sources for the periods indicated: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Year Ended December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4"/>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83,313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82,194</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Short-term investments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87,243</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w:t>
            </w: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83,542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The decrease in net investment income to $80.1 million for the year ended December 31, 2020 as compared to $83.5 million for the year ended December 31, 2019 was due to a decrease in the pre-tax investment income yield partially offset by the increase in the weighted average balance of our investment portfolio. The average cash and investment portfolio balance increased to $4.0 billion during the year ended December 31, 2020 from $3.1 billion during the year ended December 31, 2019, primarily as a result of investing cash flows generated from operations, proceeds from the public offering of common shares completed in June 2020 and increased borrowings under the Credit Facility. The pre-tax investment income yield decreased from 2.8% in the year ended December 31, 2019 to 2.1% in the year ended December 31, 2020 primarily due to an increase in the share of our investments allocated to cash, a general decline in investment yields due to declining interest rates and an increase in premium amortization on mortgage-backed and asset-backed securities. The pre-tax investment income yields are calculated based on amortized cost and exclude investment expenses. See "—Liquidity and Capital Resources" for further details of our investment portfolio.</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 xml:space="preserve">Other income for the year ended December 31, 2020 was $9.8 million compared to $3.4 million for the year ended December 31, 2019. The increase in other income for the year ended December 31, 2020 as compared to the year ended December 31, 2019 was primarily due to an increase in Triad service fees partially offset by a net unfavorable decrease in the fair value of the embedded derivatives. In the year ended December 31, 2020 we earned Triad service fees of $6.3 million compared to $1.2 million for the year ended December 31, 2019. Effective December 1, 2019, the Triad services agreement was amended providing for a flat monthly fee through November 30, 2021. In the year ended December 31, 2020 we recorded a net unfavorable decrease in the fair value of the embedded derivatives of $2.6 million compared to a net unfavorable decrease of $1.8 million in </w:t>
      </w:r>
      <w:r>
        <w:rPr>
          <w:rFonts w:ascii="Arial" w:cs="Arial" w:eastAsia="Arial" w:hAnsi="Arial"/>
          <w:sz w:val="16"/>
          <w:szCs w:val="16"/>
          <w:color w:val="242021"/>
        </w:rPr>
        <w:t>the</w:t>
      </w:r>
      <w:r>
        <w:rPr>
          <w:rFonts w:ascii="Arial" w:cs="Arial" w:eastAsia="Arial" w:hAnsi="Arial"/>
          <w:sz w:val="16"/>
          <w:szCs w:val="16"/>
          <w:color w:val="auto"/>
        </w:rPr>
        <w:t xml:space="preserve"> year ended December 31, 2019. Other income also includes contract underwriting revenues and underwriting consulting services to third-party reinsurers.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p>
      <w:pPr>
        <w:ind w:left="42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increase in the provision for losses and LAE in 2020 as compared to 2019 was primarily due to the increase in defaults related to COVID-19.</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rollforward of insured loans in default for our U.S. mortgage insurance portfolio for the periods indicated: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0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Plus: new defaults</w:t>
            </w:r>
          </w:p>
        </w:tc>
        <w:tc>
          <w:tcPr>
            <w:tcW w:w="1520" w:type="dxa"/>
            <w:vAlign w:val="bottom"/>
          </w:tcPr>
          <w:p>
            <w:pPr>
              <w:jc w:val="right"/>
              <w:spacing w:after="0"/>
              <w:rPr>
                <w:sz w:val="20"/>
                <w:szCs w:val="20"/>
                <w:color w:val="auto"/>
              </w:rPr>
            </w:pPr>
            <w:r>
              <w:rPr>
                <w:rFonts w:ascii="Arial" w:cs="Arial" w:eastAsia="Arial" w:hAnsi="Arial"/>
                <w:sz w:val="18"/>
                <w:szCs w:val="18"/>
                <w:color w:val="auto"/>
              </w:rPr>
              <w:t>62,649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13,304</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Less: claims paid</w:t>
            </w:r>
          </w:p>
        </w:tc>
        <w:tc>
          <w:tcPr>
            <w:tcW w:w="152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rescissions and denials, net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Ending default inventory</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31,469</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5,947</w:t>
            </w:r>
          </w:p>
        </w:tc>
      </w:tr>
      <w:tr>
        <w:trPr>
          <w:trHeight w:val="21"/>
        </w:trPr>
        <w:tc>
          <w:tcPr>
            <w:tcW w:w="80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2020, the ending default inventory included 28,922 defaults classified as COVID-19 defaults.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includes additional information about our loans in default as of the dates indicated for our U.S. mortgage insurance portfolio:</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r>
      <w:tr>
        <w:trPr>
          <w:trHeight w:val="187"/>
        </w:trPr>
        <w:tc>
          <w:tcPr>
            <w:tcW w:w="7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Case reserves (in thousands) </w:t>
            </w:r>
            <w:r>
              <w:rPr>
                <w:rFonts w:ascii="Arial" w:cs="Arial" w:eastAsia="Arial" w:hAnsi="Arial"/>
                <w:sz w:val="18"/>
                <w:szCs w:val="18"/>
                <w:b w:val="1"/>
                <w:bCs w:val="1"/>
                <w:color w:val="auto"/>
              </w:rPr>
              <w:t>(1)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343,290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63,180</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 xml:space="preserve">Total reserves (in thousands) </w:t>
            </w:r>
            <w:r>
              <w:rPr>
                <w:rFonts w:ascii="Arial" w:cs="Arial" w:eastAsia="Arial" w:hAnsi="Arial"/>
                <w:sz w:val="18"/>
                <w:szCs w:val="18"/>
                <w:b w:val="1"/>
                <w:bCs w:val="1"/>
                <w:color w:val="auto"/>
              </w:rPr>
              <w:t>(1)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373,868</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69,183</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default inventory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31,469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5,947</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Average case reserve per default (in thousands)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10.6</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total reserve per default (in thousands)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11.6</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Default rate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3.93 %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0.85 %</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Claims received included in ending default inventory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129</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right="420" w:hanging="412"/>
        <w:spacing w:after="0" w:line="259" w:lineRule="auto"/>
        <w:tabs>
          <w:tab w:leader="none" w:pos="41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$1,073 and $179 as of December 31, 2020 and 2019, respectively.</w:t>
      </w:r>
    </w:p>
    <w:p>
      <w:pPr>
        <w:spacing w:after="0" w:line="212"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The increase in the average case reserve per default was primarily due to provision and cure activity for COVID-19 defaults and changes in the composition (such as mark-to-market loan-to-value ratios, risk in force, and number of months past due) of the underlying loans in default. Based on the forbearance programs in place and the credit characteristics of the COVID-19 defaulted loans, we expect the ultimate number of COVID-19-related defaults that result in claims will be less than our historical default-to-claim experience. Accordingly, we recorded a reserve equal to approximately 7% of the risk in force for the COVID-19 default notices received in April 2020 through September 2020. As a result of cure activity on April 2020 through September 2020 COVID-19 defaults during the year ended December 31, 2020, the average reserve per COVID-19 default has increased from approximately 7% and 11% as of June 30, 2020 and September 30, 2020, respectively, to approximately 16% as of December 31, 2020. The credit characteristics of defaults reported in October 2020 through December 2020 have trended towards those of the pre-pandemic periods and we have observed the normalization of other default patterns during this period. In addition, the economic conditions during the fourth quarter of 2020 have been different than those experienced in the second and third quarters of 2020. We believe that while defaults in October 2020 through December 2020 were impacted by the pandemic’s effect on the economy, the underlying credit performance of these defaults may not be the same as the expected performance for default notices received in April 2020 through September 2020 that occurred following the onset of the pandemic and these defaults are more likely to transition like pre-pandemic defaults. Accordingly, we established reserves for defaults reported in October 2020 through December 2020 using our normal reserve methodology. The reserve for losses and LAE on COVID-19 defaults was $316.3 million at December 31,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71" w:name="page72"/>
    <w:bookmarkEnd w:id="71"/>
    <w:p>
      <w:pPr>
        <w:ind w:left="460"/>
        <w:spacing w:after="0"/>
        <w:rPr>
          <w:sz w:val="20"/>
          <w:szCs w:val="20"/>
          <w:color w:val="auto"/>
        </w:rPr>
      </w:pPr>
      <w:r>
        <w:rPr>
          <w:rFonts w:ascii="Arial" w:cs="Arial" w:eastAsia="Arial" w:hAnsi="Arial"/>
          <w:sz w:val="18"/>
          <w:szCs w:val="18"/>
          <w:color w:val="auto"/>
        </w:rPr>
        <w:t>The following table provides a reconciliation of the beginning and ending reserve balances for losses and LAE:</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Year Ended December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24"/>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Reserve for losses and LAE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49,464</w:t>
            </w: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Reinsurance recoverables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reserve for losses and LAE at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49,464</w:t>
            </w:r>
          </w:p>
        </w:tc>
      </w:tr>
      <w:tr>
        <w:trPr>
          <w:trHeight w:val="20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Add provision for losses and LAE occurring in:</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50,562</w:t>
            </w:r>
          </w:p>
        </w:tc>
      </w:tr>
      <w:tr>
        <w:trPr>
          <w:trHeight w:val="229"/>
        </w:trPr>
        <w:tc>
          <w:tcPr>
            <w:tcW w:w="8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(17,576)</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Incurred losses and LAE during the current year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32,986</w:t>
            </w:r>
          </w:p>
        </w:tc>
      </w:tr>
      <w:tr>
        <w:trPr>
          <w:trHeight w:val="20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Deduct payments for losses and LAE occurring in:</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30"/>
        </w:trPr>
        <w:tc>
          <w:tcPr>
            <w:tcW w:w="8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11,871</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and LAE payments during the current year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13,159</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Net reserve for losses and LAE at end of year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355,880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69,291</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Plus: Reinsurance recoverables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Reserve for losses and LAE at end of year</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374,941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69,362</w:t>
            </w:r>
          </w:p>
        </w:tc>
      </w:tr>
      <w:tr>
        <w:trPr>
          <w:trHeight w:val="20"/>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The following tables provide a detail of reserves and defaulted RIF by the number of missed payments and pending claims for our U.S. mortgage insurance portfolio: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As of December 31, 2020</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Number of</w:t>
            </w:r>
          </w:p>
        </w:tc>
        <w:tc>
          <w:tcPr>
            <w:tcW w:w="14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140" w:type="dxa"/>
            <w:vAlign w:val="bottom"/>
          </w:tcPr>
          <w:p>
            <w:pPr>
              <w:spacing w:after="0"/>
              <w:rPr>
                <w:sz w:val="11"/>
                <w:szCs w:val="11"/>
                <w:color w:val="auto"/>
              </w:rPr>
            </w:pPr>
          </w:p>
        </w:tc>
        <w:tc>
          <w:tcPr>
            <w:tcW w:w="8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1"/>
                <w:szCs w:val="11"/>
                <w:color w:val="auto"/>
              </w:rPr>
            </w:pPr>
          </w:p>
        </w:tc>
        <w:tc>
          <w:tcPr>
            <w:tcW w:w="14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Percentage of</w:t>
            </w:r>
          </w:p>
        </w:tc>
        <w:tc>
          <w:tcPr>
            <w:tcW w:w="220" w:type="dxa"/>
            <w:vAlign w:val="bottom"/>
          </w:tcPr>
          <w:p>
            <w:pPr>
              <w:spacing w:after="0"/>
              <w:rPr>
                <w:sz w:val="11"/>
                <w:szCs w:val="11"/>
                <w:color w:val="auto"/>
              </w:rPr>
            </w:pPr>
          </w:p>
        </w:tc>
        <w:tc>
          <w:tcPr>
            <w:tcW w:w="10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Defaulted</w:t>
            </w:r>
          </w:p>
        </w:tc>
        <w:tc>
          <w:tcPr>
            <w:tcW w:w="10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35"/>
        </w:trPr>
        <w:tc>
          <w:tcPr>
            <w:tcW w:w="3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1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Policies in</w:t>
            </w:r>
          </w:p>
        </w:tc>
        <w:tc>
          <w:tcPr>
            <w:tcW w:w="14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Policies in</w:t>
            </w: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88"/>
        </w:trPr>
        <w:tc>
          <w:tcPr>
            <w:tcW w:w="3380" w:type="dxa"/>
            <w:vAlign w:val="bottom"/>
            <w:gridSpan w:val="2"/>
            <w:vMerge w:val="continue"/>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Default</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Default</w:t>
            </w:r>
          </w:p>
        </w:tc>
        <w:tc>
          <w:tcPr>
            <w:tcW w:w="140" w:type="dxa"/>
            <w:vAlign w:val="bottom"/>
          </w:tcPr>
          <w:p>
            <w:pPr>
              <w:spacing w:after="0"/>
              <w:rPr>
                <w:sz w:val="16"/>
                <w:szCs w:val="16"/>
                <w:color w:val="auto"/>
              </w:rPr>
            </w:pPr>
          </w:p>
        </w:tc>
        <w:tc>
          <w:tcPr>
            <w:tcW w:w="860" w:type="dxa"/>
            <w:vAlign w:val="bottom"/>
          </w:tcPr>
          <w:p>
            <w:pPr>
              <w:jc w:val="right"/>
              <w:ind w:right="13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Pr>
          <w:p>
            <w:pPr>
              <w:spacing w:after="0"/>
              <w:rPr>
                <w:sz w:val="16"/>
                <w:szCs w:val="16"/>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Reserves</w:t>
            </w:r>
          </w:p>
        </w:tc>
        <w:tc>
          <w:tcPr>
            <w:tcW w:w="220" w:type="dxa"/>
            <w:vAlign w:val="bottom"/>
          </w:tcPr>
          <w:p>
            <w:pPr>
              <w:spacing w:after="0"/>
              <w:rPr>
                <w:sz w:val="16"/>
                <w:szCs w:val="16"/>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RIF</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24"/>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Missed payments:</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gridSpan w:val="2"/>
          </w:tcPr>
          <w:p>
            <w:pPr>
              <w:ind w:left="140"/>
              <w:spacing w:after="0"/>
              <w:rPr>
                <w:sz w:val="20"/>
                <w:szCs w:val="20"/>
                <w:color w:val="auto"/>
              </w:rPr>
            </w:pPr>
            <w:r>
              <w:rPr>
                <w:rFonts w:ascii="Arial" w:cs="Arial" w:eastAsia="Arial" w:hAnsi="Arial"/>
                <w:sz w:val="18"/>
                <w:szCs w:val="18"/>
                <w:color w:val="auto"/>
              </w:rPr>
              <w:t>Three payments or less</w:t>
            </w:r>
          </w:p>
        </w:tc>
        <w:tc>
          <w:tcPr>
            <w:tcW w:w="1080" w:type="dxa"/>
            <w:vAlign w:val="bottom"/>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47,905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384,668</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w w:val="92"/>
              </w:rPr>
              <w:t>12 %</w:t>
            </w: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260,593</w:t>
            </w: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1,553,593</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380" w:type="dxa"/>
            <w:vAlign w:val="bottom"/>
            <w:gridSpan w:val="2"/>
          </w:tcPr>
          <w:p>
            <w:pPr>
              <w:ind w:left="140"/>
              <w:spacing w:after="0"/>
              <w:rPr>
                <w:sz w:val="20"/>
                <w:szCs w:val="20"/>
                <w:color w:val="auto"/>
              </w:rPr>
            </w:pPr>
            <w:r>
              <w:rPr>
                <w:rFonts w:ascii="Arial" w:cs="Arial" w:eastAsia="Arial" w:hAnsi="Arial"/>
                <w:sz w:val="18"/>
                <w:szCs w:val="18"/>
                <w:color w:val="auto"/>
              </w:rPr>
              <w:t>Twelve or more payments</w:t>
            </w:r>
          </w:p>
        </w:tc>
        <w:tc>
          <w:tcPr>
            <w:tcW w:w="108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32,593</w:t>
            </w:r>
          </w:p>
        </w:tc>
        <w:tc>
          <w:tcPr>
            <w:tcW w:w="1460" w:type="dxa"/>
            <w:vAlign w:val="bottom"/>
            <w:gridSpan w:val="2"/>
          </w:tcPr>
          <w:p>
            <w:pPr>
              <w:jc w:val="right"/>
              <w:ind w:right="142"/>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67,501</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3380" w:type="dxa"/>
            <w:vAlign w:val="bottom"/>
            <w:gridSpan w:val="2"/>
          </w:tcPr>
          <w:p>
            <w:pPr>
              <w:ind w:left="220"/>
              <w:spacing w:after="0"/>
              <w:rPr>
                <w:sz w:val="20"/>
                <w:szCs w:val="20"/>
                <w:color w:val="auto"/>
              </w:rPr>
            </w:pPr>
            <w:r>
              <w:rPr>
                <w:rFonts w:ascii="Arial" w:cs="Arial" w:eastAsia="Arial" w:hAnsi="Arial"/>
                <w:sz w:val="18"/>
                <w:szCs w:val="18"/>
                <w:color w:val="auto"/>
              </w:rPr>
              <w:t xml:space="preserve">Total case reserves </w:t>
            </w:r>
            <w:r>
              <w:rPr>
                <w:rFonts w:ascii="Arial" w:cs="Arial" w:eastAsia="Arial" w:hAnsi="Arial"/>
                <w:sz w:val="18"/>
                <w:szCs w:val="18"/>
                <w:b w:val="1"/>
                <w:bCs w:val="1"/>
                <w:color w:val="auto"/>
              </w:rPr>
              <w:t>(1)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31,469</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343,290</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2,008,605</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IBNR</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25,747</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Total reserves for losses and LAE </w:t>
            </w:r>
            <w:r>
              <w:rPr>
                <w:rFonts w:ascii="Arial" w:cs="Arial" w:eastAsia="Arial" w:hAnsi="Arial"/>
                <w:sz w:val="18"/>
                <w:szCs w:val="18"/>
                <w:b w:val="1"/>
                <w:bCs w:val="1"/>
                <w:color w:val="auto"/>
              </w:rPr>
              <w:t>(1)</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373,868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right="80" w:hanging="412"/>
        <w:spacing w:after="0" w:line="259" w:lineRule="auto"/>
        <w:tabs>
          <w:tab w:leader="none" w:pos="41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$1,073 as of December 31, 2020.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As of December 31, 2019</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Number of</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Percentage of</w:t>
            </w:r>
          </w:p>
        </w:tc>
        <w:tc>
          <w:tcPr>
            <w:tcW w:w="160" w:type="dxa"/>
            <w:vAlign w:val="bottom"/>
          </w:tcPr>
          <w:p>
            <w:pPr>
              <w:spacing w:after="0"/>
              <w:rPr>
                <w:sz w:val="11"/>
                <w:szCs w:val="11"/>
                <w:color w:val="auto"/>
              </w:rPr>
            </w:pPr>
          </w:p>
        </w:tc>
        <w:tc>
          <w:tcPr>
            <w:tcW w:w="8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1"/>
                <w:szCs w:val="11"/>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200" w:type="dxa"/>
            <w:vAlign w:val="bottom"/>
          </w:tcPr>
          <w:p>
            <w:pPr>
              <w:spacing w:after="0"/>
              <w:rPr>
                <w:sz w:val="11"/>
                <w:szCs w:val="11"/>
                <w:color w:val="auto"/>
              </w:rPr>
            </w:pPr>
          </w:p>
        </w:tc>
        <w:tc>
          <w:tcPr>
            <w:tcW w:w="10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Defaulted</w:t>
            </w:r>
          </w:p>
        </w:tc>
        <w:tc>
          <w:tcPr>
            <w:tcW w:w="10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35"/>
        </w:trPr>
        <w:tc>
          <w:tcPr>
            <w:tcW w:w="3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Policies in</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88"/>
        </w:trPr>
        <w:tc>
          <w:tcPr>
            <w:tcW w:w="3400" w:type="dxa"/>
            <w:vAlign w:val="bottom"/>
            <w:gridSpan w:val="2"/>
            <w:vMerge w:val="continue"/>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Default</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Default</w:t>
            </w:r>
          </w:p>
        </w:tc>
        <w:tc>
          <w:tcPr>
            <w:tcW w:w="160" w:type="dxa"/>
            <w:vAlign w:val="bottom"/>
          </w:tcPr>
          <w:p>
            <w:pPr>
              <w:spacing w:after="0"/>
              <w:rPr>
                <w:sz w:val="16"/>
                <w:szCs w:val="16"/>
                <w:color w:val="auto"/>
              </w:rPr>
            </w:pPr>
          </w:p>
        </w:tc>
        <w:tc>
          <w:tcPr>
            <w:tcW w:w="86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Reserves</w:t>
            </w: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Reserves</w:t>
            </w:r>
          </w:p>
        </w:tc>
        <w:tc>
          <w:tcPr>
            <w:tcW w:w="200" w:type="dxa"/>
            <w:vAlign w:val="bottom"/>
          </w:tcPr>
          <w:p>
            <w:pPr>
              <w:spacing w:after="0"/>
              <w:rPr>
                <w:sz w:val="16"/>
                <w:szCs w:val="16"/>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RIF</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24"/>
        </w:trPr>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Missed payments:</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140"/>
              <w:spacing w:after="0"/>
              <w:rPr>
                <w:sz w:val="20"/>
                <w:szCs w:val="20"/>
                <w:color w:val="auto"/>
              </w:rPr>
            </w:pPr>
            <w:r>
              <w:rPr>
                <w:rFonts w:ascii="Arial" w:cs="Arial" w:eastAsia="Arial" w:hAnsi="Arial"/>
                <w:sz w:val="18"/>
                <w:szCs w:val="18"/>
                <w:color w:val="auto"/>
              </w:rPr>
              <w:t>Three payments or less</w:t>
            </w:r>
          </w:p>
        </w:tc>
        <w:tc>
          <w:tcPr>
            <w:tcW w:w="1080" w:type="dxa"/>
            <w:vAlign w:val="bottom"/>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15,793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177,238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28,006</w:t>
            </w:r>
          </w:p>
        </w:tc>
        <w:tc>
          <w:tcPr>
            <w:tcW w:w="14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108,743</w:t>
            </w:r>
          </w:p>
        </w:tc>
        <w:tc>
          <w:tcPr>
            <w:tcW w:w="14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400" w:type="dxa"/>
            <w:vAlign w:val="bottom"/>
            <w:gridSpan w:val="2"/>
          </w:tcPr>
          <w:p>
            <w:pPr>
              <w:ind w:left="140"/>
              <w:spacing w:after="0"/>
              <w:rPr>
                <w:sz w:val="20"/>
                <w:szCs w:val="20"/>
                <w:color w:val="auto"/>
              </w:rPr>
            </w:pPr>
            <w:r>
              <w:rPr>
                <w:rFonts w:ascii="Arial" w:cs="Arial" w:eastAsia="Arial" w:hAnsi="Arial"/>
                <w:sz w:val="18"/>
                <w:szCs w:val="18"/>
                <w:color w:val="auto"/>
              </w:rPr>
              <w:t>Twelve or more payments</w:t>
            </w:r>
          </w:p>
        </w:tc>
        <w:tc>
          <w:tcPr>
            <w:tcW w:w="108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13,549</w:t>
            </w:r>
          </w:p>
        </w:tc>
        <w:tc>
          <w:tcPr>
            <w:tcW w:w="1440" w:type="dxa"/>
            <w:vAlign w:val="bottom"/>
            <w:gridSpan w:val="2"/>
          </w:tcPr>
          <w:p>
            <w:pPr>
              <w:jc w:val="right"/>
              <w:ind w:right="14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27,152</w:t>
            </w:r>
          </w:p>
        </w:tc>
        <w:tc>
          <w:tcPr>
            <w:tcW w:w="1460" w:type="dxa"/>
            <w:vAlign w:val="bottom"/>
            <w:gridSpan w:val="2"/>
          </w:tcPr>
          <w:p>
            <w:pPr>
              <w:jc w:val="right"/>
              <w:ind w:right="148"/>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14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14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3400" w:type="dxa"/>
            <w:vAlign w:val="bottom"/>
            <w:gridSpan w:val="2"/>
          </w:tcPr>
          <w:p>
            <w:pPr>
              <w:ind w:left="220"/>
              <w:spacing w:after="0"/>
              <w:rPr>
                <w:sz w:val="20"/>
                <w:szCs w:val="20"/>
                <w:color w:val="auto"/>
              </w:rPr>
            </w:pPr>
            <w:r>
              <w:rPr>
                <w:rFonts w:ascii="Arial" w:cs="Arial" w:eastAsia="Arial" w:hAnsi="Arial"/>
                <w:sz w:val="18"/>
                <w:szCs w:val="18"/>
                <w:color w:val="auto"/>
              </w:rPr>
              <w:t xml:space="preserve">Total case reserves </w:t>
            </w:r>
            <w:r>
              <w:rPr>
                <w:rFonts w:ascii="Arial" w:cs="Arial" w:eastAsia="Arial" w:hAnsi="Arial"/>
                <w:sz w:val="18"/>
                <w:szCs w:val="18"/>
                <w:b w:val="1"/>
                <w:bCs w:val="1"/>
                <w:color w:val="auto"/>
              </w:rPr>
              <w:t>(2)</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5,947</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63,180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319,910</w:t>
            </w:r>
          </w:p>
        </w:tc>
        <w:tc>
          <w:tcPr>
            <w:tcW w:w="1460" w:type="dxa"/>
            <w:vAlign w:val="bottom"/>
            <w:gridSpan w:val="2"/>
          </w:tcPr>
          <w:p>
            <w:pPr>
              <w:jc w:val="right"/>
              <w:ind w:right="148"/>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IBNR</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4,738</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Total reserves for losses and LAE </w:t>
            </w:r>
            <w:r>
              <w:rPr>
                <w:rFonts w:ascii="Arial" w:cs="Arial" w:eastAsia="Arial" w:hAnsi="Arial"/>
                <w:sz w:val="18"/>
                <w:szCs w:val="18"/>
                <w:b w:val="1"/>
                <w:bCs w:val="1"/>
                <w:color w:val="auto"/>
              </w:rPr>
              <w:t>(2)</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69,183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right="220" w:hanging="412"/>
        <w:spacing w:after="0" w:line="259" w:lineRule="auto"/>
        <w:tabs>
          <w:tab w:leader="none" w:pos="41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U.S. mortgage insurance portfolio reserves exclude reserves on GSE and other risk share risk in force at Essent Re of $179 as of December 31, 2019.</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72" w:name="page73"/>
    <w:bookmarkEnd w:id="72"/>
    <w:p>
      <w:pPr>
        <w:ind w:right="120" w:firstLine="445"/>
        <w:spacing w:after="0" w:line="257" w:lineRule="auto"/>
        <w:rPr>
          <w:sz w:val="20"/>
          <w:szCs w:val="20"/>
          <w:color w:val="auto"/>
        </w:rPr>
      </w:pPr>
      <w:r>
        <w:rPr>
          <w:rFonts w:ascii="Arial" w:cs="Arial" w:eastAsia="Arial" w:hAnsi="Arial"/>
          <w:sz w:val="18"/>
          <w:szCs w:val="18"/>
          <w:color w:val="auto"/>
        </w:rPr>
        <w:t>During the year ended December 31, 2020, the provision for losses and LAE was $301.3 million, comprised of $317.5 million of current year losses partially offset by $16.2 million of favorable prior years' loss development. During the year ended December 31, 2019, the provision for losses and LAE was $33.0 million, comprised of $50.6 million of current year losses partially offset by $17.6 million of favorable prior years' loss development. In both periods, the favorable prior years' loss development was the result of a re-estimation of amounts ultimately to be paid on prior year defaults in the default inventory, including the impact of previously identified defaults that cured.</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Year Ended December 31,</w:t>
            </w:r>
          </w:p>
        </w:tc>
      </w:tr>
      <w:tr>
        <w:trPr>
          <w:trHeight w:val="188"/>
        </w:trPr>
        <w:tc>
          <w:tcPr>
            <w:tcW w:w="77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Pr>
          <w:p>
            <w:pPr>
              <w:spacing w:after="0"/>
              <w:rPr>
                <w:sz w:val="16"/>
                <w:szCs w:val="16"/>
                <w:color w:val="auto"/>
              </w:rPr>
            </w:pPr>
          </w:p>
        </w:tc>
        <w:tc>
          <w:tcPr>
            <w:tcW w:w="1260" w:type="dxa"/>
            <w:vAlign w:val="bottom"/>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5"/>
              <w:spacing w:after="0"/>
              <w:rPr>
                <w:sz w:val="20"/>
                <w:szCs w:val="20"/>
                <w:color w:val="auto"/>
              </w:rPr>
            </w:pPr>
            <w:r>
              <w:rPr>
                <w:rFonts w:ascii="Arial" w:cs="Arial" w:eastAsia="Arial" w:hAnsi="Arial"/>
                <w:sz w:val="14"/>
                <w:szCs w:val="14"/>
                <w:b w:val="1"/>
                <w:bCs w:val="1"/>
                <w:color w:val="auto"/>
              </w:rPr>
              <w:t>2019</w:t>
            </w:r>
          </w:p>
        </w:tc>
      </w:tr>
      <w:tr>
        <w:trPr>
          <w:trHeight w:val="224"/>
        </w:trPr>
        <w:tc>
          <w:tcPr>
            <w:tcW w:w="7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Number of claims paid</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378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377</w:t>
            </w: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Amount of claims paid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14,354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12,613</w:t>
            </w:r>
          </w:p>
        </w:tc>
      </w:tr>
      <w:tr>
        <w:trPr>
          <w:trHeight w:val="23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Claim severity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8"/>
              </w:rPr>
              <w:t>Year Ended December 31,</w:t>
            </w:r>
          </w:p>
        </w:tc>
        <w:tc>
          <w:tcPr>
            <w:tcW w:w="860" w:type="dxa"/>
            <w:vAlign w:val="bottom"/>
            <w:tcBorders>
              <w:bottom w:val="single" w:sz="8" w:color="auto"/>
            </w:tcBorders>
          </w:tcPr>
          <w:p>
            <w:pPr>
              <w:spacing w:after="0"/>
              <w:rPr>
                <w:sz w:val="16"/>
                <w:szCs w:val="16"/>
                <w:color w:val="auto"/>
              </w:rPr>
            </w:pPr>
          </w:p>
        </w:tc>
      </w:tr>
      <w:tr>
        <w:trPr>
          <w:trHeight w:val="186"/>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6"/>
                <w:szCs w:val="16"/>
                <w:color w:val="auto"/>
              </w:rPr>
            </w:pPr>
          </w:p>
        </w:tc>
      </w:tr>
      <w:tr>
        <w:trPr>
          <w:trHeight w:val="184"/>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5"/>
                <w:szCs w:val="15"/>
                <w:color w:val="auto"/>
              </w:rPr>
            </w:pPr>
          </w:p>
        </w:tc>
        <w:tc>
          <w:tcPr>
            <w:tcW w:w="800" w:type="dxa"/>
            <w:vAlign w:val="bottom"/>
          </w:tcPr>
          <w:p>
            <w:pPr>
              <w:jc w:val="right"/>
              <w:ind w:right="3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60" w:type="dxa"/>
            <w:vAlign w:val="bottom"/>
          </w:tcPr>
          <w:p>
            <w:pPr>
              <w:jc w:val="right"/>
              <w:ind w:right="2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3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w:t>
            </w:r>
          </w:p>
        </w:tc>
      </w:tr>
      <w:tr>
        <w:trPr>
          <w:trHeight w:val="224"/>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93,066</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93,660</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29"/>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Premium taxes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20,209</w:t>
            </w:r>
          </w:p>
        </w:tc>
        <w:tc>
          <w:tcPr>
            <w:tcW w:w="100" w:type="dxa"/>
            <w:vAlign w:val="bottom"/>
          </w:tcPr>
          <w:p>
            <w:pPr>
              <w:spacing w:after="0"/>
              <w:rPr>
                <w:sz w:val="19"/>
                <w:szCs w:val="19"/>
                <w:color w:val="auto"/>
              </w:rPr>
            </w:pPr>
          </w:p>
        </w:tc>
        <w:tc>
          <w:tcPr>
            <w:tcW w:w="860" w:type="dxa"/>
            <w:vAlign w:val="bottom"/>
          </w:tcPr>
          <w:p>
            <w:pPr>
              <w:jc w:val="right"/>
              <w:ind w:right="13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17,572</w:t>
            </w:r>
          </w:p>
        </w:tc>
        <w:tc>
          <w:tcPr>
            <w:tcW w:w="100" w:type="dxa"/>
            <w:vAlign w:val="bottom"/>
          </w:tcPr>
          <w:p>
            <w:pPr>
              <w:spacing w:after="0"/>
              <w:rPr>
                <w:sz w:val="19"/>
                <w:szCs w:val="19"/>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10</w:t>
            </w:r>
          </w:p>
        </w:tc>
      </w:tr>
      <w:tr>
        <w:trPr>
          <w:trHeight w:val="22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41,416</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54,137</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33</w:t>
            </w:r>
          </w:p>
        </w:tc>
      </w:tr>
      <w:tr>
        <w:trPr>
          <w:trHeight w:val="22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Total other underwriting and operating expenses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154,691</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165,369</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Number of employees at end of year</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135"/>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387</w:t>
            </w:r>
          </w:p>
        </w:tc>
      </w:tr>
    </w:tbl>
    <w:p>
      <w:pPr>
        <w:spacing w:after="0" w:line="3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52" w:lineRule="exact"/>
        <w:rPr>
          <w:sz w:val="20"/>
          <w:szCs w:val="20"/>
          <w:color w:val="auto"/>
        </w:rPr>
      </w:pPr>
    </w:p>
    <w:p>
      <w:pPr>
        <w:jc w:val="both"/>
        <w:ind w:left="660" w:right="280" w:hanging="247"/>
        <w:spacing w:after="0" w:line="286" w:lineRule="auto"/>
        <w:tabs>
          <w:tab w:leader="none" w:pos="6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Compensation and benefits decreased primarily due to a decrease in incentive compensation, partially offset by increased salaries and overtime associated with our increased NIW and increased stock compensation expense associated with shares granted in 2019 and 2020. Compensation and benefits includes salaries, wages and bonus, stock compensation expense, benefits and payroll taxes.</w:t>
      </w:r>
    </w:p>
    <w:p>
      <w:pPr>
        <w:spacing w:after="0" w:line="192" w:lineRule="exact"/>
        <w:rPr>
          <w:rFonts w:ascii="Arial" w:cs="Arial" w:eastAsia="Arial" w:hAnsi="Arial"/>
          <w:sz w:val="17"/>
          <w:szCs w:val="17"/>
          <w:color w:val="auto"/>
        </w:rPr>
      </w:pPr>
    </w:p>
    <w:p>
      <w:pPr>
        <w:ind w:left="660" w:hanging="247"/>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Premium taxes increased primarily due to an increase in premiums written.</w:t>
      </w:r>
    </w:p>
    <w:p>
      <w:pPr>
        <w:spacing w:after="0" w:line="252" w:lineRule="exact"/>
        <w:rPr>
          <w:rFonts w:ascii="Arial" w:cs="Arial" w:eastAsia="Arial" w:hAnsi="Arial"/>
          <w:sz w:val="18"/>
          <w:szCs w:val="18"/>
          <w:color w:val="auto"/>
        </w:rPr>
      </w:pPr>
    </w:p>
    <w:p>
      <w:pPr>
        <w:ind w:left="660" w:right="180" w:hanging="247"/>
        <w:spacing w:after="0" w:line="342" w:lineRule="auto"/>
        <w:tabs>
          <w:tab w:leader="none" w:pos="6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Other expenses decreased as a result of ceding commission earned under the QSR Agreement and lower travel expenses. Other expenses include professional fees, travel, marketing, hardware, software, rent, depreciation and amortization and other facilities expenses.</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For the years ended December 31, 2020 and 2019, we incurred interest expense of $9.1 million and $10.2 million, respectively. Interest expense decreased primarily due to a decrease in the weighted average interest rate on amounts outstanding under the Credit Facility, partially offset by an increase in the average amounts outstanding under the Credit Facility. For the year ended December 31, 2020, the average amount outstanding under the Credit Facility was $356.3 million as compared to $225.0 million for the year ended December 31, 2019. For the years ending December 31, 2020 and 2019, the borrowings under the Credit Facility had a weighted average interest rate of 2.30% and 4.26%, respectively.</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Our subsidiaries in the United States file a consolidated U.S. Federal income tax return. Our income tax expense was $77.1 million for the year ended December 31, 2020 compared to $103.3 million for the year ended December 31, 2019. The effective tax rate for the year ended December 31, 2020 was 15.8% before reductions for excess tax benefits associated with the</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73" w:name="page74"/>
    <w:bookmarkEnd w:id="73"/>
    <w:p>
      <w:pPr>
        <w:spacing w:after="0" w:line="259" w:lineRule="auto"/>
        <w:rPr>
          <w:sz w:val="20"/>
          <w:szCs w:val="20"/>
          <w:color w:val="auto"/>
        </w:rPr>
      </w:pPr>
      <w:r>
        <w:rPr>
          <w:rFonts w:ascii="Arial" w:cs="Arial" w:eastAsia="Arial" w:hAnsi="Arial"/>
          <w:sz w:val="18"/>
          <w:szCs w:val="18"/>
          <w:color w:val="auto"/>
        </w:rPr>
        <w:t>vesting of common shares and common share units of $0.6 million. The effective tax rate for the year ended December 31, 2019, was 16.0% before reductions for excess tax benefits associated with the vesting of common shares and common share units of $2.2 million. The tax effects associated with the vesting of common shares and common share units are treated as discrete items in the reporting period in which they occur and are not considered in determining the annual effective tax rate.</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2020 and 2019, we concluded that it was more likely than not that our deferred tax assets would be realized.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the Year Ended December 31, 2018</w:t>
      </w:r>
    </w:p>
    <w:p>
      <w:pPr>
        <w:spacing w:after="0" w:line="256" w:lineRule="exact"/>
        <w:rPr>
          <w:sz w:val="20"/>
          <w:szCs w:val="20"/>
          <w:color w:val="auto"/>
        </w:rPr>
      </w:pPr>
    </w:p>
    <w:p>
      <w:pPr>
        <w:ind w:right="100" w:firstLine="360"/>
        <w:spacing w:after="0" w:line="311" w:lineRule="auto"/>
        <w:rPr>
          <w:sz w:val="20"/>
          <w:szCs w:val="20"/>
          <w:color w:val="auto"/>
        </w:rPr>
      </w:pPr>
      <w:r>
        <w:rPr>
          <w:rFonts w:ascii="Arial" w:cs="Arial" w:eastAsia="Arial" w:hAnsi="Arial"/>
          <w:sz w:val="16"/>
          <w:szCs w:val="16"/>
          <w:i w:val="1"/>
          <w:iCs w:val="1"/>
          <w:color w:val="auto"/>
        </w:rPr>
        <w:t>Pursuant to the FAST Act Modernization and Simplification of Regulation S-K, discussions related to the changes in results of operations for the year ended December 31, 2019 compared to the year ended December 31, 2018 have been omitted. Such omitted discussion can be found under Item 7 of our Annual Report on Form 10-K for the year ended December 31, 2019 filed with the Securities and Exchange Commission on February 18,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sources of funds consist primarily of:</w:t>
      </w:r>
    </w:p>
    <w:p>
      <w:pPr>
        <w:spacing w:after="0" w:line="252" w:lineRule="exact"/>
        <w:rPr>
          <w:sz w:val="20"/>
          <w:szCs w:val="20"/>
          <w:color w:val="auto"/>
        </w:rPr>
      </w:pPr>
    </w:p>
    <w:p>
      <w:pPr>
        <w:ind w:left="660" w:hanging="247"/>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borrowings under our Credit Facility; and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obligations consist primarily of:</w:t>
      </w:r>
    </w:p>
    <w:p>
      <w:pPr>
        <w:spacing w:after="0" w:line="252" w:lineRule="exact"/>
        <w:rPr>
          <w:sz w:val="20"/>
          <w:szCs w:val="20"/>
          <w:color w:val="auto"/>
        </w:rPr>
      </w:pPr>
    </w:p>
    <w:p>
      <w:pPr>
        <w:ind w:left="660" w:hanging="247"/>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interest payments and repayment of borrowings under our Credit Facility;</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 and</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payment of dividends on our common shares.</w:t>
      </w:r>
    </w:p>
    <w:p>
      <w:pPr>
        <w:spacing w:after="0" w:line="252"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As of December 31, 2020, we had substantial liquidity with cash of $102.8 million, short-term investments of $726.9 million and fixed maturity investments of $3.8 billion. We also had $300 million available capacity under the revolving credit component of our Credit Facility, with $325 million of term borrowings outstanding under our Credit Facility. Borrowings under the Credit Facility contractually mature on October 16, 2023. In June 2020, we completed a public offering of 13.8 million common shares to strengthen our capital resources and provide financial flexibility. Net proceeds from this offering were approximately $440 million. At December 31, 2020, net cash and investments at the holding company were $562.7 million.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December 31, 2020.</w:t>
      </w:r>
    </w:p>
    <w:p>
      <w:pPr>
        <w:spacing w:after="0" w:line="219" w:lineRule="exact"/>
        <w:rPr>
          <w:sz w:val="20"/>
          <w:szCs w:val="20"/>
          <w:color w:val="auto"/>
        </w:rPr>
      </w:pPr>
    </w:p>
    <w:p>
      <w:pPr>
        <w:ind w:right="540" w:firstLine="445"/>
        <w:spacing w:after="0" w:line="308" w:lineRule="auto"/>
        <w:rPr>
          <w:sz w:val="20"/>
          <w:szCs w:val="20"/>
          <w:color w:val="auto"/>
        </w:rPr>
      </w:pPr>
      <w:r>
        <w:rPr>
          <w:rFonts w:ascii="Arial" w:cs="Arial" w:eastAsia="Arial" w:hAnsi="Arial"/>
          <w:sz w:val="17"/>
          <w:szCs w:val="17"/>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73"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related to COVID-19, to provide additional capital related to the growth of our risk in force in our mortgage insurance portfolio, or to fund new business initiatives including the insurance activities of Essent Re. We continually evaluate opportunities based upon market conditions to further increase our</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74" w:name="page75"/>
    <w:bookmarkEnd w:id="74"/>
    <w:p>
      <w:pPr>
        <w:ind w:right="540"/>
        <w:spacing w:after="0" w:line="277" w:lineRule="auto"/>
        <w:rPr>
          <w:sz w:val="20"/>
          <w:szCs w:val="20"/>
          <w:color w:val="auto"/>
        </w:rPr>
      </w:pPr>
      <w:r>
        <w:rPr>
          <w:rFonts w:ascii="Arial" w:cs="Arial" w:eastAsia="Arial" w:hAnsi="Arial"/>
          <w:sz w:val="18"/>
          <w:szCs w:val="18"/>
          <w:color w:val="auto"/>
        </w:rPr>
        <w:t>financial flexibility through the issuance of equity or debt, or other options including reinsurance or credit risk transfer transactions. There can be no guarantee that any such opportunities will be available on acceptable terms or at all.</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52" w:lineRule="exact"/>
        <w:rPr>
          <w:sz w:val="20"/>
          <w:szCs w:val="20"/>
          <w:color w:val="auto"/>
        </w:rPr>
      </w:pPr>
    </w:p>
    <w:p>
      <w:pPr>
        <w:ind w:left="660" w:hanging="247"/>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52"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December 31, 2020, Essent Guaranty, had unassigned surplus of approximately $343.6 million. Essent Guaranty of PA, Inc. had unassigned surplus of approximately $15.4 million as of December 31, 2020. As a result of PMIERs guidance issued by the GSEs, through June 30, 2021, Essent Guaranty is required to obtain GSE written approval before paying a dividend.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December 31, 2020, Essent Re had total equity of $1.1 billion. In connection with its insurance and reinsurance activities, Essent Re is required to maintain assets in trusts for the benefit of its contractual counterparties. See Note 3 to our consolidated financial statements. At December 31, 2020, our insurance subsidiaries were in compliance with these rules, regulations and agreements.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1"/>
              </w:rPr>
              <w:t>Year Ended December 31,</w:t>
            </w:r>
          </w:p>
        </w:tc>
        <w:tc>
          <w:tcPr>
            <w:tcW w:w="1040" w:type="dxa"/>
            <w:vAlign w:val="bottom"/>
            <w:tcBorders>
              <w:bottom w:val="single" w:sz="8" w:color="auto"/>
            </w:tcBorders>
          </w:tcPr>
          <w:p>
            <w:pPr>
              <w:spacing w:after="0"/>
              <w:rPr>
                <w:sz w:val="16"/>
                <w:szCs w:val="16"/>
                <w:color w:val="auto"/>
              </w:rPr>
            </w:pPr>
          </w:p>
        </w:tc>
      </w:tr>
      <w:tr>
        <w:trPr>
          <w:trHeight w:val="188"/>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24"/>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625,321</w:t>
            </w:r>
          </w:p>
        </w:tc>
      </w:tr>
      <w:tr>
        <w:trPr>
          <w:trHeight w:val="230"/>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(1,154,417)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(545,076)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(546,905)</w:t>
            </w:r>
          </w:p>
        </w:tc>
      </w:tr>
      <w:tr>
        <w:trPr>
          <w:trHeight w:val="229"/>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457,966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(56,994)</w:t>
            </w:r>
          </w:p>
        </w:tc>
      </w:tr>
      <w:tr>
        <w:trPr>
          <w:trHeight w:val="223"/>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Net increase in cash</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21,422</w:t>
            </w:r>
          </w:p>
        </w:tc>
      </w:tr>
      <w:tr>
        <w:trPr>
          <w:trHeight w:val="20"/>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Cash flow provided by operating activities totaled $727.9 million for the year ended December 31, 2020, as compared to $589.8 million for the year ended December 31, 2019 and $625.3 million for the year ended December 31, 2018. The increase in cash flow from operations of $138.1 million in 2020 was primarily due to an increase in premiums collected and a decrease in United States Mortgage Guaranty Tax and Loss Bonds (“T&amp;L Bonds”) purchased during 2020. The decrease in cash flow from operations of $35.5 million in 2019 was primarily due to an increase in T&amp;L Bonds purchased and an increase in expenses paid, partially offset by increases in premiums collected and net investment income.</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80" w:firstLine="445"/>
        <w:spacing w:after="0" w:line="279" w:lineRule="auto"/>
        <w:rPr>
          <w:sz w:val="20"/>
          <w:szCs w:val="20"/>
          <w:color w:val="auto"/>
        </w:rPr>
      </w:pPr>
      <w:r>
        <w:rPr>
          <w:rFonts w:ascii="Arial" w:cs="Arial" w:eastAsia="Arial" w:hAnsi="Arial"/>
          <w:sz w:val="17"/>
          <w:szCs w:val="17"/>
          <w:color w:val="auto"/>
        </w:rPr>
        <w:t>Cash flow used in investing activities totaled $1.2 billion for the year ended December 31, 2020 and primarily related to investing cash flows from the business, net proceeds of approximately $440 million from the completion of a public offering of common shares in June and net increased borrowings under the Credit Facility. Cash flow used in investing activities totaled $545.1 million for the year ended December 31, 2019 and $546.9 million for the year ended December 31, 2018 and primarily related to investing cash flows from the business in both periods.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75" w:name="page76"/>
    <w:bookmarkEnd w:id="75"/>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Cash flow provided by financing activities totaled $458.0 million for the year ended December 31, 2020 and primarily related to $440 million of net proceeds from the completion of a public offering of common shares in June and net increased borrowings under the Credit Facility, partially offset by quarterly cash dividends paid in 2020 and treasury stock acquired from employees to satisfy tax withholding obligations. Cash flow used in financing activities totaled $38.4 million for the year ended December 31, 2019 and primarily related to our inaugural quarterly cash dividend paid in September 2019, quarterly cash dividend paid in December 2019 and treasury stock acquired from employees to satisfy tax withholding obligations. Cash flow used in financing activities totaled $57.0 million for the year ended December 31, 2018 and primarily related to treasury stock acquired from employees to satisfy tax withholding obligations and net repayments of borrowings under the Credit Facility.</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52"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years ended December 31, 2020 and 2019, no capital contributions were made to our U.S. insurance subsidiaries.</w:t>
      </w:r>
    </w:p>
    <w:p>
      <w:pPr>
        <w:spacing w:after="0" w:line="252"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Essent Guaranty has entered into reinsurance agreements that provide excess of loss reinsurance coverage for new defaults on portfolios of mortgage insurance policies issued in 2015 through 2020. The aggregate excess of loss reinsurance coverages decrease over a ten-year period as the underlying covered mortgages amortize. Based on the level of delinquencies reported to us, the insurance-linked note transactions (the “ILNs”) that Essent Guaranty entered into prior to March 31, 2020 became subject to a "trigger event" as of June 25, 2020. The aggregate excess of loss reinsurance coverage will not amortize during the continuation of a trigger event. Effective September 1, 2019, Essent Guaranty entered into a quota share reinsurance agreement with a panel of third-party reinsurers (the "QSR Agreement").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These reinsurance coverages also reduces net risk in force and PMIERs Minimum Required Assets. See Note 5 to our consolidated financial statements.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combined risk-to-capital calculation for our U.S. insurance subsidiaries as of December 31, 2020 was as follows:</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Combined statutory capital:</w:t>
      </w:r>
    </w:p>
    <w:p>
      <w:pPr>
        <w:ind w:left="10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9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Policyholders’ surplus</w:t>
            </w:r>
          </w:p>
        </w:tc>
        <w:tc>
          <w:tcPr>
            <w:tcW w:w="1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1,103,347</w:t>
            </w:r>
          </w:p>
        </w:tc>
        <w:tc>
          <w:tcPr>
            <w:tcW w:w="0" w:type="dxa"/>
            <w:vAlign w:val="bottom"/>
          </w:tcPr>
          <w:p>
            <w:pPr>
              <w:spacing w:after="0"/>
              <w:rPr>
                <w:sz w:val="1"/>
                <w:szCs w:val="1"/>
                <w:color w:val="auto"/>
              </w:rPr>
            </w:pPr>
          </w:p>
        </w:tc>
      </w:tr>
      <w:tr>
        <w:trPr>
          <w:trHeight w:val="230"/>
        </w:trPr>
        <w:tc>
          <w:tcPr>
            <w:tcW w:w="9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Contingency reserves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1,555,814</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Combined statutory capital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2,659,161</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Combined net risk in force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0" w:type="dxa"/>
            <w:vAlign w:val="bottom"/>
            <w:tcBorders>
              <w:bottom w:val="single" w:sz="8" w:color="CCEEFF"/>
            </w:tcBorders>
            <w:gridSpan w:val="2"/>
            <w:vMerge w:val="continue"/>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29,493,572</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Combined risk-to-capital ratio</w:t>
            </w: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firstLine="445"/>
        <w:spacing w:after="0" w:line="293" w:lineRule="auto"/>
        <w:rPr>
          <w:sz w:val="20"/>
          <w:szCs w:val="20"/>
          <w:color w:val="auto"/>
        </w:rPr>
      </w:pPr>
      <w:r>
        <w:rPr>
          <w:rFonts w:ascii="Arial" w:cs="Arial" w:eastAsia="Arial" w:hAnsi="Arial"/>
          <w:sz w:val="16"/>
          <w:szCs w:val="16"/>
          <w:color w:val="auto"/>
        </w:rPr>
        <w:t>For additional information regarding regulatory capital see Note 16 to our consolidated financial statements. Our combined statutory capital equals the sum of statutory capital of Essent Guaranty plus Essent Guaranty of PA, Inc., after eliminating the impact of intercompany transactions. The combined risk-to-capital ratio equals the sum of the net risk in force of Essent Guaranty and Essent Guaranty of PA, Inc.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6" w:name="page77"/>
    <w:bookmarkEnd w:id="76"/>
    <w:p>
      <w:pPr>
        <w:ind w:right="180" w:firstLine="445"/>
        <w:spacing w:after="0" w:line="296" w:lineRule="auto"/>
        <w:rPr>
          <w:sz w:val="20"/>
          <w:szCs w:val="20"/>
          <w:color w:val="auto"/>
        </w:rPr>
      </w:pPr>
      <w:r>
        <w:rPr>
          <w:rFonts w:ascii="Arial" w:cs="Arial" w:eastAsia="Arial" w:hAnsi="Arial"/>
          <w:sz w:val="16"/>
          <w:szCs w:val="16"/>
          <w:color w:val="auto"/>
        </w:rPr>
        <w:t>Essent Re has entered into GSE and other risk share transactions, including insurance and reinsurance transactions with Freddie Mac and Fannie Mae. Essent Re also reinsures 25% of Essent Guaranty’s NIW under a quota share reinsurance agreement. During the year ended December 31, 2020, Essent Re paid no dividends to Essent Group. During the year ended December 31, 2019, Essent Re paid dividends to Essent Group of $55 million to increase holding company liquidity. Essent Group made no capital contributions to Essent Re during the years ended December 31, 2020 and 2019. As of December 31, 2020, Essent Re had total stockholders’ equity of $1.1 billion and net risk in force of $12.9 billion.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52"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The financial strength ratings of Essent Guaranty, our principal mortgage insurance subsidiary, are A3 with a stable outlook by Moody's, BBB+ with a negative outlook by S&amp;P and A (Excellent) with a stable outlook by A.M. Best. The financial strength ratings of Essent Re are BBB+ with a negative outlook by S&amp;P and A (Excellent) with a stable outlook by A.M. Best.</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52" w:lineRule="exact"/>
        <w:rPr>
          <w:sz w:val="20"/>
          <w:szCs w:val="20"/>
          <w:color w:val="auto"/>
        </w:rPr>
      </w:pPr>
    </w:p>
    <w:p>
      <w:pPr>
        <w:ind w:right="160" w:firstLine="445"/>
        <w:spacing w:after="0" w:line="269" w:lineRule="auto"/>
        <w:rPr>
          <w:sz w:val="20"/>
          <w:szCs w:val="20"/>
          <w:color w:val="auto"/>
        </w:rPr>
      </w:pPr>
      <w:r>
        <w:rPr>
          <w:rFonts w:ascii="Arial" w:cs="Arial" w:eastAsia="Arial" w:hAnsi="Arial"/>
          <w:sz w:val="17"/>
          <w:szCs w:val="17"/>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December 31, 2020, Essent Guaranty, our GSE-approved mortgage insurance company, was in compliance with the PMIERs 2.0. As of December 31, 2020, Essent Guaranty's Available Assets were $2.86 billion and its Minimum Required Assets were $1.65 billion based on our interpretation of the PMIERs 2.0.</w:t>
      </w:r>
    </w:p>
    <w:p>
      <w:pPr>
        <w:spacing w:after="0" w:line="212" w:lineRule="exact"/>
        <w:rPr>
          <w:sz w:val="20"/>
          <w:szCs w:val="20"/>
          <w:color w:val="auto"/>
        </w:rPr>
      </w:pPr>
    </w:p>
    <w:p>
      <w:pPr>
        <w:ind w:firstLine="445"/>
        <w:spacing w:after="0" w:line="267" w:lineRule="auto"/>
        <w:rPr>
          <w:sz w:val="20"/>
          <w:szCs w:val="20"/>
          <w:color w:val="auto"/>
        </w:rPr>
      </w:pPr>
      <w:r>
        <w:rPr>
          <w:rFonts w:ascii="Arial" w:cs="Arial" w:eastAsia="Arial" w:hAnsi="Arial"/>
          <w:sz w:val="16"/>
          <w:szCs w:val="16"/>
          <w:color w:val="auto"/>
        </w:rPr>
        <w:t>Under PMIERs guidance issued by the GSEs effective June 30, 2020, Essent will apply a 0.30 multiplier to the risk-based required asset amount factor for each insured loan in default backed by a property located in a Federal Emergency Management Agency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 The 28,922 COVID-19 defaults included in our December 31, 2020 default inventory fall into categories 1) and 2) above and received the 0.30 multiplier in calculating the PMIERs required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52"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As of December 31, 2020, stockholders’ equity was $3.9 billion compared to $3.0 billion as of December 31, 2019. This increase was primarily due to the completion of a public offering of common shares in June 2020, net income generated in 2020 and an increase in accumulated other comprehensive income related to an increase in our unrealized investment gains, partially offset by dividends paid in 2020.</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7" w:name="page78"/>
    <w:bookmarkEnd w:id="77"/>
    <w:p>
      <w:pPr>
        <w:ind w:left="420"/>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jc w:val="both"/>
        <w:ind w:right="40" w:firstLine="445"/>
        <w:spacing w:after="0" w:line="255" w:lineRule="auto"/>
        <w:rPr>
          <w:sz w:val="20"/>
          <w:szCs w:val="20"/>
          <w:color w:val="auto"/>
        </w:rPr>
      </w:pPr>
      <w:r>
        <w:rPr>
          <w:rFonts w:ascii="Arial" w:cs="Arial" w:eastAsia="Arial" w:hAnsi="Arial"/>
          <w:sz w:val="18"/>
          <w:szCs w:val="18"/>
          <w:color w:val="auto"/>
        </w:rPr>
        <w:t>As of December 31, 2020, investments totaled $4.7 billion compared to $3.4 billion as of December 31, 2019. In addition, our total cash was $102.8 million as of December 31, 2020, compared to $71.4 million as of December 31, 2019. The increase in investments was primarily due to investing net cash flows from operations, the net proceeds from the public offering</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 common shares and the increase in net borrowings under the Credit Facility during the year ended December 31, 2020.</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Investments Available for Sale by Asset Class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2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1"/>
              </w:rPr>
              <w:t>December 31, 2020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40"/>
              <w:spacing w:after="0"/>
              <w:rPr>
                <w:sz w:val="20"/>
                <w:szCs w:val="20"/>
                <w:color w:val="auto"/>
              </w:rPr>
            </w:pPr>
            <w:r>
              <w:rPr>
                <w:rFonts w:ascii="Arial" w:cs="Arial" w:eastAsia="Arial" w:hAnsi="Arial"/>
                <w:sz w:val="14"/>
                <w:szCs w:val="14"/>
                <w:b w:val="1"/>
                <w:bCs w:val="1"/>
                <w:color w:val="auto"/>
              </w:rPr>
              <w:t>December 31, 2019</w:t>
            </w:r>
          </w:p>
        </w:tc>
      </w:tr>
      <w:tr>
        <w:trPr>
          <w:trHeight w:val="188"/>
        </w:trPr>
        <w:tc>
          <w:tcPr>
            <w:tcW w:w="20" w:type="dxa"/>
            <w:vAlign w:val="bottom"/>
          </w:tcPr>
          <w:p>
            <w:pPr>
              <w:spacing w:after="0"/>
              <w:rPr>
                <w:sz w:val="16"/>
                <w:szCs w:val="16"/>
                <w:color w:val="auto"/>
              </w:rPr>
            </w:pPr>
          </w:p>
        </w:tc>
        <w:tc>
          <w:tcPr>
            <w:tcW w:w="42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6"/>
                <w:szCs w:val="16"/>
                <w:color w:val="auto"/>
              </w:rPr>
            </w:pPr>
          </w:p>
        </w:tc>
        <w:tc>
          <w:tcPr>
            <w:tcW w:w="2020" w:type="dxa"/>
            <w:vAlign w:val="bottom"/>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1120" w:type="dxa"/>
            <w:vAlign w:val="bottom"/>
          </w:tcPr>
          <w:p>
            <w:pPr>
              <w:jc w:val="right"/>
              <w:ind w:right="552"/>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4"/>
          </w:tcPr>
          <w:p>
            <w:pPr>
              <w:ind w:left="260"/>
              <w:spacing w:after="0"/>
              <w:rPr>
                <w:sz w:val="20"/>
                <w:szCs w:val="20"/>
                <w:color w:val="auto"/>
              </w:rPr>
            </w:pPr>
            <w:r>
              <w:rPr>
                <w:rFonts w:ascii="Arial" w:cs="Arial" w:eastAsia="Arial" w:hAnsi="Arial"/>
                <w:sz w:val="14"/>
                <w:szCs w:val="14"/>
                <w:b w:val="1"/>
                <w:bCs w:val="1"/>
                <w:color w:val="auto"/>
              </w:rPr>
              <w:t>Fair Value</w:t>
            </w:r>
          </w:p>
        </w:tc>
        <w:tc>
          <w:tcPr>
            <w:tcW w:w="17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Percent</w:t>
            </w:r>
          </w:p>
        </w:tc>
      </w:tr>
      <w:tr>
        <w:trPr>
          <w:trHeight w:val="224"/>
        </w:trPr>
        <w:tc>
          <w:tcPr>
            <w:tcW w:w="20" w:type="dxa"/>
            <w:vAlign w:val="bottom"/>
          </w:tcPr>
          <w:p>
            <w:pPr>
              <w:spacing w:after="0"/>
              <w:rPr>
                <w:sz w:val="19"/>
                <w:szCs w:val="19"/>
                <w:color w:val="auto"/>
              </w:rPr>
            </w:pPr>
          </w:p>
        </w:tc>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268,444</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242,206</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7.2 %</w:t>
            </w:r>
          </w:p>
        </w:tc>
      </w:tr>
      <w:tr>
        <w:trPr>
          <w:trHeight w:val="230"/>
        </w:trPr>
        <w:tc>
          <w:tcPr>
            <w:tcW w:w="2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18,085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33,605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r>
      <w:tr>
        <w:trPr>
          <w:trHeight w:val="229"/>
        </w:trPr>
        <w:tc>
          <w:tcPr>
            <w:tcW w:w="2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995,905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848,334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r>
      <w:tr>
        <w:trPr>
          <w:trHeight w:val="229"/>
        </w:trPr>
        <w:tc>
          <w:tcPr>
            <w:tcW w:w="2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551,517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361,638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r>
      <w:tr>
        <w:trPr>
          <w:trHeight w:val="229"/>
        </w:trPr>
        <w:tc>
          <w:tcPr>
            <w:tcW w:w="2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1,126,512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880,301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26.3</w:t>
            </w:r>
          </w:p>
        </w:tc>
      </w:tr>
      <w:tr>
        <w:trPr>
          <w:trHeight w:val="229"/>
        </w:trPr>
        <w:tc>
          <w:tcPr>
            <w:tcW w:w="2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409,282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288,281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r>
      <w:tr>
        <w:trPr>
          <w:trHeight w:val="230"/>
        </w:trPr>
        <w:tc>
          <w:tcPr>
            <w:tcW w:w="2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454,717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326,025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r>
      <w:tr>
        <w:trPr>
          <w:trHeight w:val="229"/>
        </w:trPr>
        <w:tc>
          <w:tcPr>
            <w:tcW w:w="2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679,304</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315,362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r>
      <w:tr>
        <w:trPr>
          <w:trHeight w:val="223"/>
        </w:trPr>
        <w:tc>
          <w:tcPr>
            <w:tcW w:w="2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4,565,373</w:t>
            </w: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3,350,747</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100.0 %</w:t>
            </w:r>
          </w:p>
        </w:tc>
      </w:tr>
      <w:tr>
        <w:trPr>
          <w:trHeight w:val="20"/>
        </w:trPr>
        <w:tc>
          <w:tcPr>
            <w:tcW w:w="4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481"/>
        </w:trPr>
        <w:tc>
          <w:tcPr>
            <w:tcW w:w="5820" w:type="dxa"/>
            <w:vAlign w:val="bottom"/>
            <w:gridSpan w:val="5"/>
          </w:tcPr>
          <w:p>
            <w:pPr>
              <w:jc w:val="right"/>
              <w:ind w:right="33"/>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r>
      <w:tr>
        <w:trPr>
          <w:trHeight w:val="195"/>
        </w:trPr>
        <w:tc>
          <w:tcPr>
            <w:tcW w:w="2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(1) The following table summarizes municipal debt securities as of :</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400" w:type="dxa"/>
            <w:vAlign w:val="bottom"/>
          </w:tcPr>
          <w:p>
            <w:pPr>
              <w:spacing w:after="0"/>
              <w:rPr>
                <w:sz w:val="16"/>
                <w:szCs w:val="16"/>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revenue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74.5 %</w:t>
            </w:r>
          </w:p>
        </w:tc>
        <w:tc>
          <w:tcPr>
            <w:tcW w:w="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21.3</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Tax allocation bonds</w:t>
            </w:r>
          </w:p>
        </w:tc>
        <w:tc>
          <w:tcPr>
            <w:tcW w:w="3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0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r>
      <w:tr>
        <w:trPr>
          <w:trHeight w:val="195"/>
        </w:trPr>
        <w:tc>
          <w:tcPr>
            <w:tcW w:w="2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(2) The following table summarizes corporate debt securities as of :</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400" w:type="dxa"/>
            <w:vAlign w:val="bottom"/>
          </w:tcPr>
          <w:p>
            <w:pPr>
              <w:spacing w:after="0"/>
              <w:rPr>
                <w:sz w:val="16"/>
                <w:szCs w:val="16"/>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Consumer, non-cyclical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19.1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20.1</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Energy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cyclical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materials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Government</w:t>
            </w:r>
          </w:p>
        </w:tc>
        <w:tc>
          <w:tcPr>
            <w:tcW w:w="3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0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Investments Available for Sale by Rating</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Rating(1)</w:t>
            </w:r>
          </w:p>
        </w:tc>
        <w:tc>
          <w:tcPr>
            <w:tcW w:w="3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1"/>
              </w:rPr>
              <w:t>December 31, 2020</w:t>
            </w:r>
          </w:p>
        </w:tc>
        <w:tc>
          <w:tcPr>
            <w:tcW w:w="5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3"/>
              </w:rPr>
              <w:t>December 31, 2019</w:t>
            </w:r>
          </w:p>
        </w:tc>
        <w:tc>
          <w:tcPr>
            <w:tcW w:w="1180" w:type="dxa"/>
            <w:vAlign w:val="bottom"/>
            <w:tcBorders>
              <w:bottom w:val="single" w:sz="8" w:color="auto"/>
            </w:tcBorders>
          </w:tcPr>
          <w:p>
            <w:pPr>
              <w:spacing w:after="0"/>
              <w:rPr>
                <w:sz w:val="16"/>
                <w:szCs w:val="16"/>
                <w:color w:val="auto"/>
              </w:rPr>
            </w:pPr>
          </w:p>
        </w:tc>
      </w:tr>
      <w:tr>
        <w:trPr>
          <w:trHeight w:val="188"/>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6"/>
                <w:szCs w:val="16"/>
                <w:color w:val="auto"/>
              </w:rPr>
            </w:pPr>
          </w:p>
        </w:tc>
        <w:tc>
          <w:tcPr>
            <w:tcW w:w="2120" w:type="dxa"/>
            <w:vAlign w:val="bottom"/>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3"/>
              </w:rPr>
              <w:t>Percent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Pr>
          <w:p>
            <w:pPr>
              <w:jc w:val="right"/>
              <w:ind w:right="591"/>
              <w:spacing w:after="0"/>
              <w:rPr>
                <w:sz w:val="20"/>
                <w:szCs w:val="20"/>
                <w:color w:val="auto"/>
              </w:rPr>
            </w:pPr>
            <w:r>
              <w:rPr>
                <w:rFonts w:ascii="Arial" w:cs="Arial" w:eastAsia="Arial" w:hAnsi="Arial"/>
                <w:sz w:val="14"/>
                <w:szCs w:val="14"/>
                <w:b w:val="1"/>
                <w:bCs w:val="1"/>
                <w:color w:val="auto"/>
                <w:w w:val="93"/>
              </w:rPr>
              <w:t>Percent</w:t>
            </w:r>
          </w:p>
        </w:tc>
      </w:tr>
      <w:tr>
        <w:trPr>
          <w:trHeight w:val="224"/>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2,564,746</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1,817,905</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54.2 %</w:t>
            </w: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Aa1</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133,100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109,122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3.3</w:t>
            </w: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Aa2</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260,462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4.3</w:t>
            </w: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Aa3</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204,917</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159,599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4.8</w:t>
            </w: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A1</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249,710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206,643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6.2</w:t>
            </w: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A2</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401,175</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183,780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5.5</w:t>
            </w: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A3</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229,882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191,933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5.7</w:t>
            </w: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Baa1</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260,602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232,490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6.9</w:t>
            </w: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Baa2</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178,926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179,664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5.4</w:t>
            </w: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Baa3</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48,199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65,119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1.9</w:t>
            </w: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Below Baa3</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33,654</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59,210</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1.8</w:t>
            </w:r>
          </w:p>
        </w:tc>
      </w:tr>
      <w:tr>
        <w:trPr>
          <w:trHeight w:val="223"/>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4,565,373</w:t>
            </w: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100.0 %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3,350,747</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r>
      <w:tr>
        <w:trPr>
          <w:trHeight w:val="21"/>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00" w:hanging="392"/>
        <w:spacing w:after="0"/>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Ratings ("Fitch") rating utilized if Moody's not available.</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Investments Available for Sale by Effective Duration</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Duration</w:t>
            </w:r>
          </w:p>
        </w:tc>
        <w:tc>
          <w:tcPr>
            <w:tcW w:w="3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1"/>
              </w:rPr>
              <w:t>December 31, 2020</w:t>
            </w:r>
          </w:p>
        </w:tc>
        <w:tc>
          <w:tcPr>
            <w:tcW w:w="5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3"/>
              </w:rPr>
              <w:t>December 31, 2019</w:t>
            </w:r>
          </w:p>
        </w:tc>
        <w:tc>
          <w:tcPr>
            <w:tcW w:w="1180" w:type="dxa"/>
            <w:vAlign w:val="bottom"/>
            <w:tcBorders>
              <w:bottom w:val="single" w:sz="8" w:color="auto"/>
            </w:tcBorders>
          </w:tcPr>
          <w:p>
            <w:pPr>
              <w:spacing w:after="0"/>
              <w:rPr>
                <w:sz w:val="16"/>
                <w:szCs w:val="16"/>
                <w:color w:val="auto"/>
              </w:rPr>
            </w:pPr>
          </w:p>
        </w:tc>
      </w:tr>
      <w:tr>
        <w:trPr>
          <w:trHeight w:val="188"/>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6"/>
                <w:szCs w:val="16"/>
                <w:color w:val="auto"/>
              </w:rPr>
            </w:pPr>
          </w:p>
        </w:tc>
        <w:tc>
          <w:tcPr>
            <w:tcW w:w="2120" w:type="dxa"/>
            <w:vAlign w:val="bottom"/>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3"/>
              </w:rPr>
              <w:t>Percent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Pr>
          <w:p>
            <w:pPr>
              <w:jc w:val="right"/>
              <w:ind w:right="592"/>
              <w:spacing w:after="0"/>
              <w:rPr>
                <w:sz w:val="20"/>
                <w:szCs w:val="20"/>
                <w:color w:val="auto"/>
              </w:rPr>
            </w:pPr>
            <w:r>
              <w:rPr>
                <w:rFonts w:ascii="Arial" w:cs="Arial" w:eastAsia="Arial" w:hAnsi="Arial"/>
                <w:sz w:val="14"/>
                <w:szCs w:val="14"/>
                <w:b w:val="1"/>
                <w:bCs w:val="1"/>
                <w:color w:val="auto"/>
                <w:w w:val="93"/>
              </w:rPr>
              <w:t>Percent</w:t>
            </w:r>
          </w:p>
        </w:tc>
      </w:tr>
      <w:tr>
        <w:trPr>
          <w:trHeight w:val="224"/>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&lt; 1 Year</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1,568,505</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1,038,782</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31.0 %</w:t>
            </w: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1 to &lt; 2 Years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581,003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306,148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9.1</w:t>
            </w: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 to &lt; 3 Years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616,069</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348,708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10.4</w:t>
            </w: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3 to &lt; 4 Years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426,333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361,147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10.8</w:t>
            </w: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 to &lt; 5 Years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367,633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443,382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13.2</w:t>
            </w:r>
          </w:p>
        </w:tc>
      </w:tr>
      <w:tr>
        <w:trPr>
          <w:trHeight w:val="230"/>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5 or more Years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1,005,830</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852,580</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25.5</w:t>
            </w:r>
          </w:p>
        </w:tc>
      </w:tr>
      <w:tr>
        <w:trPr>
          <w:trHeight w:val="248"/>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Available for 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4,565,373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3,350,747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Top Ten Investments Available for Sale Holdings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December 31, 2020</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Rank</w:t>
            </w:r>
          </w:p>
        </w:tc>
        <w:tc>
          <w:tcPr>
            <w:tcW w:w="20" w:type="dxa"/>
            <w:vAlign w:val="bottom"/>
          </w:tcPr>
          <w:p>
            <w:pPr>
              <w:spacing w:after="0"/>
              <w:rPr>
                <w:sz w:val="11"/>
                <w:szCs w:val="11"/>
                <w:color w:val="auto"/>
              </w:rPr>
            </w:pPr>
          </w:p>
        </w:tc>
        <w:tc>
          <w:tcPr>
            <w:tcW w:w="3180" w:type="dxa"/>
            <w:vAlign w:val="bottom"/>
            <w:gridSpan w:val="3"/>
            <w:vMerge w:val="restart"/>
          </w:tcPr>
          <w:p>
            <w:pPr>
              <w:ind w:left="1280"/>
              <w:spacing w:after="0"/>
              <w:rPr>
                <w:sz w:val="20"/>
                <w:szCs w:val="20"/>
                <w:color w:val="auto"/>
              </w:rPr>
            </w:pPr>
            <w:r>
              <w:rPr>
                <w:rFonts w:ascii="Arial" w:cs="Arial" w:eastAsia="Arial" w:hAnsi="Arial"/>
                <w:sz w:val="14"/>
                <w:szCs w:val="14"/>
                <w:b w:val="1"/>
                <w:bCs w:val="1"/>
                <w:color w:val="auto"/>
              </w:rPr>
              <w:t>Security</w:t>
            </w:r>
          </w:p>
        </w:tc>
        <w:tc>
          <w:tcPr>
            <w:tcW w:w="160" w:type="dxa"/>
            <w:vAlign w:val="bottom"/>
          </w:tcPr>
          <w:p>
            <w:pPr>
              <w:spacing w:after="0"/>
              <w:rPr>
                <w:sz w:val="11"/>
                <w:szCs w:val="11"/>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1"/>
                <w:szCs w:val="11"/>
                <w:color w:val="auto"/>
              </w:rPr>
            </w:pPr>
          </w:p>
        </w:tc>
        <w:tc>
          <w:tcPr>
            <w:tcW w:w="1120" w:type="dxa"/>
            <w:vAlign w:val="bottom"/>
          </w:tcPr>
          <w:p>
            <w:pPr>
              <w:jc w:val="right"/>
              <w:ind w:right="213"/>
              <w:spacing w:after="0" w:line="135"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88"/>
        </w:trPr>
        <w:tc>
          <w:tcPr>
            <w:tcW w:w="318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31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11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Gain (Loss)(1)</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Rating(2)</w:t>
            </w:r>
          </w:p>
        </w:tc>
        <w:tc>
          <w:tcPr>
            <w:tcW w:w="0" w:type="dxa"/>
            <w:vAlign w:val="bottom"/>
          </w:tcPr>
          <w:p>
            <w:pPr>
              <w:spacing w:after="0"/>
              <w:rPr>
                <w:sz w:val="1"/>
                <w:szCs w:val="1"/>
                <w:color w:val="auto"/>
              </w:rPr>
            </w:pPr>
          </w:p>
        </w:tc>
      </w:tr>
      <w:tr>
        <w:trPr>
          <w:trHeight w:val="224"/>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Fannie Mae 3.500% 1/1/2058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26,634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U.S. Treasury 0.250% 5/31/2025</w:t>
            </w:r>
          </w:p>
        </w:tc>
        <w:tc>
          <w:tcPr>
            <w:tcW w:w="160" w:type="dxa"/>
            <w:vAlign w:val="bottom"/>
          </w:tcPr>
          <w:p>
            <w:pPr>
              <w:spacing w:after="0"/>
              <w:rPr>
                <w:sz w:val="19"/>
                <w:szCs w:val="19"/>
                <w:color w:val="auto"/>
              </w:rPr>
            </w:pP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25,558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2.625% 6/30/2023</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20,966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Fannie Mae 2.000% 8/1/2050</w:t>
            </w:r>
          </w:p>
        </w:tc>
        <w:tc>
          <w:tcPr>
            <w:tcW w:w="160" w:type="dxa"/>
            <w:vAlign w:val="bottom"/>
          </w:tcPr>
          <w:p>
            <w:pPr>
              <w:spacing w:after="0"/>
              <w:rPr>
                <w:sz w:val="19"/>
                <w:szCs w:val="19"/>
                <w:color w:val="auto"/>
              </w:rPr>
            </w:pP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20,549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0"/>
              </w:rPr>
              <w:t>U.S. Treasury 5.250%</w:t>
            </w:r>
          </w:p>
        </w:tc>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11/15/2028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20,540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Freddie Mac 4.000% 11/1/2048</w:t>
            </w:r>
          </w:p>
        </w:tc>
        <w:tc>
          <w:tcPr>
            <w:tcW w:w="160" w:type="dxa"/>
            <w:vAlign w:val="bottom"/>
          </w:tcPr>
          <w:p>
            <w:pPr>
              <w:spacing w:after="0"/>
              <w:rPr>
                <w:sz w:val="19"/>
                <w:szCs w:val="19"/>
                <w:color w:val="auto"/>
              </w:rPr>
            </w:pP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20,371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0"/>
              </w:rPr>
              <w:t>U.S. Treasury 1.500%</w:t>
            </w:r>
          </w:p>
        </w:tc>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8/15/2026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18,525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w w:val="90"/>
              </w:rPr>
              <w:t>U.S. Treasury 0.125%</w:t>
            </w:r>
          </w:p>
        </w:tc>
        <w:tc>
          <w:tcPr>
            <w:tcW w:w="1460" w:type="dxa"/>
            <w:vAlign w:val="bottom"/>
          </w:tcPr>
          <w:p>
            <w:pPr>
              <w:ind w:left="20"/>
              <w:spacing w:after="0"/>
              <w:rPr>
                <w:sz w:val="20"/>
                <w:szCs w:val="20"/>
                <w:color w:val="auto"/>
              </w:rPr>
            </w:pPr>
            <w:r>
              <w:rPr>
                <w:rFonts w:ascii="Arial" w:cs="Arial" w:eastAsia="Arial" w:hAnsi="Arial"/>
                <w:sz w:val="18"/>
                <w:szCs w:val="18"/>
                <w:color w:val="auto"/>
              </w:rPr>
              <w:t>10/15/2023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17,611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Freddie Mac 2.500% 7/1/2050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17,063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0"/>
              </w:rPr>
              <w:t>U.S. Treasury 2.625%</w:t>
            </w:r>
          </w:p>
        </w:tc>
        <w:tc>
          <w:tcPr>
            <w:tcW w:w="1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7/15/2021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14,946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202,763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gridSpan w:val="3"/>
          </w:tcPr>
          <w:p>
            <w:pPr>
              <w:ind w:left="20"/>
              <w:spacing w:after="0" w:line="203" w:lineRule="exact"/>
              <w:rPr>
                <w:sz w:val="20"/>
                <w:szCs w:val="20"/>
                <w:color w:val="auto"/>
              </w:rPr>
            </w:pPr>
            <w:r>
              <w:rPr>
                <w:rFonts w:ascii="Arial" w:cs="Arial" w:eastAsia="Arial" w:hAnsi="Arial"/>
                <w:sz w:val="18"/>
                <w:szCs w:val="18"/>
                <w:b w:val="1"/>
                <w:bCs w:val="1"/>
                <w:color w:val="auto"/>
                <w:w w:val="88"/>
              </w:rPr>
              <w:t>Percent of Investments Available for Sale</w:t>
            </w: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4.4 %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hanging="412"/>
        <w:spacing w:after="0" w:line="253" w:lineRule="auto"/>
        <w:tabs>
          <w:tab w:leader="none" w:pos="414"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of December 31, 2020, for the security in an unrealized loss position, management believes decline in fair value is principally associated with the changes in the interest rate environment subsequent to its purchase. Also, see Note 3 to our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218" w:lineRule="exact"/>
        <w:rPr>
          <w:rFonts w:ascii="Arial" w:cs="Arial" w:eastAsia="Arial" w:hAnsi="Arial"/>
          <w:sz w:val="18"/>
          <w:szCs w:val="18"/>
          <w:color w:val="auto"/>
        </w:rPr>
      </w:pPr>
    </w:p>
    <w:p>
      <w:pPr>
        <w:ind w:left="400" w:hanging="392"/>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40" w:type="dxa"/>
            <w:vAlign w:val="bottom"/>
            <w:gridSpan w:val="2"/>
          </w:tcPr>
          <w:p>
            <w:pPr>
              <w:ind w:left="20"/>
              <w:spacing w:after="0"/>
              <w:rPr>
                <w:sz w:val="20"/>
                <w:szCs w:val="20"/>
                <w:color w:val="auto"/>
              </w:rPr>
            </w:pPr>
            <w:r>
              <w:rPr>
                <w:rFonts w:ascii="Arial" w:cs="Arial" w:eastAsia="Arial" w:hAnsi="Arial"/>
                <w:sz w:val="14"/>
                <w:szCs w:val="14"/>
                <w:b w:val="1"/>
                <w:bCs w:val="1"/>
                <w:color w:val="auto"/>
              </w:rPr>
              <w:t>Rank</w:t>
            </w:r>
          </w:p>
        </w:tc>
        <w:tc>
          <w:tcPr>
            <w:tcW w:w="1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3"/>
          </w:tcPr>
          <w:p>
            <w:pPr>
              <w:jc w:val="right"/>
              <w:ind w:right="2070"/>
              <w:spacing w:after="0"/>
              <w:rPr>
                <w:sz w:val="20"/>
                <w:szCs w:val="20"/>
                <w:color w:val="auto"/>
              </w:rPr>
            </w:pPr>
            <w:r>
              <w:rPr>
                <w:rFonts w:ascii="Arial" w:cs="Arial" w:eastAsia="Arial" w:hAnsi="Arial"/>
                <w:sz w:val="14"/>
                <w:szCs w:val="14"/>
                <w:b w:val="1"/>
                <w:bCs w:val="1"/>
                <w:color w:val="auto"/>
              </w:rPr>
              <w:t>December 31, 2019</w:t>
            </w:r>
          </w:p>
        </w:tc>
        <w:tc>
          <w:tcPr>
            <w:tcW w:w="1240" w:type="dxa"/>
            <w:vAlign w:val="bottom"/>
            <w:tcBorders>
              <w:bottom w:val="single" w:sz="8" w:color="auto"/>
            </w:tcBorders>
          </w:tcPr>
          <w:p>
            <w:pPr>
              <w:spacing w:after="0"/>
              <w:rPr>
                <w:sz w:val="16"/>
                <w:szCs w:val="16"/>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0" w:type="dxa"/>
            <w:vAlign w:val="bottom"/>
            <w:gridSpan w:val="3"/>
          </w:tcPr>
          <w:p>
            <w:pPr>
              <w:jc w:val="right"/>
              <w:ind w:right="3190"/>
              <w:spacing w:after="0"/>
              <w:rPr>
                <w:sz w:val="20"/>
                <w:szCs w:val="20"/>
                <w:color w:val="auto"/>
              </w:rPr>
            </w:pPr>
            <w:r>
              <w:rPr>
                <w:rFonts w:ascii="Arial" w:cs="Arial" w:eastAsia="Arial" w:hAnsi="Arial"/>
                <w:sz w:val="14"/>
                <w:szCs w:val="14"/>
                <w:b w:val="1"/>
                <w:bCs w:val="1"/>
                <w:color w:val="auto"/>
              </w:rPr>
              <w:t>Security</w:t>
            </w:r>
          </w:p>
        </w:tc>
        <w:tc>
          <w:tcPr>
            <w:tcW w:w="1240" w:type="dxa"/>
            <w:vAlign w:val="bottom"/>
          </w:tcPr>
          <w:p>
            <w:pPr>
              <w:jc w:val="right"/>
              <w:ind w:right="351"/>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Fannie Mae 3.500% 1/1/2058</w:t>
            </w:r>
          </w:p>
        </w:tc>
        <w:tc>
          <w:tcPr>
            <w:tcW w:w="3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30,112</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5.250%</w:t>
            </w:r>
          </w:p>
        </w:tc>
        <w:tc>
          <w:tcPr>
            <w:tcW w:w="1060" w:type="dxa"/>
            <w:vAlign w:val="bottom"/>
          </w:tcPr>
          <w:p>
            <w:pPr>
              <w:ind w:left="20"/>
              <w:spacing w:after="0"/>
              <w:rPr>
                <w:sz w:val="20"/>
                <w:szCs w:val="20"/>
                <w:color w:val="auto"/>
              </w:rPr>
            </w:pPr>
            <w:r>
              <w:rPr>
                <w:rFonts w:ascii="Arial" w:cs="Arial" w:eastAsia="Arial" w:hAnsi="Arial"/>
                <w:sz w:val="18"/>
                <w:szCs w:val="18"/>
                <w:color w:val="auto"/>
              </w:rPr>
              <w:t>11/15/2028</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29,480</w:t>
            </w: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Freddie Mac 4.000% 11/1/2048</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28,530</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2.625%</w:t>
            </w:r>
          </w:p>
        </w:tc>
        <w:tc>
          <w:tcPr>
            <w:tcW w:w="1060" w:type="dxa"/>
            <w:vAlign w:val="bottom"/>
          </w:tcPr>
          <w:p>
            <w:pPr>
              <w:ind w:left="20"/>
              <w:spacing w:after="0"/>
              <w:rPr>
                <w:sz w:val="20"/>
                <w:szCs w:val="20"/>
                <w:color w:val="auto"/>
              </w:rPr>
            </w:pPr>
            <w:r>
              <w:rPr>
                <w:rFonts w:ascii="Arial" w:cs="Arial" w:eastAsia="Arial" w:hAnsi="Arial"/>
                <w:sz w:val="18"/>
                <w:szCs w:val="18"/>
                <w:color w:val="auto"/>
              </w:rPr>
              <w:t>6/30/2023</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20,465</w:t>
            </w: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U.S. Treasury 1.500%</w:t>
            </w:r>
          </w:p>
        </w:tc>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8/15/2026</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17,161</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Fannie Mae 4.500% 5/1/2048</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16,972</w:t>
            </w: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Freddie Mac 4.500% 4/1/2049</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16,585</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w w:val="90"/>
              </w:rPr>
              <w:t>U.S. Treasury 2.625%</w:t>
            </w:r>
          </w:p>
        </w:tc>
        <w:tc>
          <w:tcPr>
            <w:tcW w:w="1060" w:type="dxa"/>
            <w:vAlign w:val="bottom"/>
          </w:tcPr>
          <w:p>
            <w:pPr>
              <w:ind w:left="20"/>
              <w:spacing w:after="0"/>
              <w:rPr>
                <w:sz w:val="20"/>
                <w:szCs w:val="20"/>
                <w:color w:val="auto"/>
              </w:rPr>
            </w:pPr>
            <w:r>
              <w:rPr>
                <w:rFonts w:ascii="Arial" w:cs="Arial" w:eastAsia="Arial" w:hAnsi="Arial"/>
                <w:sz w:val="18"/>
                <w:szCs w:val="18"/>
                <w:color w:val="auto"/>
              </w:rPr>
              <w:t>7/15/2021</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14,978</w:t>
            </w: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Freddie Mac 4.000% 5/15/2050</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14,700</w:t>
            </w:r>
          </w:p>
        </w:tc>
      </w:tr>
      <w:tr>
        <w:trPr>
          <w:trHeight w:val="230"/>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Fannie Mae 4.000% 5/1/2056</w:t>
            </w:r>
          </w:p>
        </w:tc>
        <w:tc>
          <w:tcPr>
            <w:tcW w:w="3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13,079</w:t>
            </w:r>
          </w:p>
        </w:tc>
      </w:tr>
      <w:tr>
        <w:trPr>
          <w:trHeight w:val="248"/>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202,062</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240" w:type="dxa"/>
            <w:vAlign w:val="bottom"/>
            <w:gridSpan w:val="2"/>
          </w:tcPr>
          <w:p>
            <w:pPr>
              <w:ind w:left="20"/>
              <w:spacing w:after="0" w:line="203" w:lineRule="exact"/>
              <w:rPr>
                <w:sz w:val="20"/>
                <w:szCs w:val="20"/>
                <w:color w:val="auto"/>
              </w:rPr>
            </w:pPr>
            <w:r>
              <w:rPr>
                <w:rFonts w:ascii="Arial" w:cs="Arial" w:eastAsia="Arial" w:hAnsi="Arial"/>
                <w:sz w:val="18"/>
                <w:szCs w:val="18"/>
                <w:b w:val="1"/>
                <w:bCs w:val="1"/>
                <w:color w:val="auto"/>
                <w:w w:val="90"/>
              </w:rPr>
              <w:t>Percent of Investments Available for Sale</w:t>
            </w: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6.0 %</w:t>
            </w: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0" w:name="page81"/>
    <w:bookmarkEnd w:id="80"/>
    <w:p>
      <w:pPr>
        <w:ind w:left="460"/>
        <w:spacing w:after="0"/>
        <w:rPr>
          <w:sz w:val="20"/>
          <w:szCs w:val="20"/>
          <w:color w:val="auto"/>
        </w:rPr>
      </w:pPr>
      <w:r>
        <w:rPr>
          <w:rFonts w:ascii="Arial" w:cs="Arial" w:eastAsia="Arial" w:hAnsi="Arial"/>
          <w:sz w:val="16"/>
          <w:szCs w:val="16"/>
          <w:color w:val="auto"/>
        </w:rPr>
        <w:t>The following tables includes municipal securities for states that represent more than 10% of the total municipal bond position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4"/>
                <w:szCs w:val="14"/>
                <w:color w:val="auto"/>
              </w:rPr>
            </w:pPr>
          </w:p>
        </w:tc>
        <w:tc>
          <w:tcPr>
            <w:tcW w:w="14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1380" w:type="dxa"/>
            <w:vAlign w:val="bottom"/>
          </w:tcPr>
          <w:p>
            <w:pPr>
              <w:jc w:val="right"/>
              <w:ind w:right="431"/>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3"/>
              </w:rPr>
              <w:t>Credit</w:t>
            </w:r>
          </w:p>
        </w:tc>
        <w:tc>
          <w:tcPr>
            <w:tcW w:w="0" w:type="dxa"/>
            <w:vAlign w:val="bottom"/>
          </w:tcPr>
          <w:p>
            <w:pPr>
              <w:spacing w:after="0"/>
              <w:rPr>
                <w:sz w:val="1"/>
                <w:szCs w:val="1"/>
                <w:color w:val="auto"/>
              </w:rPr>
            </w:pPr>
          </w:p>
        </w:tc>
      </w:tr>
      <w:tr>
        <w:trPr>
          <w:trHeight w:val="188"/>
        </w:trPr>
        <w:tc>
          <w:tcPr>
            <w:tcW w:w="58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611"/>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24"/>
        </w:trPr>
        <w:tc>
          <w:tcPr>
            <w:tcW w:w="5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North Texas Tollway System</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8,041</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University of Houston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Texas A&amp;M University</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5,847</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State of Texas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City of Houston TX Combined Utility System Revenue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LCRA Transmission Services Corp</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Dallas/Fort Worth International Airport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City of Austin TX Electric Utility Revenue</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30"/>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City of Houston TX</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Harris County-Houston Sports Authority</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30"/>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North Texas Municipal Water District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City of Dallas TX</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City of Houston TX Airport System Revenue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Tarrant Regional Water District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City of Fort Worth TX Water &amp; Sewer System Revenue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City of San Antonio TX Airport System</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30"/>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City of Corpus Christi TX Utility System Revenue</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Harris County Toll Road Authority</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30"/>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Texas Tech University System</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Central Texas Turnpike System</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175"/>
        </w:trPr>
        <w:tc>
          <w:tcPr>
            <w:tcW w:w="582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Metropolitan Transit Authority of Harris County Sales &amp; Use</w:t>
            </w:r>
          </w:p>
        </w:tc>
        <w:tc>
          <w:tcPr>
            <w:tcW w:w="3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5"/>
                <w:szCs w:val="15"/>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5820" w:type="dxa"/>
            <w:vAlign w:val="bottom"/>
            <w:gridSpan w:val="2"/>
          </w:tcPr>
          <w:p>
            <w:pPr>
              <w:ind w:left="480"/>
              <w:spacing w:after="0"/>
              <w:rPr>
                <w:sz w:val="20"/>
                <w:szCs w:val="20"/>
                <w:color w:val="auto"/>
              </w:rPr>
            </w:pPr>
            <w:r>
              <w:rPr>
                <w:rFonts w:ascii="Arial" w:cs="Arial" w:eastAsia="Arial" w:hAnsi="Arial"/>
                <w:sz w:val="18"/>
                <w:szCs w:val="18"/>
                <w:color w:val="auto"/>
              </w:rPr>
              <w:t>Tax Revenue</w:t>
            </w:r>
          </w:p>
        </w:tc>
        <w:tc>
          <w:tcPr>
            <w:tcW w:w="3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Denton Independent School District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Frisco Independent School District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County of Fort Bend TX</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30"/>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San Jacinto Community College District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Austin-Bergstrom Landhost Enterprises, Inc.</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Austin Independent School District</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60,198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340" w:right="320" w:hanging="332"/>
        <w:spacing w:after="0" w:line="259" w:lineRule="auto"/>
        <w:tabs>
          <w:tab w:leader="none" w:pos="334"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of the above securities may include financial guaranty insurance or state enhancements. The above ratings include the effect of these credit enhancements, if applicable.</w:t>
      </w:r>
    </w:p>
    <w:p>
      <w:pPr>
        <w:spacing w:after="0" w:line="212" w:lineRule="exact"/>
        <w:rPr>
          <w:rFonts w:ascii="Arial" w:cs="Arial" w:eastAsia="Arial" w:hAnsi="Arial"/>
          <w:sz w:val="18"/>
          <w:szCs w:val="18"/>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1" w:name="page82"/>
    <w:bookmarkEnd w:id="81"/>
    <w:tbl>
      <w:tblPr>
        <w:tblLayout w:type="fixed"/>
        <w:tblInd w:w="20" w:type="dxa"/>
        <w:tblCellMar>
          <w:top w:w="0" w:type="dxa"/>
          <w:left w:w="0" w:type="dxa"/>
          <w:bottom w:w="0" w:type="dxa"/>
          <w:right w:w="0" w:type="dxa"/>
        </w:tblCellMar>
      </w:tblPr>
      <w:tr>
        <w:trPr>
          <w:trHeight w:val="161"/>
        </w:trPr>
        <w:tc>
          <w:tcPr>
            <w:tcW w:w="5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4"/>
                <w:szCs w:val="14"/>
                <w:color w:val="auto"/>
              </w:rPr>
            </w:pPr>
          </w:p>
        </w:tc>
        <w:tc>
          <w:tcPr>
            <w:tcW w:w="14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1380" w:type="dxa"/>
            <w:vAlign w:val="bottom"/>
          </w:tcPr>
          <w:p>
            <w:pPr>
              <w:jc w:val="right"/>
              <w:ind w:right="432"/>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88"/>
        </w:trPr>
        <w:tc>
          <w:tcPr>
            <w:tcW w:w="58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61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24"/>
        </w:trPr>
        <w:tc>
          <w:tcPr>
            <w:tcW w:w="5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80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New York City Transitional Finance Authority Future Tax</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13,060</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12,167</w:t>
            </w:r>
          </w:p>
        </w:tc>
        <w:tc>
          <w:tcPr>
            <w:tcW w:w="100" w:type="dxa"/>
            <w:vAlign w:val="bottom"/>
          </w:tcPr>
          <w:p>
            <w:pPr>
              <w:spacing w:after="0"/>
              <w:rPr>
                <w:sz w:val="15"/>
                <w:szCs w:val="15"/>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29"/>
        </w:trPr>
        <w:tc>
          <w:tcPr>
            <w:tcW w:w="5800" w:type="dxa"/>
            <w:vAlign w:val="bottom"/>
            <w:gridSpan w:val="2"/>
          </w:tcPr>
          <w:p>
            <w:pPr>
              <w:ind w:left="460"/>
              <w:spacing w:after="0"/>
              <w:rPr>
                <w:sz w:val="20"/>
                <w:szCs w:val="20"/>
                <w:color w:val="auto"/>
              </w:rPr>
            </w:pPr>
            <w:r>
              <w:rPr>
                <w:rFonts w:ascii="Arial" w:cs="Arial" w:eastAsia="Arial" w:hAnsi="Arial"/>
                <w:sz w:val="18"/>
                <w:szCs w:val="18"/>
                <w:color w:val="auto"/>
              </w:rPr>
              <w:t>Secured Revenue</w:t>
            </w:r>
          </w:p>
        </w:tc>
        <w:tc>
          <w:tcPr>
            <w:tcW w:w="30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The Port Authority of New York and New Jersey</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Metropolitan Transportation Authority</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7,220</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State of New York Personal Income Tax Revenue</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City of New York NY</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6,494</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 Island Power Authority</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The Research Foundation of State University of New York</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York State Dormitory Authority</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City of Yonkers NY</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2,301</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TSASC, Inc.</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County of Nassau NY</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175"/>
        </w:trPr>
        <w:tc>
          <w:tcPr>
            <w:tcW w:w="58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New York City Transitional Finance Authority Building Aid</w:t>
            </w:r>
          </w:p>
        </w:tc>
        <w:tc>
          <w:tcPr>
            <w:tcW w:w="3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Town of Oyster Bay NY</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Yankee Stadium LLC</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59,558</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340" w:right="340" w:hanging="332"/>
        <w:spacing w:after="0" w:line="259" w:lineRule="auto"/>
        <w:tabs>
          <w:tab w:leader="none" w:pos="334" w:val="left"/>
        </w:tabs>
        <w:numPr>
          <w:ilvl w:val="0"/>
          <w:numId w:val="58"/>
        </w:numPr>
        <w:rPr>
          <w:rFonts w:ascii="Arial" w:cs="Arial" w:eastAsia="Arial" w:hAnsi="Arial"/>
          <w:sz w:val="18"/>
          <w:szCs w:val="18"/>
          <w:color w:val="auto"/>
        </w:rPr>
      </w:pPr>
      <w:r>
        <w:rPr>
          <w:rFonts w:ascii="Arial" w:cs="Arial" w:eastAsia="Arial" w:hAnsi="Arial"/>
          <w:sz w:val="18"/>
          <w:szCs w:val="18"/>
          <w:color w:val="auto"/>
        </w:rPr>
        <w:t>Certain of the above securities may include financial guaranty insurance or state enhancements. The above ratings include the effect of these credit enhancements, if applicable.</w:t>
      </w:r>
    </w:p>
    <w:p>
      <w:pPr>
        <w:spacing w:after="0" w:line="212" w:lineRule="exact"/>
        <w:rPr>
          <w:rFonts w:ascii="Arial" w:cs="Arial" w:eastAsia="Arial" w:hAnsi="Arial"/>
          <w:sz w:val="18"/>
          <w:szCs w:val="18"/>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2020, the approximate future payments under our contractual obligations of the type described in the table below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Less than</w:t>
            </w:r>
          </w:p>
        </w:tc>
        <w:tc>
          <w:tcPr>
            <w:tcW w:w="160" w:type="dxa"/>
            <w:vAlign w:val="bottom"/>
          </w:tcPr>
          <w:p>
            <w:pPr>
              <w:spacing w:after="0"/>
              <w:rPr>
                <w:sz w:val="11"/>
                <w:szCs w:val="11"/>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1 - 3 years</w:t>
            </w:r>
          </w:p>
        </w:tc>
        <w:tc>
          <w:tcPr>
            <w:tcW w:w="16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1"/>
                <w:szCs w:val="11"/>
                <w:color w:val="auto"/>
              </w:rPr>
            </w:pPr>
          </w:p>
        </w:tc>
        <w:tc>
          <w:tcPr>
            <w:tcW w:w="900" w:type="dxa"/>
            <w:vAlign w:val="bottom"/>
          </w:tcPr>
          <w:p>
            <w:pPr>
              <w:ind w:left="40"/>
              <w:spacing w:after="0" w:line="135"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1 year</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borrowings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Estimated loss and LAE payments(1)</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374,941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87,413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Unfunded investment commitments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779,465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right="140" w:hanging="412"/>
        <w:spacing w:after="0" w:line="254" w:lineRule="auto"/>
        <w:tabs>
          <w:tab w:leader="none" w:pos="414"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estimate of loss and LAE payments reflects the application of accounting policies described below in "—Critical Accounting Policies—Reserve for Losses and Loss Adjustment Expenses." The payments due by period are based on management's estimates and assume that all of the loss and LAE reserves included in the table will result in payments.</w:t>
      </w:r>
    </w:p>
    <w:p>
      <w:pPr>
        <w:spacing w:after="0" w:line="21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lease office space in Pennsylvania, North Carolina, California and Bermuda under leases accounted for as operating leases. A portion of the space leased in North Carolina has been subleased to Triad; minimum lease payments shown above have not been reduced by minimum sublease rental income of $0.1 million due in 2021 under the non-cancelable sublease.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consolidated financial statements because we do not have the unilateral power to direct those activities that are significant to their economic performance. As of December 31, 2020, our estimated off-balance sheet maximum exposure to loss from the Radnor Re entities was $0.3 million, representing the estimated net present value of</w:t>
      </w:r>
    </w:p>
    <w:p>
      <w:pPr>
        <w:sectPr>
          <w:pgSz w:w="11900" w:h="16838" w:orient="portrait"/>
          <w:cols w:equalWidth="0" w:num="1">
            <w:col w:w="11240"/>
          </w:cols>
          <w:pgMar w:left="320" w:top="100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color w:val="auto"/>
        </w:rPr>
        <w:t>investment earnings on the assets in the reinsurance trusts. See Note 5 to our consolidated financial statements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 are based upon our consolidated financial statements, which have been prepared in conformity with U.S. generally accepted accounting principles ("GAAP"). In preparing our consolidated financial statements, management has made estimates, assumptions and judgments that affect the reported amounts of assets and liabilities at the date of the financial statements and the reported amounts of revenues and expenses during the reporting periods. In preparing these financial statements, management has utilized available information, including our past history, industry standards and the current and projected economic and housing environment, among other factors, in forming its estimates, assumptions and judgments, giving due consideration to materiality. Because the use of estimates is inherent in GAAP, actual results could differ from those estimates. In addition, other companies may utilize different estimates, which may impact comparability of our results of operations to those of companies in similar businesses. A summary of the accounting policies that management believes are critical to the preparation of our consolidated financial statements is set forth below.</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Premium Revenue Recognition</w:t>
      </w:r>
    </w:p>
    <w:p>
      <w:pPr>
        <w:spacing w:after="0" w:line="252" w:lineRule="exact"/>
        <w:rPr>
          <w:sz w:val="20"/>
          <w:szCs w:val="20"/>
          <w:color w:val="auto"/>
        </w:rPr>
      </w:pPr>
    </w:p>
    <w:p>
      <w:pPr>
        <w:ind w:right="40" w:firstLine="445"/>
        <w:spacing w:after="0" w:line="289" w:lineRule="auto"/>
        <w:rPr>
          <w:sz w:val="20"/>
          <w:szCs w:val="20"/>
          <w:color w:val="auto"/>
        </w:rPr>
      </w:pPr>
      <w:r>
        <w:rPr>
          <w:rFonts w:ascii="Arial" w:cs="Arial" w:eastAsia="Arial" w:hAnsi="Arial"/>
          <w:sz w:val="16"/>
          <w:szCs w:val="16"/>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Reserve for Losses and Loss Adjustment Expenses</w:t>
      </w:r>
    </w:p>
    <w:p>
      <w:pPr>
        <w:spacing w:after="0" w:line="252"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defaulted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3" w:name="page84"/>
    <w:bookmarkEnd w:id="83"/>
    <w:p>
      <w:pPr>
        <w:ind w:right="60"/>
        <w:spacing w:after="0" w:line="273" w:lineRule="auto"/>
        <w:rPr>
          <w:sz w:val="20"/>
          <w:szCs w:val="20"/>
          <w:color w:val="auto"/>
        </w:rPr>
      </w:pPr>
      <w:r>
        <w:rPr>
          <w:rFonts w:ascii="Arial" w:cs="Arial" w:eastAsia="Arial" w:hAnsi="Arial"/>
          <w:sz w:val="17"/>
          <w:szCs w:val="17"/>
          <w:color w:val="auto"/>
        </w:rPr>
        <w:t>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w:t>
      </w:r>
    </w:p>
    <w:p>
      <w:pPr>
        <w:spacing w:after="0" w:line="205"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 This analysis is inherently subjective, as it requires management to forecast the outcome of future tax examinations and the amount of tax benefits that will ultimately be realized given the facts, circumstances, and information available at the reporting date. New information may become available in future periods that could cause the actual amount of tax benefits to vary from management's estimates.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Our fixed maturity and short-term investments are classified as available for sale and are reported at fair value. The related unrealized gains or losses are, after considering the related tax expense or benefit, recognized as a component of accumulated other comprehensive income (loss) in stockholders' equity. Realized investment gains and losses are reported in income based upon specific identification of securities sold. Each quarter we perform reviews of all of our investments in order to determine whether declines in fair value below amortized cost were considered other-than-temporary in accordance with applicable guidance. In evaluating whether a decline in fair value is other-than-temporary, we consider several factors including, but not limited to:</w:t>
      </w:r>
    </w:p>
    <w:p>
      <w:pPr>
        <w:spacing w:after="0" w:line="188" w:lineRule="exact"/>
        <w:rPr>
          <w:sz w:val="20"/>
          <w:szCs w:val="20"/>
          <w:color w:val="auto"/>
        </w:rPr>
      </w:pPr>
    </w:p>
    <w:p>
      <w:pPr>
        <w:ind w:left="660" w:hanging="247"/>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extent and duration of the decline;</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of the issuer to make scheduled interest or principal payments;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credit ratings from third-party rating agencies and changes in these credit ratings below investment-grade;</w:t>
      </w:r>
    </w:p>
    <w:p>
      <w:pPr>
        <w:spacing w:after="0" w:line="252" w:lineRule="exact"/>
        <w:rPr>
          <w:rFonts w:ascii="Arial" w:cs="Arial" w:eastAsia="Arial" w:hAnsi="Arial"/>
          <w:sz w:val="18"/>
          <w:szCs w:val="18"/>
          <w:color w:val="auto"/>
        </w:rPr>
      </w:pPr>
    </w:p>
    <w:p>
      <w:pPr>
        <w:ind w:left="660" w:right="20" w:hanging="247"/>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current credit spreads, downgrade trends, industry and asset sector trends, and issuer disclosures and financial reports to determine if credit ratings from third-party credit agencies are reasonable; and</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252"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A debt security is impaired if the fair value of the security is less than its amortized cost basis. Under the current guidance we determine whether the impairment has resulted from a credit loss or other factors. We determine whether a credit loss exists by considering information about the collectability of the instrument, current market conditions, and reasonable and supportable forecasts of economic conditions. We recognize an allowance for credit losses, up to the amount of the impairment when appropriate, and write down the amortized cost basis of the investment if it is more likely than not we will be required or we intend to sell the investment before recovery of its amortized cost basis. Under the previous other-than-temporary impairment model for available-for-sale debt securities .a debt security impairment was deemed other-than-temporary if we either intend to sell the security, or it was more likely than not that we would be required to sell the security before recovery or we did not expect to collect cash flows sufficient to recover the amortized cost basis of the security. During the years ended December 31, 2020, 2019 and 2018, the unrealized losses recorded in the investment portfolio principally resulted from fluctuations in market interest rates and credit spreads. Each issuer was current on its scheduled interest and principal payments. We recorded impairments of $0.4 million in the year ended December 31, 2020 and other-than-temporary impairments of $0.3 million in the year ended December 31, 2019 for securities in an unrealized loss position. The impairments resulted from our intent to sell these securities subsequent to the reporting date. There were no other-than-temporary impairments in the year ended December 31, 2018.</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color w:val="auto"/>
        </w:rPr>
        <w:t>For information on our material holdings in an unrealized loss position, see "—Financial Condition—Investments."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There are no recently issued accounting standards that are expected to have a material effect on our financial condition, results of operations or cash flows. See Note 2 of our consolidated financial statements.</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5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214" w:lineRule="exact"/>
        <w:rPr>
          <w:sz w:val="20"/>
          <w:szCs w:val="20"/>
          <w:color w:val="auto"/>
        </w:rPr>
      </w:pPr>
    </w:p>
    <w:p>
      <w:pPr>
        <w:ind w:right="240" w:firstLine="445"/>
        <w:spacing w:after="0" w:line="308" w:lineRule="auto"/>
        <w:rPr>
          <w:sz w:val="20"/>
          <w:szCs w:val="20"/>
          <w:color w:val="auto"/>
        </w:rPr>
      </w:pPr>
      <w:r>
        <w:rPr>
          <w:rFonts w:ascii="Arial" w:cs="Arial" w:eastAsia="Arial" w:hAnsi="Arial"/>
          <w:sz w:val="17"/>
          <w:szCs w:val="17"/>
          <w:color w:val="auto"/>
        </w:rPr>
        <w:t>We manage market risk via a defined investment policy implemented by our treasury function with oversight from our board of directors and our senior management. Important drivers of our market risk exposure monitored and managed by us include but are not limited to:</w:t>
      </w:r>
    </w:p>
    <w:p>
      <w:pPr>
        <w:spacing w:after="0" w:line="173" w:lineRule="exact"/>
        <w:rPr>
          <w:sz w:val="20"/>
          <w:szCs w:val="20"/>
          <w:color w:val="auto"/>
        </w:rPr>
      </w:pPr>
    </w:p>
    <w:p>
      <w:pPr>
        <w:jc w:val="both"/>
        <w:ind w:left="660" w:right="120" w:hanging="328"/>
        <w:spacing w:after="0" w:line="301" w:lineRule="auto"/>
        <w:tabs>
          <w:tab w:leader="none" w:pos="655"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8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97" w:lineRule="exact"/>
        <w:rPr>
          <w:rFonts w:ascii="Arial" w:cs="Arial" w:eastAsia="Arial" w:hAnsi="Arial"/>
          <w:sz w:val="18"/>
          <w:szCs w:val="18"/>
          <w:color w:val="auto"/>
        </w:rPr>
      </w:pPr>
    </w:p>
    <w:p>
      <w:pPr>
        <w:ind w:left="660" w:right="280" w:hanging="328"/>
        <w:spacing w:after="0" w:line="342" w:lineRule="auto"/>
        <w:tabs>
          <w:tab w:leader="none" w:pos="655"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50" w:lineRule="exact"/>
        <w:rPr>
          <w:rFonts w:ascii="Arial" w:cs="Arial" w:eastAsia="Arial" w:hAnsi="Arial"/>
          <w:sz w:val="16"/>
          <w:szCs w:val="16"/>
          <w:color w:val="auto"/>
        </w:rPr>
      </w:pPr>
    </w:p>
    <w:p>
      <w:pPr>
        <w:ind w:left="660" w:right="160" w:hanging="328"/>
        <w:spacing w:after="0" w:line="342" w:lineRule="auto"/>
        <w:tabs>
          <w:tab w:leader="none" w:pos="655"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50"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97"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211" w:lineRule="exact"/>
        <w:rPr>
          <w:sz w:val="20"/>
          <w:szCs w:val="20"/>
          <w:color w:val="auto"/>
        </w:rPr>
      </w:pPr>
    </w:p>
    <w:p>
      <w:pPr>
        <w:ind w:right="200" w:firstLine="445"/>
        <w:spacing w:after="0" w:line="301" w:lineRule="auto"/>
        <w:rPr>
          <w:sz w:val="20"/>
          <w:szCs w:val="20"/>
          <w:color w:val="auto"/>
        </w:rPr>
      </w:pPr>
      <w:r>
        <w:rPr>
          <w:rFonts w:ascii="Arial" w:cs="Arial" w:eastAsia="Arial" w:hAnsi="Arial"/>
          <w:sz w:val="16"/>
          <w:szCs w:val="16"/>
          <w:color w:val="auto"/>
        </w:rPr>
        <w:t>At December 31, 2020, the effective duration of our investments available for sale was 2.8 years, which means that an instantaneous parallel shift (movement up or down) in the yield curve of 100 basis points would result in a change of 2.8% in fair value of our investments available for sale. Excluding short-term investments, our investments available for sale effective duration was 3.3 years, which means that an instantaneous parallel shift (movement up or down) in the yield curve of 100 basis points would result in a change of 3.3% in fair value of our investments available for sale.</w:t>
      </w: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38" w:right="439" w:bottom="1440" w:gutter="0" w:footer="0" w:header="0"/>
        </w:sectPr>
      </w:pPr>
    </w:p>
    <w:bookmarkStart w:id="85" w:name="page86"/>
    <w:bookmarkEnd w:id="85"/>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0420" w:type="dxa"/>
            <w:vAlign w:val="bottom"/>
          </w:tcPr>
          <w:p>
            <w:pPr>
              <w:spacing w:after="0"/>
              <w:rPr>
                <w:sz w:val="16"/>
                <w:szCs w:val="16"/>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10420" w:type="dxa"/>
            <w:vAlign w:val="bottom"/>
          </w:tcPr>
          <w:p>
            <w:pPr>
              <w:ind w:left="3320"/>
              <w:spacing w:after="0"/>
              <w:rPr>
                <w:sz w:val="20"/>
                <w:szCs w:val="20"/>
                <w:color w:val="auto"/>
              </w:rPr>
            </w:pPr>
            <w:r>
              <w:rPr>
                <w:rFonts w:ascii="Arial" w:cs="Arial" w:eastAsia="Arial" w:hAnsi="Arial"/>
                <w:sz w:val="18"/>
                <w:szCs w:val="18"/>
                <w:b w:val="1"/>
                <w:bCs w:val="1"/>
                <w:color w:val="auto"/>
              </w:rPr>
              <w:t>CONSOLIDATED FINANCIAL STATEMENTS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04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780" w:type="dxa"/>
            <w:vAlign w:val="bottom"/>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81</w:t>
              </w:r>
            </w:hyperlink>
          </w:p>
        </w:tc>
        <w:tc>
          <w:tcPr>
            <w:tcW w:w="0" w:type="dxa"/>
            <w:vAlign w:val="bottom"/>
          </w:tcPr>
          <w:p>
            <w:pPr>
              <w:spacing w:after="0"/>
              <w:rPr>
                <w:sz w:val="1"/>
                <w:szCs w:val="1"/>
                <w:color w:val="auto"/>
              </w:rPr>
            </w:pPr>
          </w:p>
        </w:tc>
      </w:tr>
      <w:tr>
        <w:trPr>
          <w:trHeight w:val="230"/>
        </w:trPr>
        <w:tc>
          <w:tcPr>
            <w:tcW w:w="1042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780" w:type="dxa"/>
            <w:vAlign w:val="bottom"/>
          </w:tcPr>
          <w:p>
            <w:pPr>
              <w:jc w:val="right"/>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83</w:t>
              </w:r>
            </w:hyperlink>
          </w:p>
        </w:tc>
        <w:tc>
          <w:tcPr>
            <w:tcW w:w="0" w:type="dxa"/>
            <w:vAlign w:val="bottom"/>
          </w:tcPr>
          <w:p>
            <w:pPr>
              <w:spacing w:after="0"/>
              <w:rPr>
                <w:sz w:val="1"/>
                <w:szCs w:val="1"/>
                <w:color w:val="auto"/>
              </w:rPr>
            </w:pPr>
          </w:p>
        </w:tc>
      </w:tr>
      <w:tr>
        <w:trPr>
          <w:trHeight w:val="229"/>
        </w:trPr>
        <w:tc>
          <w:tcPr>
            <w:tcW w:w="1042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780" w:type="dxa"/>
            <w:vAlign w:val="bottom"/>
          </w:tcPr>
          <w:p>
            <w:pPr>
              <w:jc w:val="right"/>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84</w:t>
              </w:r>
            </w:hyperlink>
          </w:p>
        </w:tc>
        <w:tc>
          <w:tcPr>
            <w:tcW w:w="0" w:type="dxa"/>
            <w:vAlign w:val="bottom"/>
          </w:tcPr>
          <w:p>
            <w:pPr>
              <w:spacing w:after="0"/>
              <w:rPr>
                <w:sz w:val="1"/>
                <w:szCs w:val="1"/>
                <w:color w:val="auto"/>
              </w:rPr>
            </w:pPr>
          </w:p>
        </w:tc>
      </w:tr>
      <w:tr>
        <w:trPr>
          <w:trHeight w:val="229"/>
        </w:trPr>
        <w:tc>
          <w:tcPr>
            <w:tcW w:w="10420" w:type="dxa"/>
            <w:vAlign w:val="bottom"/>
          </w:tcPr>
          <w:p>
            <w:pPr>
              <w:spacing w:after="0"/>
              <w:rPr>
                <w:sz w:val="20"/>
                <w:szCs w:val="20"/>
                <w:color w:val="auto"/>
              </w:rPr>
            </w:pPr>
            <w:r>
              <w:rPr>
                <w:rFonts w:ascii="Arial" w:cs="Arial" w:eastAsia="Arial" w:hAnsi="Arial"/>
                <w:sz w:val="18"/>
                <w:szCs w:val="18"/>
                <w:color w:val="auto"/>
              </w:rPr>
              <w:t>Consolidated Statements of Changes in Stockholders' Equity</w:t>
            </w:r>
          </w:p>
        </w:tc>
        <w:tc>
          <w:tcPr>
            <w:tcW w:w="780" w:type="dxa"/>
            <w:vAlign w:val="bottom"/>
          </w:tcPr>
          <w:p>
            <w:pPr>
              <w:jc w:val="right"/>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85</w:t>
              </w:r>
            </w:hyperlink>
          </w:p>
        </w:tc>
        <w:tc>
          <w:tcPr>
            <w:tcW w:w="0" w:type="dxa"/>
            <w:vAlign w:val="bottom"/>
          </w:tcPr>
          <w:p>
            <w:pPr>
              <w:spacing w:after="0"/>
              <w:rPr>
                <w:sz w:val="1"/>
                <w:szCs w:val="1"/>
                <w:color w:val="auto"/>
              </w:rPr>
            </w:pPr>
          </w:p>
        </w:tc>
      </w:tr>
      <w:tr>
        <w:trPr>
          <w:trHeight w:val="230"/>
        </w:trPr>
        <w:tc>
          <w:tcPr>
            <w:tcW w:w="1042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780" w:type="dxa"/>
            <w:vAlign w:val="bottom"/>
          </w:tcPr>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86</w:t>
              </w:r>
            </w:hyperlink>
          </w:p>
        </w:tc>
        <w:tc>
          <w:tcPr>
            <w:tcW w:w="0" w:type="dxa"/>
            <w:vAlign w:val="bottom"/>
          </w:tcPr>
          <w:p>
            <w:pPr>
              <w:spacing w:after="0"/>
              <w:rPr>
                <w:sz w:val="1"/>
                <w:szCs w:val="1"/>
                <w:color w:val="auto"/>
              </w:rPr>
            </w:pPr>
          </w:p>
        </w:tc>
      </w:tr>
      <w:tr>
        <w:trPr>
          <w:trHeight w:val="225"/>
        </w:trPr>
        <w:tc>
          <w:tcPr>
            <w:tcW w:w="104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78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87</w:t>
              </w:r>
            </w:hyperlink>
          </w:p>
        </w:tc>
        <w:tc>
          <w:tcPr>
            <w:tcW w:w="0" w:type="dxa"/>
            <w:vAlign w:val="bottom"/>
          </w:tcPr>
          <w:p>
            <w:pPr>
              <w:spacing w:after="0"/>
              <w:rPr>
                <w:sz w:val="1"/>
                <w:szCs w:val="1"/>
                <w:color w:val="auto"/>
              </w:rPr>
            </w:pPr>
          </w:p>
        </w:tc>
      </w:tr>
      <w:tr>
        <w:trPr>
          <w:trHeight w:val="233"/>
        </w:trPr>
        <w:tc>
          <w:tcPr>
            <w:tcW w:w="10420" w:type="dxa"/>
            <w:vAlign w:val="bottom"/>
          </w:tcPr>
          <w:p>
            <w:pPr>
              <w:ind w:left="3560"/>
              <w:spacing w:after="0"/>
              <w:rPr>
                <w:sz w:val="20"/>
                <w:szCs w:val="20"/>
                <w:color w:val="auto"/>
              </w:rPr>
            </w:pPr>
            <w:r>
              <w:rPr>
                <w:rFonts w:ascii="Arial" w:cs="Arial" w:eastAsia="Arial" w:hAnsi="Arial"/>
                <w:sz w:val="18"/>
                <w:szCs w:val="18"/>
                <w:b w:val="1"/>
                <w:bCs w:val="1"/>
                <w:color w:val="auto"/>
              </w:rPr>
              <w:t>FINANCIAL STATEMENT SCHEDULES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20" w:type="dxa"/>
            <w:vAlign w:val="bottom"/>
          </w:tcPr>
          <w:p>
            <w:pPr>
              <w:spacing w:after="0"/>
              <w:rPr>
                <w:sz w:val="20"/>
                <w:szCs w:val="20"/>
                <w:color w:val="auto"/>
              </w:rPr>
            </w:pPr>
            <w:r>
              <w:rPr>
                <w:rFonts w:ascii="Arial" w:cs="Arial" w:eastAsia="Arial" w:hAnsi="Arial"/>
                <w:sz w:val="18"/>
                <w:szCs w:val="18"/>
                <w:color w:val="auto"/>
              </w:rPr>
              <w:t>Schedule I—Summary of Investments—Other Than Investments in Related Parties as of December 31, 2020</w:t>
            </w:r>
          </w:p>
        </w:tc>
        <w:tc>
          <w:tcPr>
            <w:tcW w:w="780" w:type="dxa"/>
            <w:vAlign w:val="bottom"/>
          </w:tcPr>
          <w:p>
            <w:pPr>
              <w:jc w:val="right"/>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116</w:t>
              </w:r>
            </w:hyperlink>
          </w:p>
        </w:tc>
        <w:tc>
          <w:tcPr>
            <w:tcW w:w="0" w:type="dxa"/>
            <w:vAlign w:val="bottom"/>
          </w:tcPr>
          <w:p>
            <w:pPr>
              <w:spacing w:after="0"/>
              <w:rPr>
                <w:sz w:val="1"/>
                <w:szCs w:val="1"/>
                <w:color w:val="auto"/>
              </w:rPr>
            </w:pPr>
          </w:p>
        </w:tc>
      </w:tr>
      <w:tr>
        <w:trPr>
          <w:trHeight w:val="176"/>
        </w:trPr>
        <w:tc>
          <w:tcPr>
            <w:tcW w:w="10420" w:type="dxa"/>
            <w:vAlign w:val="bottom"/>
          </w:tcPr>
          <w:p>
            <w:pPr>
              <w:ind w:left="240"/>
              <w:spacing w:after="0" w:line="176" w:lineRule="exact"/>
              <w:rPr>
                <w:sz w:val="20"/>
                <w:szCs w:val="20"/>
                <w:color w:val="auto"/>
              </w:rPr>
            </w:pPr>
            <w:r>
              <w:rPr>
                <w:rFonts w:ascii="Arial" w:cs="Arial" w:eastAsia="Arial" w:hAnsi="Arial"/>
                <w:sz w:val="18"/>
                <w:szCs w:val="18"/>
                <w:color w:val="auto"/>
                <w:w w:val="92"/>
              </w:rPr>
              <w:t>Schedule II—Condensed Financial Information of Registrant at December 31, 2020 and 2019 and for each of the three years in the period</w:t>
            </w:r>
          </w:p>
        </w:tc>
        <w:tc>
          <w:tcPr>
            <w:tcW w:w="780" w:type="dxa"/>
            <w:vAlign w:val="bottom"/>
            <w:vMerge w:val="restart"/>
          </w:tcPr>
          <w:p>
            <w:pPr>
              <w:jc w:val="right"/>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117</w:t>
              </w:r>
            </w:hyperlink>
          </w:p>
        </w:tc>
        <w:tc>
          <w:tcPr>
            <w:tcW w:w="0" w:type="dxa"/>
            <w:vAlign w:val="bottom"/>
          </w:tcPr>
          <w:p>
            <w:pPr>
              <w:spacing w:after="0"/>
              <w:rPr>
                <w:sz w:val="1"/>
                <w:szCs w:val="1"/>
                <w:color w:val="auto"/>
              </w:rPr>
            </w:pPr>
          </w:p>
        </w:tc>
      </w:tr>
      <w:tr>
        <w:trPr>
          <w:trHeight w:val="229"/>
        </w:trPr>
        <w:tc>
          <w:tcPr>
            <w:tcW w:w="10420" w:type="dxa"/>
            <w:vAlign w:val="bottom"/>
          </w:tcPr>
          <w:p>
            <w:pPr>
              <w:ind w:left="240"/>
              <w:spacing w:after="0"/>
              <w:rPr>
                <w:sz w:val="20"/>
                <w:szCs w:val="20"/>
                <w:color w:val="auto"/>
              </w:rPr>
            </w:pPr>
            <w:r>
              <w:rPr>
                <w:rFonts w:ascii="Arial" w:cs="Arial" w:eastAsia="Arial" w:hAnsi="Arial"/>
                <w:sz w:val="18"/>
                <w:szCs w:val="18"/>
                <w:color w:val="auto"/>
              </w:rPr>
              <w:t>ended December 31, 2020</w:t>
            </w: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20" w:type="dxa"/>
            <w:vAlign w:val="bottom"/>
          </w:tcPr>
          <w:p>
            <w:pPr>
              <w:ind w:left="240"/>
              <w:spacing w:after="0"/>
              <w:rPr>
                <w:sz w:val="20"/>
                <w:szCs w:val="20"/>
                <w:color w:val="auto"/>
              </w:rPr>
            </w:pPr>
            <w:r>
              <w:rPr>
                <w:rFonts w:ascii="Arial" w:cs="Arial" w:eastAsia="Arial" w:hAnsi="Arial"/>
                <w:sz w:val="18"/>
                <w:szCs w:val="18"/>
                <w:color w:val="auto"/>
              </w:rPr>
              <w:t>Schedule IV—Reinsurance for the years ended December 31, 2020, 2019 and 2018</w:t>
            </w:r>
          </w:p>
        </w:tc>
        <w:tc>
          <w:tcPr>
            <w:tcW w:w="780" w:type="dxa"/>
            <w:vAlign w:val="bottom"/>
          </w:tcPr>
          <w:p>
            <w:pPr>
              <w:jc w:val="right"/>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121</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6" w:name="page87"/>
    <w:bookmarkEnd w:id="86"/>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Essent Group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Essent Group Ltd. and its subsidiaries (the "Company") as of December 31, 2020 and 2019, and the related consolidated statements of comprehensive income, of changes in stockholders’ equity and of cash flows for each of the three years in the period ended December 31, 2020, including the related notes and financial statement schedules listed in the accompanying index (collectively referred to as the “consolidated financial statements”). We also have audited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1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7" w:name="page88"/>
    <w:bookmarkEnd w:id="87"/>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Reserve for Losses and Loss Adjustment Expenses</w:t>
      </w:r>
    </w:p>
    <w:p>
      <w:pPr>
        <w:spacing w:after="0" w:line="25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described in Notes 2 and 6 to the consolidated financial statements, the Company's recorded reserve for losses and loss adjustment expenses of $374.9 million as of December 31, 2020 is based on management's best estimate of ultimate claim costs for defaulted loans. Upon notification that a borrower has defaulted, management considers internal and third-party information and models to determine the likelihood that a default will reach claim status and projects the amount that the Company will pay if a default becomes a claim. Management's estimates of claim rates and claim sizes will be influenced by prevailing economic conditions, such as the overall state of the economy, current rates or trends in unemployment, changes in housing values and/or interest rates, and management's best judgments as to the future values or trends of these macroeconomic factors. Losses incurred are also generally affected by the characteristics of the Company's insured loans, such as the loan amount, loan-to-value ratio, the percentage of coverage on the insured loan and the credit quality of the borrower.</w:t>
      </w:r>
    </w:p>
    <w:p>
      <w:pPr>
        <w:spacing w:after="0" w:line="20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principal considerations for our determination that performing procedures relating to the valuation of the reserve for losses and loss adjustment expenses is a critical audit matter are (i) the significant judgment by management when developing their estimate, which in turn led to a high degree of auditor subjectivity and judgment in performing procedures relating to the estimate; (ii) the significant auditor effort and judgment in evaluating the audit evidence related to management's estimates of claim rates and claim size, including management's assumptions related to the macroeconomic factors and their assessment of the relevance of internal and third-party historical default data; and (iii) the audit effort included the involvement of professionals with specialized skill and knowledge to assist in performing these procedures and evaluating the audit evidence obtained.</w:t>
      </w:r>
    </w:p>
    <w:p>
      <w:pPr>
        <w:spacing w:after="0" w:line="19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Company's valuation of reserve for losses and loss adjustment expenses, including controls over the development of significant assumptions. These procedures also included, among others, the involvement of professionals with specialized skill and knowledge to assist in developing an independent estimate of the reserve for losses and loss adjustment expenses using Company and historical mortgage insurance industry data and comparing this independent estimate to management's recorded reserve. Developing the independent estimate involved independently estimating claim rates and claim sizes, testing the completeness and accuracy of data provided by management and evaluating the reasonableness of management's assumptions related to macroeconomic factors and management's assessment of internal and third-party default data.</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Fixed maturities available for sale, at fair value (amortized cost: 2020 — $3,677,815; 2019 —</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3,838,513</w:t>
            </w:r>
          </w:p>
        </w:tc>
        <w:tc>
          <w:tcPr>
            <w:tcW w:w="1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3,035,385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$2,967,225)</w:t>
            </w: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8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8"/>
              </w:rPr>
              <w:t>Short-term investments available for sale, at fair value (amortized cost: 2020 — $726,875; 2019 —</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726,860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315,362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$315,360)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investments available for sale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4,565,373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3,350,747</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invested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88,904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78,873</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4,654,277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3,429,620</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102,830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71,350</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investment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18,535</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50,140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40,655</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policy acquisition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w w:val="94"/>
              </w:rPr>
              <w:t>Property and equipment (at cost, less accumulated depreciation of $60,967 in 2020 and $57,639 in 2019)</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17,308</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federal income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261,885</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18,367</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5,202,724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3,873,425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Reserve for losses and LAE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69,362</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20"/>
              <w:spacing w:after="0"/>
              <w:rPr>
                <w:sz w:val="20"/>
                <w:szCs w:val="20"/>
                <w:color w:val="auto"/>
              </w:rPr>
            </w:pPr>
            <w:r>
              <w:rPr>
                <w:rFonts w:ascii="Arial" w:cs="Arial" w:eastAsia="Arial" w:hAnsi="Arial"/>
                <w:sz w:val="18"/>
                <w:szCs w:val="18"/>
                <w:color w:val="auto"/>
              </w:rPr>
              <w:t>Unearned premium reserve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250,436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278,887</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deferred tax liability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249,620</w:t>
            </w:r>
          </w:p>
        </w:tc>
        <w:tc>
          <w:tcPr>
            <w:tcW w:w="0" w:type="dxa"/>
            <w:vAlign w:val="bottom"/>
          </w:tcPr>
          <w:p>
            <w:pPr>
              <w:spacing w:after="0"/>
              <w:rPr>
                <w:sz w:val="1"/>
                <w:szCs w:val="1"/>
                <w:color w:val="auto"/>
              </w:rPr>
            </w:pPr>
          </w:p>
        </w:tc>
      </w:tr>
      <w:tr>
        <w:trPr>
          <w:trHeight w:val="175"/>
        </w:trPr>
        <w:tc>
          <w:tcPr>
            <w:tcW w:w="798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3"/>
              </w:rPr>
              <w:t>Credit facility borrowings (at carrying value, less unamortized deferred costs of $3,280 in 2020 and $763</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321,720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224,237</w:t>
            </w:r>
          </w:p>
        </w:tc>
        <w:tc>
          <w:tcPr>
            <w:tcW w:w="0" w:type="dxa"/>
            <w:vAlign w:val="bottom"/>
          </w:tcPr>
          <w:p>
            <w:pPr>
              <w:spacing w:after="0"/>
              <w:rPr>
                <w:sz w:val="1"/>
                <w:szCs w:val="1"/>
                <w:color w:val="auto"/>
              </w:rPr>
            </w:pPr>
          </w:p>
        </w:tc>
      </w:tr>
      <w:tr>
        <w:trPr>
          <w:trHeight w:val="230"/>
        </w:trPr>
        <w:tc>
          <w:tcPr>
            <w:tcW w:w="7980" w:type="dxa"/>
            <w:vAlign w:val="bottom"/>
            <w:gridSpan w:val="2"/>
          </w:tcPr>
          <w:p>
            <w:pPr>
              <w:ind w:left="480"/>
              <w:spacing w:after="0"/>
              <w:rPr>
                <w:sz w:val="20"/>
                <w:szCs w:val="20"/>
                <w:color w:val="auto"/>
              </w:rPr>
            </w:pPr>
            <w:r>
              <w:rPr>
                <w:rFonts w:ascii="Arial" w:cs="Arial" w:eastAsia="Arial" w:hAnsi="Arial"/>
                <w:sz w:val="18"/>
                <w:szCs w:val="18"/>
                <w:color w:val="auto"/>
              </w:rPr>
              <w:t>in 2019)</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66,474</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1,340,091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888,580</w:t>
            </w:r>
          </w:p>
        </w:tc>
        <w:tc>
          <w:tcPr>
            <w:tcW w:w="0" w:type="dxa"/>
            <w:vAlign w:val="bottom"/>
          </w:tcPr>
          <w:p>
            <w:pPr>
              <w:spacing w:after="0"/>
              <w:rPr>
                <w:sz w:val="1"/>
                <w:szCs w:val="1"/>
                <w:color w:val="auto"/>
              </w:rPr>
            </w:pPr>
          </w:p>
        </w:tc>
      </w:tr>
      <w:tr>
        <w:trPr>
          <w:trHeight w:val="21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 (see Note 8)</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Common shares, $0.015 par value: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400"/>
              <w:spacing w:after="0"/>
              <w:rPr>
                <w:sz w:val="20"/>
                <w:szCs w:val="20"/>
                <w:color w:val="auto"/>
              </w:rPr>
            </w:pPr>
            <w:r>
              <w:rPr>
                <w:rFonts w:ascii="Arial" w:cs="Arial" w:eastAsia="Arial" w:hAnsi="Arial"/>
                <w:sz w:val="18"/>
                <w:szCs w:val="18"/>
                <w:color w:val="auto"/>
                <w:w w:val="96"/>
              </w:rPr>
              <w:t>Authorized - 233,333; issued and outstanding - 112,423 shares in 2020 and 98,394 shares in 2019</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1,571,163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1,118,655</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138,274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56,187</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2,151,510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1,808,527</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3,862,633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2,984,845</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5,202,724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3,873,425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9" w:name="page90"/>
    <w:bookmarkEnd w:id="89"/>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Net premiums written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834,113</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760,845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685,287</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(increase)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(35,795)</w:t>
            </w:r>
          </w:p>
        </w:tc>
        <w:tc>
          <w:tcPr>
            <w:tcW w:w="0" w:type="dxa"/>
            <w:vAlign w:val="bottom"/>
          </w:tcPr>
          <w:p>
            <w:pPr>
              <w:spacing w:after="0"/>
              <w:rPr>
                <w:sz w:val="1"/>
                <w:szCs w:val="1"/>
                <w:color w:val="auto"/>
              </w:rPr>
            </w:pPr>
          </w:p>
        </w:tc>
      </w:tr>
      <w:tr>
        <w:trPr>
          <w:trHeight w:val="223"/>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Net premiums earned</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862,564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777,425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649,492</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64,091</w:t>
            </w: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Realized investment gains,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955,154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867,567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719,353</w:t>
            </w:r>
          </w:p>
        </w:tc>
        <w:tc>
          <w:tcPr>
            <w:tcW w:w="0" w:type="dxa"/>
            <w:vAlign w:val="bottom"/>
          </w:tcPr>
          <w:p>
            <w:pPr>
              <w:spacing w:after="0"/>
              <w:rPr>
                <w:sz w:val="1"/>
                <w:szCs w:val="1"/>
                <w:color w:val="auto"/>
              </w:rPr>
            </w:pPr>
          </w:p>
        </w:tc>
      </w:tr>
      <w:tr>
        <w:trPr>
          <w:trHeight w:val="250"/>
        </w:trPr>
        <w:tc>
          <w:tcPr>
            <w:tcW w:w="6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Losses and expenses: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losses and LAE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301,293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154,691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165,369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150,900</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10,179</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b w:val="1"/>
                <w:bCs w:val="1"/>
                <w:color w:val="auto"/>
              </w:rPr>
              <w:t>Total losses and expenses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465,058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172,654</w:t>
            </w:r>
          </w:p>
        </w:tc>
        <w:tc>
          <w:tcPr>
            <w:tcW w:w="0" w:type="dxa"/>
            <w:vAlign w:val="bottom"/>
          </w:tcPr>
          <w:p>
            <w:pPr>
              <w:spacing w:after="0"/>
              <w:rPr>
                <w:sz w:val="1"/>
                <w:szCs w:val="1"/>
                <w:color w:val="auto"/>
              </w:rPr>
            </w:pPr>
          </w:p>
        </w:tc>
      </w:tr>
      <w:tr>
        <w:trPr>
          <w:trHeight w:val="250"/>
        </w:trPr>
        <w:tc>
          <w:tcPr>
            <w:tcW w:w="6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490,096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659,061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546,699</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77,055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79,336</w:t>
            </w:r>
          </w:p>
        </w:tc>
        <w:tc>
          <w:tcPr>
            <w:tcW w:w="0" w:type="dxa"/>
            <w:vAlign w:val="bottom"/>
          </w:tcPr>
          <w:p>
            <w:pPr>
              <w:spacing w:after="0"/>
              <w:rPr>
                <w:sz w:val="1"/>
                <w:szCs w:val="1"/>
                <w:color w:val="auto"/>
              </w:rPr>
            </w:pPr>
          </w:p>
        </w:tc>
      </w:tr>
      <w:tr>
        <w:trPr>
          <w:trHeight w:val="223"/>
        </w:trPr>
        <w:tc>
          <w:tcPr>
            <w:tcW w:w="696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413,041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555,713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467,363</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0"/>
        </w:trPr>
        <w:tc>
          <w:tcPr>
            <w:tcW w:w="696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0"/>
        </w:trPr>
        <w:tc>
          <w:tcPr>
            <w:tcW w:w="6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106,098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97,403</w:t>
            </w:r>
          </w:p>
        </w:tc>
        <w:tc>
          <w:tcPr>
            <w:tcW w:w="0" w:type="dxa"/>
            <w:vAlign w:val="bottom"/>
          </w:tcPr>
          <w:p>
            <w:pPr>
              <w:spacing w:after="0"/>
              <w:rPr>
                <w:sz w:val="1"/>
                <w:szCs w:val="1"/>
                <w:color w:val="auto"/>
              </w:rPr>
            </w:pPr>
          </w:p>
        </w:tc>
      </w:tr>
      <w:tr>
        <w:trPr>
          <w:trHeight w:val="230"/>
        </w:trPr>
        <w:tc>
          <w:tcPr>
            <w:tcW w:w="696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106,376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98,227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97,974</w:t>
            </w:r>
          </w:p>
        </w:tc>
        <w:tc>
          <w:tcPr>
            <w:tcW w:w="0" w:type="dxa"/>
            <w:vAlign w:val="bottom"/>
          </w:tcPr>
          <w:p>
            <w:pPr>
              <w:spacing w:after="0"/>
              <w:rPr>
                <w:sz w:val="1"/>
                <w:szCs w:val="1"/>
                <w:color w:val="auto"/>
              </w:rPr>
            </w:pPr>
          </w:p>
        </w:tc>
      </w:tr>
      <w:tr>
        <w:trPr>
          <w:trHeight w:val="270"/>
        </w:trPr>
        <w:tc>
          <w:tcPr>
            <w:tcW w:w="6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413,041</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555,713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467,363</w:t>
            </w:r>
          </w:p>
        </w:tc>
        <w:tc>
          <w:tcPr>
            <w:tcW w:w="0" w:type="dxa"/>
            <w:vAlign w:val="bottom"/>
          </w:tcPr>
          <w:p>
            <w:pPr>
              <w:spacing w:after="0"/>
              <w:rPr>
                <w:sz w:val="1"/>
                <w:szCs w:val="1"/>
                <w:color w:val="auto"/>
              </w:rPr>
            </w:pPr>
          </w:p>
        </w:tc>
      </w:tr>
      <w:tr>
        <w:trPr>
          <w:trHeight w:val="270"/>
        </w:trPr>
        <w:tc>
          <w:tcPr>
            <w:tcW w:w="6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Change in unrealized appreciation (depreciation) of investments, net of tax expense</w:t>
            </w:r>
          </w:p>
        </w:tc>
        <w:tc>
          <w:tcPr>
            <w:tcW w:w="3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82,087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85,180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(25,741)</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(benefit) of $16,836 in 2020, $17,497 in 2019 and $(5,686) in 2018</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82,087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(25,741)</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495,128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640,893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441,622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1"/>
              </w:rPr>
              <w:t>Year Ended December 31,</w:t>
            </w:r>
          </w:p>
        </w:tc>
        <w:tc>
          <w:tcPr>
            <w:tcW w:w="1020" w:type="dxa"/>
            <w:vAlign w:val="bottom"/>
            <w:tcBorders>
              <w:bottom w:val="single" w:sz="8" w:color="auto"/>
            </w:tcBorders>
          </w:tcPr>
          <w:p>
            <w:pPr>
              <w:spacing w:after="0"/>
              <w:rPr>
                <w:sz w:val="16"/>
                <w:szCs w:val="16"/>
                <w:color w:val="auto"/>
              </w:rPr>
            </w:pPr>
          </w:p>
        </w:tc>
      </w:tr>
      <w:tr>
        <w:trPr>
          <w:trHeight w:val="188"/>
        </w:trPr>
        <w:tc>
          <w:tcPr>
            <w:tcW w:w="6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24"/>
        </w:trPr>
        <w:tc>
          <w:tcPr>
            <w:tcW w:w="6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29"/>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Balance, beginning of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1,476</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1,476</w:t>
            </w:r>
          </w:p>
        </w:tc>
      </w:tr>
      <w:tr>
        <w:trPr>
          <w:trHeight w:val="230"/>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Issuance of common shares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Issuance of management incentive shares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Cancellation of treasury stock</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2"/>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year</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r>
      <w:tr>
        <w:trPr>
          <w:trHeight w:val="229"/>
        </w:trPr>
        <w:tc>
          <w:tcPr>
            <w:tcW w:w="69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r>
      <w:tr>
        <w:trPr>
          <w:trHeight w:val="23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1,118,655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1,127,137</w:t>
            </w:r>
          </w:p>
        </w:tc>
      </w:tr>
      <w:tr>
        <w:trPr>
          <w:trHeight w:val="229"/>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Issuance of common shares, net of issuance costs of $18,888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439,755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Dividends and dividend equivalents declared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Issuance of management incentive shares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15,073</w:t>
            </w:r>
          </w:p>
        </w:tc>
      </w:tr>
      <w:tr>
        <w:trPr>
          <w:trHeight w:val="229"/>
        </w:trPr>
        <w:tc>
          <w:tcPr>
            <w:tcW w:w="6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Cancellation of treasury stock</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(31,404)</w:t>
            </w:r>
          </w:p>
        </w:tc>
      </w:tr>
      <w:tr>
        <w:trPr>
          <w:trHeight w:val="22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1,571,163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1,110,800</w:t>
            </w:r>
          </w:p>
        </w:tc>
      </w:tr>
      <w:tr>
        <w:trPr>
          <w:trHeight w:val="34"/>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Balance, beginning of year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56,187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(3,252)</w:t>
            </w:r>
          </w:p>
        </w:tc>
      </w:tr>
      <w:tr>
        <w:trPr>
          <w:trHeight w:val="22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82,087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(25,741)</w:t>
            </w:r>
          </w:p>
        </w:tc>
      </w:tr>
      <w:tr>
        <w:trPr>
          <w:trHeight w:val="262"/>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year</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138,274</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56,187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(28,993)</w:t>
            </w:r>
          </w:p>
        </w:tc>
      </w:tr>
      <w:tr>
        <w:trPr>
          <w:trHeight w:val="230"/>
        </w:trPr>
        <w:tc>
          <w:tcPr>
            <w:tcW w:w="69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Retained Earnings</w:t>
            </w: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r>
      <w:tr>
        <w:trPr>
          <w:trHeight w:val="23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1,808,527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815,075</w:t>
            </w:r>
          </w:p>
        </w:tc>
      </w:tr>
      <w:tr>
        <w:trPr>
          <w:trHeight w:val="230"/>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413,041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555,713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467,363</w:t>
            </w:r>
          </w:p>
        </w:tc>
      </w:tr>
      <w:tr>
        <w:trPr>
          <w:trHeight w:val="230"/>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Dividends and dividend equivalents declared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2"/>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year</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2,151,510</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1,808,527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1,282,438</w:t>
            </w:r>
          </w:p>
        </w:tc>
      </w:tr>
      <w:tr>
        <w:trPr>
          <w:trHeight w:val="230"/>
        </w:trPr>
        <w:tc>
          <w:tcPr>
            <w:tcW w:w="69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Treasury Stock</w:t>
            </w: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r>
      <w:tr>
        <w:trPr>
          <w:trHeight w:val="230"/>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Treasury stock acquired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(31,414)</w:t>
            </w:r>
          </w:p>
        </w:tc>
      </w:tr>
      <w:tr>
        <w:trPr>
          <w:trHeight w:val="22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Cancellation of treasury stock</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31,414</w:t>
            </w:r>
          </w:p>
        </w:tc>
      </w:tr>
      <w:tr>
        <w:trPr>
          <w:trHeight w:val="262"/>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end of year</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3,862,633</w:t>
            </w:r>
          </w:p>
        </w:tc>
        <w:tc>
          <w:tcPr>
            <w:tcW w:w="440" w:type="dxa"/>
            <w:vAlign w:val="bottom"/>
            <w:tcBorders>
              <w:top w:val="single" w:sz="8" w:color="CCEEFF"/>
            </w:tcBorders>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2,984,845</w:t>
            </w: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2,365,717</w:t>
            </w:r>
          </w:p>
        </w:tc>
      </w:tr>
      <w:tr>
        <w:trPr>
          <w:trHeight w:val="20"/>
        </w:trPr>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3"/>
        </w:trPr>
        <w:tc>
          <w:tcPr>
            <w:tcW w:w="694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12"/>
        </w:trPr>
        <w:tc>
          <w:tcPr>
            <w:tcW w:w="6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413,041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555,713</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467,363</w:t>
            </w:r>
          </w:p>
        </w:tc>
      </w:tr>
      <w:tr>
        <w:trPr>
          <w:trHeight w:val="21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Gain on the sale of investments, net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(1,318)</w:t>
            </w: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Equity in net loss (income) of other invested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Distribution of income from other invested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3,404</w:t>
            </w: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15,073</w:t>
            </w: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premium on investment securities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14,220</w:t>
            </w: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Deferred income tax provision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38,653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59,481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50,692</w:t>
            </w: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 in: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940" w:type="dxa"/>
            <w:vAlign w:val="bottom"/>
            <w:gridSpan w:val="2"/>
          </w:tcPr>
          <w:p>
            <w:pPr>
              <w:ind w:left="460"/>
              <w:spacing w:after="0"/>
              <w:rPr>
                <w:sz w:val="20"/>
                <w:szCs w:val="20"/>
                <w:color w:val="auto"/>
              </w:rPr>
            </w:pPr>
            <w:r>
              <w:rPr>
                <w:rFonts w:ascii="Arial" w:cs="Arial" w:eastAsia="Arial" w:hAnsi="Arial"/>
                <w:sz w:val="16"/>
                <w:szCs w:val="16"/>
                <w:color w:val="auto"/>
              </w:rPr>
              <w:t>Accrued investment income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(4,820)</w:t>
            </w:r>
          </w:p>
        </w:tc>
      </w:tr>
      <w:tr>
        <w:trPr>
          <w:trHeight w:val="219"/>
        </w:trPr>
        <w:tc>
          <w:tcPr>
            <w:tcW w:w="6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(7,118)</w:t>
            </w:r>
          </w:p>
        </w:tc>
      </w:tr>
      <w:tr>
        <w:trPr>
          <w:trHeight w:val="213"/>
        </w:trPr>
        <w:tc>
          <w:tcPr>
            <w:tcW w:w="6940" w:type="dxa"/>
            <w:vAlign w:val="bottom"/>
            <w:gridSpan w:val="2"/>
          </w:tcPr>
          <w:p>
            <w:pPr>
              <w:ind w:left="460"/>
              <w:spacing w:after="0"/>
              <w:rPr>
                <w:sz w:val="20"/>
                <w:szCs w:val="20"/>
                <w:color w:val="auto"/>
              </w:rPr>
            </w:pPr>
            <w:r>
              <w:rPr>
                <w:rFonts w:ascii="Arial" w:cs="Arial" w:eastAsia="Arial" w:hAnsi="Arial"/>
                <w:sz w:val="16"/>
                <w:szCs w:val="16"/>
                <w:color w:val="auto"/>
              </w:rPr>
              <w:t>Deferred policy acquisition costs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(695)</w:t>
            </w:r>
          </w:p>
        </w:tc>
      </w:tr>
      <w:tr>
        <w:trPr>
          <w:trHeight w:val="219"/>
        </w:trPr>
        <w:tc>
          <w:tcPr>
            <w:tcW w:w="6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Prepaid federal income tax</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49,772</w:t>
            </w:r>
          </w:p>
        </w:tc>
      </w:tr>
      <w:tr>
        <w:trPr>
          <w:trHeight w:val="213"/>
        </w:trPr>
        <w:tc>
          <w:tcPr>
            <w:tcW w:w="6940" w:type="dxa"/>
            <w:vAlign w:val="bottom"/>
            <w:gridSpan w:val="2"/>
          </w:tcPr>
          <w:p>
            <w:pPr>
              <w:ind w:left="46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(5,060)</w:t>
            </w:r>
          </w:p>
        </w:tc>
      </w:tr>
      <w:tr>
        <w:trPr>
          <w:trHeight w:val="219"/>
        </w:trPr>
        <w:tc>
          <w:tcPr>
            <w:tcW w:w="6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Reserve for losses and LAE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2,614</w:t>
            </w:r>
          </w:p>
        </w:tc>
      </w:tr>
      <w:tr>
        <w:trPr>
          <w:trHeight w:val="213"/>
        </w:trPr>
        <w:tc>
          <w:tcPr>
            <w:tcW w:w="6940" w:type="dxa"/>
            <w:vAlign w:val="bottom"/>
            <w:gridSpan w:val="2"/>
          </w:tcPr>
          <w:p>
            <w:pPr>
              <w:ind w:left="460"/>
              <w:spacing w:after="0"/>
              <w:rPr>
                <w:sz w:val="20"/>
                <w:szCs w:val="20"/>
                <w:color w:val="auto"/>
              </w:rPr>
            </w:pPr>
            <w:r>
              <w:rPr>
                <w:rFonts w:ascii="Arial" w:cs="Arial" w:eastAsia="Arial" w:hAnsi="Arial"/>
                <w:sz w:val="16"/>
                <w:szCs w:val="16"/>
                <w:color w:val="auto"/>
              </w:rPr>
              <w:t>Unearned premium reserve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35,795</w:t>
            </w:r>
          </w:p>
        </w:tc>
      </w:tr>
      <w:tr>
        <w:trPr>
          <w:trHeight w:val="219"/>
        </w:trPr>
        <w:tc>
          <w:tcPr>
            <w:tcW w:w="6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Other accrued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24,283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5,299</w:t>
            </w:r>
          </w:p>
        </w:tc>
      </w:tr>
      <w:tr>
        <w:trPr>
          <w:trHeight w:val="248"/>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727,931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589,848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625,321</w:t>
            </w:r>
          </w:p>
        </w:tc>
      </w:tr>
      <w:tr>
        <w:trPr>
          <w:trHeight w:val="213"/>
        </w:trPr>
        <w:tc>
          <w:tcPr>
            <w:tcW w:w="6940" w:type="dxa"/>
            <w:vAlign w:val="bottom"/>
            <w:tcBorders>
              <w:top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change in short-term investments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(411,498)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158,294</w:t>
            </w: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Purchase of investments available for sale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(1,575,082)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(1,044,964)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(1,126,032)</w:t>
            </w: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maturity of investments available for 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114,651</w:t>
            </w: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Proceeds from sales of investments available for sale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577,409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623,771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340,780</w:t>
            </w: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 of other invested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(30,860)</w:t>
            </w: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Return of investment from other invested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(4,054)</w:t>
            </w:r>
          </w:p>
        </w:tc>
      </w:tr>
      <w:tr>
        <w:trPr>
          <w:trHeight w:val="248"/>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(1,154,417)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(545,076)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(546,905)</w:t>
            </w:r>
          </w:p>
        </w:tc>
      </w:tr>
      <w:tr>
        <w:trPr>
          <w:trHeight w:val="213"/>
        </w:trPr>
        <w:tc>
          <w:tcPr>
            <w:tcW w:w="6940" w:type="dxa"/>
            <w:vAlign w:val="bottom"/>
            <w:tcBorders>
              <w:top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Issuance of common shares, net of costs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439,962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Credit facility borrowings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Credit facility repayments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Treasury stock acquired</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(31,414)</w:t>
            </w:r>
          </w:p>
        </w:tc>
      </w:tr>
      <w:tr>
        <w:trPr>
          <w:trHeight w:val="219"/>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Payment of issuance costs for credit facility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r>
      <w:tr>
        <w:trPr>
          <w:trHeight w:val="213"/>
        </w:trPr>
        <w:tc>
          <w:tcPr>
            <w:tcW w:w="6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Dividends paid</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(69,410)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(29,348)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457,966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(38,368)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(56,994)</w:t>
            </w:r>
          </w:p>
        </w:tc>
      </w:tr>
      <w:tr>
        <w:trPr>
          <w:trHeight w:val="34"/>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increase in cash</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21,422</w:t>
            </w:r>
          </w:p>
        </w:tc>
      </w:tr>
      <w:tr>
        <w:trPr>
          <w:trHeight w:val="213"/>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at beginning of year</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71,350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64,946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43,524</w:t>
            </w:r>
          </w:p>
        </w:tc>
      </w:tr>
      <w:tr>
        <w:trPr>
          <w:trHeight w:val="238"/>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at end of year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102,830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71,350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64,946</w:t>
            </w:r>
          </w:p>
        </w:tc>
      </w:tr>
      <w:tr>
        <w:trPr>
          <w:trHeight w:val="21"/>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Income tax payments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(38,705)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(41,505)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(29,275)</w:t>
            </w:r>
          </w:p>
        </w:tc>
      </w:tr>
      <w:tr>
        <w:trPr>
          <w:trHeight w:val="21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payments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(9,451)</w:t>
            </w:r>
          </w:p>
        </w:tc>
      </w:tr>
      <w:tr>
        <w:trPr>
          <w:trHeight w:val="54"/>
        </w:trPr>
        <w:tc>
          <w:tcPr>
            <w:tcW w:w="6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Noncash Transactions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Repayment of borrowings with term loan proceeds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1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 arising from obtaining right-of-use assets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180"/>
          </w:cols>
          <w:pgMar w:left="360" w:top="89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97790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type w:val="continuous"/>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In these notes to consolidated financial statements, “Essent”, “Company”, “we”, “us”, and “our” refer to Essent Group Ltd. and its subsidiaries, unless the context otherwise requires.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56"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14"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The primary mortgage insurance operations are conducted through Essent Guaranty, Inc. ("Essent Guaranty"), which is domiciled in the state of Pennsylvania. Essent Guaranty is headquartered in Radnor, Pennsylvania and maintains operations centers in Winston-Salem, North Carolina and Irvine, California. Essent Guaranty is approved as a qualified mortgage insurer by the GSEs and is licensed to write mortgage insurance in all 50 states and the District of Columbia.</w:t>
      </w:r>
    </w:p>
    <w:p>
      <w:pPr>
        <w:spacing w:after="0" w:line="214"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Essent Guaranty reinsures 25% of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Essent Guaranty also reinsures that portion of the risk that is in excess of 25% of the mortgage balance with respect to any loan insured prior to April 1, 2019, after consideration of other reinsurance, to Essent Guaranty of PA, Inc. (“Essent PA”), an affiliate domiciled in the state of Pennsylvania.</w:t>
      </w:r>
    </w:p>
    <w:p>
      <w:pPr>
        <w:spacing w:after="0" w:line="205" w:lineRule="exact"/>
        <w:rPr>
          <w:sz w:val="20"/>
          <w:szCs w:val="20"/>
          <w:color w:val="auto"/>
        </w:rPr>
      </w:pPr>
    </w:p>
    <w:p>
      <w:pPr>
        <w:ind w:right="360" w:firstLine="445"/>
        <w:spacing w:after="0" w:line="279" w:lineRule="auto"/>
        <w:rPr>
          <w:sz w:val="20"/>
          <w:szCs w:val="20"/>
          <w:color w:val="auto"/>
        </w:rPr>
      </w:pPr>
      <w:r>
        <w:rPr>
          <w:rFonts w:ascii="Arial" w:cs="Arial" w:eastAsia="Arial" w:hAnsi="Arial"/>
          <w:sz w:val="17"/>
          <w:szCs w:val="17"/>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operations centers in Winston-Salem, North Carolina and Irvine, California that are subleased from Essent Guaranty.</w:t>
      </w:r>
    </w:p>
    <w:p>
      <w:pPr>
        <w:spacing w:after="0" w:line="198" w:lineRule="exact"/>
        <w:rPr>
          <w:sz w:val="20"/>
          <w:szCs w:val="20"/>
          <w:color w:val="auto"/>
        </w:rPr>
      </w:pPr>
    </w:p>
    <w:p>
      <w:pPr>
        <w:ind w:right="120" w:firstLine="445"/>
        <w:spacing w:after="0" w:line="381" w:lineRule="auto"/>
        <w:rPr>
          <w:sz w:val="20"/>
          <w:szCs w:val="20"/>
          <w:color w:val="auto"/>
        </w:rPr>
      </w:pPr>
      <w:r>
        <w:rPr>
          <w:rFonts w:ascii="Arial" w:cs="Arial" w:eastAsia="Arial" w:hAnsi="Arial"/>
          <w:sz w:val="15"/>
          <w:szCs w:val="15"/>
          <w:color w:val="auto"/>
        </w:rPr>
        <w:t>The Company operates as a single segment for reporting purposes as substantially all business operations, assets and liabilities relate to the private mortgage insurance business and management reviews operating results for the Company as a whole to make operating decisions and assess performance.</w:t>
      </w:r>
    </w:p>
    <w:p>
      <w:pPr>
        <w:spacing w:after="0" w:line="127" w:lineRule="exact"/>
        <w:rPr>
          <w:sz w:val="20"/>
          <w:szCs w:val="20"/>
          <w:color w:val="auto"/>
        </w:rPr>
      </w:pPr>
    </w:p>
    <w:p>
      <w:pPr>
        <w:ind w:right="180" w:firstLine="445"/>
        <w:spacing w:after="0" w:line="342" w:lineRule="auto"/>
        <w:rPr>
          <w:sz w:val="20"/>
          <w:szCs w:val="20"/>
          <w:color w:val="auto"/>
        </w:rPr>
      </w:pPr>
      <w:r>
        <w:rPr>
          <w:rFonts w:ascii="Arial" w:cs="Arial" w:eastAsia="Arial" w:hAnsi="Arial"/>
          <w:sz w:val="16"/>
          <w:szCs w:val="16"/>
          <w:color w:val="auto"/>
        </w:rPr>
        <w:t>The consolidated financial statements have been prepared in accordance with U.S. generally accepted accounting principles ("GAAP") and include the accounts of Essent Group and its consolidated subsidiaries. All intercompany balances and transactions have been eliminated in consolidation.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56"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Our fixed maturity and short-term investments are classified as available for sale as we may sell securities from time to time to provide liquidity and in response to changes in the market. Debt securities classified as available for sale are reported at fair value with unrealized gains and losses on these securities reported in other comprehensive income, net of deferred income taxes. See Note 15 for a description of the valuation methods for investments available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We monitor our fixed maturities for unrealized losses that appear to be other-than-temporary. A fixed maturity security is considered to be other-than-temporarily impaired when the security's fair value is less than its amortized cost basis and 1) we intend to sell the security, 2) it is more likely than not that we will be required to sell the security before recovery of the security's amortized cost basis, or 3) we believe we will be unable to recover the entire amortized cost basis of the security (i.e., a credit loss has occurred). When we determine that a credit loss has been incurred, but we do not intend to sell the security and it is not more likely than not that we will be required to sell the security before recovery of the security's amortized cost basis, the portion of the other-than-temporary impairment that is credit related is recorded as a realized loss in the consolidated statements of comprehensive income, and the portion of the other-than-temporary impairment that is not credit related is included in other comprehensive income. For those fixed maturities for which an other-than-temporary impairment has occurred, we adjust the amortized cost basis of the security and record a realized loss in the consolidated statements of comprehensive income.</w:t>
      </w:r>
    </w:p>
    <w:p>
      <w:pPr>
        <w:spacing w:after="0" w:line="208" w:lineRule="exact"/>
        <w:rPr>
          <w:sz w:val="20"/>
          <w:szCs w:val="20"/>
          <w:color w:val="auto"/>
        </w:rPr>
      </w:pPr>
    </w:p>
    <w:p>
      <w:pPr>
        <w:ind w:right="420" w:firstLine="445"/>
        <w:spacing w:after="0" w:line="263" w:lineRule="auto"/>
        <w:rPr>
          <w:sz w:val="20"/>
          <w:szCs w:val="20"/>
          <w:color w:val="auto"/>
        </w:rPr>
      </w:pPr>
      <w:r>
        <w:rPr>
          <w:rFonts w:ascii="Arial" w:cs="Arial" w:eastAsia="Arial" w:hAnsi="Arial"/>
          <w:sz w:val="18"/>
          <w:szCs w:val="18"/>
          <w:color w:val="auto"/>
        </w:rPr>
        <w:t>We recognize purchase premiums and discounts in interest income using the interest method over the securities' estimated holding periods, until maturity, or call date, if applicable. Gains and losses on the sales of securities are recorded on the trade date and are determined using the specific identification method.</w:t>
      </w:r>
    </w:p>
    <w:p>
      <w:pPr>
        <w:spacing w:after="0" w:line="211"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Short-term investments are defined as short-term, highly liquid investments, both readily convertible to cash and having maturities at acquisition of twelve months or less.</w:t>
      </w:r>
    </w:p>
    <w:p>
      <w:pPr>
        <w:spacing w:after="0" w:line="197"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Other invested assets are comprised of limited partnership interests which are accounted for under the equity method of accounting with changes in value reported in other income. In applying the equity method, these investments are initially recorded at cost and are subsequently adjusted based on the Company’s proportionate share of the net income or loss of the partnership. We have elected to classify distributions received from these investments using the cumulative earnings approach. Due to the timing of receiving financial information from these partnerships, the results are generally reported on a one month or quarter lag.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56"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is calculated using the straight-line method over the estimated useful lives of the assets. Repairs and maintenance are charged to expense as incurred. Estimated useful lives are 5 years for furniture and fixtures and 2 to 3 years for equipment, computer hardware and purchased software. Certain costs associated with the acquisition or development of internal-use software are capitalized. Once the software is ready for its intended use, these costs are amortized on a straight-line basis over the software's expected useful life, which is generally 3 years. We amortize leasehold improvements over the shorter of the lives of the leases or estimated service lives of the leasehold improvements. The balances by type were as follows at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right"/>
              <w:ind w:right="195"/>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right"/>
              <w:ind w:right="195"/>
              <w:spacing w:after="0" w:line="135"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35"/>
        </w:trPr>
        <w:tc>
          <w:tcPr>
            <w:tcW w:w="6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Depreciation/</w:t>
            </w:r>
          </w:p>
        </w:tc>
        <w:tc>
          <w:tcPr>
            <w:tcW w:w="240" w:type="dxa"/>
            <w:vAlign w:val="bottom"/>
          </w:tcPr>
          <w:p>
            <w:pPr>
              <w:spacing w:after="0"/>
              <w:rPr>
                <w:sz w:val="11"/>
                <w:szCs w:val="11"/>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right"/>
              <w:ind w:right="195"/>
              <w:spacing w:after="0" w:line="135" w:lineRule="exact"/>
              <w:rPr>
                <w:sz w:val="20"/>
                <w:szCs w:val="20"/>
                <w:color w:val="auto"/>
              </w:rPr>
            </w:pPr>
            <w:r>
              <w:rPr>
                <w:rFonts w:ascii="Arial" w:cs="Arial" w:eastAsia="Arial" w:hAnsi="Arial"/>
                <w:sz w:val="14"/>
                <w:szCs w:val="14"/>
                <w:b w:val="1"/>
                <w:bCs w:val="1"/>
                <w:color w:val="auto"/>
                <w:w w:val="92"/>
              </w:rPr>
              <w:t>Depreciation/</w:t>
            </w:r>
          </w:p>
        </w:tc>
        <w:tc>
          <w:tcPr>
            <w:tcW w:w="0" w:type="dxa"/>
            <w:vAlign w:val="bottom"/>
          </w:tcPr>
          <w:p>
            <w:pPr>
              <w:spacing w:after="0"/>
              <w:rPr>
                <w:sz w:val="1"/>
                <w:szCs w:val="1"/>
                <w:color w:val="auto"/>
              </w:rPr>
            </w:pPr>
          </w:p>
        </w:tc>
      </w:tr>
      <w:tr>
        <w:trPr>
          <w:trHeight w:val="188"/>
        </w:trPr>
        <w:tc>
          <w:tcPr>
            <w:tcW w:w="6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Amortization</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195"/>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24"/>
        </w:trPr>
        <w:tc>
          <w:tcPr>
            <w:tcW w:w="5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Office equipment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Purchased software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37,909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(36,716)</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of internal-use software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(57,639)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Policy Acquisition Costs</w:t>
      </w:r>
    </w:p>
    <w:p>
      <w:pPr>
        <w:spacing w:after="0" w:line="256"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defer certain personnel costs and premium tax expense directly related to the successful acquisition of new insurance policies and amortize these costs over the period the related estimated gross profits are recognized in order to match costs and revenues. We do not defer any underwriting costs associated with our contract underwriting services. Costs related to the acquisition of mortgage insurance business are initially deferred and reported as deferred policy acquisition costs. Consistent with industry accounting practice, amortization of these costs for each underwriting year book of business is recognized in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proportion to estimated gross profits. Estimated gross profits are composed of earned premium, interest income, losses and loss adjustment expenses. The deferred costs are adjusted as appropriate for policy cancellations to be consistent with our revenue recognition policy. We estimate the rate of amortization to reflect actual experience and any changes to persistency or loss development. Deferred policy acquisition costs are reviewed periodically to determine that they do not exceed recoverable amounts, after considering investment income. Policy acquisition costs deferred were $10.1 million, $7.8 million and $7.4 million for the years ended December 31, 2020, 2019 and 2018, respectively. Amortization of deferred policy acquisition costs totaled $8.8 million, $8.1 million and $6.7 million for the years ended December 31, 2020, 2019 and 2018, respectively, and was included in other underwriting and operating expenses on the consolidated statements of comprehensive income.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Premium Revenue Recognition</w:t>
      </w:r>
    </w:p>
    <w:p>
      <w:pPr>
        <w:spacing w:after="0" w:line="256"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Monthly policies accounted for 84% of earned premium in 2020.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The Company recorded $88.9 million and $42.5 million of earned premium related to policy cancellations for the years ended December 31, 2020 and 2019, respectively.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Losses and Loss Adjustment Expenses</w:t>
      </w:r>
    </w:p>
    <w:p>
      <w:pPr>
        <w:spacing w:after="0" w:line="256"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in default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 Deficiency Reserve</w:t>
      </w:r>
    </w:p>
    <w:p>
      <w:pPr>
        <w:spacing w:after="0" w:line="256"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We are required to establish a premium deficiency reserve if the net present value of the expected future losses and expenses for a particular group of policies exceeds the net present value of expected future premium, anticipated investment income and existing reserves for that specified group of policies. We reassess our expectations for premium, losses and expenses of our mortgage insurance business periodically and update our premium deficiency analysis accordingly. As of December 31, 2020 and 2019, we concluded that no premium deficiency reserve was required to be recorded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56"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Derivative instruments, including embedded derivative instruments, are recognized at fair value in the consolidated balance sheets. The amount of monthly reinsurance premiums ceded under our reinsurance contracts will fluctuate due to changes in one-month LIBOR and changes in money market rates. As the reinsurance premium will vary based on changes in these rates, we concluded that these reinsurance agreements contain embedded derivatives that are accounted for separately like freestanding derivatives.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measure the cost of employee services received in exchange for awards of equity instruments at the grant date of the award using a fair value based method. Prior to our initial public offering, we estimated the fair value of each nonvested share grant on the date of grant based on management's best estimate using methods further described in Note 10 of our consolidated financial statements. Subsequent to our initial public offering, fair value is determined on the date of grant based on quoted market prices. We recognize compensation expense on nonvested shares over the vesting period of the award. Excess tax benefits and tax deficiencies associated with share-based payments are recognized as income tax expense or benefit in the income statement and treated as discrete items in the reporting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60" w:firstLine="445"/>
        <w:spacing w:after="0" w:line="288" w:lineRule="auto"/>
        <w:rPr>
          <w:sz w:val="20"/>
          <w:szCs w:val="20"/>
          <w:color w:val="auto"/>
        </w:rPr>
      </w:pPr>
      <w:r>
        <w:rPr>
          <w:rFonts w:ascii="Arial" w:cs="Arial" w:eastAsia="Arial" w:hAnsi="Arial"/>
          <w:sz w:val="16"/>
          <w:szCs w:val="16"/>
          <w:color w:val="auto"/>
        </w:rPr>
        <w:t>Deferred income tax assets and liabilities are determined using the asset and liability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w:t>
      </w:r>
    </w:p>
    <w:p>
      <w:pPr>
        <w:spacing w:after="0" w:line="195"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w:t>
      </w:r>
    </w:p>
    <w:p>
      <w:pPr>
        <w:spacing w:after="0" w:line="205" w:lineRule="exact"/>
        <w:rPr>
          <w:sz w:val="20"/>
          <w:szCs w:val="20"/>
          <w:color w:val="auto"/>
        </w:rPr>
      </w:pPr>
    </w:p>
    <w:p>
      <w:pPr>
        <w:ind w:right="420" w:firstLine="445"/>
        <w:spacing w:after="0" w:line="342" w:lineRule="auto"/>
        <w:rPr>
          <w:sz w:val="20"/>
          <w:szCs w:val="20"/>
          <w:color w:val="auto"/>
        </w:rPr>
      </w:pPr>
      <w:r>
        <w:rPr>
          <w:rFonts w:ascii="Arial" w:cs="Arial" w:eastAsia="Arial" w:hAnsi="Arial"/>
          <w:sz w:val="16"/>
          <w:szCs w:val="16"/>
          <w:color w:val="auto"/>
        </w:rPr>
        <w:t>As described in Note 12, we purchase non-interest-bearing United States Mortgage Guaranty Tax and Loss Bonds ("T&amp;L Bonds") issued by the Treasury Department. These assets are carried at cost and are reported as prepaid federal income tax on the consolidated balance sheets.</w:t>
      </w:r>
    </w:p>
    <w:p>
      <w:pPr>
        <w:spacing w:after="0" w:line="151"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It is our policy to classify interest and penalties as income tax expense and to use the aggregate portfolio approach to release income tax effects from accumulated other comprehensive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Basic earnings per common share amounts are calculated based on income available to common stockholders and the weighted average number of common shares outstanding during the reporting period. Diluted earnings per common share amounts are calculated based on income available to common stockholders and the weighted average number of common and potential common shares outstanding during the reporting period. Potential common shares, composed of the incremental common shares issuable upon vesting of unvested common shares and common share units, are included in the earnings per share calculation to the extent that they are dilutive.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During 2020</w:t>
      </w:r>
    </w:p>
    <w:p>
      <w:pPr>
        <w:spacing w:after="0" w:line="252"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 (Topic 326)</w:t>
      </w:r>
      <w:r>
        <w:rPr>
          <w:rFonts w:ascii="Arial" w:cs="Arial" w:eastAsia="Arial" w:hAnsi="Arial"/>
          <w:sz w:val="17"/>
          <w:szCs w:val="17"/>
          <w:color w:val="auto"/>
        </w:rPr>
        <w:t>. This update is intended to provide financial statement users with more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The new guidance requires financial assets measured at amortized cost to be presented at the net amount expected to be collected through the use of an allowance for credit losses. Credit losses relating to available-for-sale debt securities will also be recorded through an allowance rather than as a write-down of the amortized cost of the securities. The accounting for insurance losses and loss adjustment expenses ("LAE") are not within the scope of this ASU. The provisions of this update were effective for annual and interim periods beginning after December 15, 2019 and we adopted this standard on January 1, 2020 using the modified retrospective approach. The adoption of this ASU did not have a material effect on the Company's consolidated operating results or financial position.</w:t>
      </w:r>
    </w:p>
    <w:p>
      <w:pPr>
        <w:spacing w:after="0" w:line="212"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The amendments in this update modify the disclosure requirements for fair value measurements by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modifying, or adding certain disclosures. The provisions of this update were effective for interim and annual periods beginning after December 15, 2019, with early adoption permitted for the removed disclosures. We adopted this standard on January 1, 2020. The adoption of this ASU did not have a material impact on our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52"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The amendments in this update provide temporary optional guidance to ease the potential burden in accounting for (or recognizing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reference rate reform. It provides optional expedients and exceptions for applying generally accepted accounting principles to contract, hedging relationships and other transactions affected by reference rate reform if certain criteria are met. This standard may be elected and applied prospectively over time from March 12, 2020 through December 31, 2022 as reference rate reform activities occur. The adoption of, and future elections under, this ASU are not expected to have a material impact on our consolidated financial statements as the ASU will ease, if warranted, the requirements for accounting for the future effects of the rate reform. We continue to monitor the impact the discontinuance of LIBOR or another reference rate will have on our contracts and other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7" w:name="page98"/>
    <w:bookmarkEnd w:id="97"/>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2020 (In thousands)</w:t>
            </w: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4"/>
                <w:szCs w:val="14"/>
                <w:color w:val="auto"/>
              </w:rPr>
            </w:pPr>
          </w:p>
        </w:tc>
        <w:tc>
          <w:tcPr>
            <w:tcW w:w="940" w:type="dxa"/>
            <w:vAlign w:val="bottom"/>
            <w:gridSpan w:val="3"/>
          </w:tcPr>
          <w:p>
            <w:pPr>
              <w:jc w:val="center"/>
              <w:ind w:right="82"/>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4"/>
                <w:szCs w:val="14"/>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4"/>
                <w:szCs w:val="14"/>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5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940" w:type="dxa"/>
            <w:vAlign w:val="bottom"/>
            <w:gridSpan w:val="3"/>
          </w:tcPr>
          <w:p>
            <w:pPr>
              <w:jc w:val="center"/>
              <w:ind w:right="102"/>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12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9,088</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center"/>
              <w:ind w:right="33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268,444</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18,085</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33,205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995,905</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Municipal debt securities (1)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513,870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37,662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551,517</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61,607</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 (2)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1,070,027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56,864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1,126,512</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18,641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(1,280)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409,282</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452,527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3,246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1"/>
              </w:rPr>
              <w:t>(1,056)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454,717</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679,304</w:t>
            </w: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Total investments available for sale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4,404,690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164,423</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center"/>
              <w:ind w:right="33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(3,740)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4,565,373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2019 (In thousands)</w:t>
            </w:r>
          </w:p>
        </w:tc>
        <w:tc>
          <w:tcPr>
            <w:tcW w:w="2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20"/>
                <w:szCs w:val="20"/>
                <w:color w:val="auto"/>
              </w:rPr>
            </w:pPr>
          </w:p>
        </w:tc>
        <w:tc>
          <w:tcPr>
            <w:tcW w:w="940" w:type="dxa"/>
            <w:vAlign w:val="bottom"/>
            <w:gridSpan w:val="3"/>
          </w:tcPr>
          <w:p>
            <w:pPr>
              <w:jc w:val="center"/>
              <w:ind w:right="82"/>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20"/>
                <w:szCs w:val="20"/>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20"/>
                <w:szCs w:val="20"/>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5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940" w:type="dxa"/>
            <w:vAlign w:val="bottom"/>
            <w:gridSpan w:val="3"/>
          </w:tcPr>
          <w:p>
            <w:pPr>
              <w:jc w:val="center"/>
              <w:ind w:right="102"/>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12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center"/>
              <w:ind w:right="33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242,206</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33,605</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13,956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(2,332)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848,334</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Municipal debt securities (1)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339,511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22,245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361,638</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54,995</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 (2)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856,638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24,255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880,301</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(1,101)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288,281</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326,589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1"/>
              </w:rPr>
              <w:t>(1,421)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326,025</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315,362</w:t>
            </w: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Total investments available for sale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3,282,585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74,231</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center"/>
              <w:ind w:right="33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(6,069)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3,350,747</w:t>
            </w:r>
          </w:p>
        </w:tc>
        <w:tc>
          <w:tcPr>
            <w:tcW w:w="0" w:type="dxa"/>
            <w:vAlign w:val="bottom"/>
          </w:tcPr>
          <w:p>
            <w:pPr>
              <w:spacing w:after="0"/>
              <w:rPr>
                <w:sz w:val="1"/>
                <w:szCs w:val="1"/>
                <w:color w:val="auto"/>
              </w:rPr>
            </w:pPr>
          </w:p>
        </w:tc>
      </w:tr>
      <w:tr>
        <w:trPr>
          <w:trHeight w:val="21"/>
        </w:trPr>
        <w:tc>
          <w:tcPr>
            <w:tcW w:w="5860" w:type="dxa"/>
            <w:vAlign w:val="bottom"/>
            <w:vMerge w:val="restart"/>
          </w:tcPr>
          <w:p>
            <w:pPr>
              <w:spacing w:after="0"/>
              <w:rPr>
                <w:sz w:val="20"/>
                <w:szCs w:val="20"/>
                <w:color w:val="auto"/>
              </w:rPr>
            </w:pPr>
            <w:r>
              <w:rPr>
                <w:rFonts w:ascii="Arial" w:cs="Arial" w:eastAsia="Arial" w:hAnsi="Arial"/>
                <w:sz w:val="14"/>
                <w:szCs w:val="14"/>
                <w:color w:val="auto"/>
                <w:w w:val="94"/>
              </w:rPr>
              <w:t>_______________________________________________________________________________</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5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left="102"/>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5"/>
        </w:trPr>
        <w:tc>
          <w:tcPr>
            <w:tcW w:w="5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center"/>
              <w:ind w:right="219"/>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b w:val="1"/>
                <w:bCs w:val="1"/>
                <w:color w:val="auto"/>
                <w:w w:val="96"/>
              </w:rPr>
              <w:t>2019</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Special revenue bonds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74.5 %</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General obligation bonds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21.3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Certificate of participation bonds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 allocation bonds</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3"/>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center"/>
              <w:ind w:left="102"/>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5"/>
        </w:trPr>
        <w:tc>
          <w:tcPr>
            <w:tcW w:w="5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center"/>
              <w:ind w:right="219"/>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b w:val="1"/>
                <w:bCs w:val="1"/>
                <w:color w:val="auto"/>
                <w:w w:val="96"/>
              </w:rPr>
              <w:t>2019</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Financial</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Consumer, non-cyclical</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20.1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Energy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8.3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cyclical</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Technology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Industrial</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materials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364" w:right="39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type w:val="continuous"/>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The amortized cost and fair value of investments available for sale at December 31, 2020,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4"/>
                <w:szCs w:val="14"/>
                <w:color w:val="auto"/>
              </w:rPr>
            </w:pPr>
          </w:p>
        </w:tc>
        <w:tc>
          <w:tcPr>
            <w:tcW w:w="10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180" w:type="dxa"/>
            <w:vAlign w:val="bottom"/>
            <w:gridSpan w:val="3"/>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392"/>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tcPr>
          <w:p>
            <w:pPr>
              <w:ind w:left="220"/>
              <w:spacing w:after="0"/>
              <w:rPr>
                <w:sz w:val="20"/>
                <w:szCs w:val="20"/>
                <w:color w:val="auto"/>
              </w:rPr>
            </w:pPr>
            <w:r>
              <w:rPr>
                <w:rFonts w:ascii="Arial" w:cs="Arial" w:eastAsia="Arial" w:hAnsi="Arial"/>
                <w:sz w:val="18"/>
                <w:szCs w:val="18"/>
                <w:color w:val="auto"/>
              </w:rPr>
              <w:t>Due in 1 year</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78,956</w:t>
            </w:r>
          </w:p>
        </w:tc>
        <w:tc>
          <w:tcPr>
            <w:tcW w:w="100" w:type="dxa"/>
            <w:vAlign w:val="bottom"/>
          </w:tcPr>
          <w:p>
            <w:pPr>
              <w:spacing w:after="0"/>
              <w:rPr>
                <w:sz w:val="19"/>
                <w:szCs w:val="19"/>
                <w:color w:val="auto"/>
              </w:rPr>
            </w:pP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79,335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130,312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tcPr>
          <w:p>
            <w:pPr>
              <w:ind w:left="220"/>
              <w:spacing w:after="0"/>
              <w:rPr>
                <w:sz w:val="20"/>
                <w:szCs w:val="20"/>
                <w:color w:val="auto"/>
              </w:rPr>
            </w:pPr>
            <w:r>
              <w:rPr>
                <w:rFonts w:ascii="Arial" w:cs="Arial" w:eastAsia="Arial" w:hAnsi="Arial"/>
                <w:sz w:val="18"/>
                <w:szCs w:val="18"/>
                <w:color w:val="auto"/>
              </w:rPr>
              <w:t>Due after 5 but within 10 years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49,125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53,165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5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985</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tcBorders>
              <w:bottom w:val="single" w:sz="8" w:color="CCEEFF"/>
            </w:tcBorders>
            <w:gridSpan w:val="3"/>
          </w:tcPr>
          <w:p>
            <w:pPr>
              <w:ind w:left="460"/>
              <w:spacing w:after="0"/>
              <w:rPr>
                <w:sz w:val="20"/>
                <w:szCs w:val="20"/>
                <w:color w:val="auto"/>
              </w:rPr>
            </w:pPr>
            <w:r>
              <w:rPr>
                <w:rFonts w:ascii="Arial" w:cs="Arial" w:eastAsia="Arial" w:hAnsi="Arial"/>
                <w:sz w:val="18"/>
                <w:szCs w:val="18"/>
                <w:color w:val="auto"/>
              </w:rPr>
              <w:t>Subtotal</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259,378</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tcPr>
          <w:p>
            <w:pPr>
              <w:ind w:left="220"/>
              <w:spacing w:after="0"/>
              <w:rPr>
                <w:sz w:val="20"/>
                <w:szCs w:val="20"/>
                <w:color w:val="auto"/>
              </w:rPr>
            </w:pPr>
            <w:r>
              <w:rPr>
                <w:rFonts w:ascii="Arial" w:cs="Arial" w:eastAsia="Arial" w:hAnsi="Arial"/>
                <w:sz w:val="18"/>
                <w:szCs w:val="18"/>
                <w:color w:val="auto"/>
              </w:rPr>
              <w:t>Due in 1 year</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8,906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5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9,024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tcBorders>
              <w:bottom w:val="single" w:sz="8" w:color="CCEEFF"/>
            </w:tcBorders>
            <w:gridSpan w:val="3"/>
          </w:tcPr>
          <w:p>
            <w:pPr>
              <w:ind w:left="460"/>
              <w:spacing w:after="0"/>
              <w:rPr>
                <w:sz w:val="20"/>
                <w:szCs w:val="20"/>
                <w:color w:val="auto"/>
              </w:rPr>
            </w:pPr>
            <w:r>
              <w:rPr>
                <w:rFonts w:ascii="Arial" w:cs="Arial" w:eastAsia="Arial" w:hAnsi="Arial"/>
                <w:sz w:val="18"/>
                <w:szCs w:val="18"/>
                <w:color w:val="auto"/>
              </w:rPr>
              <w:t>Subtotal</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17,930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tcPr>
          <w:p>
            <w:pPr>
              <w:ind w:left="220"/>
              <w:spacing w:after="0"/>
              <w:rPr>
                <w:sz w:val="20"/>
                <w:szCs w:val="20"/>
                <w:color w:val="auto"/>
              </w:rPr>
            </w:pPr>
            <w:r>
              <w:rPr>
                <w:rFonts w:ascii="Arial" w:cs="Arial" w:eastAsia="Arial" w:hAnsi="Arial"/>
                <w:sz w:val="18"/>
                <w:szCs w:val="18"/>
                <w:color w:val="auto"/>
              </w:rPr>
              <w:t>Due in 1 year</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6,881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91,122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tcPr>
          <w:p>
            <w:pPr>
              <w:ind w:left="220"/>
              <w:spacing w:after="0"/>
              <w:rPr>
                <w:sz w:val="20"/>
                <w:szCs w:val="20"/>
                <w:color w:val="auto"/>
              </w:rPr>
            </w:pPr>
            <w:r>
              <w:rPr>
                <w:rFonts w:ascii="Arial" w:cs="Arial" w:eastAsia="Arial" w:hAnsi="Arial"/>
                <w:sz w:val="18"/>
                <w:szCs w:val="18"/>
                <w:color w:val="auto"/>
              </w:rPr>
              <w:t>Due after 5 but within 10 years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235,030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254,387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5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180,837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tcBorders>
              <w:bottom w:val="single" w:sz="8" w:color="CCEEFF"/>
            </w:tcBorders>
            <w:gridSpan w:val="3"/>
          </w:tcPr>
          <w:p>
            <w:pPr>
              <w:ind w:left="460"/>
              <w:spacing w:after="0"/>
              <w:rPr>
                <w:sz w:val="20"/>
                <w:szCs w:val="20"/>
                <w:color w:val="auto"/>
              </w:rPr>
            </w:pPr>
            <w:r>
              <w:rPr>
                <w:rFonts w:ascii="Arial" w:cs="Arial" w:eastAsia="Arial" w:hAnsi="Arial"/>
                <w:sz w:val="18"/>
                <w:szCs w:val="18"/>
                <w:color w:val="auto"/>
              </w:rPr>
              <w:t>Subtotal</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513,870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Non-U.S. government securities: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tcPr>
          <w:p>
            <w:pPr>
              <w:ind w:left="220"/>
              <w:spacing w:after="0"/>
              <w:rPr>
                <w:sz w:val="20"/>
                <w:szCs w:val="20"/>
                <w:color w:val="auto"/>
              </w:rPr>
            </w:pPr>
            <w:r>
              <w:rPr>
                <w:rFonts w:ascii="Arial" w:cs="Arial" w:eastAsia="Arial" w:hAnsi="Arial"/>
                <w:sz w:val="18"/>
                <w:szCs w:val="18"/>
                <w:color w:val="auto"/>
              </w:rPr>
              <w:t>Due in 1 year</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22,710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tcPr>
          <w:p>
            <w:pPr>
              <w:ind w:left="220"/>
              <w:spacing w:after="0"/>
              <w:rPr>
                <w:sz w:val="20"/>
                <w:szCs w:val="20"/>
                <w:color w:val="auto"/>
              </w:rPr>
            </w:pPr>
            <w:r>
              <w:rPr>
                <w:rFonts w:ascii="Arial" w:cs="Arial" w:eastAsia="Arial" w:hAnsi="Arial"/>
                <w:sz w:val="18"/>
                <w:szCs w:val="18"/>
                <w:color w:val="auto"/>
              </w:rPr>
              <w:t>Due after 5 but within 10 years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24,246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5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tcBorders>
              <w:bottom w:val="single" w:sz="8" w:color="CCEEFF"/>
            </w:tcBorders>
            <w:gridSpan w:val="3"/>
          </w:tcPr>
          <w:p>
            <w:pPr>
              <w:ind w:left="460"/>
              <w:spacing w:after="0"/>
              <w:rPr>
                <w:sz w:val="20"/>
                <w:szCs w:val="20"/>
                <w:color w:val="auto"/>
              </w:rPr>
            </w:pPr>
            <w:r>
              <w:rPr>
                <w:rFonts w:ascii="Arial" w:cs="Arial" w:eastAsia="Arial" w:hAnsi="Arial"/>
                <w:sz w:val="18"/>
                <w:szCs w:val="18"/>
                <w:color w:val="auto"/>
              </w:rPr>
              <w:t>Subtotal</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56,045</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tcPr>
          <w:p>
            <w:pPr>
              <w:ind w:left="220"/>
              <w:spacing w:after="0"/>
              <w:rPr>
                <w:sz w:val="20"/>
                <w:szCs w:val="20"/>
                <w:color w:val="auto"/>
              </w:rPr>
            </w:pPr>
            <w:r>
              <w:rPr>
                <w:rFonts w:ascii="Arial" w:cs="Arial" w:eastAsia="Arial" w:hAnsi="Arial"/>
                <w:sz w:val="18"/>
                <w:szCs w:val="18"/>
                <w:color w:val="auto"/>
              </w:rPr>
              <w:t>Due in 1 year</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148,292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149,617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Due after 1 but within 5 years</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576,987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tcPr>
          <w:p>
            <w:pPr>
              <w:ind w:left="220"/>
              <w:spacing w:after="0"/>
              <w:rPr>
                <w:sz w:val="20"/>
                <w:szCs w:val="20"/>
                <w:color w:val="auto"/>
              </w:rPr>
            </w:pPr>
            <w:r>
              <w:rPr>
                <w:rFonts w:ascii="Arial" w:cs="Arial" w:eastAsia="Arial" w:hAnsi="Arial"/>
                <w:sz w:val="18"/>
                <w:szCs w:val="18"/>
                <w:color w:val="auto"/>
              </w:rPr>
              <w:t>Due after 5 but within 10 years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322,649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350,632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Due after 10 years</w:t>
            </w:r>
          </w:p>
        </w:tc>
        <w:tc>
          <w:tcPr>
            <w:tcW w:w="5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22,099</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tcBorders>
              <w:bottom w:val="single" w:sz="8" w:color="CCEEFF"/>
            </w:tcBorders>
            <w:gridSpan w:val="3"/>
          </w:tcPr>
          <w:p>
            <w:pPr>
              <w:ind w:left="460"/>
              <w:spacing w:after="0"/>
              <w:rPr>
                <w:sz w:val="20"/>
                <w:szCs w:val="20"/>
                <w:color w:val="auto"/>
              </w:rPr>
            </w:pPr>
            <w:r>
              <w:rPr>
                <w:rFonts w:ascii="Arial" w:cs="Arial" w:eastAsia="Arial" w:hAnsi="Arial"/>
                <w:sz w:val="18"/>
                <w:szCs w:val="18"/>
                <w:color w:val="auto"/>
              </w:rPr>
              <w:t>Subtotal</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1,070,027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1,126,512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5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963,670</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391,921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5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452,527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Money market funds</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679,322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679,304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4,404,690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4,565,373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180" w:type="dxa"/>
            <w:vAlign w:val="bottom"/>
            <w:tcBorders>
              <w:top w:val="single" w:sz="8" w:color="CCEEFF"/>
              <w:bottom w:val="single" w:sz="8" w:color="CCEEFF"/>
            </w:tcBorders>
            <w:gridSpan w:val="3"/>
            <w:vMerge w:val="restart"/>
          </w:tcPr>
          <w:p>
            <w:pPr>
              <w:ind w:left="400"/>
              <w:spacing w:after="0"/>
              <w:rPr>
                <w:sz w:val="20"/>
                <w:szCs w:val="20"/>
                <w:color w:val="auto"/>
              </w:rPr>
            </w:pPr>
            <w:r>
              <w:rPr>
                <w:rFonts w:ascii="Arial" w:cs="Arial" w:eastAsia="Arial" w:hAnsi="Arial"/>
                <w:sz w:val="18"/>
                <w:szCs w:val="18"/>
                <w:color w:val="auto"/>
                <w:w w:val="91"/>
              </w:rPr>
              <w:t>Gross gains and losses realized on the sale of investments available for sale were as follows:</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94"/>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291"/>
              <w:spacing w:after="0" w:line="149"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Realized gross gains</w:t>
            </w: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gridSpan w:val="4"/>
          </w:tcPr>
          <w:p>
            <w:pPr>
              <w:spacing w:after="0"/>
              <w:rPr>
                <w:sz w:val="20"/>
                <w:szCs w:val="20"/>
                <w:color w:val="auto"/>
              </w:rPr>
            </w:pPr>
            <w:r>
              <w:rPr>
                <w:rFonts w:ascii="Arial" w:cs="Arial" w:eastAsia="Arial" w:hAnsi="Arial"/>
                <w:sz w:val="18"/>
                <w:szCs w:val="18"/>
                <w:color w:val="auto"/>
              </w:rPr>
              <w:t>Realized gross losses</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The fair value of investments available for sale in an unrealized loss position and the related unrealized losses for which no allowance for credit loss has been recorded were as follows: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ind w:left="260"/>
              <w:spacing w:after="0"/>
              <w:rPr>
                <w:sz w:val="20"/>
                <w:szCs w:val="20"/>
                <w:color w:val="auto"/>
              </w:rPr>
            </w:pPr>
            <w:r>
              <w:rPr>
                <w:rFonts w:ascii="Arial" w:cs="Arial" w:eastAsia="Arial" w:hAnsi="Arial"/>
                <w:sz w:val="14"/>
                <w:szCs w:val="14"/>
                <w:b w:val="1"/>
                <w:bCs w:val="1"/>
                <w:color w:val="auto"/>
              </w:rPr>
              <w:t>Less than 12 months</w:t>
            </w:r>
          </w:p>
        </w:tc>
        <w:tc>
          <w:tcPr>
            <w:tcW w:w="240" w:type="dxa"/>
            <w:vAlign w:val="bottom"/>
          </w:tcPr>
          <w:p>
            <w:pPr>
              <w:spacing w:after="0"/>
              <w:rPr>
                <w:sz w:val="16"/>
                <w:szCs w:val="16"/>
                <w:color w:val="auto"/>
              </w:rPr>
            </w:pPr>
          </w:p>
        </w:tc>
        <w:tc>
          <w:tcPr>
            <w:tcW w:w="2140" w:type="dxa"/>
            <w:vAlign w:val="bottom"/>
            <w:gridSpan w:val="5"/>
          </w:tcPr>
          <w:p>
            <w:pPr>
              <w:ind w:left="320"/>
              <w:spacing w:after="0"/>
              <w:rPr>
                <w:sz w:val="20"/>
                <w:szCs w:val="20"/>
                <w:color w:val="auto"/>
              </w:rPr>
            </w:pPr>
            <w:r>
              <w:rPr>
                <w:rFonts w:ascii="Arial" w:cs="Arial" w:eastAsia="Arial" w:hAnsi="Arial"/>
                <w:sz w:val="14"/>
                <w:szCs w:val="14"/>
                <w:b w:val="1"/>
                <w:bCs w:val="1"/>
                <w:color w:val="auto"/>
              </w:rPr>
              <w:t>12 months or more</w:t>
            </w:r>
          </w:p>
        </w:tc>
        <w:tc>
          <w:tcPr>
            <w:tcW w:w="2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95"/>
              <w:spacing w:after="0" w:line="135"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5"/>
              <w:spacing w:after="0" w:line="135"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5"/>
              <w:spacing w:after="0" w:line="135"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2020 (In thousands)</w:t>
            </w: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6"/>
                <w:szCs w:val="16"/>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155,678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debt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141,803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141,803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65,897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190,062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614,451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78,420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692,871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ind w:left="260"/>
              <w:spacing w:after="0"/>
              <w:rPr>
                <w:sz w:val="20"/>
                <w:szCs w:val="20"/>
                <w:color w:val="auto"/>
              </w:rPr>
            </w:pPr>
            <w:r>
              <w:rPr>
                <w:rFonts w:ascii="Arial" w:cs="Arial" w:eastAsia="Arial" w:hAnsi="Arial"/>
                <w:sz w:val="14"/>
                <w:szCs w:val="14"/>
                <w:b w:val="1"/>
                <w:bCs w:val="1"/>
                <w:color w:val="auto"/>
              </w:rPr>
              <w:t>Less than 12 months</w:t>
            </w:r>
          </w:p>
        </w:tc>
        <w:tc>
          <w:tcPr>
            <w:tcW w:w="240" w:type="dxa"/>
            <w:vAlign w:val="bottom"/>
          </w:tcPr>
          <w:p>
            <w:pPr>
              <w:spacing w:after="0"/>
              <w:rPr>
                <w:sz w:val="24"/>
                <w:szCs w:val="24"/>
                <w:color w:val="auto"/>
              </w:rPr>
            </w:pPr>
          </w:p>
        </w:tc>
        <w:tc>
          <w:tcPr>
            <w:tcW w:w="2140" w:type="dxa"/>
            <w:vAlign w:val="bottom"/>
            <w:gridSpan w:val="5"/>
          </w:tcPr>
          <w:p>
            <w:pPr>
              <w:ind w:left="320"/>
              <w:spacing w:after="0"/>
              <w:rPr>
                <w:sz w:val="20"/>
                <w:szCs w:val="20"/>
                <w:color w:val="auto"/>
              </w:rPr>
            </w:pPr>
            <w:r>
              <w:rPr>
                <w:rFonts w:ascii="Arial" w:cs="Arial" w:eastAsia="Arial" w:hAnsi="Arial"/>
                <w:sz w:val="14"/>
                <w:szCs w:val="14"/>
                <w:b w:val="1"/>
                <w:bCs w:val="1"/>
                <w:color w:val="auto"/>
              </w:rPr>
              <w:t>12 months or more</w:t>
            </w:r>
          </w:p>
        </w:tc>
        <w:tc>
          <w:tcPr>
            <w:tcW w:w="24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95"/>
              <w:spacing w:after="0" w:line="135"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5"/>
              <w:spacing w:after="0" w:line="135"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5"/>
              <w:spacing w:after="0" w:line="135"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 (In thousands)</w:t>
            </w: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6"/>
                <w:szCs w:val="16"/>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Municipal debt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government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97,544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188,349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0" w:firstLine="486"/>
        <w:spacing w:after="0" w:line="269" w:lineRule="auto"/>
        <w:rPr>
          <w:sz w:val="20"/>
          <w:szCs w:val="20"/>
          <w:color w:val="auto"/>
        </w:rPr>
      </w:pPr>
      <w:r>
        <w:rPr>
          <w:rFonts w:ascii="Arial" w:cs="Arial" w:eastAsia="Arial" w:hAnsi="Arial"/>
          <w:sz w:val="17"/>
          <w:szCs w:val="17"/>
          <w:color w:val="auto"/>
        </w:rPr>
        <w:t>At December 31, 2020 and 2019, we held 363 and 365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December 31, 2020 of any of these securities resulted from a credit loss or other factors, we made inquiries of our investment managers to determine that each issuer was current on its scheduled interest and principal payments. We reviewed the credit rating of these securities noting that over 98% of the securities at December 31, 2020 had investment-grade ratings. We concluded that gross unrealized losses noted above are principally associated with the changes in credit spreads subsequent to purchase rather than due to credit impairment. We recorded impairments of $0.4 million in the year ended December 31, 2020 and other-than-temporary impairments of $0.3 million in the year ended December 31, 2019 on securities in an unrealized loss position. The impairments resulted from our intent to sell these securities subsequent to the reporting dates. There were no other-than-temporary impairments in the year ended December 31, 2018.</w:t>
      </w:r>
    </w:p>
    <w:p>
      <w:pPr>
        <w:spacing w:after="0" w:line="212"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Company's other invested assets at December 31, 2020 and December 31, 2019 totaled $88.9 million and $78.9 million, respectively. Other invested assets are comprised of limited partnership interests which are accounted for under the equity method of accounting with changes in value reported in other income. Due to the timing of receiving financial information from these partnerships, the results are generally reported on a one month or quarter lag.</w:t>
      </w:r>
    </w:p>
    <w:p>
      <w:pPr>
        <w:spacing w:after="0" w:line="214"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The fair value of investments deposited with insurance regulatory authorities to meet statutory requirements was $9.7 million at December 31, 2020 and $9.4 million at December 31, 2019. In connection with its insurance and reinsurance activities, Essent Re is required to maintain assets in trusts for the benefit of its contractual counterparties. The fair value of the investments on deposit in these trusts was $1.1 billion at December 31, 2020 and $805.5 million at December 31, 2019. Essent Guaranty is required to maintain assets on deposit in connection with its fully collateralized reinsurance agreements (see Note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5). The fair value of the assets on deposit was $8.5 million at December 31, 2020 and $6.4 million at December 31, 2019. Essent Guaranty is also required to maintain assets on deposit for the benefit of the sponsor of a fixed income investment commitment. The fair value of the assets on deposit was $12.0 million at December 31, 2020 and $6.4 million at December 31, 2019.</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investment income consists of:</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8"/>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90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53"/>
              <w:spacing w:after="0" w:line="149"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353"/>
              <w:spacing w:after="0" w:line="149"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Investment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80,087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4. Accounts Receivable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73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360" w:type="dxa"/>
            <w:vAlign w:val="bottom"/>
            <w:gridSpan w:val="2"/>
          </w:tcPr>
          <w:p>
            <w:pPr>
              <w:ind w:left="440"/>
              <w:spacing w:after="0"/>
              <w:rPr>
                <w:sz w:val="20"/>
                <w:szCs w:val="20"/>
                <w:color w:val="auto"/>
              </w:rPr>
            </w:pPr>
            <w:r>
              <w:rPr>
                <w:rFonts w:ascii="Arial" w:cs="Arial" w:eastAsia="Arial" w:hAnsi="Arial"/>
                <w:sz w:val="18"/>
                <w:szCs w:val="18"/>
                <w:color w:val="auto"/>
              </w:rPr>
              <w:t>Accounts receivable consists of the following at December 31:</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 receivable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receivables</w:t>
            </w:r>
          </w:p>
        </w:tc>
        <w:tc>
          <w:tcPr>
            <w:tcW w:w="2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accounts receivable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Premiums receivable consists of premiums due on our mortgage insurance policies. If mortgage insurance premiums are unpaid for more than 90 days, the receivable is written off against earned premium and the related insurance policy is cancelled. For all periods presented, no provision or allowance for doubtful accounts was required.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Reinsurance</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effect of reinsurance on net premiums written and earned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8"/>
        </w:trPr>
        <w:tc>
          <w:tcPr>
            <w:tcW w:w="6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ind w:left="24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2018</w:t>
            </w:r>
          </w:p>
        </w:tc>
      </w:tr>
      <w:tr>
        <w:trPr>
          <w:trHeight w:val="224"/>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Direct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ind w:left="500"/>
              <w:spacing w:after="0"/>
              <w:rPr>
                <w:sz w:val="20"/>
                <w:szCs w:val="20"/>
                <w:color w:val="auto"/>
              </w:rPr>
            </w:pPr>
            <w:r>
              <w:rPr>
                <w:rFonts w:ascii="Arial" w:cs="Arial" w:eastAsia="Arial" w:hAnsi="Arial"/>
                <w:sz w:val="18"/>
                <w:szCs w:val="18"/>
                <w:color w:val="auto"/>
                <w:w w:val="98"/>
              </w:rPr>
              <w:t>922,851</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ind w:left="500"/>
              <w:spacing w:after="0"/>
              <w:rPr>
                <w:sz w:val="20"/>
                <w:szCs w:val="20"/>
                <w:color w:val="auto"/>
              </w:rPr>
            </w:pPr>
            <w:r>
              <w:rPr>
                <w:rFonts w:ascii="Arial" w:cs="Arial" w:eastAsia="Arial" w:hAnsi="Arial"/>
                <w:sz w:val="18"/>
                <w:szCs w:val="18"/>
                <w:color w:val="auto"/>
                <w:w w:val="98"/>
              </w:rPr>
              <w:t>796,344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ind w:left="500"/>
              <w:spacing w:after="0"/>
              <w:rPr>
                <w:sz w:val="20"/>
                <w:szCs w:val="20"/>
                <w:color w:val="auto"/>
              </w:rPr>
            </w:pPr>
            <w:r>
              <w:rPr>
                <w:rFonts w:ascii="Arial" w:cs="Arial" w:eastAsia="Arial" w:hAnsi="Arial"/>
                <w:sz w:val="18"/>
                <w:szCs w:val="18"/>
                <w:color w:val="auto"/>
                <w:w w:val="98"/>
              </w:rPr>
              <w:t>696,055</w:t>
            </w: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Ceded (1)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2"/>
              </w:rPr>
              <w:t>(88,738)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2"/>
              </w:rPr>
              <w:t>(35,499)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2"/>
              </w:rPr>
              <w:t>(10,768)</w:t>
            </w: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Net premiums written</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8"/>
              </w:rPr>
              <w:t>834,113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8"/>
              </w:rPr>
              <w:t>760,845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8"/>
              </w:rPr>
              <w:t>685,287</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Net premiums earned:</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Direct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951,302</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812,924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660,260</w:t>
            </w:r>
          </w:p>
        </w:tc>
      </w:tr>
      <w:tr>
        <w:trPr>
          <w:trHeight w:val="229"/>
        </w:trPr>
        <w:tc>
          <w:tcPr>
            <w:tcW w:w="6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Ceded (1)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2"/>
              </w:rPr>
              <w:t>(88,738)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2"/>
              </w:rPr>
              <w:t>(35,499)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2"/>
              </w:rPr>
              <w:t>(10,768)</w:t>
            </w:r>
          </w:p>
        </w:tc>
      </w:tr>
      <w:tr>
        <w:trPr>
          <w:trHeight w:val="248"/>
        </w:trPr>
        <w:tc>
          <w:tcPr>
            <w:tcW w:w="6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8"/>
              </w:rPr>
              <w:t>862,564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8"/>
              </w:rPr>
              <w:t>777,425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8"/>
              </w:rPr>
              <w:t>649,492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00" w:hanging="392"/>
        <w:spacing w:after="0"/>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Net of profit commission.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 Share Reinsurance</w:t>
      </w:r>
    </w:p>
    <w:p>
      <w:pPr>
        <w:spacing w:after="0" w:line="256"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Effective September 1, 2019, Essent Guaranty entered into a quota share reinsurance agreement with a panel of third-party reinsurers (the "QSR Agreement"). Each of the third-party reinsurers has an insurer financial strength rating of A or better by S&amp;P Global Ratings, A.M. Best or both. Under the QSR Agreement,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The QSR Agreement is scheduled to terminate on December 31, 2030. Essent Guaranty has certain termination rights under the QSR Agreement, including the option to terminate the QSR Agreement with no termination fee on December 31, 2021, and the option, subject to a termination fee, to terminate the QSR Agreement on December 31, 2022, or annually thereafter. Should Essent Guaranty not exercise its option to terminate the QSR Agreement on December 31, 2021, the maximum profit commission that Essent Guaranty could earn would increase to 63% in 2022 and thereafter. RIF ceded under the QSR Agreement was $6.3 billion as of December 31,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of Loss Reinsurance</w:t>
      </w:r>
    </w:p>
    <w:p>
      <w:pPr>
        <w:spacing w:after="0" w:line="256"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LIBOR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199" w:lineRule="exact"/>
        <w:rPr>
          <w:sz w:val="20"/>
          <w:szCs w:val="20"/>
          <w:color w:val="auto"/>
        </w:rPr>
      </w:pPr>
    </w:p>
    <w:p>
      <w:pPr>
        <w:jc w:val="both"/>
        <w:ind w:right="160" w:firstLine="405"/>
        <w:spacing w:after="0" w:line="311" w:lineRule="auto"/>
        <w:rPr>
          <w:sz w:val="20"/>
          <w:szCs w:val="20"/>
          <w:color w:val="auto"/>
        </w:rPr>
      </w:pPr>
      <w:r>
        <w:rPr>
          <w:rFonts w:ascii="Arial" w:cs="Arial" w:eastAsia="Arial" w:hAnsi="Arial"/>
          <w:sz w:val="16"/>
          <w:szCs w:val="16"/>
          <w:color w:val="auto"/>
        </w:rPr>
        <w:t>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summarizes Essent Guaranty's excess of loss reinsurance agreements as of December 31,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gridSpan w:val="2"/>
          </w:tcPr>
          <w:p>
            <w:pPr>
              <w:ind w:left="600"/>
              <w:spacing w:after="0"/>
              <w:rPr>
                <w:sz w:val="20"/>
                <w:szCs w:val="20"/>
                <w:color w:val="auto"/>
              </w:rPr>
            </w:pPr>
            <w:r>
              <w:rPr>
                <w:rFonts w:ascii="Arial" w:cs="Arial" w:eastAsia="Arial" w:hAnsi="Arial"/>
                <w:sz w:val="14"/>
                <w:szCs w:val="14"/>
                <w:b w:val="1"/>
                <w:bCs w:val="1"/>
                <w:color w:val="auto"/>
              </w:rPr>
              <w:t>Vintage Year</w:t>
            </w:r>
          </w:p>
        </w:tc>
        <w:tc>
          <w:tcPr>
            <w:tcW w:w="2920" w:type="dxa"/>
            <w:vAlign w:val="bottom"/>
            <w:gridSpan w:val="2"/>
          </w:tcPr>
          <w:p>
            <w:pPr>
              <w:ind w:left="1100"/>
              <w:spacing w:after="0"/>
              <w:rPr>
                <w:sz w:val="20"/>
                <w:szCs w:val="20"/>
                <w:color w:val="auto"/>
              </w:rPr>
            </w:pPr>
            <w:r>
              <w:rPr>
                <w:rFonts w:ascii="Arial" w:cs="Arial" w:eastAsia="Arial" w:hAnsi="Arial"/>
                <w:sz w:val="14"/>
                <w:szCs w:val="14"/>
                <w:b w:val="1"/>
                <w:bCs w:val="1"/>
                <w:color w:val="auto"/>
              </w:rPr>
              <w:t>Reinsurer</w:t>
            </w:r>
          </w:p>
        </w:tc>
        <w:tc>
          <w:tcPr>
            <w:tcW w:w="2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2640" w:type="dxa"/>
            <w:vAlign w:val="bottom"/>
          </w:tcPr>
          <w:p>
            <w:pPr>
              <w:ind w:left="780"/>
              <w:spacing w:after="0"/>
              <w:rPr>
                <w:sz w:val="20"/>
                <w:szCs w:val="20"/>
                <w:color w:val="auto"/>
              </w:rPr>
            </w:pPr>
            <w:r>
              <w:rPr>
                <w:rFonts w:ascii="Arial" w:cs="Arial" w:eastAsia="Arial" w:hAnsi="Arial"/>
                <w:sz w:val="14"/>
                <w:szCs w:val="14"/>
                <w:b w:val="1"/>
                <w:bCs w:val="1"/>
                <w:color w:val="auto"/>
              </w:rPr>
              <w:t>Optional Termination Date</w:t>
            </w:r>
          </w:p>
        </w:tc>
        <w:tc>
          <w:tcPr>
            <w:tcW w:w="580" w:type="dxa"/>
            <w:vAlign w:val="bottom"/>
          </w:tcPr>
          <w:p>
            <w:pPr>
              <w:spacing w:after="0"/>
              <w:rPr>
                <w:sz w:val="16"/>
                <w:szCs w:val="16"/>
                <w:color w:val="auto"/>
              </w:rPr>
            </w:pPr>
          </w:p>
        </w:tc>
      </w:tr>
      <w:tr>
        <w:trPr>
          <w:trHeight w:val="229"/>
        </w:trPr>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2015 &amp; 2016</w:t>
            </w:r>
          </w:p>
        </w:tc>
        <w:tc>
          <w:tcPr>
            <w:tcW w:w="12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10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June 20, 2019</w:t>
            </w:r>
          </w:p>
        </w:tc>
        <w:tc>
          <w:tcPr>
            <w:tcW w:w="1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87"/>
              </w:rPr>
              <w:t>June 25, 2024</w:t>
            </w:r>
          </w:p>
        </w:tc>
        <w:tc>
          <w:tcPr>
            <w:tcW w:w="580" w:type="dxa"/>
            <w:vAlign w:val="bottom"/>
            <w:tcBorders>
              <w:top w:val="single" w:sz="8" w:color="auto"/>
            </w:tcBorders>
            <w:shd w:val="clear" w:color="auto" w:fill="CCEEFF"/>
          </w:tcPr>
          <w:p>
            <w:pPr>
              <w:spacing w:after="0"/>
              <w:rPr>
                <w:sz w:val="19"/>
                <w:szCs w:val="19"/>
                <w:color w:val="auto"/>
              </w:rPr>
            </w:pPr>
          </w:p>
        </w:tc>
      </w:tr>
      <w:tr>
        <w:trPr>
          <w:trHeight w:val="229"/>
        </w:trPr>
        <w:tc>
          <w:tcPr>
            <w:tcW w:w="20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2018-1 Ltd.</w:t>
            </w: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March 22, 2018</w:t>
            </w:r>
          </w:p>
        </w:tc>
        <w:tc>
          <w:tcPr>
            <w:tcW w:w="2640" w:type="dxa"/>
            <w:vAlign w:val="bottom"/>
          </w:tcPr>
          <w:p>
            <w:pPr>
              <w:jc w:val="center"/>
              <w:ind w:left="92"/>
              <w:spacing w:after="0"/>
              <w:rPr>
                <w:sz w:val="20"/>
                <w:szCs w:val="20"/>
                <w:color w:val="auto"/>
              </w:rPr>
            </w:pPr>
            <w:r>
              <w:rPr>
                <w:rFonts w:ascii="Arial" w:cs="Arial" w:eastAsia="Arial" w:hAnsi="Arial"/>
                <w:sz w:val="18"/>
                <w:szCs w:val="18"/>
                <w:color w:val="auto"/>
                <w:w w:val="91"/>
              </w:rPr>
              <w:t>March 25, 2023</w:t>
            </w: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rPr>
              <w:t>(1)</w:t>
            </w:r>
          </w:p>
        </w:tc>
      </w:tr>
      <w:tr>
        <w:trPr>
          <w:trHeight w:val="229"/>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November 1, 2018</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October 1, 2023</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w:t>
            </w: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28, 2019</w:t>
            </w:r>
          </w:p>
        </w:tc>
        <w:tc>
          <w:tcPr>
            <w:tcW w:w="2640" w:type="dxa"/>
            <w:vAlign w:val="bottom"/>
          </w:tcPr>
          <w:p>
            <w:pPr>
              <w:jc w:val="center"/>
              <w:ind w:left="72"/>
              <w:spacing w:after="0"/>
              <w:rPr>
                <w:sz w:val="20"/>
                <w:szCs w:val="20"/>
                <w:color w:val="auto"/>
              </w:rPr>
            </w:pPr>
            <w:r>
              <w:rPr>
                <w:rFonts w:ascii="Arial" w:cs="Arial" w:eastAsia="Arial" w:hAnsi="Arial"/>
                <w:sz w:val="18"/>
                <w:szCs w:val="18"/>
                <w:color w:val="auto"/>
                <w:w w:val="89"/>
              </w:rPr>
              <w:t>February 25, 2026</w:t>
            </w:r>
          </w:p>
        </w:tc>
        <w:tc>
          <w:tcPr>
            <w:tcW w:w="580" w:type="dxa"/>
            <w:vAlign w:val="bottom"/>
          </w:tcPr>
          <w:p>
            <w:pPr>
              <w:spacing w:after="0"/>
              <w:rPr>
                <w:sz w:val="19"/>
                <w:szCs w:val="19"/>
                <w:color w:val="auto"/>
              </w:rPr>
            </w:pPr>
          </w:p>
        </w:tc>
      </w:tr>
      <w:tr>
        <w:trPr>
          <w:trHeight w:val="229"/>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February 28, 2019</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February 25, 2026</w:t>
            </w:r>
          </w:p>
        </w:tc>
        <w:tc>
          <w:tcPr>
            <w:tcW w:w="580" w:type="dxa"/>
            <w:vAlign w:val="bottom"/>
            <w:shd w:val="clear" w:color="auto" w:fill="CCEEFF"/>
          </w:tcPr>
          <w:p>
            <w:pPr>
              <w:spacing w:after="0"/>
              <w:rPr>
                <w:sz w:val="19"/>
                <w:szCs w:val="19"/>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2020-1 Ltd.</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January 30, 2020</w:t>
            </w:r>
          </w:p>
        </w:tc>
        <w:tc>
          <w:tcPr>
            <w:tcW w:w="2640" w:type="dxa"/>
            <w:vAlign w:val="bottom"/>
          </w:tcPr>
          <w:p>
            <w:pPr>
              <w:jc w:val="center"/>
              <w:ind w:left="72"/>
              <w:spacing w:after="0"/>
              <w:rPr>
                <w:sz w:val="20"/>
                <w:szCs w:val="20"/>
                <w:color w:val="auto"/>
              </w:rPr>
            </w:pPr>
            <w:r>
              <w:rPr>
                <w:rFonts w:ascii="Arial" w:cs="Arial" w:eastAsia="Arial" w:hAnsi="Arial"/>
                <w:sz w:val="18"/>
                <w:szCs w:val="18"/>
                <w:color w:val="auto"/>
                <w:w w:val="89"/>
              </w:rPr>
              <w:t>January 25, 2027</w:t>
            </w:r>
          </w:p>
        </w:tc>
        <w:tc>
          <w:tcPr>
            <w:tcW w:w="580" w:type="dxa"/>
            <w:vAlign w:val="bottom"/>
          </w:tcPr>
          <w:p>
            <w:pPr>
              <w:spacing w:after="0"/>
              <w:rPr>
                <w:sz w:val="19"/>
                <w:szCs w:val="19"/>
                <w:color w:val="auto"/>
              </w:rPr>
            </w:pPr>
          </w:p>
        </w:tc>
      </w:tr>
      <w:tr>
        <w:trPr>
          <w:trHeight w:val="229"/>
        </w:trPr>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Panel of Reinsurers</w:t>
            </w:r>
          </w:p>
        </w:tc>
        <w:tc>
          <w:tcPr>
            <w:tcW w:w="2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30, 2020</w:t>
            </w:r>
          </w:p>
        </w:tc>
        <w:tc>
          <w:tcPr>
            <w:tcW w:w="26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January 25, 2027</w:t>
            </w:r>
          </w:p>
        </w:tc>
        <w:tc>
          <w:tcPr>
            <w:tcW w:w="580" w:type="dxa"/>
            <w:vAlign w:val="bottom"/>
            <w:shd w:val="clear" w:color="auto" w:fill="CCEEFF"/>
          </w:tcPr>
          <w:p>
            <w:pPr>
              <w:spacing w:after="0"/>
              <w:rPr>
                <w:sz w:val="19"/>
                <w:szCs w:val="19"/>
                <w:color w:val="auto"/>
              </w:rPr>
            </w:pPr>
          </w:p>
        </w:tc>
      </w:tr>
      <w:tr>
        <w:trPr>
          <w:trHeight w:val="230"/>
        </w:trPr>
        <w:tc>
          <w:tcPr>
            <w:tcW w:w="2000" w:type="dxa"/>
            <w:vAlign w:val="bottom"/>
          </w:tcPr>
          <w:p>
            <w:pPr>
              <w:jc w:val="center"/>
              <w:spacing w:after="0"/>
              <w:rPr>
                <w:sz w:val="20"/>
                <w:szCs w:val="20"/>
                <w:color w:val="auto"/>
              </w:rPr>
            </w:pPr>
            <w:r>
              <w:rPr>
                <w:rFonts w:ascii="Arial" w:cs="Arial" w:eastAsia="Arial" w:hAnsi="Arial"/>
                <w:sz w:val="18"/>
                <w:szCs w:val="18"/>
                <w:color w:val="auto"/>
                <w:w w:val="92"/>
              </w:rPr>
              <w:t>2019 &amp; 2020</w:t>
            </w:r>
          </w:p>
        </w:tc>
        <w:tc>
          <w:tcPr>
            <w:tcW w:w="1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Radnor Re 2020-2 Ltd.</w:t>
            </w:r>
          </w:p>
        </w:tc>
        <w:tc>
          <w:tcPr>
            <w:tcW w:w="2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8, 2020</w:t>
            </w:r>
          </w:p>
        </w:tc>
        <w:tc>
          <w:tcPr>
            <w:tcW w:w="2640" w:type="dxa"/>
            <w:vAlign w:val="bottom"/>
          </w:tcPr>
          <w:p>
            <w:pPr>
              <w:jc w:val="center"/>
              <w:ind w:left="92"/>
              <w:spacing w:after="0"/>
              <w:rPr>
                <w:sz w:val="20"/>
                <w:szCs w:val="20"/>
                <w:color w:val="auto"/>
              </w:rPr>
            </w:pPr>
            <w:r>
              <w:rPr>
                <w:rFonts w:ascii="Arial" w:cs="Arial" w:eastAsia="Arial" w:hAnsi="Arial"/>
                <w:sz w:val="18"/>
                <w:szCs w:val="18"/>
                <w:color w:val="auto"/>
                <w:w w:val="90"/>
              </w:rPr>
              <w:t>October 25, 2027</w:t>
            </w:r>
          </w:p>
        </w:tc>
        <w:tc>
          <w:tcPr>
            <w:tcW w:w="580" w:type="dxa"/>
            <w:vAlign w:val="bottom"/>
          </w:tcPr>
          <w:p>
            <w:pPr>
              <w:spacing w:after="0"/>
              <w:rPr>
                <w:sz w:val="20"/>
                <w:szCs w:val="20"/>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right="260" w:hanging="412"/>
        <w:spacing w:after="0" w:line="249" w:lineRule="auto"/>
        <w:tabs>
          <w:tab w:leader="none" w:pos="414"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risk margin component of the reinsurance premium increases by 50%.</w:t>
      </w:r>
    </w:p>
    <w:p>
      <w:pPr>
        <w:spacing w:after="0" w:line="1" w:lineRule="exact"/>
        <w:rPr>
          <w:rFonts w:ascii="Arial" w:cs="Arial" w:eastAsia="Arial" w:hAnsi="Arial"/>
          <w:sz w:val="18"/>
          <w:szCs w:val="18"/>
          <w:color w:val="auto"/>
        </w:rPr>
      </w:pPr>
    </w:p>
    <w:p>
      <w:pPr>
        <w:ind w:left="400" w:hanging="392"/>
        <w:spacing w:after="0"/>
        <w:tabs>
          <w:tab w:leader="none" w:pos="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reinsurance agreement is not terminated at the optional termination date, the reinsurance premium increases by 50%.</w:t>
      </w:r>
    </w:p>
    <w:p>
      <w:pPr>
        <w:spacing w:after="0" w:line="237"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The following table summarizes Essent Guaranty's excess of loss reinsurance coverages and retentions as of December 31,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16"/>
              <w:spacing w:after="0"/>
              <w:rPr>
                <w:sz w:val="20"/>
                <w:szCs w:val="20"/>
                <w:color w:val="auto"/>
              </w:rPr>
            </w:pPr>
            <w:r>
              <w:rPr>
                <w:rFonts w:ascii="Arial" w:cs="Arial" w:eastAsia="Arial" w:hAnsi="Arial"/>
                <w:sz w:val="14"/>
                <w:szCs w:val="14"/>
                <w:b w:val="1"/>
                <w:bCs w:val="1"/>
                <w:color w:val="auto"/>
              </w:rPr>
              <w:t>Remaining</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6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4"/>
                <w:szCs w:val="14"/>
                <w:b w:val="1"/>
                <w:bCs w:val="1"/>
                <w:color w:val="auto"/>
              </w:rPr>
              <w:t>Reinsurance in Force</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tcPr>
          <w:p>
            <w:pPr>
              <w:jc w:val="center"/>
              <w:ind w:right="360"/>
              <w:spacing w:after="0" w:line="118" w:lineRule="exact"/>
              <w:rPr>
                <w:sz w:val="20"/>
                <w:szCs w:val="20"/>
                <w:color w:val="auto"/>
              </w:rPr>
            </w:pPr>
            <w:r>
              <w:rPr>
                <w:rFonts w:ascii="Arial" w:cs="Arial" w:eastAsia="Arial" w:hAnsi="Arial"/>
                <w:sz w:val="13"/>
                <w:szCs w:val="13"/>
                <w:b w:val="1"/>
                <w:bCs w:val="1"/>
                <w:color w:val="auto"/>
                <w:w w:val="99"/>
              </w:rPr>
              <w:t>Remaining</w:t>
            </w:r>
          </w:p>
        </w:tc>
        <w:tc>
          <w:tcPr>
            <w:tcW w:w="240" w:type="dxa"/>
            <w:vAlign w:val="bottom"/>
          </w:tcPr>
          <w:p>
            <w:pPr>
              <w:spacing w:after="0"/>
              <w:rPr>
                <w:sz w:val="10"/>
                <w:szCs w:val="10"/>
                <w:color w:val="auto"/>
              </w:rPr>
            </w:pPr>
          </w:p>
        </w:tc>
        <w:tc>
          <w:tcPr>
            <w:tcW w:w="1320" w:type="dxa"/>
            <w:vAlign w:val="bottom"/>
            <w:gridSpan w:val="2"/>
          </w:tcPr>
          <w:p>
            <w:pPr>
              <w:jc w:val="center"/>
              <w:ind w:right="360"/>
              <w:spacing w:after="0" w:line="118" w:lineRule="exact"/>
              <w:rPr>
                <w:sz w:val="20"/>
                <w:szCs w:val="20"/>
                <w:color w:val="auto"/>
              </w:rPr>
            </w:pPr>
            <w:r>
              <w:rPr>
                <w:rFonts w:ascii="Arial" w:cs="Arial" w:eastAsia="Arial" w:hAnsi="Arial"/>
                <w:sz w:val="13"/>
                <w:szCs w:val="13"/>
                <w:b w:val="1"/>
                <w:bCs w:val="1"/>
                <w:color w:val="auto"/>
              </w:rPr>
              <w:t>Remaining</w:t>
            </w: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center"/>
              <w:ind w:right="157"/>
              <w:spacing w:after="0" w:line="118" w:lineRule="exact"/>
              <w:rPr>
                <w:sz w:val="20"/>
                <w:szCs w:val="20"/>
                <w:color w:val="auto"/>
              </w:rPr>
            </w:pPr>
            <w:r>
              <w:rPr>
                <w:rFonts w:ascii="Arial" w:cs="Arial" w:eastAsia="Arial" w:hAnsi="Arial"/>
                <w:sz w:val="13"/>
                <w:szCs w:val="13"/>
                <w:b w:val="1"/>
                <w:bCs w:val="1"/>
                <w:color w:val="auto"/>
              </w:rPr>
              <w:t>Remaining</w:t>
            </w:r>
          </w:p>
        </w:tc>
        <w:tc>
          <w:tcPr>
            <w:tcW w:w="0" w:type="dxa"/>
            <w:vAlign w:val="bottom"/>
          </w:tcPr>
          <w:p>
            <w:pPr>
              <w:spacing w:after="0"/>
              <w:rPr>
                <w:sz w:val="1"/>
                <w:szCs w:val="1"/>
                <w:color w:val="auto"/>
              </w:rPr>
            </w:pPr>
          </w:p>
        </w:tc>
      </w:tr>
      <w:tr>
        <w:trPr>
          <w:trHeight w:val="135"/>
        </w:trPr>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Vintage Year</w:t>
            </w:r>
          </w:p>
        </w:tc>
        <w:tc>
          <w:tcPr>
            <w:tcW w:w="26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Insurance</w:t>
            </w:r>
          </w:p>
        </w:tc>
        <w:tc>
          <w:tcPr>
            <w:tcW w:w="240" w:type="dxa"/>
            <w:vAlign w:val="bottom"/>
          </w:tcPr>
          <w:p>
            <w:pPr>
              <w:spacing w:after="0"/>
              <w:rPr>
                <w:sz w:val="11"/>
                <w:szCs w:val="11"/>
                <w:color w:val="auto"/>
              </w:rPr>
            </w:pPr>
          </w:p>
        </w:tc>
        <w:tc>
          <w:tcPr>
            <w:tcW w:w="13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4"/>
              </w:rPr>
              <w:t>Risk</w:t>
            </w:r>
          </w:p>
        </w:tc>
        <w:tc>
          <w:tcPr>
            <w:tcW w:w="320" w:type="dxa"/>
            <w:vAlign w:val="bottom"/>
          </w:tcPr>
          <w:p>
            <w:pPr>
              <w:spacing w:after="0"/>
              <w:rPr>
                <w:sz w:val="11"/>
                <w:szCs w:val="11"/>
                <w:color w:val="auto"/>
              </w:rPr>
            </w:pPr>
          </w:p>
        </w:tc>
        <w:tc>
          <w:tcPr>
            <w:tcW w:w="106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ILN</w:t>
            </w:r>
          </w:p>
        </w:tc>
        <w:tc>
          <w:tcPr>
            <w:tcW w:w="200" w:type="dxa"/>
            <w:vAlign w:val="bottom"/>
          </w:tcPr>
          <w:p>
            <w:pPr>
              <w:spacing w:after="0"/>
              <w:rPr>
                <w:sz w:val="11"/>
                <w:szCs w:val="11"/>
                <w:color w:val="auto"/>
              </w:rPr>
            </w:pPr>
          </w:p>
        </w:tc>
        <w:tc>
          <w:tcPr>
            <w:tcW w:w="13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4"/>
              </w:rPr>
              <w:t>Other Reinsurance</w:t>
            </w:r>
          </w:p>
        </w:tc>
        <w:tc>
          <w:tcPr>
            <w:tcW w:w="920" w:type="dxa"/>
            <w:vAlign w:val="bottom"/>
          </w:tcPr>
          <w:p>
            <w:pPr>
              <w:spacing w:after="0"/>
              <w:rPr>
                <w:sz w:val="11"/>
                <w:szCs w:val="11"/>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20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7"/>
              </w:rPr>
              <w:t>First Layer</w:t>
            </w:r>
          </w:p>
        </w:tc>
        <w:tc>
          <w:tcPr>
            <w:tcW w:w="0" w:type="dxa"/>
            <w:vAlign w:val="bottom"/>
          </w:tcPr>
          <w:p>
            <w:pPr>
              <w:spacing w:after="0"/>
              <w:rPr>
                <w:sz w:val="1"/>
                <w:szCs w:val="1"/>
                <w:color w:val="auto"/>
              </w:rPr>
            </w:pPr>
          </w:p>
        </w:tc>
      </w:tr>
      <w:tr>
        <w:trPr>
          <w:trHeight w:val="188"/>
        </w:trPr>
        <w:tc>
          <w:tcPr>
            <w:tcW w:w="16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Force</w:t>
            </w: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Force</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Retention</w:t>
            </w:r>
          </w:p>
        </w:tc>
        <w:tc>
          <w:tcPr>
            <w:tcW w:w="0" w:type="dxa"/>
            <w:vAlign w:val="bottom"/>
          </w:tcPr>
          <w:p>
            <w:pPr>
              <w:spacing w:after="0"/>
              <w:rPr>
                <w:sz w:val="1"/>
                <w:szCs w:val="1"/>
                <w:color w:val="auto"/>
              </w:rPr>
            </w:pPr>
          </w:p>
        </w:tc>
      </w:tr>
      <w:tr>
        <w:trPr>
          <w:trHeight w:val="224"/>
        </w:trPr>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2015 &amp; 2016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16,329,165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4,411,094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216,480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216,480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207,787</w:t>
            </w:r>
          </w:p>
        </w:tc>
        <w:tc>
          <w:tcPr>
            <w:tcW w:w="0" w:type="dxa"/>
            <w:vAlign w:val="bottom"/>
          </w:tcPr>
          <w:p>
            <w:pPr>
              <w:spacing w:after="0"/>
              <w:rPr>
                <w:sz w:val="1"/>
                <w:szCs w:val="1"/>
                <w:color w:val="auto"/>
              </w:rPr>
            </w:pPr>
          </w:p>
        </w:tc>
      </w:tr>
      <w:tr>
        <w:trPr>
          <w:trHeight w:val="229"/>
        </w:trPr>
        <w:tc>
          <w:tcPr>
            <w:tcW w:w="15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15,856,384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4,052,481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242,123</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165,167</w:t>
            </w:r>
          </w:p>
        </w:tc>
        <w:tc>
          <w:tcPr>
            <w:tcW w:w="920" w:type="dxa"/>
            <w:vAlign w:val="bottom"/>
          </w:tcPr>
          <w:p>
            <w:pPr>
              <w:jc w:val="right"/>
              <w:ind w:right="570"/>
              <w:spacing w:after="0"/>
              <w:rPr>
                <w:sz w:val="20"/>
                <w:szCs w:val="20"/>
                <w:color w:val="auto"/>
              </w:rPr>
            </w:pPr>
            <w:r>
              <w:rPr>
                <w:rFonts w:ascii="Arial" w:cs="Arial" w:eastAsia="Arial" w:hAnsi="Arial"/>
                <w:sz w:val="18"/>
                <w:szCs w:val="18"/>
                <w:b w:val="1"/>
                <w:bCs w:val="1"/>
                <w:color w:val="auto"/>
              </w:rPr>
              <w:t>(5)</w:t>
            </w:r>
          </w:p>
        </w:tc>
        <w:tc>
          <w:tcPr>
            <w:tcW w:w="1100" w:type="dxa"/>
            <w:vAlign w:val="bottom"/>
          </w:tcPr>
          <w:p>
            <w:pPr>
              <w:jc w:val="right"/>
              <w:spacing w:after="0"/>
              <w:rPr>
                <w:sz w:val="20"/>
                <w:szCs w:val="20"/>
                <w:color w:val="auto"/>
              </w:rPr>
            </w:pPr>
            <w:r>
              <w:rPr>
                <w:rFonts w:ascii="Arial" w:cs="Arial" w:eastAsia="Arial" w:hAnsi="Arial"/>
                <w:sz w:val="18"/>
                <w:szCs w:val="18"/>
                <w:color w:val="auto"/>
              </w:rPr>
              <w:t>407,290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218,838</w:t>
            </w: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18,295,450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4,646,734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325,537</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76,144</w:t>
            </w:r>
          </w:p>
        </w:tc>
        <w:tc>
          <w:tcPr>
            <w:tcW w:w="92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251,262</w:t>
            </w: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2"/>
              </w:rPr>
              <w:t xml:space="preserve">2019 </w:t>
            </w:r>
            <w:r>
              <w:rPr>
                <w:rFonts w:ascii="Arial" w:cs="Arial" w:eastAsia="Arial" w:hAnsi="Arial"/>
                <w:sz w:val="18"/>
                <w:szCs w:val="18"/>
                <w:b w:val="1"/>
                <w:bCs w:val="1"/>
                <w:color w:val="auto"/>
                <w:w w:val="92"/>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22,137,416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5,643,954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495,889</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55,102</w:t>
            </w:r>
          </w:p>
        </w:tc>
        <w:tc>
          <w:tcPr>
            <w:tcW w:w="920" w:type="dxa"/>
            <w:vAlign w:val="bottom"/>
          </w:tcPr>
          <w:p>
            <w:pPr>
              <w:jc w:val="right"/>
              <w:ind w:right="570"/>
              <w:spacing w:after="0"/>
              <w:rPr>
                <w:sz w:val="20"/>
                <w:szCs w:val="20"/>
                <w:color w:val="auto"/>
              </w:rPr>
            </w:pPr>
            <w:r>
              <w:rPr>
                <w:rFonts w:ascii="Arial" w:cs="Arial" w:eastAsia="Arial" w:hAnsi="Arial"/>
                <w:sz w:val="18"/>
                <w:szCs w:val="18"/>
                <w:b w:val="1"/>
                <w:bCs w:val="1"/>
                <w:color w:val="auto"/>
              </w:rPr>
              <w:t>(7)</w:t>
            </w:r>
          </w:p>
        </w:tc>
        <w:tc>
          <w:tcPr>
            <w:tcW w:w="1100" w:type="dxa"/>
            <w:vAlign w:val="bottom"/>
          </w:tcPr>
          <w:p>
            <w:pPr>
              <w:jc w:val="right"/>
              <w:spacing w:after="0"/>
              <w:rPr>
                <w:sz w:val="20"/>
                <w:szCs w:val="20"/>
                <w:color w:val="auto"/>
              </w:rPr>
            </w:pPr>
            <w:r>
              <w:rPr>
                <w:rFonts w:ascii="Arial" w:cs="Arial" w:eastAsia="Arial" w:hAnsi="Arial"/>
                <w:sz w:val="18"/>
                <w:szCs w:val="18"/>
                <w:color w:val="auto"/>
              </w:rPr>
              <w:t>550,991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215,509</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xml:space="preserve">2019 &amp; 2020 </w:t>
            </w:r>
            <w:r>
              <w:rPr>
                <w:rFonts w:ascii="Arial" w:cs="Arial" w:eastAsia="Arial" w:hAnsi="Arial"/>
                <w:sz w:val="18"/>
                <w:szCs w:val="18"/>
                <w:b w:val="1"/>
                <w:bCs w:val="1"/>
                <w:color w:val="auto"/>
                <w:w w:val="92"/>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48,570,459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12,141,563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399,159</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399,159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465,690</w:t>
            </w:r>
          </w:p>
        </w:tc>
        <w:tc>
          <w:tcPr>
            <w:tcW w:w="0" w:type="dxa"/>
            <w:vAlign w:val="bottom"/>
          </w:tcPr>
          <w:p>
            <w:pPr>
              <w:spacing w:after="0"/>
              <w:rPr>
                <w:sz w:val="1"/>
                <w:szCs w:val="1"/>
                <w:color w:val="auto"/>
              </w:rPr>
            </w:pPr>
          </w:p>
        </w:tc>
      </w:tr>
      <w:tr>
        <w:trPr>
          <w:trHeight w:val="223"/>
        </w:trPr>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121,188,874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30,895,826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1,679,188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296,413</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1,975,601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1,359,086</w:t>
            </w:r>
          </w:p>
        </w:tc>
        <w:tc>
          <w:tcPr>
            <w:tcW w:w="0" w:type="dxa"/>
            <w:vAlign w:val="bottom"/>
          </w:tcPr>
          <w:p>
            <w:pPr>
              <w:spacing w:after="0"/>
              <w:rPr>
                <w:sz w:val="1"/>
                <w:szCs w:val="1"/>
                <w:color w:val="auto"/>
              </w:rPr>
            </w:pPr>
          </w:p>
        </w:tc>
      </w:tr>
      <w:tr>
        <w:trPr>
          <w:trHeight w:val="21"/>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00" w:hanging="392"/>
        <w:spacing w:after="0"/>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January 1, 2019 through August 31, 2019.</w:t>
      </w:r>
    </w:p>
    <w:p>
      <w:pPr>
        <w:spacing w:after="0" w:line="7" w:lineRule="exact"/>
        <w:rPr>
          <w:rFonts w:ascii="Arial" w:cs="Arial" w:eastAsia="Arial" w:hAnsi="Arial"/>
          <w:sz w:val="18"/>
          <w:szCs w:val="18"/>
          <w:color w:val="auto"/>
        </w:rPr>
      </w:pPr>
    </w:p>
    <w:p>
      <w:pPr>
        <w:ind w:left="400" w:hanging="392"/>
        <w:spacing w:after="0"/>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Reinsurance coverage on new insurance written from September 1, 2019 through July 31, 2020.</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Coverage provided immediately above the coverage provided by Radnor Re 2018-1 Ltd.</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Coverage provided pari-passu to the coverage provided by Radnor Re 2019-1 Ltd.</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Coverage provided pari-passu to the coverage provided by Radnor Re 2020-1 Ltd.</w:t>
      </w:r>
    </w:p>
    <w:p>
      <w:pPr>
        <w:spacing w:after="0" w:line="238"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Based on the level of delinquencies reported to us, the ILN transactions entered into prior to March 31, 2020 became subject to a "trigger event" as of June 25, 2020. The amortization of principal of the notes issued by the unaffiliated special purpose insurers in connection with those ILN transactions is suspended and the aggregate excess of loss reinsurance coverage will not amortize during the continuation of a trigger event.</w:t>
      </w:r>
    </w:p>
    <w:p>
      <w:pPr>
        <w:spacing w:after="0" w:line="19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amount of monthly reinsurance premiums ceded to the Radnor Re entities will fluctuate due to changes in one-month LIBOR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w:t>
      </w:r>
    </w:p>
    <w:p>
      <w:pPr>
        <w:spacing w:after="0" w:line="214"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204"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The following table presents total assets of each Radnor Re special purpose insurer as well as our maximum exposure to loss associated with each Radnor Re entity, representing the fair value of the embedded derivatives, using observable inputs in active markets (Level 2), included in other assets (other accrued liabilities) on our consolidated balance sheet and the estimated net present value of investment earnings on the assets in the reinsurance trusts, each as of December 31, 2020:</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Maximum Exposure to Loss</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8"/>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VIE Assets</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On - Balance Sheet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Off - Balance Sheet</w:t>
            </w:r>
          </w:p>
        </w:tc>
        <w:tc>
          <w:tcPr>
            <w:tcW w:w="380" w:type="dxa"/>
            <w:vAlign w:val="bottom"/>
          </w:tcPr>
          <w:p>
            <w:pPr>
              <w:spacing w:after="0"/>
              <w:rPr>
                <w:sz w:val="16"/>
                <w:szCs w:val="16"/>
                <w:color w:val="auto"/>
              </w:rPr>
            </w:pPr>
          </w:p>
        </w:tc>
        <w:tc>
          <w:tcPr>
            <w:tcW w:w="1280" w:type="dxa"/>
            <w:vAlign w:val="bottom"/>
          </w:tcPr>
          <w:p>
            <w:pPr>
              <w:jc w:val="right"/>
              <w:ind w:right="593"/>
              <w:spacing w:after="0"/>
              <w:rPr>
                <w:sz w:val="20"/>
                <w:szCs w:val="20"/>
                <w:color w:val="auto"/>
              </w:rPr>
            </w:pPr>
            <w:r>
              <w:rPr>
                <w:rFonts w:ascii="Arial" w:cs="Arial" w:eastAsia="Arial" w:hAnsi="Arial"/>
                <w:sz w:val="14"/>
                <w:szCs w:val="14"/>
                <w:b w:val="1"/>
                <w:bCs w:val="1"/>
                <w:color w:val="auto"/>
              </w:rPr>
              <w:t>Total</w:t>
            </w:r>
          </w:p>
        </w:tc>
      </w:tr>
      <w:tr>
        <w:trPr>
          <w:trHeight w:val="224"/>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Radnor Re 2018-1 Ltd.</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29"/>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Radnor Re 2019-1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325,537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(2,015)</w:t>
            </w:r>
          </w:p>
        </w:tc>
      </w:tr>
      <w:tr>
        <w:trPr>
          <w:trHeight w:val="230"/>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Radnor Re 2019-2 Ltd.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29"/>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Radnor Re 2020-1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495,889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230"/>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Radnor Re 2020-2 Ltd.</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1,679,188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w:t>
            </w:r>
          </w:p>
        </w:tc>
      </w:tr>
      <w:tr>
        <w:trPr>
          <w:trHeight w:val="21"/>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40" w:firstLine="405"/>
        <w:spacing w:after="0" w:line="342" w:lineRule="auto"/>
        <w:rPr>
          <w:sz w:val="20"/>
          <w:szCs w:val="20"/>
          <w:color w:val="auto"/>
        </w:rPr>
      </w:pPr>
      <w:r>
        <w:rPr>
          <w:rFonts w:ascii="Arial" w:cs="Arial" w:eastAsia="Arial" w:hAnsi="Arial"/>
          <w:sz w:val="16"/>
          <w:szCs w:val="16"/>
          <w:color w:val="auto"/>
        </w:rPr>
        <w:t>The assets of Radnor Re are the source of reinsurance claim payments to Essent Guaranty and provide capital relief under the PMIERs financial strength requirements (see Note 16). A decline in the assets available to pay claims would reduce the capital relief available to Essent Guaranty.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Reserve for Losses and Loss Adjustment Expenses</w:t>
      </w:r>
    </w:p>
    <w:p>
      <w:pPr>
        <w:spacing w:after="0" w:line="256"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years ended December 31:</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0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2018</w:t>
            </w:r>
          </w:p>
        </w:tc>
      </w:tr>
      <w:tr>
        <w:trPr>
          <w:trHeight w:val="229"/>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Reserve for losses and LAE at beginning of year</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46,850</w:t>
            </w: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Less: Reinsurance recoverables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reserve for losses and LAE at beginning of year</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69,291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46,850</w:t>
            </w:r>
          </w:p>
        </w:tc>
      </w:tr>
      <w:tr>
        <w:trPr>
          <w:trHeight w:val="21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Add provision for losses and LAE, net of reinsurance, occurring in:</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year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36,438</w:t>
            </w:r>
          </w:p>
        </w:tc>
      </w:tr>
      <w:tr>
        <w:trPr>
          <w:trHeight w:val="230"/>
        </w:trPr>
        <w:tc>
          <w:tcPr>
            <w:tcW w:w="7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(24,863)</w:t>
            </w: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incurred losses and LAE during the current year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301,293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11,575</w:t>
            </w:r>
          </w:p>
        </w:tc>
      </w:tr>
      <w:tr>
        <w:trPr>
          <w:trHeight w:val="21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year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30"/>
        </w:trPr>
        <w:tc>
          <w:tcPr>
            <w:tcW w:w="7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7,651</w:t>
            </w: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and LAE payments during the current year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Net reserve for losses and LAE at end of year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355,880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69,291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49,464</w:t>
            </w: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Plus: Reinsurance recoverables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Reserve for losses and LAE at end of year</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374,941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49,464</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6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Loans in default at end of year</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right="140" w:firstLine="445"/>
        <w:spacing w:after="0" w:line="290" w:lineRule="auto"/>
        <w:rPr>
          <w:sz w:val="20"/>
          <w:szCs w:val="20"/>
          <w:color w:val="auto"/>
        </w:rPr>
      </w:pPr>
      <w:r>
        <w:rPr>
          <w:rFonts w:ascii="Arial" w:cs="Arial" w:eastAsia="Arial" w:hAnsi="Arial"/>
          <w:sz w:val="16"/>
          <w:szCs w:val="16"/>
          <w:color w:val="auto"/>
        </w:rPr>
        <w:t>For the year ended December 31, 2020, $13.7 million was paid for incurred claims and claim adjustment expenses attributable to insured events of prior years. There has been a $16.2 million favorable prior year development during the year ended December 31, 2020. Reserves remaining as of December 31, 2020 for prior years are $39.4 million as a result of re-estimation of unpaid losses and loss adjustment expenses. For the year ended December 31, 2019, $11.9 million was paid for incurred claims and claim adjustment expenses attributable to insured events of prior years. There was a $17.6 million favorable prior year development during the year ended December 31, 2019. Reserves remaining as of December 31, 2019 for prior years were $20.0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92"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Due to business restrictions, stay-at-home orders and travel restrictions initially implemented in March 2020 as a result of COVID-19, unemployment in the United States increased significantly in the second quarter of 2020 and remained elevated at December 31, 2020. As unemployment is one of the most common reasons for borrowers to default on their mortgage, the increase in unemployment has increased the number of delinquencies on the mortgages that we insure and has the potential to increase claim frequencies on defaults. As of December 31, 2020, insured loans in default totaled 31,469 and included 28,922 defaults classified as COVID-19 defaults.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COVID-19 defaulted loans, we expect the ultimate number of COVID-19-related defaults that result in claims will be less than our historical default-to-claim experience. Accordingly, we recorded a reserve equal to approximately 7% of the risk in force for the COVID-19 default notices received in April 2020 through September 2020. The credit characteristics of defaults reported in October 2020 through December 2020 have trended towards those of the pre-pandemic periods and we have observed the normalization of other default patterns during this period. In addition, we observed a normalization during the fourth quarter of 2020 of the proportion of unemployment claims related to permanent layoffs as compared to a higher proportion of temporary layoffs during the second and third quarters of 2020. We believe that while defaults in October 2020 through December 2020 were impacted by the pandemic’s effect on the economy, the underlying credit performance of these defaults may not be the same as the expected performance for default notices received in April 2020 through September 2020 that occurred following the onset of the pandemic and these defaults are more likely to transition like pre-pandemic defaults. Accordingly, although these defaults are classified as COVID-19 defaults, we established reserves for defaults reported in October 2020 through December 2020 using our normal reserve methodology. The reserve for losses and LAE on COVID-19 defaults was $316.3 million at December 31, 2020. It is reasonably possible that our estimate of the losses for the COVID-19 defaults could change in the near term as a result of the continued impact of the pandemic on the economic environment, the results of existing and future governmental programs designed to assist individuals and businesses impacted by the virus and the performance of the COVID-19 defaults in the forbearance programs. A 100 basis point increase or decrease in the reserve rate applied to COVID-19 default notices received in April 2020 through September 2020 would result in a corresponding increase or decrease in our reserve for loss and LAE of approximately $35 million as of December 31, 2020. The impact on our reserves in future periods will be dependent upon the amount of delinquent notices received from loan servicers, the performance of COVID-19 defaults and our expectations for the amount of ultimate losses on these delinquencies.</w:t>
      </w:r>
    </w:p>
    <w:p>
      <w:pPr>
        <w:spacing w:after="0" w:line="200" w:lineRule="exact"/>
        <w:rPr>
          <w:sz w:val="20"/>
          <w:szCs w:val="20"/>
          <w:color w:val="auto"/>
        </w:rPr>
      </w:pPr>
    </w:p>
    <w:p>
      <w:pPr>
        <w:spacing w:after="0" w:line="220" w:lineRule="exact"/>
        <w:rPr>
          <w:sz w:val="20"/>
          <w:szCs w:val="20"/>
          <w:color w:val="auto"/>
        </w:rPr>
      </w:pPr>
    </w:p>
    <w:p>
      <w:pPr>
        <w:ind w:right="40" w:firstLine="445"/>
        <w:spacing w:after="0" w:line="275" w:lineRule="auto"/>
        <w:rPr>
          <w:sz w:val="20"/>
          <w:szCs w:val="20"/>
          <w:color w:val="auto"/>
        </w:rPr>
      </w:pPr>
      <w:r>
        <w:rPr>
          <w:rFonts w:ascii="Arial" w:cs="Arial" w:eastAsia="Arial" w:hAnsi="Arial"/>
          <w:sz w:val="17"/>
          <w:szCs w:val="17"/>
          <w:color w:val="auto"/>
        </w:rPr>
        <w:t>During the third quarter of 2017, certain regions of the U.S. experienced hurricanes which have impacted our insured portfolio’s performance. Loans in default identified as hurricane-related defaults totaled 2,288 as of December 31, 2017 and in the fourth quarter of 2017, we provided reserves of $11.1 million for losses and LAE on these hurricane-related defaults. In the year ended December 31, 2018, 2,150 of the 2,288 defaults previously identified as hurricane-related cured. In the fourth quarter of 2018, we reduced the reserves on hurricane-related defaults by $9.9 million based on the performance to date and our expectations of the amount of ultimate losses on the remaining delinquencies.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The following table summarizes incurred loss and allocated loss adjustment expense development, IBNR plus expected development on reported defaults and the cumulative number of reported defaults. The information about incurred loss development for the years ended December 31, 2011 to 2019 is presented as supplementary information.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60" w:type="dxa"/>
            <w:vAlign w:val="bottom"/>
            <w:gridSpan w:val="4"/>
          </w:tcPr>
          <w:p>
            <w:pPr>
              <w:ind w:left="420"/>
              <w:spacing w:after="0"/>
              <w:rPr>
                <w:sz w:val="20"/>
                <w:szCs w:val="20"/>
                <w:color w:val="auto"/>
              </w:rPr>
            </w:pPr>
            <w:r>
              <w:rPr>
                <w:rFonts w:ascii="Arial" w:cs="Arial" w:eastAsia="Arial" w:hAnsi="Arial"/>
                <w:sz w:val="13"/>
                <w:szCs w:val="13"/>
                <w:b w:val="1"/>
                <w:bCs w:val="1"/>
                <w:color w:val="auto"/>
                <w:w w:val="87"/>
              </w:rPr>
              <w:t>Incurred Loss and Allocated LAE,</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gridSpan w:val="2"/>
            <w:vMerge w:val="restart"/>
          </w:tcPr>
          <w:p>
            <w:pPr>
              <w:jc w:val="right"/>
              <w:ind w:right="598"/>
              <w:spacing w:after="0"/>
              <w:rPr>
                <w:sz w:val="20"/>
                <w:szCs w:val="20"/>
                <w:color w:val="auto"/>
              </w:rPr>
            </w:pPr>
            <w:r>
              <w:rPr>
                <w:rFonts w:ascii="Arial" w:cs="Arial" w:eastAsia="Arial" w:hAnsi="Arial"/>
                <w:sz w:val="13"/>
                <w:szCs w:val="13"/>
                <w:b w:val="1"/>
                <w:bCs w:val="1"/>
                <w:color w:val="auto"/>
              </w:rPr>
              <w:t>As of December 31, 2020</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5"/>
          </w:tcPr>
          <w:p>
            <w:pPr>
              <w:ind w:left="420"/>
              <w:spacing w:after="0"/>
              <w:rPr>
                <w:sz w:val="20"/>
                <w:szCs w:val="20"/>
                <w:color w:val="auto"/>
              </w:rPr>
            </w:pPr>
            <w:r>
              <w:rPr>
                <w:rFonts w:ascii="Arial" w:cs="Arial" w:eastAsia="Arial" w:hAnsi="Arial"/>
                <w:sz w:val="13"/>
                <w:szCs w:val="13"/>
                <w:b w:val="1"/>
                <w:bCs w:val="1"/>
                <w:color w:val="auto"/>
              </w:rPr>
              <w:t>For the Years Ended December 31,</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rPr>
              <w:t>($ in thousands)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Cumulative</w:t>
            </w:r>
          </w:p>
        </w:tc>
        <w:tc>
          <w:tcPr>
            <w:tcW w:w="0" w:type="dxa"/>
            <w:vAlign w:val="bottom"/>
          </w:tcPr>
          <w:p>
            <w:pPr>
              <w:spacing w:after="0"/>
              <w:rPr>
                <w:sz w:val="1"/>
                <w:szCs w:val="1"/>
                <w:color w:val="auto"/>
              </w:rPr>
            </w:pPr>
          </w:p>
        </w:tc>
      </w:tr>
      <w:tr>
        <w:trPr>
          <w:trHeight w:val="29"/>
        </w:trPr>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rPr>
              <w:t>Unaudited</w:t>
            </w: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157"/>
              <w:spacing w:after="0"/>
              <w:rPr>
                <w:sz w:val="20"/>
                <w:szCs w:val="20"/>
                <w:color w:val="auto"/>
              </w:rPr>
            </w:pPr>
            <w:r>
              <w:rPr>
                <w:rFonts w:ascii="Arial" w:cs="Arial" w:eastAsia="Arial" w:hAnsi="Arial"/>
                <w:sz w:val="13"/>
                <w:szCs w:val="13"/>
                <w:b w:val="1"/>
                <w:bCs w:val="1"/>
                <w:color w:val="auto"/>
                <w:w w:val="90"/>
              </w:rPr>
              <w:t>Total of IBNR plus</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0" w:type="dxa"/>
            <w:vAlign w:val="bottom"/>
          </w:tcPr>
          <w:p>
            <w:pPr>
              <w:spacing w:after="0"/>
              <w:rPr>
                <w:sz w:val="1"/>
                <w:szCs w:val="1"/>
                <w:color w:val="auto"/>
              </w:rPr>
            </w:pPr>
          </w:p>
        </w:tc>
      </w:tr>
      <w:tr>
        <w:trPr>
          <w:trHeight w:val="54"/>
        </w:trPr>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1520" w:type="dxa"/>
            <w:vAlign w:val="bottom"/>
            <w:gridSpan w:val="2"/>
            <w:vMerge w:val="restart"/>
          </w:tcPr>
          <w:p>
            <w:pPr>
              <w:jc w:val="center"/>
              <w:spacing w:after="0" w:line="95" w:lineRule="exact"/>
              <w:rPr>
                <w:sz w:val="20"/>
                <w:szCs w:val="20"/>
                <w:color w:val="auto"/>
              </w:rPr>
            </w:pPr>
            <w:r>
              <w:rPr>
                <w:rFonts w:ascii="Arial" w:cs="Arial" w:eastAsia="Arial" w:hAnsi="Arial"/>
                <w:sz w:val="10"/>
                <w:szCs w:val="10"/>
                <w:b w:val="1"/>
                <w:bCs w:val="1"/>
                <w:color w:val="auto"/>
              </w:rPr>
              <w:t>Expected Development on</w:t>
            </w:r>
          </w:p>
        </w:tc>
        <w:tc>
          <w:tcPr>
            <w:tcW w:w="112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Reported Defaults</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Accident Year</w:t>
            </w:r>
          </w:p>
        </w:tc>
        <w:tc>
          <w:tcPr>
            <w:tcW w:w="140" w:type="dxa"/>
            <w:vAlign w:val="bottom"/>
          </w:tcPr>
          <w:p>
            <w:pPr>
              <w:spacing w:after="0" w:line="20" w:lineRule="exact"/>
              <w:rPr>
                <w:sz w:val="1"/>
                <w:szCs w:val="1"/>
                <w:color w:val="auto"/>
              </w:rPr>
            </w:pPr>
          </w:p>
        </w:tc>
        <w:tc>
          <w:tcPr>
            <w:tcW w:w="52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96"/>
              </w:rPr>
              <w:t>2011</w:t>
            </w:r>
          </w:p>
        </w:tc>
        <w:tc>
          <w:tcPr>
            <w:tcW w:w="200" w:type="dxa"/>
            <w:vAlign w:val="bottom"/>
          </w:tcPr>
          <w:p>
            <w:pPr>
              <w:spacing w:after="0" w:line="20" w:lineRule="exact"/>
              <w:rPr>
                <w:sz w:val="1"/>
                <w:szCs w:val="1"/>
                <w:color w:val="auto"/>
              </w:rPr>
            </w:pPr>
          </w:p>
        </w:tc>
        <w:tc>
          <w:tcPr>
            <w:tcW w:w="72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w w:val="96"/>
              </w:rPr>
              <w:t>2012</w:t>
            </w:r>
          </w:p>
        </w:tc>
        <w:tc>
          <w:tcPr>
            <w:tcW w:w="52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2013</w:t>
            </w:r>
          </w:p>
        </w:tc>
        <w:tc>
          <w:tcPr>
            <w:tcW w:w="220" w:type="dxa"/>
            <w:vAlign w:val="bottom"/>
          </w:tcPr>
          <w:p>
            <w:pPr>
              <w:spacing w:after="0" w:line="20" w:lineRule="exact"/>
              <w:rPr>
                <w:sz w:val="1"/>
                <w:szCs w:val="1"/>
                <w:color w:val="auto"/>
              </w:rPr>
            </w:pPr>
          </w:p>
        </w:tc>
        <w:tc>
          <w:tcPr>
            <w:tcW w:w="52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96"/>
              </w:rPr>
              <w:t>2014</w:t>
            </w:r>
          </w:p>
        </w:tc>
        <w:tc>
          <w:tcPr>
            <w:tcW w:w="200" w:type="dxa"/>
            <w:vAlign w:val="bottom"/>
          </w:tcPr>
          <w:p>
            <w:pPr>
              <w:spacing w:after="0" w:line="20" w:lineRule="exact"/>
              <w:rPr>
                <w:sz w:val="1"/>
                <w:szCs w:val="1"/>
                <w:color w:val="auto"/>
              </w:rPr>
            </w:pPr>
          </w:p>
        </w:tc>
        <w:tc>
          <w:tcPr>
            <w:tcW w:w="76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auto"/>
              </w:rPr>
              <w:t>2015</w:t>
            </w:r>
          </w:p>
        </w:tc>
        <w:tc>
          <w:tcPr>
            <w:tcW w:w="780" w:type="dxa"/>
            <w:vAlign w:val="bottom"/>
            <w:vMerge w:val="restart"/>
          </w:tcPr>
          <w:p>
            <w:pPr>
              <w:jc w:val="right"/>
              <w:ind w:right="417"/>
              <w:spacing w:after="0"/>
              <w:rPr>
                <w:sz w:val="20"/>
                <w:szCs w:val="20"/>
                <w:color w:val="auto"/>
              </w:rPr>
            </w:pPr>
            <w:r>
              <w:rPr>
                <w:rFonts w:ascii="Arial" w:cs="Arial" w:eastAsia="Arial" w:hAnsi="Arial"/>
                <w:sz w:val="13"/>
                <w:szCs w:val="13"/>
                <w:b w:val="1"/>
                <w:bCs w:val="1"/>
                <w:color w:val="auto"/>
                <w:w w:val="96"/>
              </w:rPr>
              <w:t>2016</w:t>
            </w:r>
          </w:p>
        </w:tc>
        <w:tc>
          <w:tcPr>
            <w:tcW w:w="48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82"/>
              </w:rPr>
              <w:t>2017</w:t>
            </w:r>
          </w:p>
        </w:tc>
        <w:tc>
          <w:tcPr>
            <w:tcW w:w="220" w:type="dxa"/>
            <w:vAlign w:val="bottom"/>
          </w:tcPr>
          <w:p>
            <w:pPr>
              <w:spacing w:after="0" w:line="20" w:lineRule="exact"/>
              <w:rPr>
                <w:sz w:val="1"/>
                <w:szCs w:val="1"/>
                <w:color w:val="auto"/>
              </w:rPr>
            </w:pPr>
          </w:p>
        </w:tc>
        <w:tc>
          <w:tcPr>
            <w:tcW w:w="50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w w:val="96"/>
              </w:rPr>
              <w:t>2018</w:t>
            </w:r>
          </w:p>
        </w:tc>
        <w:tc>
          <w:tcPr>
            <w:tcW w:w="240" w:type="dxa"/>
            <w:vAlign w:val="bottom"/>
          </w:tcPr>
          <w:p>
            <w:pPr>
              <w:spacing w:after="0" w:line="20" w:lineRule="exact"/>
              <w:rPr>
                <w:sz w:val="1"/>
                <w:szCs w:val="1"/>
                <w:color w:val="auto"/>
              </w:rPr>
            </w:pPr>
          </w:p>
        </w:tc>
        <w:tc>
          <w:tcPr>
            <w:tcW w:w="50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2020</w:t>
            </w:r>
          </w:p>
        </w:tc>
        <w:tc>
          <w:tcPr>
            <w:tcW w:w="100" w:type="dxa"/>
            <w:vAlign w:val="bottom"/>
            <w:vMerge w:val="continue"/>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157"/>
              <w:spacing w:after="0"/>
              <w:rPr>
                <w:sz w:val="20"/>
                <w:szCs w:val="20"/>
                <w:color w:val="auto"/>
              </w:rPr>
            </w:pPr>
            <w:r>
              <w:rPr>
                <w:rFonts w:ascii="Arial" w:cs="Arial" w:eastAsia="Arial" w:hAnsi="Arial"/>
                <w:sz w:val="13"/>
                <w:szCs w:val="13"/>
                <w:b w:val="1"/>
                <w:bCs w:val="1"/>
                <w:color w:val="auto"/>
                <w:w w:val="87"/>
              </w:rPr>
              <w:t>Reported Defaults</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0" w:type="dxa"/>
            <w:vAlign w:val="bottom"/>
          </w:tcPr>
          <w:p>
            <w:pPr>
              <w:spacing w:after="0"/>
              <w:rPr>
                <w:sz w:val="1"/>
                <w:szCs w:val="1"/>
                <w:color w:val="auto"/>
              </w:rPr>
            </w:pPr>
          </w:p>
        </w:tc>
      </w:tr>
      <w:tr>
        <w:trPr>
          <w:trHeight w:val="167"/>
        </w:trPr>
        <w:tc>
          <w:tcPr>
            <w:tcW w:w="10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5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   $</w:t>
            </w:r>
          </w:p>
        </w:tc>
        <w:tc>
          <w:tcPr>
            <w:tcW w:w="4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gridSpan w:val="2"/>
          </w:tcPr>
          <w:p>
            <w:pPr>
              <w:ind w:left="300"/>
              <w:spacing w:after="0"/>
              <w:rPr>
                <w:sz w:val="20"/>
                <w:szCs w:val="20"/>
                <w:color w:val="auto"/>
              </w:rPr>
            </w:pPr>
            <w:r>
              <w:rPr>
                <w:rFonts w:ascii="Arial" w:cs="Arial" w:eastAsia="Arial" w:hAnsi="Arial"/>
                <w:sz w:val="13"/>
                <w:szCs w:val="13"/>
                <w:color w:val="auto"/>
              </w:rPr>
              <w:t>—   $</w:t>
            </w:r>
          </w:p>
        </w:tc>
        <w:tc>
          <w:tcPr>
            <w:tcW w:w="760" w:type="dxa"/>
            <w:vAlign w:val="bottom"/>
            <w:tcBorders>
              <w:top w:val="single" w:sz="8" w:color="auto"/>
            </w:tcBorders>
            <w:gridSpan w:val="3"/>
          </w:tcPr>
          <w:p>
            <w:pPr>
              <w:jc w:val="right"/>
              <w:ind w:right="17"/>
              <w:spacing w:after="0"/>
              <w:rPr>
                <w:sz w:val="20"/>
                <w:szCs w:val="20"/>
                <w:color w:val="auto"/>
              </w:rPr>
            </w:pPr>
            <w:r>
              <w:rPr>
                <w:rFonts w:ascii="Arial" w:cs="Arial" w:eastAsia="Arial" w:hAnsi="Arial"/>
                <w:sz w:val="13"/>
                <w:szCs w:val="13"/>
                <w:color w:val="auto"/>
              </w:rPr>
              <w:t>—   $</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22"/>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1,523</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858</w:t>
            </w: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814</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781</w:t>
            </w:r>
          </w:p>
        </w:tc>
        <w:tc>
          <w:tcPr>
            <w:tcW w:w="78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748</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809</w:t>
            </w: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8"/>
        </w:trPr>
        <w:tc>
          <w:tcPr>
            <w:tcW w:w="1060" w:type="dxa"/>
            <w:vAlign w:val="bottom"/>
          </w:tcPr>
          <w:p>
            <w:pPr>
              <w:ind w:left="20"/>
              <w:spacing w:after="0"/>
              <w:rPr>
                <w:sz w:val="20"/>
                <w:szCs w:val="20"/>
                <w:color w:val="auto"/>
              </w:rPr>
            </w:pPr>
            <w:r>
              <w:rPr>
                <w:rFonts w:ascii="Arial" w:cs="Arial" w:eastAsia="Arial" w:hAnsi="Arial"/>
                <w:sz w:val="13"/>
                <w:szCs w:val="13"/>
                <w:color w:val="auto"/>
              </w:rPr>
              <w:t>2013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2,986</w:t>
            </w:r>
          </w:p>
        </w:tc>
        <w:tc>
          <w:tcPr>
            <w:tcW w:w="22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2,461</w:t>
            </w:r>
          </w:p>
        </w:tc>
        <w:tc>
          <w:tcPr>
            <w:tcW w:w="200" w:type="dxa"/>
            <w:vAlign w:val="bottom"/>
          </w:tcPr>
          <w:p>
            <w:pPr>
              <w:spacing w:after="0"/>
              <w:rPr>
                <w:sz w:val="14"/>
                <w:szCs w:val="14"/>
                <w:color w:val="auto"/>
              </w:rPr>
            </w:pPr>
          </w:p>
        </w:tc>
        <w:tc>
          <w:tcPr>
            <w:tcW w:w="760" w:type="dxa"/>
            <w:vAlign w:val="bottom"/>
          </w:tcPr>
          <w:p>
            <w:pPr>
              <w:jc w:val="right"/>
              <w:ind w:right="257"/>
              <w:spacing w:after="0"/>
              <w:rPr>
                <w:sz w:val="20"/>
                <w:szCs w:val="20"/>
                <w:color w:val="auto"/>
              </w:rPr>
            </w:pPr>
            <w:r>
              <w:rPr>
                <w:rFonts w:ascii="Arial" w:cs="Arial" w:eastAsia="Arial" w:hAnsi="Arial"/>
                <w:sz w:val="13"/>
                <w:szCs w:val="13"/>
                <w:color w:val="auto"/>
              </w:rPr>
              <w:t>2,008</w:t>
            </w:r>
          </w:p>
        </w:tc>
        <w:tc>
          <w:tcPr>
            <w:tcW w:w="780" w:type="dxa"/>
            <w:vAlign w:val="bottom"/>
          </w:tcPr>
          <w:p>
            <w:pPr>
              <w:jc w:val="right"/>
              <w:ind w:right="277"/>
              <w:spacing w:after="0"/>
              <w:rPr>
                <w:sz w:val="20"/>
                <w:szCs w:val="20"/>
                <w:color w:val="auto"/>
              </w:rPr>
            </w:pPr>
            <w:r>
              <w:rPr>
                <w:rFonts w:ascii="Arial" w:cs="Arial" w:eastAsia="Arial" w:hAnsi="Arial"/>
                <w:sz w:val="13"/>
                <w:szCs w:val="13"/>
                <w:color w:val="auto"/>
              </w:rPr>
              <w:t>1,997</w:t>
            </w: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2,060</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2,058</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6,877</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4,312</w:t>
            </w:r>
          </w:p>
        </w:tc>
        <w:tc>
          <w:tcPr>
            <w:tcW w:w="78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3,323</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2,984</w:t>
            </w: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2,930</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68"/>
        </w:trPr>
        <w:tc>
          <w:tcPr>
            <w:tcW w:w="1060" w:type="dxa"/>
            <w:vAlign w:val="bottom"/>
          </w:tcPr>
          <w:p>
            <w:pPr>
              <w:ind w:left="20"/>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57"/>
              <w:spacing w:after="0"/>
              <w:rPr>
                <w:sz w:val="20"/>
                <w:szCs w:val="20"/>
                <w:color w:val="auto"/>
              </w:rPr>
            </w:pPr>
            <w:r>
              <w:rPr>
                <w:rFonts w:ascii="Arial" w:cs="Arial" w:eastAsia="Arial" w:hAnsi="Arial"/>
                <w:sz w:val="13"/>
                <w:szCs w:val="13"/>
                <w:color w:val="auto"/>
              </w:rPr>
              <w:t>14,956</w:t>
            </w:r>
          </w:p>
        </w:tc>
        <w:tc>
          <w:tcPr>
            <w:tcW w:w="780" w:type="dxa"/>
            <w:vAlign w:val="bottom"/>
          </w:tcPr>
          <w:p>
            <w:pPr>
              <w:jc w:val="right"/>
              <w:ind w:right="277"/>
              <w:spacing w:after="0"/>
              <w:rPr>
                <w:sz w:val="20"/>
                <w:szCs w:val="20"/>
                <w:color w:val="auto"/>
              </w:rPr>
            </w:pPr>
            <w:r>
              <w:rPr>
                <w:rFonts w:ascii="Arial" w:cs="Arial" w:eastAsia="Arial" w:hAnsi="Arial"/>
                <w:sz w:val="13"/>
                <w:szCs w:val="13"/>
                <w:color w:val="auto"/>
              </w:rPr>
              <w:t>9,625</w:t>
            </w: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8,893</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8,439</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8,461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8,323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120" w:type="dxa"/>
            <w:vAlign w:val="bottom"/>
          </w:tcPr>
          <w:p>
            <w:pPr>
              <w:jc w:val="right"/>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21,889</w:t>
            </w: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5"/>
              </w:rPr>
              <w:t>11,890</w:t>
            </w: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9,455</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0" w:type="dxa"/>
            <w:vAlign w:val="bottom"/>
          </w:tcPr>
          <w:p>
            <w:pPr>
              <w:spacing w:after="0"/>
              <w:rPr>
                <w:sz w:val="1"/>
                <w:szCs w:val="1"/>
                <w:color w:val="auto"/>
              </w:rPr>
            </w:pPr>
          </w:p>
        </w:tc>
      </w:tr>
      <w:tr>
        <w:trPr>
          <w:trHeight w:val="168"/>
        </w:trPr>
        <w:tc>
          <w:tcPr>
            <w:tcW w:w="1060" w:type="dxa"/>
            <w:vAlign w:val="bottom"/>
          </w:tcPr>
          <w:p>
            <w:pPr>
              <w:ind w:left="20"/>
              <w:spacing w:after="0"/>
              <w:rPr>
                <w:sz w:val="20"/>
                <w:szCs w:val="20"/>
                <w:color w:val="auto"/>
              </w:rPr>
            </w:pPr>
            <w:r>
              <w:rPr>
                <w:rFonts w:ascii="Arial" w:cs="Arial" w:eastAsia="Arial" w:hAnsi="Arial"/>
                <w:sz w:val="13"/>
                <w:szCs w:val="13"/>
                <w:color w:val="auto"/>
              </w:rPr>
              <w:t>2017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w w:val="95"/>
              </w:rPr>
              <w:t>38,178</w:t>
            </w: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16,261</w:t>
            </w: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12,202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11,488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85</w:t>
            </w:r>
          </w:p>
        </w:tc>
        <w:tc>
          <w:tcPr>
            <w:tcW w:w="1120" w:type="dxa"/>
            <w:vAlign w:val="bottom"/>
          </w:tcPr>
          <w:p>
            <w:pPr>
              <w:jc w:val="right"/>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36,438</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23,168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424</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0" w:type="dxa"/>
            <w:vAlign w:val="bottom"/>
          </w:tcPr>
          <w:p>
            <w:pPr>
              <w:spacing w:after="0"/>
              <w:rPr>
                <w:sz w:val="1"/>
                <w:szCs w:val="1"/>
                <w:color w:val="auto"/>
              </w:rPr>
            </w:pPr>
          </w:p>
        </w:tc>
      </w:tr>
      <w:tr>
        <w:trPr>
          <w:trHeight w:val="168"/>
        </w:trPr>
        <w:tc>
          <w:tcPr>
            <w:tcW w:w="1060" w:type="dxa"/>
            <w:vAlign w:val="bottom"/>
          </w:tcPr>
          <w:p>
            <w:pPr>
              <w:ind w:left="20"/>
              <w:spacing w:after="0"/>
              <w:rPr>
                <w:sz w:val="20"/>
                <w:szCs w:val="20"/>
                <w:color w:val="auto"/>
              </w:rPr>
            </w:pPr>
            <w:r>
              <w:rPr>
                <w:rFonts w:ascii="Arial" w:cs="Arial" w:eastAsia="Arial" w:hAnsi="Arial"/>
                <w:sz w:val="13"/>
                <w:szCs w:val="13"/>
                <w:color w:val="auto"/>
              </w:rPr>
              <w:t>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50,562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39,085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57"/>
              <w:spacing w:after="0"/>
              <w:rPr>
                <w:sz w:val="20"/>
                <w:szCs w:val="20"/>
                <w:color w:val="auto"/>
              </w:rPr>
            </w:pPr>
            <w:r>
              <w:rPr>
                <w:rFonts w:ascii="Arial" w:cs="Arial" w:eastAsia="Arial" w:hAnsi="Arial"/>
                <w:sz w:val="13"/>
                <w:szCs w:val="13"/>
                <w:color w:val="auto"/>
              </w:rPr>
              <w:t>2,151</w:t>
            </w:r>
          </w:p>
        </w:tc>
        <w:tc>
          <w:tcPr>
            <w:tcW w:w="1120" w:type="dxa"/>
            <w:vAlign w:val="bottom"/>
          </w:tcPr>
          <w:p>
            <w:pPr>
              <w:jc w:val="right"/>
              <w:spacing w:after="0"/>
              <w:rPr>
                <w:sz w:val="20"/>
                <w:szCs w:val="20"/>
                <w:color w:val="auto"/>
              </w:rPr>
            </w:pPr>
            <w:r>
              <w:rPr>
                <w:rFonts w:ascii="Arial" w:cs="Arial" w:eastAsia="Arial" w:hAnsi="Arial"/>
                <w:sz w:val="13"/>
                <w:szCs w:val="13"/>
                <w:color w:val="auto"/>
              </w:rPr>
              <w:t>1,551</w:t>
            </w: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317,516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23,023</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29,834</w:t>
            </w:r>
          </w:p>
        </w:tc>
        <w:tc>
          <w:tcPr>
            <w:tcW w:w="0" w:type="dxa"/>
            <w:vAlign w:val="bottom"/>
          </w:tcPr>
          <w:p>
            <w:pPr>
              <w:spacing w:after="0"/>
              <w:rPr>
                <w:sz w:val="1"/>
                <w:szCs w:val="1"/>
                <w:color w:val="auto"/>
              </w:rPr>
            </w:pPr>
          </w:p>
        </w:tc>
      </w:tr>
      <w:tr>
        <w:trPr>
          <w:trHeight w:val="161"/>
        </w:trPr>
        <w:tc>
          <w:tcPr>
            <w:tcW w:w="116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Total</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410,668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ind w:left="200" w:hanging="174"/>
        <w:spacing w:after="0"/>
        <w:tabs>
          <w:tab w:leader="none" w:pos="200" w:val="left"/>
        </w:tabs>
        <w:numPr>
          <w:ilvl w:val="0"/>
          <w:numId w:val="65"/>
        </w:numPr>
        <w:rPr>
          <w:rFonts w:ascii="Arial" w:cs="Arial" w:eastAsia="Arial" w:hAnsi="Arial"/>
          <w:sz w:val="13"/>
          <w:szCs w:val="13"/>
          <w:b w:val="1"/>
          <w:bCs w:val="1"/>
          <w:color w:val="auto"/>
        </w:rPr>
      </w:pPr>
      <w:r>
        <w:rPr>
          <w:rFonts w:ascii="Arial" w:cs="Arial" w:eastAsia="Arial" w:hAnsi="Arial"/>
          <w:sz w:val="13"/>
          <w:szCs w:val="13"/>
          <w:color w:val="auto"/>
        </w:rPr>
        <w:t>Cumulative number of reported defaults includes cumulative paid claims plus loans in default by accident year as of December 31, 2020.</w:t>
      </w:r>
    </w:p>
    <w:p>
      <w:pPr>
        <w:spacing w:after="0" w:line="336"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The following table summarizes cumulative paid losses and allocated loss adjustment expenses, net of reinsurance. The information about paid loss development for the years ended December 31, 2011 through 2019 is presented as supplementary information.</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92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w w:val="92"/>
              </w:rPr>
              <w:t>Cumulative Paid Losses and Allocated LAE</w:t>
            </w: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23"/>
        </w:trPr>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9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3"/>
        </w:trPr>
        <w:tc>
          <w:tcPr>
            <w:tcW w:w="1520" w:type="dxa"/>
            <w:vAlign w:val="bottom"/>
            <w:gridSpan w:val="2"/>
          </w:tcPr>
          <w:p>
            <w:pPr>
              <w:ind w:left="20"/>
              <w:spacing w:after="0"/>
              <w:rPr>
                <w:sz w:val="20"/>
                <w:szCs w:val="20"/>
                <w:color w:val="auto"/>
              </w:rPr>
            </w:pPr>
            <w:r>
              <w:rPr>
                <w:rFonts w:ascii="Arial" w:cs="Arial" w:eastAsia="Arial" w:hAnsi="Arial"/>
                <w:sz w:val="18"/>
                <w:szCs w:val="18"/>
                <w:color w:val="auto"/>
              </w:rPr>
              <w:t>Accident Year</w:t>
            </w:r>
          </w:p>
        </w:tc>
        <w:tc>
          <w:tcPr>
            <w:tcW w:w="180" w:type="dxa"/>
            <w:vAlign w:val="bottom"/>
          </w:tcPr>
          <w:p>
            <w:pPr>
              <w:spacing w:after="0"/>
              <w:rPr>
                <w:sz w:val="19"/>
                <w:szCs w:val="19"/>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b w:val="1"/>
                <w:bCs w:val="1"/>
                <w:color w:val="auto"/>
                <w:w w:val="99"/>
              </w:rPr>
              <w:t>2011</w:t>
            </w: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2013</w:t>
            </w: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9"/>
                <w:szCs w:val="19"/>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2018</w:t>
            </w: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r>
      <w:tr>
        <w:trPr>
          <w:trHeight w:val="223"/>
        </w:trPr>
        <w:tc>
          <w:tcPr>
            <w:tcW w:w="1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420" w:type="dxa"/>
            <w:vAlign w:val="bottom"/>
          </w:tcPr>
          <w:p>
            <w:pPr>
              <w:ind w:left="2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440"/>
              <w:spacing w:after="0"/>
              <w:rPr>
                <w:sz w:val="20"/>
                <w:szCs w:val="20"/>
                <w:color w:val="auto"/>
              </w:rPr>
            </w:pPr>
            <w:r>
              <w:rPr>
                <w:rFonts w:ascii="Arial" w:cs="Arial" w:eastAsia="Arial" w:hAnsi="Arial"/>
                <w:sz w:val="18"/>
                <w:szCs w:val="18"/>
                <w:color w:val="auto"/>
              </w:rPr>
              <w:t>24</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535</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659</w:t>
            </w:r>
          </w:p>
        </w:tc>
        <w:tc>
          <w:tcPr>
            <w:tcW w:w="26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665</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665</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808</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808</w:t>
            </w:r>
          </w:p>
        </w:tc>
        <w:tc>
          <w:tcPr>
            <w:tcW w:w="70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808</w:t>
            </w:r>
          </w:p>
        </w:tc>
      </w:tr>
      <w:tr>
        <w:trPr>
          <w:trHeight w:val="230"/>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239</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1,501</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1,775</w:t>
            </w:r>
          </w:p>
        </w:tc>
        <w:tc>
          <w:tcPr>
            <w:tcW w:w="1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1,880</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2,058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29"/>
        </w:trPr>
        <w:tc>
          <w:tcPr>
            <w:tcW w:w="1420" w:type="dxa"/>
            <w:vAlign w:val="bottom"/>
          </w:tcPr>
          <w:p>
            <w:pPr>
              <w:ind w:left="2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1,587</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2,463</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2,787</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2,897</w:t>
            </w:r>
          </w:p>
        </w:tc>
        <w:tc>
          <w:tcPr>
            <w:tcW w:w="700" w:type="dxa"/>
            <w:vAlign w:val="bottom"/>
          </w:tcPr>
          <w:p>
            <w:pPr>
              <w:jc w:val="right"/>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2,867</w:t>
            </w:r>
          </w:p>
        </w:tc>
      </w:tr>
      <w:tr>
        <w:trPr>
          <w:trHeight w:val="230"/>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544</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3,610</w:t>
            </w:r>
          </w:p>
        </w:tc>
        <w:tc>
          <w:tcPr>
            <w:tcW w:w="1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6,960</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7,535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w:t>
            </w:r>
          </w:p>
        </w:tc>
      </w:tr>
      <w:tr>
        <w:trPr>
          <w:trHeight w:val="230"/>
        </w:trPr>
        <w:tc>
          <w:tcPr>
            <w:tcW w:w="1420" w:type="dxa"/>
            <w:vAlign w:val="bottom"/>
          </w:tcPr>
          <w:p>
            <w:pPr>
              <w:ind w:left="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927</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4,896</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6,947</w:t>
            </w:r>
          </w:p>
        </w:tc>
        <w:tc>
          <w:tcPr>
            <w:tcW w:w="700" w:type="dxa"/>
            <w:vAlign w:val="bottom"/>
          </w:tcPr>
          <w:p>
            <w:pPr>
              <w:jc w:val="right"/>
              <w:spacing w:after="0"/>
              <w:rPr>
                <w:sz w:val="20"/>
                <w:szCs w:val="20"/>
                <w:color w:val="auto"/>
              </w:rPr>
            </w:pPr>
            <w:r>
              <w:rPr>
                <w:rFonts w:ascii="Arial" w:cs="Arial" w:eastAsia="Arial" w:hAnsi="Arial"/>
                <w:sz w:val="18"/>
                <w:szCs w:val="18"/>
                <w:color w:val="auto"/>
              </w:rPr>
              <w:t>7,864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8,270</w:t>
            </w:r>
          </w:p>
        </w:tc>
      </w:tr>
      <w:tr>
        <w:trPr>
          <w:trHeight w:val="230"/>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633</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5,370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10,257</w:t>
            </w:r>
          </w:p>
        </w:tc>
      </w:tr>
      <w:tr>
        <w:trPr>
          <w:trHeight w:val="229"/>
        </w:trPr>
        <w:tc>
          <w:tcPr>
            <w:tcW w:w="142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1,310</w:t>
            </w:r>
          </w:p>
        </w:tc>
        <w:tc>
          <w:tcPr>
            <w:tcW w:w="700" w:type="dxa"/>
            <w:vAlign w:val="bottom"/>
          </w:tcPr>
          <w:p>
            <w:pPr>
              <w:jc w:val="right"/>
              <w:spacing w:after="0"/>
              <w:rPr>
                <w:sz w:val="20"/>
                <w:szCs w:val="20"/>
                <w:color w:val="auto"/>
              </w:rPr>
            </w:pPr>
            <w:r>
              <w:rPr>
                <w:rFonts w:ascii="Arial" w:cs="Arial" w:eastAsia="Arial" w:hAnsi="Arial"/>
                <w:sz w:val="18"/>
                <w:szCs w:val="18"/>
                <w:color w:val="auto"/>
              </w:rPr>
              <w:t>8,067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13,406</w:t>
            </w:r>
          </w:p>
        </w:tc>
      </w:tr>
      <w:tr>
        <w:trPr>
          <w:trHeight w:val="230"/>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8,049</w:t>
            </w:r>
          </w:p>
        </w:tc>
      </w:tr>
      <w:tr>
        <w:trPr>
          <w:trHeight w:val="230"/>
        </w:trPr>
        <w:tc>
          <w:tcPr>
            <w:tcW w:w="1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r>
      <w:tr>
        <w:trPr>
          <w:trHeight w:val="223"/>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54,788</w:t>
            </w:r>
          </w:p>
        </w:tc>
      </w:tr>
      <w:tr>
        <w:trPr>
          <w:trHeight w:val="230"/>
        </w:trPr>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700" w:type="dxa"/>
            <w:vAlign w:val="bottom"/>
            <w:gridSpan w:val="6"/>
          </w:tcPr>
          <w:p>
            <w:pPr>
              <w:jc w:val="right"/>
              <w:ind w:right="120"/>
              <w:spacing w:after="0"/>
              <w:rPr>
                <w:sz w:val="20"/>
                <w:szCs w:val="20"/>
                <w:color w:val="auto"/>
              </w:rPr>
            </w:pPr>
            <w:r>
              <w:rPr>
                <w:rFonts w:ascii="Arial" w:cs="Arial" w:eastAsia="Arial" w:hAnsi="Arial"/>
                <w:sz w:val="18"/>
                <w:szCs w:val="18"/>
                <w:color w:val="auto"/>
              </w:rPr>
              <w:t>All outstanding liabilities before 2011, net of reinsurance</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4"/>
              </w:rPr>
              <w:t>Reserve for losses and LAE, net of reinsurance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355,880</w:t>
            </w:r>
          </w:p>
        </w:tc>
      </w:tr>
    </w:tbl>
    <w:p>
      <w:pPr>
        <w:spacing w:after="0" w:line="323"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The following table provides a reconciliation of the net incurred losses and paid claims development tables above to the reserve for losses and LAE at December 31, 2020:</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9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Reserve for losses and LAE, net of reinsurance</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355,880</w:t>
            </w:r>
          </w:p>
        </w:tc>
      </w:tr>
      <w:tr>
        <w:trPr>
          <w:trHeight w:val="230"/>
        </w:trPr>
        <w:tc>
          <w:tcPr>
            <w:tcW w:w="9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Reinsurance recoverables on unpaid claims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19,061</w:t>
            </w:r>
          </w:p>
        </w:tc>
      </w:tr>
      <w:tr>
        <w:trPr>
          <w:trHeight w:val="248"/>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gross reserve for losses and LAE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374,941</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our mortgage insurance portfolio, our average annual payout of losses as of December 31, 2020 is as follows: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Annual Percentage Payout of Incurred Losses and Allocated LAE by Year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Year</w:t>
            </w:r>
          </w:p>
        </w:tc>
        <w:tc>
          <w:tcPr>
            <w:tcW w:w="82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9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9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94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w:t>
            </w:r>
          </w:p>
        </w:tc>
      </w:tr>
      <w:tr>
        <w:trPr>
          <w:trHeight w:val="196"/>
        </w:trPr>
        <w:tc>
          <w:tcPr>
            <w:tcW w:w="30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Payout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0 %</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256" w:lineRule="exact"/>
        <w:rPr>
          <w:sz w:val="20"/>
          <w:szCs w:val="20"/>
          <w:color w:val="auto"/>
        </w:rPr>
      </w:pPr>
    </w:p>
    <w:p>
      <w:pPr>
        <w:ind w:right="20" w:firstLine="405"/>
        <w:spacing w:after="0" w:line="267" w:lineRule="auto"/>
        <w:rPr>
          <w:sz w:val="20"/>
          <w:szCs w:val="20"/>
          <w:color w:val="auto"/>
        </w:rPr>
      </w:pPr>
      <w:r>
        <w:rPr>
          <w:rFonts w:ascii="Arial" w:cs="Arial" w:eastAsia="Arial" w:hAnsi="Arial"/>
          <w:sz w:val="17"/>
          <w:szCs w:val="17"/>
          <w:color w:val="auto"/>
        </w:rPr>
        <w:t>On October 14, 2020, Essent Group and its subsidiaries, Essent Irish Intermediate Holdings Limited and Essent US Holdings, Inc. (collectively, the "Borrowers"), entered into a second amended and restated, three-year secured credit facility with a committed capacity of $625 million (the “Credit Facility”). The Credit Facility amends and restates the three-year, secured revolving credit facility entered into on May 2, 2018, and provides for an increase in the revolving credit facility from $275 million to $300 million. At closing, $325 million of new term loans were issued, with $225 million of the proceeds used to repay the existing term loans outstanding and remaining $100 million along with Essent Group cash were used to pay down all amounts outstanding under the revolving component of the Credit Facility. The Credit Facility also provides an option to increase the capacity to $775 million.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 commitment fee rate at December 31, 2020 was 0.35%.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16). The borrowings under the Credit Facility contractually mature on October 16, 2023. As of December 31, 2020, the Company was in compliance with the covenants and $325 million had been borrowed under the Credit Facility with a weighted average interest rate of 2.19%. As of December 31, 2019, $225 million had been borrowed with a weighted average interest rate of 3.51%.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CUW Solutions' contract underwriting agreements with lenders and subject to contractual limitations on liability, we agree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indemnify certain lenders against losses incurred in the event that we make an error in determining whether loans processed meet specified underwriting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criteria, to the extent that such error materially restricts or impairs the salability of such loan, results in a material reduction in the value of such loan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results in the lender repurchasing the loan. The indemnification may be in the form of monetary or other remedies. For each of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and 2019, we paid less than $0.1 million related to remedies. As of December 31, 2020, management believes any potential claims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indemnification related to contract underwriting services through December 31, 2020 are not material to our consolidated financial position or results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38" w:lineRule="exact"/>
        <w:rPr>
          <w:sz w:val="20"/>
          <w:szCs w:val="20"/>
          <w:color w:val="auto"/>
        </w:rPr>
      </w:pPr>
    </w:p>
    <w:p>
      <w:pPr>
        <w:ind w:right="120" w:firstLine="445"/>
        <w:spacing w:after="0" w:line="253" w:lineRule="auto"/>
        <w:rPr>
          <w:sz w:val="20"/>
          <w:szCs w:val="20"/>
          <w:color w:val="auto"/>
        </w:rPr>
      </w:pPr>
      <w:r>
        <w:rPr>
          <w:rFonts w:ascii="Arial" w:cs="Arial" w:eastAsia="Arial" w:hAnsi="Arial"/>
          <w:sz w:val="18"/>
          <w:szCs w:val="18"/>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December 31, 2020,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consolidated balance sheets related to these indemnifications.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56" w:lineRule="exact"/>
        <w:rPr>
          <w:sz w:val="20"/>
          <w:szCs w:val="20"/>
          <w:color w:val="auto"/>
        </w:rPr>
      </w:pPr>
    </w:p>
    <w:p>
      <w:pPr>
        <w:ind w:right="100" w:firstLine="445"/>
        <w:spacing w:after="0" w:line="290" w:lineRule="auto"/>
        <w:rPr>
          <w:sz w:val="20"/>
          <w:szCs w:val="20"/>
          <w:color w:val="auto"/>
        </w:rPr>
      </w:pPr>
      <w:r>
        <w:rPr>
          <w:rFonts w:ascii="Arial" w:cs="Arial" w:eastAsia="Arial" w:hAnsi="Arial"/>
          <w:sz w:val="16"/>
          <w:szCs w:val="16"/>
          <w:color w:val="auto"/>
        </w:rPr>
        <w:t>We lease office space for use in our operations under leases accounted for as operating leases. These leases generally include options to extend them for periods of up to ten years. Our option to extend the term of our primary office locations at the greater of existing or prevailing market rates was not recognized in our right-of-use asset and lease liability. When establishing the value of our right-of-use asset and lease liability, we determine the discount rate for the underlying leases using the prevailing market interest rate for a borrowing of the same duration of the lease plus the risk premium inherent in the borrowings under our Credit Facility. Operating lease right-of-use assets of $8.7 million and $10.0 million as of December 31, 2020 and 2019, respectively, are reported on our consolidated balance sheet as property and equipment. Operating lease liabilities of $10.9 million and $12.6 million as of December 31, 2020 and 2019, respectively, are reported on our consolidated balance sheet as other accrued liabilities. Total rent expense was $2.4 million, $2.5 million and $2.1 million for the years ended December 31, 2020, 2019 and 2018, respectively.</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lease cost and other lease information as of and for the years ended December 31: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73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700" w:type="dxa"/>
            <w:vAlign w:val="bottom"/>
          </w:tcPr>
          <w:p>
            <w:pPr>
              <w:spacing w:after="0"/>
              <w:rPr>
                <w:sz w:val="16"/>
                <w:szCs w:val="16"/>
                <w:color w:val="auto"/>
              </w:rPr>
            </w:pPr>
          </w:p>
        </w:tc>
        <w:tc>
          <w:tcPr>
            <w:tcW w:w="1160" w:type="dxa"/>
            <w:vAlign w:val="bottom"/>
          </w:tcPr>
          <w:p>
            <w:pPr>
              <w:jc w:val="right"/>
              <w:ind w:right="6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jc w:val="right"/>
              <w:ind w:right="691"/>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6"/>
                <w:szCs w:val="16"/>
                <w:color w:val="auto"/>
              </w:rPr>
            </w:pPr>
          </w:p>
        </w:tc>
      </w:tr>
      <w:tr>
        <w:trPr>
          <w:trHeight w:val="224"/>
        </w:trPr>
        <w:tc>
          <w:tcPr>
            <w:tcW w:w="20" w:type="dxa"/>
            <w:vAlign w:val="bottom"/>
            <w:tcBorders>
              <w:top w:val="single" w:sz="8" w:color="auto"/>
            </w:tcBorders>
            <w:shd w:val="clear" w:color="auto" w:fill="CCEEFF"/>
          </w:tcPr>
          <w:p>
            <w:pPr>
              <w:spacing w:after="0"/>
              <w:rPr>
                <w:sz w:val="19"/>
                <w:szCs w:val="19"/>
                <w:color w:val="auto"/>
              </w:rPr>
            </w:pPr>
          </w:p>
        </w:tc>
        <w:tc>
          <w:tcPr>
            <w:tcW w:w="7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Lease cost:</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380" w:type="dxa"/>
            <w:vAlign w:val="bottom"/>
            <w:gridSpan w:val="3"/>
          </w:tcPr>
          <w:p>
            <w:pPr>
              <w:ind w:left="120"/>
              <w:spacing w:after="0"/>
              <w:rPr>
                <w:sz w:val="20"/>
                <w:szCs w:val="20"/>
                <w:color w:val="auto"/>
              </w:rPr>
            </w:pPr>
            <w:r>
              <w:rPr>
                <w:rFonts w:ascii="Arial" w:cs="Arial" w:eastAsia="Arial" w:hAnsi="Arial"/>
                <w:sz w:val="18"/>
                <w:szCs w:val="18"/>
                <w:color w:val="auto"/>
              </w:rPr>
              <w:t>Operating lease cost</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19"/>
                <w:szCs w:val="19"/>
                <w:color w:val="auto"/>
              </w:rPr>
            </w:pPr>
          </w:p>
        </w:tc>
        <w:tc>
          <w:tcPr>
            <w:tcW w:w="780" w:type="dxa"/>
            <w:vAlign w:val="bottom"/>
            <w:gridSpan w:val="2"/>
          </w:tcPr>
          <w:p>
            <w:pPr>
              <w:jc w:val="right"/>
              <w:ind w:right="5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2,479</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Short-term lease cost</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3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Sublease income</w:t>
            </w: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(129)</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 lease cost</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2,420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2,451</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7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380" w:type="dxa"/>
            <w:vAlign w:val="bottom"/>
            <w:gridSpan w:val="3"/>
          </w:tcPr>
          <w:p>
            <w:pPr>
              <w:ind w:left="120"/>
              <w:spacing w:after="0"/>
              <w:rPr>
                <w:sz w:val="20"/>
                <w:szCs w:val="20"/>
                <w:color w:val="auto"/>
              </w:rPr>
            </w:pPr>
            <w:r>
              <w:rPr>
                <w:rFonts w:ascii="Arial" w:cs="Arial" w:eastAsia="Arial" w:hAnsi="Arial"/>
                <w:sz w:val="18"/>
                <w:szCs w:val="18"/>
                <w:color w:val="auto"/>
              </w:rPr>
              <w:t>Weighted average remaining lease term - operating leases</w:t>
            </w:r>
          </w:p>
        </w:tc>
        <w:tc>
          <w:tcPr>
            <w:tcW w:w="700" w:type="dxa"/>
            <w:vAlign w:val="bottom"/>
          </w:tcPr>
          <w:p>
            <w:pPr>
              <w:spacing w:after="0"/>
              <w:rPr>
                <w:sz w:val="19"/>
                <w:szCs w:val="19"/>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w w:val="99"/>
              </w:rPr>
              <w:t>3.8 years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w w:val="86"/>
              </w:rPr>
              <w:t>4.8 years</w:t>
            </w:r>
          </w:p>
        </w:tc>
      </w:tr>
      <w:tr>
        <w:trPr>
          <w:trHeight w:val="230"/>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Weighted average discount rate - operating leases</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4.0 %</w:t>
            </w:r>
          </w:p>
        </w:tc>
      </w:tr>
      <w:tr>
        <w:trPr>
          <w:trHeight w:val="540"/>
        </w:trPr>
        <w:tc>
          <w:tcPr>
            <w:tcW w:w="20" w:type="dxa"/>
            <w:vAlign w:val="bottom"/>
          </w:tcPr>
          <w:p>
            <w:pPr>
              <w:spacing w:after="0"/>
              <w:rPr>
                <w:sz w:val="24"/>
                <w:szCs w:val="24"/>
                <w:color w:val="auto"/>
              </w:rPr>
            </w:pPr>
          </w:p>
        </w:tc>
        <w:tc>
          <w:tcPr>
            <w:tcW w:w="8080" w:type="dxa"/>
            <w:vAlign w:val="bottom"/>
            <w:gridSpan w:val="4"/>
          </w:tcPr>
          <w:p>
            <w:pPr>
              <w:ind w:left="480"/>
              <w:spacing w:after="0"/>
              <w:rPr>
                <w:sz w:val="20"/>
                <w:szCs w:val="20"/>
                <w:color w:val="auto"/>
              </w:rPr>
            </w:pPr>
            <w:r>
              <w:rPr>
                <w:rFonts w:ascii="Arial" w:cs="Arial" w:eastAsia="Arial" w:hAnsi="Arial"/>
                <w:sz w:val="18"/>
                <w:szCs w:val="18"/>
                <w:color w:val="auto"/>
                <w:w w:val="92"/>
              </w:rPr>
              <w:t>The following table presents a maturity analysis of our lease liabilities as follows at December 31, 2020:</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738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(In thousands)</w:t>
            </w:r>
          </w:p>
        </w:tc>
        <w:tc>
          <w:tcPr>
            <w:tcW w:w="7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20" w:type="dxa"/>
            <w:vAlign w:val="bottom"/>
          </w:tcPr>
          <w:p>
            <w:pPr>
              <w:spacing w:after="0"/>
              <w:rPr>
                <w:sz w:val="19"/>
                <w:szCs w:val="19"/>
                <w:color w:val="auto"/>
              </w:rPr>
            </w:pPr>
          </w:p>
        </w:tc>
      </w:tr>
      <w:tr>
        <w:trPr>
          <w:trHeight w:val="230"/>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3,309</w:t>
            </w:r>
          </w:p>
        </w:tc>
        <w:tc>
          <w:tcPr>
            <w:tcW w:w="20" w:type="dxa"/>
            <w:vAlign w:val="bottom"/>
          </w:tcPr>
          <w:p>
            <w:pPr>
              <w:spacing w:after="0"/>
              <w:rPr>
                <w:sz w:val="19"/>
                <w:szCs w:val="19"/>
                <w:color w:val="auto"/>
              </w:rPr>
            </w:pPr>
          </w:p>
        </w:tc>
      </w:tr>
      <w:tr>
        <w:trPr>
          <w:trHeight w:val="230"/>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20" w:type="dxa"/>
            <w:vAlign w:val="bottom"/>
          </w:tcPr>
          <w:p>
            <w:pPr>
              <w:spacing w:after="0"/>
              <w:rPr>
                <w:sz w:val="19"/>
                <w:szCs w:val="19"/>
                <w:color w:val="auto"/>
              </w:rPr>
            </w:pPr>
          </w:p>
        </w:tc>
      </w:tr>
      <w:tr>
        <w:trPr>
          <w:trHeight w:val="230"/>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1,334</w:t>
            </w:r>
          </w:p>
        </w:tc>
        <w:tc>
          <w:tcPr>
            <w:tcW w:w="20" w:type="dxa"/>
            <w:vAlign w:val="bottom"/>
          </w:tcPr>
          <w:p>
            <w:pPr>
              <w:spacing w:after="0"/>
              <w:rPr>
                <w:sz w:val="19"/>
                <w:szCs w:val="19"/>
                <w:color w:val="auto"/>
              </w:rPr>
            </w:pPr>
          </w:p>
        </w:tc>
      </w:tr>
      <w:tr>
        <w:trPr>
          <w:trHeight w:val="22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0" w:type="dxa"/>
            <w:vAlign w:val="bottom"/>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3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2026 and thereafter</w:t>
            </w:r>
          </w:p>
        </w:tc>
        <w:tc>
          <w:tcPr>
            <w:tcW w:w="7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lease payments to be paid</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11,714</w:t>
            </w:r>
          </w:p>
        </w:tc>
        <w:tc>
          <w:tcPr>
            <w:tcW w:w="20" w:type="dxa"/>
            <w:vAlign w:val="bottom"/>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3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Future interest expense</w:t>
            </w:r>
          </w:p>
        </w:tc>
        <w:tc>
          <w:tcPr>
            <w:tcW w:w="7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20" w:type="dxa"/>
            <w:vAlign w:val="bottom"/>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7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10,850</w:t>
            </w:r>
          </w:p>
        </w:tc>
        <w:tc>
          <w:tcPr>
            <w:tcW w:w="2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3"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The maturity analysis of our lease liabilities shown above have not been reduced by minimum sublease rental income of $0.1 million due in 2021 under the non-cancelable sublease.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 Stock</w:t>
      </w:r>
    </w:p>
    <w:p>
      <w:pPr>
        <w:spacing w:after="0" w:line="256" w:lineRule="exact"/>
        <w:rPr>
          <w:sz w:val="20"/>
          <w:szCs w:val="20"/>
          <w:color w:val="auto"/>
        </w:rPr>
      </w:pPr>
    </w:p>
    <w:p>
      <w:pPr>
        <w:ind w:right="200" w:firstLine="405"/>
        <w:spacing w:after="0" w:line="285" w:lineRule="auto"/>
        <w:rPr>
          <w:sz w:val="20"/>
          <w:szCs w:val="20"/>
          <w:color w:val="auto"/>
        </w:rPr>
      </w:pPr>
      <w:r>
        <w:rPr>
          <w:rFonts w:ascii="Arial" w:cs="Arial" w:eastAsia="Arial" w:hAnsi="Arial"/>
          <w:sz w:val="16"/>
          <w:szCs w:val="16"/>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w:t>
      </w:r>
    </w:p>
    <w:p>
      <w:pPr>
        <w:spacing w:after="0" w:line="2"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220" w:lineRule="exact"/>
        <w:rPr>
          <w:sz w:val="20"/>
          <w:szCs w:val="20"/>
          <w:color w:val="auto"/>
        </w:rPr>
      </w:pPr>
    </w:p>
    <w:p>
      <w:pPr>
        <w:ind w:right="560" w:firstLine="445"/>
        <w:spacing w:after="0" w:line="342" w:lineRule="auto"/>
        <w:rPr>
          <w:sz w:val="20"/>
          <w:szCs w:val="20"/>
          <w:color w:val="auto"/>
        </w:rPr>
      </w:pPr>
      <w:r>
        <w:rPr>
          <w:rFonts w:ascii="Arial" w:cs="Arial" w:eastAsia="Arial" w:hAnsi="Arial"/>
          <w:sz w:val="16"/>
          <w:szCs w:val="16"/>
          <w:color w:val="auto"/>
        </w:rPr>
        <w:t>In June 2020, Essent Group completed the sale of 13.8 million common shares in a public offering at a price of $33.25 per share. The total net proceeds from this offering were approximately $440.0 million after deducting underwriting discounts, commissions and other offering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During the third quarter of 2019, the Board of Directors declared Essent's inaugural quarterly cash dividend of $0.15 per common share which was paid in September 2019. In each subsequent quarter, we declared and paid quarterly cash dividends on our common shares. The following table presents the amounts declared and paid per common share each quarter: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1340" w:type="dxa"/>
            <w:vAlign w:val="bottom"/>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53"/>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June 30</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83"/>
        </w:trPr>
        <w:tc>
          <w:tcPr>
            <w:tcW w:w="20" w:type="dxa"/>
            <w:vAlign w:val="bottom"/>
            <w:tcBorders>
              <w:bottom w:val="single" w:sz="8" w:color="CCEEFF"/>
            </w:tcBorders>
          </w:tcPr>
          <w:p>
            <w:pPr>
              <w:spacing w:after="0"/>
              <w:rPr>
                <w:sz w:val="24"/>
                <w:szCs w:val="24"/>
                <w:color w:val="auto"/>
              </w:rPr>
            </w:pPr>
          </w:p>
        </w:tc>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December 31</w:t>
            </w:r>
          </w:p>
        </w:tc>
        <w:tc>
          <w:tcPr>
            <w:tcW w:w="4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0.15</w:t>
            </w:r>
          </w:p>
        </w:tc>
      </w:tr>
      <w:tr>
        <w:trPr>
          <w:trHeight w:val="223"/>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Total dividends per common share declared and paid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In February 2021, the Board of Directors declared a quarterly cash dividend of $0.16 per common share payable on March 19, 2021, to shareholders of record on March 10,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56"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In 2013, Essent Group's Board of Directors adopted, and Essent Group's shareholders approved, the Essent Group Ltd. 2013 Long-Term Incentive Plan (the "2013 Plan"), which was effective upon completion of the initial public offering. The types of awards available under the 2013 Plan include nonvested shares, nonvested share units, non-qualified share options, incentive stock options, share appreciation rights, and other share-based or cash-based awards. Nonvested shares and nonvested share units granted under the 2013 Plan have rights to dividends, which entitle the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The maximum number of shares and share units available for issuance is 7.5 million under the 2013 Plan. As of December 31, 2020, there were 3.7 million common shares available for future grant under the 2013 Plan.</w:t>
      </w:r>
    </w:p>
    <w:p>
      <w:pPr>
        <w:spacing w:after="0" w:line="192"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In September 2013, certain members of senior management were granted nonvested common shares under the 2013 Plan that were subject to time-based and performance-based vesting. The time-based share awards granted in September 2013 vested in four equal installments on January 1, 2015, 2016, 2017 and 2018. The performance-based share awards vested based upon our compounded annual book value per share growth percentage during a three-year performance period that commenced on January 1, 2014. The September 2013 performance-based share awards vested on the one-year anniversary of the completion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In May 2015, nonvested common shares were granted to an employee in connection with an employment agreement that were subject to time-based and performance-based vesting. The time-based share award vested in four equal installments on July 1, 2016, 2017, 2018 and 2019. The performance-based share award vested based upon our compounded annual book value per share growth percentage during a three-year performance period that commenced on January 1, 2015 and vested on July 1, 2019.</w:t>
      </w:r>
    </w:p>
    <w:p>
      <w:pPr>
        <w:spacing w:after="0" w:line="214"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In February of each year, 2015 through 2020, certain members of senior management were granted nonvested common shares under the 2013 Plan that were subject to time-based and performance-based vesting. The time-based share awards vest in three equal yearly installments commencing on March 1 of the year following the grant year. The performance-based share awards vest based upon our compounded annual book value per share growth percentage during a three-year performance period that commences on January 1 of the grant year and vest on March 1 following the end of the performance period.</w:t>
      </w:r>
    </w:p>
    <w:p>
      <w:pPr>
        <w:spacing w:after="0" w:line="215"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The portion of the nonvested performance-based share awards that will be earned based upon the achievement of compounded annual book value per share growth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4"/>
          </w:tcPr>
          <w:p>
            <w:pPr>
              <w:ind w:left="480"/>
              <w:spacing w:after="0"/>
              <w:rPr>
                <w:sz w:val="20"/>
                <w:szCs w:val="20"/>
                <w:color w:val="auto"/>
              </w:rPr>
            </w:pPr>
            <w:r>
              <w:rPr>
                <w:rFonts w:ascii="Arial" w:cs="Arial" w:eastAsia="Arial" w:hAnsi="Arial"/>
                <w:sz w:val="14"/>
                <w:szCs w:val="14"/>
                <w:b w:val="1"/>
                <w:bCs w:val="1"/>
                <w:color w:val="auto"/>
              </w:rPr>
              <w:t>2017 Performance-Based Grants</w:t>
            </w:r>
          </w:p>
        </w:tc>
        <w:tc>
          <w:tcPr>
            <w:tcW w:w="3120" w:type="dxa"/>
            <w:vAlign w:val="bottom"/>
            <w:gridSpan w:val="4"/>
          </w:tcPr>
          <w:p>
            <w:pPr>
              <w:ind w:left="500"/>
              <w:spacing w:after="0"/>
              <w:rPr>
                <w:sz w:val="20"/>
                <w:szCs w:val="20"/>
                <w:color w:val="auto"/>
              </w:rPr>
            </w:pPr>
            <w:r>
              <w:rPr>
                <w:rFonts w:ascii="Arial" w:cs="Arial" w:eastAsia="Arial" w:hAnsi="Arial"/>
                <w:sz w:val="14"/>
                <w:szCs w:val="14"/>
                <w:b w:val="1"/>
                <w:bCs w:val="1"/>
                <w:color w:val="auto"/>
              </w:rPr>
              <w:t>2016 Performance-Based Grants</w:t>
            </w:r>
          </w:p>
        </w:tc>
        <w:tc>
          <w:tcPr>
            <w:tcW w:w="3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2013, 2014 and 2015 Performance-Based Grants</w:t>
            </w:r>
          </w:p>
        </w:tc>
        <w:tc>
          <w:tcPr>
            <w:tcW w:w="0" w:type="dxa"/>
            <w:vAlign w:val="bottom"/>
          </w:tcPr>
          <w:p>
            <w:pPr>
              <w:spacing w:after="0"/>
              <w:rPr>
                <w:sz w:val="1"/>
                <w:szCs w:val="1"/>
                <w:color w:val="auto"/>
              </w:rPr>
            </w:pPr>
          </w:p>
        </w:tc>
      </w:tr>
      <w:tr>
        <w:trPr>
          <w:trHeight w:val="108"/>
        </w:trPr>
        <w:tc>
          <w:tcPr>
            <w:tcW w:w="1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40" w:type="dxa"/>
            <w:vAlign w:val="bottom"/>
            <w:tcBorders>
              <w:top w:val="single" w:sz="8" w:color="auto"/>
            </w:tcBorders>
            <w:gridSpan w:val="2"/>
          </w:tcPr>
          <w:p>
            <w:pPr>
              <w:jc w:val="center"/>
              <w:ind w:right="120"/>
              <w:spacing w:after="0" w:line="107" w:lineRule="exact"/>
              <w:rPr>
                <w:sz w:val="20"/>
                <w:szCs w:val="20"/>
                <w:color w:val="auto"/>
              </w:rPr>
            </w:pPr>
            <w:r>
              <w:rPr>
                <w:rFonts w:ascii="Arial" w:cs="Arial" w:eastAsia="Arial" w:hAnsi="Arial"/>
                <w:sz w:val="11"/>
                <w:szCs w:val="11"/>
                <w:b w:val="1"/>
                <w:bCs w:val="1"/>
                <w:color w:val="auto"/>
                <w:w w:val="87"/>
              </w:rPr>
              <w:t>Compounded</w:t>
            </w:r>
          </w:p>
        </w:tc>
        <w:tc>
          <w:tcPr>
            <w:tcW w:w="14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1"/>
                <w:szCs w:val="11"/>
                <w:b w:val="1"/>
                <w:bCs w:val="1"/>
                <w:color w:val="auto"/>
                <w:w w:val="85"/>
              </w:rPr>
              <w:t>Nonvested</w:t>
            </w:r>
          </w:p>
        </w:tc>
        <w:tc>
          <w:tcPr>
            <w:tcW w:w="100" w:type="dxa"/>
            <w:vAlign w:val="bottom"/>
          </w:tcPr>
          <w:p>
            <w:pPr>
              <w:spacing w:after="0"/>
              <w:rPr>
                <w:sz w:val="9"/>
                <w:szCs w:val="9"/>
                <w:color w:val="auto"/>
              </w:rPr>
            </w:pPr>
          </w:p>
        </w:tc>
        <w:tc>
          <w:tcPr>
            <w:tcW w:w="1560" w:type="dxa"/>
            <w:vAlign w:val="bottom"/>
            <w:tcBorders>
              <w:top w:val="single" w:sz="8" w:color="auto"/>
            </w:tcBorders>
            <w:gridSpan w:val="2"/>
          </w:tcPr>
          <w:p>
            <w:pPr>
              <w:jc w:val="center"/>
              <w:ind w:right="100"/>
              <w:spacing w:after="0" w:line="107" w:lineRule="exact"/>
              <w:rPr>
                <w:sz w:val="20"/>
                <w:szCs w:val="20"/>
                <w:color w:val="auto"/>
              </w:rPr>
            </w:pPr>
            <w:r>
              <w:rPr>
                <w:rFonts w:ascii="Arial" w:cs="Arial" w:eastAsia="Arial" w:hAnsi="Arial"/>
                <w:sz w:val="11"/>
                <w:szCs w:val="11"/>
                <w:b w:val="1"/>
                <w:bCs w:val="1"/>
                <w:color w:val="auto"/>
                <w:w w:val="87"/>
              </w:rPr>
              <w:t>Compounded</w:t>
            </w:r>
          </w:p>
        </w:tc>
        <w:tc>
          <w:tcPr>
            <w:tcW w:w="146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1"/>
                <w:szCs w:val="11"/>
                <w:b w:val="1"/>
                <w:bCs w:val="1"/>
                <w:color w:val="auto"/>
                <w:w w:val="85"/>
              </w:rPr>
              <w:t>Nonvested</w:t>
            </w:r>
          </w:p>
        </w:tc>
        <w:tc>
          <w:tcPr>
            <w:tcW w:w="100" w:type="dxa"/>
            <w:vAlign w:val="bottom"/>
          </w:tcPr>
          <w:p>
            <w:pPr>
              <w:spacing w:after="0"/>
              <w:rPr>
                <w:sz w:val="9"/>
                <w:szCs w:val="9"/>
                <w:color w:val="auto"/>
              </w:rPr>
            </w:pPr>
          </w:p>
        </w:tc>
        <w:tc>
          <w:tcPr>
            <w:tcW w:w="1580" w:type="dxa"/>
            <w:vAlign w:val="bottom"/>
            <w:tcBorders>
              <w:top w:val="single" w:sz="8" w:color="auto"/>
            </w:tcBorders>
            <w:gridSpan w:val="2"/>
          </w:tcPr>
          <w:p>
            <w:pPr>
              <w:jc w:val="center"/>
              <w:ind w:right="100"/>
              <w:spacing w:after="0" w:line="107" w:lineRule="exact"/>
              <w:rPr>
                <w:sz w:val="20"/>
                <w:szCs w:val="20"/>
                <w:color w:val="auto"/>
              </w:rPr>
            </w:pPr>
            <w:r>
              <w:rPr>
                <w:rFonts w:ascii="Arial" w:cs="Arial" w:eastAsia="Arial" w:hAnsi="Arial"/>
                <w:sz w:val="11"/>
                <w:szCs w:val="11"/>
                <w:b w:val="1"/>
                <w:bCs w:val="1"/>
                <w:color w:val="auto"/>
                <w:w w:val="90"/>
              </w:rPr>
              <w:t>Compounded</w:t>
            </w:r>
          </w:p>
        </w:tc>
        <w:tc>
          <w:tcPr>
            <w:tcW w:w="146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1"/>
                <w:szCs w:val="11"/>
                <w:b w:val="1"/>
                <w:bCs w:val="1"/>
                <w:color w:val="auto"/>
                <w:w w:val="85"/>
              </w:rPr>
              <w:t>Nonvested</w:t>
            </w:r>
          </w:p>
        </w:tc>
        <w:tc>
          <w:tcPr>
            <w:tcW w:w="0" w:type="dxa"/>
            <w:vAlign w:val="bottom"/>
          </w:tcPr>
          <w:p>
            <w:pPr>
              <w:spacing w:after="0"/>
              <w:rPr>
                <w:sz w:val="1"/>
                <w:szCs w:val="1"/>
                <w:color w:val="auto"/>
              </w:rPr>
            </w:pPr>
          </w:p>
        </w:tc>
      </w:tr>
      <w:tr>
        <w:trPr>
          <w:trHeight w:val="108"/>
        </w:trPr>
        <w:tc>
          <w:tcPr>
            <w:tcW w:w="2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Performance</w:t>
            </w:r>
          </w:p>
        </w:tc>
        <w:tc>
          <w:tcPr>
            <w:tcW w:w="15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Annual Book</w:t>
            </w:r>
          </w:p>
        </w:tc>
        <w:tc>
          <w:tcPr>
            <w:tcW w:w="15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2"/>
              </w:rPr>
              <w:t>Common</w:t>
            </w:r>
          </w:p>
        </w:tc>
        <w:tc>
          <w:tcPr>
            <w:tcW w:w="15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1"/>
              </w:rPr>
              <w:t>Annual Book</w:t>
            </w:r>
          </w:p>
        </w:tc>
        <w:tc>
          <w:tcPr>
            <w:tcW w:w="15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Common</w:t>
            </w:r>
          </w:p>
        </w:tc>
        <w:tc>
          <w:tcPr>
            <w:tcW w:w="158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Annual Book</w:t>
            </w:r>
          </w:p>
        </w:tc>
        <w:tc>
          <w:tcPr>
            <w:tcW w:w="14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8"/>
              </w:rPr>
              <w:t>Common</w:t>
            </w:r>
          </w:p>
        </w:tc>
        <w:tc>
          <w:tcPr>
            <w:tcW w:w="0" w:type="dxa"/>
            <w:vAlign w:val="bottom"/>
          </w:tcPr>
          <w:p>
            <w:pPr>
              <w:spacing w:after="0"/>
              <w:rPr>
                <w:sz w:val="1"/>
                <w:szCs w:val="1"/>
                <w:color w:val="auto"/>
              </w:rPr>
            </w:pPr>
          </w:p>
        </w:tc>
      </w:tr>
      <w:tr>
        <w:trPr>
          <w:trHeight w:val="108"/>
        </w:trPr>
        <w:tc>
          <w:tcPr>
            <w:tcW w:w="2000" w:type="dxa"/>
            <w:vAlign w:val="bottom"/>
            <w:gridSpan w:val="2"/>
            <w:vMerge w:val="continue"/>
          </w:tcPr>
          <w:p>
            <w:pPr>
              <w:spacing w:after="0"/>
              <w:rPr>
                <w:sz w:val="9"/>
                <w:szCs w:val="9"/>
                <w:color w:val="auto"/>
              </w:rPr>
            </w:pPr>
          </w:p>
        </w:tc>
        <w:tc>
          <w:tcPr>
            <w:tcW w:w="154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8"/>
              </w:rPr>
              <w:t>Value Per Share</w:t>
            </w:r>
          </w:p>
        </w:tc>
        <w:tc>
          <w:tcPr>
            <w:tcW w:w="15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Shares</w:t>
            </w:r>
          </w:p>
        </w:tc>
        <w:tc>
          <w:tcPr>
            <w:tcW w:w="15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Value Per Share</w:t>
            </w:r>
          </w:p>
        </w:tc>
        <w:tc>
          <w:tcPr>
            <w:tcW w:w="15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1"/>
              </w:rPr>
              <w:t>Shares</w:t>
            </w:r>
          </w:p>
        </w:tc>
        <w:tc>
          <w:tcPr>
            <w:tcW w:w="158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8"/>
              </w:rPr>
              <w:t>Value Per Share</w:t>
            </w:r>
          </w:p>
        </w:tc>
        <w:tc>
          <w:tcPr>
            <w:tcW w:w="14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1"/>
              </w:rPr>
              <w:t>Shares</w:t>
            </w:r>
          </w:p>
        </w:tc>
        <w:tc>
          <w:tcPr>
            <w:tcW w:w="0" w:type="dxa"/>
            <w:vAlign w:val="bottom"/>
          </w:tcPr>
          <w:p>
            <w:pPr>
              <w:spacing w:after="0"/>
              <w:rPr>
                <w:sz w:val="1"/>
                <w:szCs w:val="1"/>
                <w:color w:val="auto"/>
              </w:rPr>
            </w:pPr>
          </w:p>
        </w:tc>
      </w:tr>
      <w:tr>
        <w:trPr>
          <w:trHeight w:val="162"/>
        </w:trPr>
        <w:tc>
          <w:tcPr>
            <w:tcW w:w="200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w:t>
            </w:r>
          </w:p>
        </w:tc>
        <w:tc>
          <w:tcPr>
            <w:tcW w:w="15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Growth</w:t>
            </w:r>
          </w:p>
        </w:tc>
        <w:tc>
          <w:tcPr>
            <w:tcW w:w="15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Earned</w:t>
            </w:r>
          </w:p>
        </w:tc>
        <w:tc>
          <w:tcPr>
            <w:tcW w:w="1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Growth</w:t>
            </w:r>
          </w:p>
        </w:tc>
        <w:tc>
          <w:tcPr>
            <w:tcW w:w="15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Earned</w:t>
            </w: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Growth</w:t>
            </w:r>
          </w:p>
        </w:tc>
        <w:tc>
          <w:tcPr>
            <w:tcW w:w="1460" w:type="dxa"/>
            <w:vAlign w:val="bottom"/>
          </w:tcPr>
          <w:p>
            <w:pPr>
              <w:jc w:val="center"/>
              <w:spacing w:after="0"/>
              <w:rPr>
                <w:sz w:val="20"/>
                <w:szCs w:val="20"/>
                <w:color w:val="auto"/>
              </w:rPr>
            </w:pPr>
            <w:r>
              <w:rPr>
                <w:rFonts w:ascii="Arial" w:cs="Arial" w:eastAsia="Arial" w:hAnsi="Arial"/>
                <w:sz w:val="11"/>
                <w:szCs w:val="11"/>
                <w:b w:val="1"/>
                <w:bCs w:val="1"/>
                <w:color w:val="auto"/>
                <w:w w:val="91"/>
              </w:rPr>
              <w:t>Earned</w:t>
            </w:r>
          </w:p>
        </w:tc>
        <w:tc>
          <w:tcPr>
            <w:tcW w:w="0" w:type="dxa"/>
            <w:vAlign w:val="bottom"/>
          </w:tcPr>
          <w:p>
            <w:pPr>
              <w:spacing w:after="0"/>
              <w:rPr>
                <w:sz w:val="1"/>
                <w:szCs w:val="1"/>
                <w:color w:val="auto"/>
              </w:rPr>
            </w:pPr>
          </w:p>
        </w:tc>
      </w:tr>
      <w:tr>
        <w:trPr>
          <w:trHeight w:val="223"/>
        </w:trPr>
        <w:tc>
          <w:tcPr>
            <w:tcW w:w="1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&lt;16 %</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&lt;13 %</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&lt;11 %</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30"/>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Threshold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29"/>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Maximum</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≥19 %</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≥16 %</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≥15 %</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548"/>
        </w:trPr>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4"/>
          </w:tcPr>
          <w:p>
            <w:pPr>
              <w:ind w:left="480"/>
              <w:spacing w:after="0"/>
              <w:rPr>
                <w:sz w:val="20"/>
                <w:szCs w:val="20"/>
                <w:color w:val="auto"/>
              </w:rPr>
            </w:pPr>
            <w:r>
              <w:rPr>
                <w:rFonts w:ascii="Arial" w:cs="Arial" w:eastAsia="Arial" w:hAnsi="Arial"/>
                <w:sz w:val="14"/>
                <w:szCs w:val="14"/>
                <w:b w:val="1"/>
                <w:bCs w:val="1"/>
                <w:color w:val="auto"/>
              </w:rPr>
              <w:t>2020 Performance-Based Grants</w:t>
            </w:r>
          </w:p>
        </w:tc>
        <w:tc>
          <w:tcPr>
            <w:tcW w:w="3120" w:type="dxa"/>
            <w:vAlign w:val="bottom"/>
            <w:gridSpan w:val="4"/>
          </w:tcPr>
          <w:p>
            <w:pPr>
              <w:ind w:left="500"/>
              <w:spacing w:after="0"/>
              <w:rPr>
                <w:sz w:val="20"/>
                <w:szCs w:val="20"/>
                <w:color w:val="auto"/>
              </w:rPr>
            </w:pPr>
            <w:r>
              <w:rPr>
                <w:rFonts w:ascii="Arial" w:cs="Arial" w:eastAsia="Arial" w:hAnsi="Arial"/>
                <w:sz w:val="14"/>
                <w:szCs w:val="14"/>
                <w:b w:val="1"/>
                <w:bCs w:val="1"/>
                <w:color w:val="auto"/>
              </w:rPr>
              <w:t>2019 Performance-Based Grants</w:t>
            </w:r>
          </w:p>
        </w:tc>
        <w:tc>
          <w:tcPr>
            <w:tcW w:w="3040" w:type="dxa"/>
            <w:vAlign w:val="bottom"/>
            <w:gridSpan w:val="3"/>
          </w:tcPr>
          <w:p>
            <w:pPr>
              <w:jc w:val="right"/>
              <w:ind w:right="445"/>
              <w:spacing w:after="0"/>
              <w:rPr>
                <w:sz w:val="20"/>
                <w:szCs w:val="20"/>
                <w:color w:val="auto"/>
              </w:rPr>
            </w:pPr>
            <w:r>
              <w:rPr>
                <w:rFonts w:ascii="Arial" w:cs="Arial" w:eastAsia="Arial" w:hAnsi="Arial"/>
                <w:sz w:val="14"/>
                <w:szCs w:val="14"/>
                <w:b w:val="1"/>
                <w:bCs w:val="1"/>
                <w:color w:val="auto"/>
              </w:rPr>
              <w:t>2018 Performance-Based Grants</w:t>
            </w:r>
          </w:p>
        </w:tc>
        <w:tc>
          <w:tcPr>
            <w:tcW w:w="0" w:type="dxa"/>
            <w:vAlign w:val="bottom"/>
          </w:tcPr>
          <w:p>
            <w:pPr>
              <w:spacing w:after="0"/>
              <w:rPr>
                <w:sz w:val="1"/>
                <w:szCs w:val="1"/>
                <w:color w:val="auto"/>
              </w:rPr>
            </w:pPr>
          </w:p>
        </w:tc>
      </w:tr>
      <w:tr>
        <w:trPr>
          <w:trHeight w:val="108"/>
        </w:trPr>
        <w:tc>
          <w:tcPr>
            <w:tcW w:w="1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40" w:type="dxa"/>
            <w:vAlign w:val="bottom"/>
            <w:tcBorders>
              <w:top w:val="single" w:sz="8" w:color="auto"/>
            </w:tcBorders>
            <w:gridSpan w:val="2"/>
          </w:tcPr>
          <w:p>
            <w:pPr>
              <w:jc w:val="center"/>
              <w:ind w:right="120"/>
              <w:spacing w:after="0" w:line="107" w:lineRule="exact"/>
              <w:rPr>
                <w:sz w:val="20"/>
                <w:szCs w:val="20"/>
                <w:color w:val="auto"/>
              </w:rPr>
            </w:pPr>
            <w:r>
              <w:rPr>
                <w:rFonts w:ascii="Arial" w:cs="Arial" w:eastAsia="Arial" w:hAnsi="Arial"/>
                <w:sz w:val="11"/>
                <w:szCs w:val="11"/>
                <w:b w:val="1"/>
                <w:bCs w:val="1"/>
                <w:color w:val="auto"/>
                <w:w w:val="87"/>
              </w:rPr>
              <w:t>Compounded</w:t>
            </w:r>
          </w:p>
        </w:tc>
        <w:tc>
          <w:tcPr>
            <w:tcW w:w="14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1"/>
                <w:szCs w:val="11"/>
                <w:b w:val="1"/>
                <w:bCs w:val="1"/>
                <w:color w:val="auto"/>
                <w:w w:val="85"/>
              </w:rPr>
              <w:t>Nonvested</w:t>
            </w:r>
          </w:p>
        </w:tc>
        <w:tc>
          <w:tcPr>
            <w:tcW w:w="100" w:type="dxa"/>
            <w:vAlign w:val="bottom"/>
          </w:tcPr>
          <w:p>
            <w:pPr>
              <w:spacing w:after="0"/>
              <w:rPr>
                <w:sz w:val="9"/>
                <w:szCs w:val="9"/>
                <w:color w:val="auto"/>
              </w:rPr>
            </w:pPr>
          </w:p>
        </w:tc>
        <w:tc>
          <w:tcPr>
            <w:tcW w:w="1560" w:type="dxa"/>
            <w:vAlign w:val="bottom"/>
            <w:tcBorders>
              <w:top w:val="single" w:sz="8" w:color="auto"/>
            </w:tcBorders>
            <w:gridSpan w:val="2"/>
          </w:tcPr>
          <w:p>
            <w:pPr>
              <w:jc w:val="center"/>
              <w:ind w:right="100"/>
              <w:spacing w:after="0" w:line="107" w:lineRule="exact"/>
              <w:rPr>
                <w:sz w:val="20"/>
                <w:szCs w:val="20"/>
                <w:color w:val="auto"/>
              </w:rPr>
            </w:pPr>
            <w:r>
              <w:rPr>
                <w:rFonts w:ascii="Arial" w:cs="Arial" w:eastAsia="Arial" w:hAnsi="Arial"/>
                <w:sz w:val="11"/>
                <w:szCs w:val="11"/>
                <w:b w:val="1"/>
                <w:bCs w:val="1"/>
                <w:color w:val="auto"/>
                <w:w w:val="87"/>
              </w:rPr>
              <w:t>Compounded</w:t>
            </w:r>
          </w:p>
        </w:tc>
        <w:tc>
          <w:tcPr>
            <w:tcW w:w="1560" w:type="dxa"/>
            <w:vAlign w:val="bottom"/>
            <w:tcBorders>
              <w:top w:val="single" w:sz="8" w:color="auto"/>
            </w:tcBorders>
            <w:gridSpan w:val="2"/>
          </w:tcPr>
          <w:p>
            <w:pPr>
              <w:jc w:val="center"/>
              <w:ind w:right="80"/>
              <w:spacing w:after="0" w:line="107" w:lineRule="exact"/>
              <w:rPr>
                <w:sz w:val="20"/>
                <w:szCs w:val="20"/>
                <w:color w:val="auto"/>
              </w:rPr>
            </w:pPr>
            <w:r>
              <w:rPr>
                <w:rFonts w:ascii="Arial" w:cs="Arial" w:eastAsia="Arial" w:hAnsi="Arial"/>
                <w:sz w:val="11"/>
                <w:szCs w:val="11"/>
                <w:b w:val="1"/>
                <w:bCs w:val="1"/>
                <w:color w:val="auto"/>
                <w:w w:val="85"/>
              </w:rPr>
              <w:t>Nonvested</w:t>
            </w:r>
          </w:p>
        </w:tc>
        <w:tc>
          <w:tcPr>
            <w:tcW w:w="1580" w:type="dxa"/>
            <w:vAlign w:val="bottom"/>
            <w:tcBorders>
              <w:top w:val="single" w:sz="8" w:color="auto"/>
            </w:tcBorders>
            <w:gridSpan w:val="2"/>
          </w:tcPr>
          <w:p>
            <w:pPr>
              <w:jc w:val="center"/>
              <w:ind w:right="100"/>
              <w:spacing w:after="0" w:line="107" w:lineRule="exact"/>
              <w:rPr>
                <w:sz w:val="20"/>
                <w:szCs w:val="20"/>
                <w:color w:val="auto"/>
              </w:rPr>
            </w:pPr>
            <w:r>
              <w:rPr>
                <w:rFonts w:ascii="Arial" w:cs="Arial" w:eastAsia="Arial" w:hAnsi="Arial"/>
                <w:sz w:val="11"/>
                <w:szCs w:val="11"/>
                <w:b w:val="1"/>
                <w:bCs w:val="1"/>
                <w:color w:val="auto"/>
                <w:w w:val="90"/>
              </w:rPr>
              <w:t>Compounded</w:t>
            </w:r>
          </w:p>
        </w:tc>
        <w:tc>
          <w:tcPr>
            <w:tcW w:w="146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1"/>
                <w:szCs w:val="11"/>
                <w:b w:val="1"/>
                <w:bCs w:val="1"/>
                <w:color w:val="auto"/>
                <w:w w:val="85"/>
              </w:rPr>
              <w:t>Nonvested</w:t>
            </w:r>
          </w:p>
        </w:tc>
        <w:tc>
          <w:tcPr>
            <w:tcW w:w="0" w:type="dxa"/>
            <w:vAlign w:val="bottom"/>
          </w:tcPr>
          <w:p>
            <w:pPr>
              <w:spacing w:after="0"/>
              <w:rPr>
                <w:sz w:val="1"/>
                <w:szCs w:val="1"/>
                <w:color w:val="auto"/>
              </w:rPr>
            </w:pPr>
          </w:p>
        </w:tc>
      </w:tr>
      <w:tr>
        <w:trPr>
          <w:trHeight w:val="108"/>
        </w:trPr>
        <w:tc>
          <w:tcPr>
            <w:tcW w:w="2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Performance</w:t>
            </w:r>
          </w:p>
        </w:tc>
        <w:tc>
          <w:tcPr>
            <w:tcW w:w="15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Annual Book</w:t>
            </w:r>
          </w:p>
        </w:tc>
        <w:tc>
          <w:tcPr>
            <w:tcW w:w="15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2"/>
              </w:rPr>
              <w:t>Common</w:t>
            </w:r>
          </w:p>
        </w:tc>
        <w:tc>
          <w:tcPr>
            <w:tcW w:w="15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1"/>
              </w:rPr>
              <w:t>Annual Book</w:t>
            </w:r>
          </w:p>
        </w:tc>
        <w:tc>
          <w:tcPr>
            <w:tcW w:w="15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Common</w:t>
            </w:r>
          </w:p>
        </w:tc>
        <w:tc>
          <w:tcPr>
            <w:tcW w:w="158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Annual Book</w:t>
            </w:r>
          </w:p>
        </w:tc>
        <w:tc>
          <w:tcPr>
            <w:tcW w:w="14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8"/>
              </w:rPr>
              <w:t>Common</w:t>
            </w:r>
          </w:p>
        </w:tc>
        <w:tc>
          <w:tcPr>
            <w:tcW w:w="0" w:type="dxa"/>
            <w:vAlign w:val="bottom"/>
          </w:tcPr>
          <w:p>
            <w:pPr>
              <w:spacing w:after="0"/>
              <w:rPr>
                <w:sz w:val="1"/>
                <w:szCs w:val="1"/>
                <w:color w:val="auto"/>
              </w:rPr>
            </w:pPr>
          </w:p>
        </w:tc>
      </w:tr>
      <w:tr>
        <w:trPr>
          <w:trHeight w:val="108"/>
        </w:trPr>
        <w:tc>
          <w:tcPr>
            <w:tcW w:w="2000" w:type="dxa"/>
            <w:vAlign w:val="bottom"/>
            <w:gridSpan w:val="2"/>
            <w:vMerge w:val="continue"/>
          </w:tcPr>
          <w:p>
            <w:pPr>
              <w:spacing w:after="0"/>
              <w:rPr>
                <w:sz w:val="9"/>
                <w:szCs w:val="9"/>
                <w:color w:val="auto"/>
              </w:rPr>
            </w:pPr>
          </w:p>
        </w:tc>
        <w:tc>
          <w:tcPr>
            <w:tcW w:w="154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8"/>
              </w:rPr>
              <w:t>Value Per Share</w:t>
            </w:r>
          </w:p>
        </w:tc>
        <w:tc>
          <w:tcPr>
            <w:tcW w:w="15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Shares</w:t>
            </w:r>
          </w:p>
        </w:tc>
        <w:tc>
          <w:tcPr>
            <w:tcW w:w="15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Value Per Share</w:t>
            </w:r>
          </w:p>
        </w:tc>
        <w:tc>
          <w:tcPr>
            <w:tcW w:w="15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1"/>
              </w:rPr>
              <w:t>Shares</w:t>
            </w:r>
          </w:p>
        </w:tc>
        <w:tc>
          <w:tcPr>
            <w:tcW w:w="158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8"/>
              </w:rPr>
              <w:t>Value Per Share</w:t>
            </w:r>
          </w:p>
        </w:tc>
        <w:tc>
          <w:tcPr>
            <w:tcW w:w="14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1"/>
              </w:rPr>
              <w:t>Shares</w:t>
            </w:r>
          </w:p>
        </w:tc>
        <w:tc>
          <w:tcPr>
            <w:tcW w:w="0" w:type="dxa"/>
            <w:vAlign w:val="bottom"/>
          </w:tcPr>
          <w:p>
            <w:pPr>
              <w:spacing w:after="0"/>
              <w:rPr>
                <w:sz w:val="1"/>
                <w:szCs w:val="1"/>
                <w:color w:val="auto"/>
              </w:rPr>
            </w:pPr>
          </w:p>
        </w:tc>
      </w:tr>
      <w:tr>
        <w:trPr>
          <w:trHeight w:val="162"/>
        </w:trPr>
        <w:tc>
          <w:tcPr>
            <w:tcW w:w="200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w:t>
            </w:r>
          </w:p>
        </w:tc>
        <w:tc>
          <w:tcPr>
            <w:tcW w:w="15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Growth</w:t>
            </w:r>
          </w:p>
        </w:tc>
        <w:tc>
          <w:tcPr>
            <w:tcW w:w="15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Earned</w:t>
            </w:r>
          </w:p>
        </w:tc>
        <w:tc>
          <w:tcPr>
            <w:tcW w:w="1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Growth</w:t>
            </w:r>
          </w:p>
        </w:tc>
        <w:tc>
          <w:tcPr>
            <w:tcW w:w="15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Earned</w:t>
            </w: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Growth</w:t>
            </w:r>
          </w:p>
        </w:tc>
        <w:tc>
          <w:tcPr>
            <w:tcW w:w="1460" w:type="dxa"/>
            <w:vAlign w:val="bottom"/>
          </w:tcPr>
          <w:p>
            <w:pPr>
              <w:jc w:val="center"/>
              <w:spacing w:after="0"/>
              <w:rPr>
                <w:sz w:val="20"/>
                <w:szCs w:val="20"/>
                <w:color w:val="auto"/>
              </w:rPr>
            </w:pPr>
            <w:r>
              <w:rPr>
                <w:rFonts w:ascii="Arial" w:cs="Arial" w:eastAsia="Arial" w:hAnsi="Arial"/>
                <w:sz w:val="11"/>
                <w:szCs w:val="11"/>
                <w:b w:val="1"/>
                <w:bCs w:val="1"/>
                <w:color w:val="auto"/>
                <w:w w:val="91"/>
              </w:rPr>
              <w:t>Earned</w:t>
            </w:r>
          </w:p>
        </w:tc>
        <w:tc>
          <w:tcPr>
            <w:tcW w:w="0" w:type="dxa"/>
            <w:vAlign w:val="bottom"/>
          </w:tcPr>
          <w:p>
            <w:pPr>
              <w:spacing w:after="0"/>
              <w:rPr>
                <w:sz w:val="1"/>
                <w:szCs w:val="1"/>
                <w:color w:val="auto"/>
              </w:rPr>
            </w:pPr>
          </w:p>
        </w:tc>
      </w:tr>
      <w:tr>
        <w:trPr>
          <w:trHeight w:val="223"/>
        </w:trPr>
        <w:tc>
          <w:tcPr>
            <w:tcW w:w="1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&lt;13 %</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&lt;14 %</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&lt;15 %</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30"/>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Threshold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Maximum</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≥17 %</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≥18 %</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≥18 %</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1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240" w:firstLine="445"/>
        <w:spacing w:after="0" w:line="311" w:lineRule="auto"/>
        <w:rPr>
          <w:sz w:val="20"/>
          <w:szCs w:val="20"/>
          <w:color w:val="auto"/>
        </w:rPr>
      </w:pPr>
      <w:r>
        <w:rPr>
          <w:rFonts w:ascii="Arial" w:cs="Arial" w:eastAsia="Arial" w:hAnsi="Arial"/>
          <w:sz w:val="16"/>
          <w:szCs w:val="16"/>
          <w:color w:val="auto"/>
        </w:rPr>
        <w:t>In the event that the compounded annual book value per share growth falls between the performance levels shown above, the nonvested common shares earned will be determined on a straight-line basis between the respective levels shown. The compounded annual book value per share growth for each of the 2013, 2014, 2015, 2016 and 2017 performance-based grants exceeded the maximum performance level and have vested or will vest at 100%.</w:t>
      </w:r>
    </w:p>
    <w:p>
      <w:pPr>
        <w:spacing w:after="0" w:line="176" w:lineRule="exact"/>
        <w:rPr>
          <w:sz w:val="20"/>
          <w:szCs w:val="20"/>
          <w:color w:val="auto"/>
        </w:rPr>
      </w:pPr>
    </w:p>
    <w:p>
      <w:pPr>
        <w:ind w:right="120" w:firstLine="445"/>
        <w:spacing w:after="0" w:line="275" w:lineRule="auto"/>
        <w:rPr>
          <w:sz w:val="20"/>
          <w:szCs w:val="20"/>
          <w:color w:val="auto"/>
        </w:rPr>
      </w:pPr>
      <w:r>
        <w:rPr>
          <w:rFonts w:ascii="Arial" w:cs="Arial" w:eastAsia="Arial" w:hAnsi="Arial"/>
          <w:sz w:val="17"/>
          <w:szCs w:val="17"/>
          <w:color w:val="auto"/>
        </w:rPr>
        <w:t>In January 2017, time-based share units were issued to all vice president and staff level employees that vested in three equal installments in January 2018, 2019 and 2020. In January 2020, time-based share units were issued to all vice president and staff level employees that vested in three equal installments in January 2021, 2022 and 2023. In connection with our incentive program covering bonus awards for performance years 2014 through 2019, in February following each performance year, time-based share awards and share units were issued to certain employees that vest in three equal yearly installments commencing on March 1 of the year following the grant year.</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May of each year, 2017 through 2020, time-based share units were granted to non-employee directors that vest one year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nonvested common share, nonvested common share unit and DEU activity for the year ended December 31: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6"/>
          </w:tcPr>
          <w:p>
            <w:pPr>
              <w:jc w:val="right"/>
              <w:ind w:right="34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6"/>
          </w:tcPr>
          <w:p>
            <w:pPr>
              <w:ind w:left="260"/>
              <w:spacing w:after="0" w:line="135" w:lineRule="exact"/>
              <w:rPr>
                <w:sz w:val="20"/>
                <w:szCs w:val="20"/>
                <w:color w:val="auto"/>
              </w:rPr>
            </w:pPr>
            <w:r>
              <w:rPr>
                <w:rFonts w:ascii="Arial" w:cs="Arial" w:eastAsia="Arial" w:hAnsi="Arial"/>
                <w:sz w:val="14"/>
                <w:szCs w:val="14"/>
                <w:b w:val="1"/>
                <w:bCs w:val="1"/>
                <w:color w:val="auto"/>
              </w:rPr>
              <w:t>Time and Performance-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93"/>
              </w:rPr>
              <w:t>Time-Based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10"/>
            <w:vMerge w:val="restart"/>
          </w:tcPr>
          <w:p>
            <w:pPr>
              <w:ind w:left="40"/>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DEUs</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gridSpan w:val="6"/>
          </w:tcPr>
          <w:p>
            <w:pPr>
              <w:jc w:val="right"/>
              <w:ind w:right="261"/>
              <w:spacing w:after="0"/>
              <w:rPr>
                <w:sz w:val="20"/>
                <w:szCs w:val="20"/>
                <w:color w:val="auto"/>
              </w:rPr>
            </w:pPr>
            <w:r>
              <w:rPr>
                <w:rFonts w:ascii="Arial" w:cs="Arial" w:eastAsia="Arial" w:hAnsi="Arial"/>
                <w:sz w:val="14"/>
                <w:szCs w:val="14"/>
                <w:b w:val="1"/>
                <w:bCs w:val="1"/>
                <w:color w:val="auto"/>
              </w:rPr>
              <w:t>Based Share Awards</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Share Awards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10"/>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bottom w:val="single" w:sz="8" w:color="auto"/>
            </w:tcBorders>
            <w:gridSpan w:val="8"/>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21"/>
              <w:spacing w:after="0" w:line="130"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tcPr>
          <w:p>
            <w:pPr>
              <w:jc w:val="center"/>
              <w:spacing w:after="0" w:line="130"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jc w:val="center"/>
              <w:ind w:right="120"/>
              <w:spacing w:after="0" w:line="13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Dividend</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21"/>
              <w:spacing w:after="0" w:line="135"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21"/>
              <w:spacing w:after="0" w:line="135" w:lineRule="exact"/>
              <w:rPr>
                <w:sz w:val="20"/>
                <w:szCs w:val="20"/>
                <w:color w:val="auto"/>
              </w:rPr>
            </w:pPr>
            <w:r>
              <w:rPr>
                <w:rFonts w:ascii="Arial" w:cs="Arial" w:eastAsia="Arial" w:hAnsi="Arial"/>
                <w:sz w:val="14"/>
                <w:szCs w:val="14"/>
                <w:b w:val="1"/>
                <w:bCs w:val="1"/>
                <w:color w:val="auto"/>
                <w:w w:val="97"/>
              </w:rPr>
              <w:t>Grant Date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7"/>
              </w:rPr>
              <w:t>Grant Date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4"/>
          </w:tcPr>
          <w:p>
            <w:pPr>
              <w:ind w:left="140"/>
              <w:spacing w:after="0" w:line="135" w:lineRule="exact"/>
              <w:rPr>
                <w:sz w:val="20"/>
                <w:szCs w:val="20"/>
                <w:color w:val="auto"/>
              </w:rPr>
            </w:pPr>
            <w:r>
              <w:rPr>
                <w:rFonts w:ascii="Arial" w:cs="Arial" w:eastAsia="Arial" w:hAnsi="Arial"/>
                <w:sz w:val="14"/>
                <w:szCs w:val="14"/>
                <w:b w:val="1"/>
                <w:bCs w:val="1"/>
                <w:color w:val="auto"/>
              </w:rPr>
              <w:t>Equivalent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2800" w:type="dxa"/>
            <w:vAlign w:val="bottom"/>
            <w:tcBorders>
              <w:bottom w:val="single" w:sz="8" w:color="CCEEFF"/>
            </w:tcBorders>
            <w:gridSpan w:val="3"/>
            <w:vMerge w:val="continue"/>
          </w:tcPr>
          <w:p>
            <w:pPr>
              <w:spacing w:after="0"/>
              <w:rPr>
                <w:sz w:val="16"/>
                <w:szCs w:val="16"/>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center"/>
              <w:ind w:right="1"/>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Share Units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Units</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2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41.31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9"/>
              </w:rPr>
              <w:t>351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51.52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8"/>
              </w:rPr>
              <w:t>51.52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gridSpan w:val="3"/>
          </w:tcPr>
          <w:p>
            <w:pPr>
              <w:ind w:left="100"/>
              <w:spacing w:after="0"/>
              <w:rPr>
                <w:sz w:val="20"/>
                <w:szCs w:val="20"/>
                <w:color w:val="auto"/>
              </w:rPr>
            </w:pPr>
            <w:r>
              <w:rPr>
                <w:rFonts w:ascii="Arial" w:cs="Arial" w:eastAsia="Arial" w:hAnsi="Arial"/>
                <w:sz w:val="18"/>
                <w:szCs w:val="18"/>
                <w:color w:val="auto"/>
                <w:w w:val="99"/>
              </w:rPr>
              <w:t>350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48.75</w:t>
            </w:r>
          </w:p>
        </w:tc>
        <w:tc>
          <w:tcPr>
            <w:tcW w:w="20" w:type="dxa"/>
            <w:vAlign w:val="bottom"/>
          </w:tcPr>
          <w:p>
            <w:pPr>
              <w:spacing w:after="0"/>
              <w:rPr>
                <w:sz w:val="19"/>
                <w:szCs w:val="19"/>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40.47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37.76</w:t>
            </w:r>
          </w:p>
        </w:tc>
        <w:tc>
          <w:tcPr>
            <w:tcW w:w="20" w:type="dxa"/>
            <w:vAlign w:val="bottom"/>
            <w:shd w:val="clear" w:color="auto" w:fill="CCEEFF"/>
          </w:tcPr>
          <w:p>
            <w:pPr>
              <w:spacing w:after="0"/>
              <w:rPr>
                <w:sz w:val="19"/>
                <w:szCs w:val="19"/>
                <w:color w:val="auto"/>
              </w:rPr>
            </w:pPr>
          </w:p>
        </w:tc>
        <w:tc>
          <w:tcPr>
            <w:tcW w:w="10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Forfeited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N/A</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50.04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33.86</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CEEFF"/>
          </w:tcPr>
          <w:p>
            <w:pPr>
              <w:spacing w:after="0"/>
              <w:rPr>
                <w:sz w:val="21"/>
                <w:szCs w:val="21"/>
                <w:color w:val="auto"/>
              </w:rPr>
            </w:pPr>
          </w:p>
        </w:tc>
        <w:tc>
          <w:tcPr>
            <w:tcW w:w="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46.34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9"/>
              </w:rPr>
              <w:t>492</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46.59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6"/>
          </w:tcPr>
          <w:p>
            <w:pPr>
              <w:jc w:val="right"/>
              <w:ind w:right="38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6"/>
          </w:tcPr>
          <w:p>
            <w:pPr>
              <w:ind w:left="260"/>
              <w:spacing w:after="0" w:line="135" w:lineRule="exact"/>
              <w:rPr>
                <w:sz w:val="20"/>
                <w:szCs w:val="20"/>
                <w:color w:val="auto"/>
              </w:rPr>
            </w:pPr>
            <w:r>
              <w:rPr>
                <w:rFonts w:ascii="Arial" w:cs="Arial" w:eastAsia="Arial" w:hAnsi="Arial"/>
                <w:sz w:val="14"/>
                <w:szCs w:val="14"/>
                <w:b w:val="1"/>
                <w:bCs w:val="1"/>
                <w:color w:val="auto"/>
              </w:rPr>
              <w:t>Time and Performance-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93"/>
              </w:rPr>
              <w:t>Time-Based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DEUs</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6"/>
          </w:tcPr>
          <w:p>
            <w:pPr>
              <w:jc w:val="right"/>
              <w:ind w:right="261"/>
              <w:spacing w:after="0"/>
              <w:rPr>
                <w:sz w:val="20"/>
                <w:szCs w:val="20"/>
                <w:color w:val="auto"/>
              </w:rPr>
            </w:pPr>
            <w:r>
              <w:rPr>
                <w:rFonts w:ascii="Arial" w:cs="Arial" w:eastAsia="Arial" w:hAnsi="Arial"/>
                <w:sz w:val="14"/>
                <w:szCs w:val="14"/>
                <w:b w:val="1"/>
                <w:bCs w:val="1"/>
                <w:color w:val="auto"/>
              </w:rPr>
              <w:t>Based Share Awards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Share Awards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10"/>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8"/>
            <w:vMerge w:val="continue"/>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center"/>
              <w:ind w:right="21"/>
              <w:spacing w:after="0" w:line="130"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4"/>
          </w:tcPr>
          <w:p>
            <w:pPr>
              <w:jc w:val="center"/>
              <w:spacing w:after="0" w:line="130" w:lineRule="exact"/>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center"/>
              <w:ind w:right="120"/>
              <w:spacing w:after="0" w:line="130" w:lineRule="exact"/>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4"/>
            <w:vMerge w:val="restart"/>
          </w:tcPr>
          <w:p>
            <w:pPr>
              <w:ind w:left="160"/>
              <w:spacing w:after="0"/>
              <w:rPr>
                <w:sz w:val="20"/>
                <w:szCs w:val="20"/>
                <w:color w:val="auto"/>
              </w:rPr>
            </w:pPr>
            <w:r>
              <w:rPr>
                <w:rFonts w:ascii="Arial" w:cs="Arial" w:eastAsia="Arial" w:hAnsi="Arial"/>
                <w:sz w:val="14"/>
                <w:szCs w:val="14"/>
                <w:b w:val="1"/>
                <w:bCs w:val="1"/>
                <w:color w:val="auto"/>
              </w:rPr>
              <w:t>Dividend</w:t>
            </w: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76"/>
              <w:spacing w:after="0" w:line="130"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21"/>
              <w:spacing w:after="0" w:line="135"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21"/>
              <w:spacing w:after="0" w:line="135" w:lineRule="exact"/>
              <w:rPr>
                <w:sz w:val="20"/>
                <w:szCs w:val="20"/>
                <w:color w:val="auto"/>
              </w:rPr>
            </w:pPr>
            <w:r>
              <w:rPr>
                <w:rFonts w:ascii="Arial" w:cs="Arial" w:eastAsia="Arial" w:hAnsi="Arial"/>
                <w:sz w:val="14"/>
                <w:szCs w:val="14"/>
                <w:b w:val="1"/>
                <w:bCs w:val="1"/>
                <w:color w:val="auto"/>
                <w:w w:val="97"/>
              </w:rPr>
              <w:t>Grant Date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7"/>
              </w:rPr>
              <w:t>Grant Date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5"/>
          </w:tcPr>
          <w:p>
            <w:pPr>
              <w:jc w:val="center"/>
              <w:ind w:right="2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4"/>
          </w:tcPr>
          <w:p>
            <w:pPr>
              <w:jc w:val="right"/>
              <w:ind w:right="180"/>
              <w:spacing w:after="0" w:line="135" w:lineRule="exact"/>
              <w:rPr>
                <w:sz w:val="20"/>
                <w:szCs w:val="20"/>
                <w:color w:val="auto"/>
              </w:rPr>
            </w:pPr>
            <w:r>
              <w:rPr>
                <w:rFonts w:ascii="Arial" w:cs="Arial" w:eastAsia="Arial" w:hAnsi="Arial"/>
                <w:sz w:val="14"/>
                <w:szCs w:val="14"/>
                <w:b w:val="1"/>
                <w:bCs w:val="1"/>
                <w:color w:val="auto"/>
              </w:rPr>
              <w:t>Equivalent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2800" w:type="dxa"/>
            <w:vAlign w:val="bottom"/>
            <w:gridSpan w:val="3"/>
            <w:vMerge w:val="continue"/>
          </w:tcPr>
          <w:p>
            <w:pPr>
              <w:spacing w:after="0"/>
              <w:rPr>
                <w:sz w:val="16"/>
                <w:szCs w:val="16"/>
                <w:color w:val="auto"/>
              </w:rPr>
            </w:pPr>
          </w:p>
        </w:tc>
        <w:tc>
          <w:tcPr>
            <w:tcW w:w="96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center"/>
              <w:ind w:right="1"/>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Share Units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4"/>
        </w:trPr>
        <w:tc>
          <w:tcPr>
            <w:tcW w:w="2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32.82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34.35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45.32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8"/>
              </w:rPr>
              <w:t>40.98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42.08</w:t>
            </w:r>
          </w:p>
        </w:tc>
        <w:tc>
          <w:tcPr>
            <w:tcW w:w="20" w:type="dxa"/>
            <w:vAlign w:val="bottom"/>
          </w:tcPr>
          <w:p>
            <w:pPr>
              <w:spacing w:after="0"/>
              <w:rPr>
                <w:sz w:val="19"/>
                <w:szCs w:val="19"/>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27.37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(232)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Forfeited</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35.53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41.31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Borders>
              <w:top w:val="single" w:sz="8" w:color="CCEEFF"/>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39.78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10"/>
          </w:tcPr>
          <w:p>
            <w:pPr>
              <w:jc w:val="center"/>
              <w:spacing w:after="0" w:line="135" w:lineRule="exact"/>
              <w:rPr>
                <w:sz w:val="20"/>
                <w:szCs w:val="20"/>
                <w:color w:val="auto"/>
              </w:rPr>
            </w:pPr>
            <w:r>
              <w:rPr>
                <w:rFonts w:ascii="Arial" w:cs="Arial" w:eastAsia="Arial" w:hAnsi="Arial"/>
                <w:sz w:val="14"/>
                <w:szCs w:val="14"/>
                <w:b w:val="1"/>
                <w:bCs w:val="1"/>
                <w:color w:val="auto"/>
                <w:w w:val="93"/>
              </w:rPr>
              <w:t>Time and Performance-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8"/>
          </w:tcPr>
          <w:p>
            <w:pPr>
              <w:jc w:val="right"/>
              <w:ind w:right="79"/>
              <w:spacing w:after="0" w:line="135" w:lineRule="exact"/>
              <w:rPr>
                <w:sz w:val="20"/>
                <w:szCs w:val="20"/>
                <w:color w:val="auto"/>
              </w:rPr>
            </w:pPr>
            <w:r>
              <w:rPr>
                <w:rFonts w:ascii="Arial" w:cs="Arial" w:eastAsia="Arial" w:hAnsi="Arial"/>
                <w:sz w:val="14"/>
                <w:szCs w:val="14"/>
                <w:b w:val="1"/>
                <w:bCs w:val="1"/>
                <w:color w:val="auto"/>
              </w:rPr>
              <w:t>Time-Based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10"/>
            <w:vMerge w:val="restart"/>
          </w:tcPr>
          <w:p>
            <w:pPr>
              <w:ind w:left="520"/>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9"/>
          </w:tcPr>
          <w:p>
            <w:pPr>
              <w:jc w:val="center"/>
              <w:ind w:right="304"/>
              <w:spacing w:after="0"/>
              <w:rPr>
                <w:sz w:val="20"/>
                <w:szCs w:val="20"/>
                <w:color w:val="auto"/>
              </w:rPr>
            </w:pPr>
            <w:r>
              <w:rPr>
                <w:rFonts w:ascii="Arial" w:cs="Arial" w:eastAsia="Arial" w:hAnsi="Arial"/>
                <w:sz w:val="14"/>
                <w:szCs w:val="14"/>
                <w:b w:val="1"/>
                <w:bCs w:val="1"/>
                <w:color w:val="auto"/>
                <w:w w:val="90"/>
              </w:rPr>
              <w:t>Based Share Awards</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8"/>
          </w:tcPr>
          <w:p>
            <w:pPr>
              <w:jc w:val="right"/>
              <w:ind w:right="19"/>
              <w:spacing w:after="0"/>
              <w:rPr>
                <w:sz w:val="20"/>
                <w:szCs w:val="20"/>
                <w:color w:val="auto"/>
              </w:rPr>
            </w:pPr>
            <w:r>
              <w:rPr>
                <w:rFonts w:ascii="Arial" w:cs="Arial" w:eastAsia="Arial" w:hAnsi="Arial"/>
                <w:sz w:val="14"/>
                <w:szCs w:val="14"/>
                <w:b w:val="1"/>
                <w:bCs w:val="1"/>
                <w:color w:val="auto"/>
              </w:rPr>
              <w:t>Share Awards</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5"/>
          </w:tcPr>
          <w:p>
            <w:pPr>
              <w:jc w:val="center"/>
              <w:ind w:left="3"/>
              <w:spacing w:after="0" w:line="130"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5"/>
          </w:tcPr>
          <w:p>
            <w:pPr>
              <w:jc w:val="center"/>
              <w:ind w:right="156"/>
              <w:spacing w:after="0" w:line="13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vMerge w:val="restart"/>
          </w:tcPr>
          <w:p>
            <w:pPr>
              <w:jc w:val="right"/>
              <w:ind w:right="10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980" w:type="dxa"/>
            <w:vAlign w:val="bottom"/>
            <w:gridSpan w:val="5"/>
          </w:tcPr>
          <w:p>
            <w:pPr>
              <w:jc w:val="center"/>
              <w:ind w:left="3"/>
              <w:spacing w:after="0" w:line="135"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vMerge w:val="restart"/>
          </w:tcPr>
          <w:p>
            <w:pPr>
              <w:jc w:val="right"/>
              <w:ind w:right="45"/>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7"/>
          </w:tcPr>
          <w:p>
            <w:pPr>
              <w:jc w:val="center"/>
              <w:ind w:right="500"/>
              <w:spacing w:after="0" w:line="135"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6"/>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5"/>
          </w:tcPr>
          <w:p>
            <w:pPr>
              <w:jc w:val="center"/>
              <w:ind w:left="3"/>
              <w:spacing w:after="0" w:line="135" w:lineRule="exact"/>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9"/>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08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272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right"/>
              <w:ind w:right="22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980" w:type="dxa"/>
            <w:vAlign w:val="bottom"/>
            <w:gridSpan w:val="5"/>
          </w:tcPr>
          <w:p>
            <w:pPr>
              <w:jc w:val="center"/>
              <w:ind w:left="3"/>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gridSpan w:val="3"/>
          </w:tcPr>
          <w:p>
            <w:pPr>
              <w:jc w:val="right"/>
              <w:ind w:right="165"/>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5"/>
              </w:rPr>
              <w:t>Share Units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gridSpan w:val="3"/>
            <w:shd w:val="clear" w:color="auto" w:fill="CCEEFF"/>
          </w:tcPr>
          <w:p>
            <w:pPr>
              <w:jc w:val="right"/>
              <w:ind w:right="4"/>
              <w:spacing w:after="0"/>
              <w:rPr>
                <w:sz w:val="20"/>
                <w:szCs w:val="20"/>
                <w:color w:val="auto"/>
              </w:rPr>
            </w:pPr>
            <w:r>
              <w:rPr>
                <w:rFonts w:ascii="Arial" w:cs="Arial" w:eastAsia="Arial" w:hAnsi="Arial"/>
                <w:sz w:val="18"/>
                <w:szCs w:val="18"/>
                <w:color w:val="auto"/>
              </w:rPr>
              <w:t>1,595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gridSpan w:val="3"/>
            <w:shd w:val="clear" w:color="auto" w:fill="CCEEFF"/>
          </w:tcPr>
          <w:p>
            <w:pPr>
              <w:ind w:left="140"/>
              <w:spacing w:after="0"/>
              <w:rPr>
                <w:sz w:val="20"/>
                <w:szCs w:val="20"/>
                <w:color w:val="auto"/>
              </w:rPr>
            </w:pPr>
            <w:r>
              <w:rPr>
                <w:rFonts w:ascii="Arial" w:cs="Arial" w:eastAsia="Arial" w:hAnsi="Arial"/>
                <w:sz w:val="18"/>
                <w:szCs w:val="18"/>
                <w:color w:val="auto"/>
                <w:w w:val="84"/>
              </w:rPr>
              <w:t>17.03</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rPr>
              <w:t>536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gridSpan w:val="3"/>
          </w:tcPr>
          <w:p>
            <w:pPr>
              <w:jc w:val="right"/>
              <w:ind w:right="4"/>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3"/>
          </w:tcPr>
          <w:p>
            <w:pPr>
              <w:ind w:left="140"/>
              <w:spacing w:after="0"/>
              <w:rPr>
                <w:sz w:val="20"/>
                <w:szCs w:val="20"/>
                <w:color w:val="auto"/>
              </w:rPr>
            </w:pPr>
            <w:r>
              <w:rPr>
                <w:rFonts w:ascii="Arial" w:cs="Arial" w:eastAsia="Arial" w:hAnsi="Arial"/>
                <w:sz w:val="18"/>
                <w:szCs w:val="18"/>
                <w:color w:val="auto"/>
                <w:w w:val="84"/>
              </w:rPr>
              <w:t>45.02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(1,226)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84"/>
              </w:rPr>
              <w:t>14.71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w:t>
            </w: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auto"/>
            </w:tcBorders>
            <w:gridSpan w:val="2"/>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31.59</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4"/>
              <w:spacing w:after="0"/>
              <w:rPr>
                <w:sz w:val="20"/>
                <w:szCs w:val="20"/>
                <w:color w:val="auto"/>
              </w:rPr>
            </w:pPr>
            <w:r>
              <w:rPr>
                <w:rFonts w:ascii="Arial" w:cs="Arial" w:eastAsia="Arial" w:hAnsi="Arial"/>
                <w:sz w:val="18"/>
                <w:szCs w:val="18"/>
                <w:color w:val="auto"/>
              </w:rPr>
              <w:t>482</w:t>
            </w:r>
          </w:p>
        </w:tc>
        <w:tc>
          <w:tcPr>
            <w:tcW w:w="52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84"/>
              </w:rPr>
              <w:t>29.49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2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40" w:firstLine="445"/>
        <w:spacing w:after="0" w:line="275" w:lineRule="auto"/>
        <w:rPr>
          <w:sz w:val="20"/>
          <w:szCs w:val="20"/>
          <w:color w:val="auto"/>
        </w:rPr>
      </w:pPr>
      <w:r>
        <w:rPr>
          <w:rFonts w:ascii="Arial" w:cs="Arial" w:eastAsia="Arial" w:hAnsi="Arial"/>
          <w:sz w:val="17"/>
          <w:szCs w:val="17"/>
          <w:color w:val="auto"/>
        </w:rPr>
        <w:t>Quoted market prices are used for the valuation of common shares granted subsequent to our initial public offering. For nonvested common shares granted in September 2013, prior to our IPO, the valuation estimate was based on analysis provided by the underwriters regarding the estimated fair value of Essent and the estimated IPO price range. Factors considered in determining the IPO price range and common share valuation included prevailing market conditions, estimates of the Company's business potential and earnings prospects, the Company's historical operating results, market valuations of companies deemed comparable to the Company and an assessment of risks and opportunities.</w:t>
      </w:r>
    </w:p>
    <w:p>
      <w:pPr>
        <w:spacing w:after="0" w:line="203"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The total fair value of nonvested shares, share units or DEUs that vested was $18.5 million, $25.5 million and $75.9 million for the years ended December 31, 2020, 2019 and 2018, respectively. As of December 31, 2020, there was $24.2 million of total unrecognized compensation expense related to nonvested shares or share units outstanding at December 31, 2020 and we expect to recognize the expense over a weighted average period of 1.8 years.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right="80" w:firstLine="445"/>
        <w:spacing w:after="0" w:line="290" w:lineRule="auto"/>
        <w:rPr>
          <w:sz w:val="20"/>
          <w:szCs w:val="20"/>
          <w:color w:val="auto"/>
        </w:rPr>
      </w:pPr>
      <w:r>
        <w:rPr>
          <w:rFonts w:ascii="Arial" w:cs="Arial" w:eastAsia="Arial" w:hAnsi="Arial"/>
          <w:sz w:val="16"/>
          <w:szCs w:val="16"/>
          <w:color w:val="auto"/>
        </w:rPr>
        <w:t>In connection with our incentive program covering bonus awards for performance year 2020, in February 2021, 86,058 nonvested common share units were issued to certain employees and are subject to time-based vesting. In February 2021, 373,552 nonvested common shares were granted to certain members of senior management and are subject to time-based and performance-based vesting. In February 2021, the performance-based share awards granted in 2019 and 2020 to certain members of senior management were amended to provide that such awards will no longer be subject to the achievement of the compounded annual book value per share growth metrics and will be subject to only service-based vesting. As a result, the unvested shares subject to the amended 2019 and 2020 awards will vest on March 1, 2022 and March 1, 2023, respectively, subject to the continued service requirements and other terms and conditions set forth in the applicable award agreements, without taking into consideration any performance metrics. Compensation expense related to amending these awards will be recognized over the remaining vesting period.</w:t>
      </w:r>
    </w:p>
    <w:p>
      <w:pPr>
        <w:spacing w:after="0" w:line="192"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Employees have the option to tender shares to Essent Group to pay the minimum employee statutory withholding taxes associated with shares upon vesting. Common shares tendered by employees to pay employee withholding taxes totaled 141,801, 208,947 and 718,726 in 2020, 2019 and 2018, respectively. The tendered shares were recorded at cost and included in treasury stock. All treasury stock has been cancelled as of December 31, 2020 and 2019.</w:t>
      </w:r>
    </w:p>
    <w:p>
      <w:pPr>
        <w:spacing w:after="0" w:line="214"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Compensation expense, net of forfeitures, and related tax effects recognized in connection with nonvested shares and share units were as follows for the years ended December 31: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2018</w:t>
            </w:r>
          </w:p>
        </w:tc>
      </w:tr>
      <w:tr>
        <w:trPr>
          <w:trHeight w:val="229"/>
        </w:trPr>
        <w:tc>
          <w:tcPr>
            <w:tcW w:w="7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15,073</w:t>
            </w:r>
          </w:p>
        </w:tc>
      </w:tr>
      <w:tr>
        <w:trPr>
          <w:trHeight w:val="230"/>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2,805</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Dividends Restrictions</w:t>
      </w:r>
    </w:p>
    <w:p>
      <w:pPr>
        <w:spacing w:after="0" w:line="256"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December 31, 2020, Essent Guaranty had unassigned surplus of approximately $343.6 million. Essent Guaranty paid no dividends to Essent Group or any intermediate holding companies in the years ended December 31, 2020 or 2019. During the year ended December 31, 2018, Essent Guaranty paid to its parent, Essent US Holdings, Inc. ("Essent Holdings"), a $40 million dividend which was used to repay the borrowings remaining under the revolving component of the Credit Facility. As a result of PMIERs guidance issued by the GSEs, through June 30, 2021, Essent Guaranty is required to obtain GSE written approval before paying a dividend. Essent PA had unassigned surplus of approximately $15.4 million as of December 31, 2020. Essent PA did not pay a dividend in 2020, 2019 or 2018.</w:t>
      </w:r>
    </w:p>
    <w:p>
      <w:pPr>
        <w:spacing w:after="0" w:line="212"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December 31, 2020, Essent Re had total equity of $1.1 billion.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2020, our insurance subsidiaries were in compliance with these rules, regulations and agreements.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56"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For the year ended December 31, 2020, the statutory income tax rates of the countries where the Company does business are 21% in the United States and 0.0% in Bermuda. The statutory income tax rate of each country is applied against the taxable income from each country to calculate the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 which is generated in the U.S. consists of the following components for the years ended December 31: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2018</w:t>
            </w:r>
          </w:p>
        </w:tc>
      </w:tr>
      <w:tr>
        <w:trPr>
          <w:trHeight w:val="229"/>
        </w:trPr>
        <w:tc>
          <w:tcPr>
            <w:tcW w:w="7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28,644</w:t>
            </w:r>
          </w:p>
        </w:tc>
      </w:tr>
      <w:tr>
        <w:trPr>
          <w:trHeight w:val="229"/>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50,692</w:t>
            </w:r>
          </w:p>
        </w:tc>
      </w:tr>
      <w:tr>
        <w:trPr>
          <w:trHeight w:val="248"/>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79,336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For the year ended December 31, 2020, pre-tax income attributable to Bermuda and U.S. operations was $129.3 million and $360.8 million, respectively, as compared to $162.8 million and $496.3 million, respectively, for the year ended December 31, 2019 and $128.5 million and $418.2 million, respectively, for the year ended December 31, 2018.</w:t>
      </w:r>
    </w:p>
    <w:p>
      <w:pPr>
        <w:spacing w:after="0" w:line="211" w:lineRule="exact"/>
        <w:rPr>
          <w:sz w:val="20"/>
          <w:szCs w:val="20"/>
          <w:color w:val="auto"/>
        </w:rPr>
      </w:pPr>
    </w:p>
    <w:p>
      <w:pPr>
        <w:ind w:right="220" w:firstLine="445"/>
        <w:spacing w:after="0" w:line="263" w:lineRule="auto"/>
        <w:rPr>
          <w:sz w:val="20"/>
          <w:szCs w:val="20"/>
          <w:color w:val="auto"/>
        </w:rPr>
      </w:pPr>
      <w:r>
        <w:rPr>
          <w:rFonts w:ascii="Arial" w:cs="Arial" w:eastAsia="Arial" w:hAnsi="Arial"/>
          <w:sz w:val="18"/>
          <w:szCs w:val="18"/>
          <w:color w:val="auto"/>
        </w:rPr>
        <w:t>Income tax expense is different from that which would be obtained by applying the applicable statutory income tax rates to income before taxes by jurisdiction (i.e. U.S. 21%; Bermuda 0.0%). The reconciliation of the difference between income tax expense and the expected tax provision at the weighted average tax rate was as follows for the years ended December 31: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915"/>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9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91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2"/>
        </w:trPr>
        <w:tc>
          <w:tcPr>
            <w:tcW w:w="40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260" w:type="dxa"/>
            <w:vAlign w:val="bottom"/>
          </w:tcPr>
          <w:p>
            <w:pPr>
              <w:spacing w:after="0"/>
              <w:rPr>
                <w:sz w:val="14"/>
                <w:szCs w:val="14"/>
                <w:color w:val="auto"/>
              </w:rPr>
            </w:pPr>
          </w:p>
        </w:tc>
        <w:tc>
          <w:tcPr>
            <w:tcW w:w="70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20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7"/>
              </w:rPr>
              <w:t>% of pretax</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2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5"/>
              </w:rPr>
              <w:t>% of pretax</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220" w:type="dxa"/>
            <w:vAlign w:val="bottom"/>
          </w:tcPr>
          <w:p>
            <w:pPr>
              <w:jc w:val="right"/>
              <w:ind w:right="115"/>
              <w:spacing w:after="0" w:line="161" w:lineRule="exact"/>
              <w:rPr>
                <w:sz w:val="20"/>
                <w:szCs w:val="20"/>
                <w:color w:val="auto"/>
              </w:rPr>
            </w:pPr>
            <w:r>
              <w:rPr>
                <w:rFonts w:ascii="Arial" w:cs="Arial" w:eastAsia="Arial" w:hAnsi="Arial"/>
                <w:sz w:val="16"/>
                <w:szCs w:val="16"/>
                <w:b w:val="1"/>
                <w:bCs w:val="1"/>
                <w:color w:val="auto"/>
              </w:rPr>
              <w:t>% of pretax</w:t>
            </w:r>
          </w:p>
        </w:tc>
        <w:tc>
          <w:tcPr>
            <w:tcW w:w="0" w:type="dxa"/>
            <w:vAlign w:val="bottom"/>
          </w:tcPr>
          <w:p>
            <w:pPr>
              <w:spacing w:after="0"/>
              <w:rPr>
                <w:sz w:val="1"/>
                <w:szCs w:val="1"/>
                <w:color w:val="auto"/>
              </w:rPr>
            </w:pPr>
          </w:p>
        </w:tc>
      </w:tr>
      <w:tr>
        <w:trPr>
          <w:trHeight w:val="213"/>
        </w:trPr>
        <w:tc>
          <w:tcPr>
            <w:tcW w:w="40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income</w:t>
            </w: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income</w:t>
            </w:r>
          </w:p>
        </w:tc>
        <w:tc>
          <w:tcPr>
            <w:tcW w:w="2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275"/>
              <w:spacing w:after="0"/>
              <w:rPr>
                <w:sz w:val="20"/>
                <w:szCs w:val="20"/>
                <w:color w:val="auto"/>
              </w:rPr>
            </w:pPr>
            <w:r>
              <w:rPr>
                <w:rFonts w:ascii="Arial" w:cs="Arial" w:eastAsia="Arial" w:hAnsi="Arial"/>
                <w:sz w:val="16"/>
                <w:szCs w:val="16"/>
                <w:b w:val="1"/>
                <w:bCs w:val="1"/>
                <w:color w:val="auto"/>
              </w:rPr>
              <w:t>income</w:t>
            </w:r>
          </w:p>
        </w:tc>
        <w:tc>
          <w:tcPr>
            <w:tcW w:w="0" w:type="dxa"/>
            <w:vAlign w:val="bottom"/>
          </w:tcPr>
          <w:p>
            <w:pPr>
              <w:spacing w:after="0"/>
              <w:rPr>
                <w:sz w:val="1"/>
                <w:szCs w:val="1"/>
                <w:color w:val="auto"/>
              </w:rPr>
            </w:pPr>
          </w:p>
        </w:tc>
      </w:tr>
      <w:tr>
        <w:trPr>
          <w:trHeight w:val="226"/>
        </w:trPr>
        <w:tc>
          <w:tcPr>
            <w:tcW w:w="3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Tax provision at weighted average statutory rates</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75,763</w:t>
            </w:r>
          </w:p>
        </w:tc>
        <w:tc>
          <w:tcPr>
            <w:tcW w:w="1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15.5 %</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104,213</w:t>
            </w:r>
          </w:p>
        </w:tc>
        <w:tc>
          <w:tcPr>
            <w:tcW w:w="1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15.8 %</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87,815</w:t>
            </w:r>
          </w:p>
        </w:tc>
        <w:tc>
          <w:tcPr>
            <w:tcW w:w="1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32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3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3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Tax exempt interest, net of proration</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(1,462)</w:t>
            </w:r>
          </w:p>
        </w:tc>
        <w:tc>
          <w:tcPr>
            <w:tcW w:w="1320" w:type="dxa"/>
            <w:vAlign w:val="bottom"/>
            <w:gridSpan w:val="2"/>
          </w:tcPr>
          <w:p>
            <w:pPr>
              <w:jc w:val="right"/>
              <w:ind w:right="75"/>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(1,541)</w:t>
            </w:r>
          </w:p>
        </w:tc>
        <w:tc>
          <w:tcPr>
            <w:tcW w:w="1340" w:type="dxa"/>
            <w:vAlign w:val="bottom"/>
            <w:gridSpan w:val="2"/>
          </w:tcPr>
          <w:p>
            <w:pPr>
              <w:jc w:val="right"/>
              <w:ind w:right="95"/>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(1,741)</w:t>
            </w:r>
          </w:p>
        </w:tc>
        <w:tc>
          <w:tcPr>
            <w:tcW w:w="1340" w:type="dxa"/>
            <w:vAlign w:val="bottom"/>
            <w:gridSpan w:val="2"/>
          </w:tcPr>
          <w:p>
            <w:pPr>
              <w:jc w:val="right"/>
              <w:ind w:right="75"/>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Excess tax benefits from stock-based compensation</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32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34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13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871</w:t>
            </w:r>
          </w:p>
        </w:tc>
        <w:tc>
          <w:tcPr>
            <w:tcW w:w="1320" w:type="dxa"/>
            <w:vAlign w:val="bottom"/>
            <w:gridSpan w:val="2"/>
          </w:tcPr>
          <w:p>
            <w:pPr>
              <w:jc w:val="right"/>
              <w:ind w:right="13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1340" w:type="dxa"/>
            <w:vAlign w:val="bottom"/>
            <w:gridSpan w:val="2"/>
          </w:tcPr>
          <w:p>
            <w:pPr>
              <w:jc w:val="right"/>
              <w:ind w:right="135"/>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1,423</w:t>
            </w:r>
          </w:p>
        </w:tc>
        <w:tc>
          <w:tcPr>
            <w:tcW w:w="1340" w:type="dxa"/>
            <w:vAlign w:val="bottom"/>
            <w:gridSpan w:val="2"/>
          </w:tcPr>
          <w:p>
            <w:pPr>
              <w:jc w:val="right"/>
              <w:ind w:right="13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360" w:firstLine="445"/>
        <w:spacing w:after="0" w:line="308" w:lineRule="auto"/>
        <w:rPr>
          <w:sz w:val="20"/>
          <w:szCs w:val="20"/>
          <w:color w:val="auto"/>
        </w:rPr>
      </w:pPr>
      <w:r>
        <w:rPr>
          <w:rFonts w:ascii="Arial" w:cs="Arial" w:eastAsia="Arial" w:hAnsi="Arial"/>
          <w:sz w:val="17"/>
          <w:szCs w:val="17"/>
          <w:color w:val="auto"/>
        </w:rPr>
        <w:t>We provide deferred taxes to reflect the estimated future tax effects of the differences between the financial statement and tax bases of assets and liabilities using currently enacted tax laws. The net deferred tax liability was comprised of the following at December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29"/>
        </w:trPr>
        <w:tc>
          <w:tcPr>
            <w:tcW w:w="8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29,392</w:t>
            </w:r>
          </w:p>
        </w:tc>
      </w:tr>
      <w:tr>
        <w:trPr>
          <w:trHeight w:val="229"/>
        </w:trPr>
        <w:tc>
          <w:tcPr>
            <w:tcW w:w="8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(334,686)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(279,012)</w:t>
            </w: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(249,620)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net deferred tax liability were as follows at December 31: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29"/>
        </w:trPr>
        <w:tc>
          <w:tcPr>
            <w:tcW w:w="8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Contingency reserves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(300,281)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(261,855)</w:t>
            </w: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Unrealized (gain) loss on investments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(13,214)</w:t>
            </w: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Unearned premium reserve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16,641</w:t>
            </w: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3,391</w:t>
            </w: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Unearned ceding commissions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3,227</w:t>
            </w: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reserves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Nonvested shares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2,426</w:t>
            </w: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Start-up expenditures,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Change in fair market value of derivatives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Investments in limited partnerships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Loss reserves - TCJA transition adjustment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Organizational expenditures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(305,109)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(249,620)</w:t>
            </w:r>
          </w:p>
        </w:tc>
      </w:tr>
      <w:tr>
        <w:trPr>
          <w:trHeight w:val="21"/>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As a mortgage guaranty insurer, we are eligible for a tax deduction, subject to certain limitations, under Section 832(e) of the Internal Revenue Code ("IRC") for amounts required by state law or regulation to be set aside in statutory contingency reserves. The deduction is allowed only to the extent that we purchase T&amp;L Bonds in an amount equal to the tax benefit derived from deducting any portion of our statutory contingency reserves. During the year ended December 31, 2020, we had net purchases of T&amp;L Bonds in the amount of $40.8 million and had net purchases of T&amp;L Bonds in the amount of $59.5 million during the year ended December 31, 2019. As of December 31, 2020 and 2019, we held $302.6 million and $261.9 million of T&amp;L Bonds, respectively.</w:t>
      </w:r>
    </w:p>
    <w:p>
      <w:pPr>
        <w:spacing w:after="0" w:line="219"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In evaluating our ability to realize the benefit of our deferred tax assets, we consider the relevant impact of all available positive and negative evidence including our past operating results and our forecasts of future taxable income. At December 31, 2020 and 2019, after weighing all the evidence, management concluded that it was more likely than not that our deferred tax assets would be realized.</w:t>
      </w:r>
    </w:p>
    <w:p>
      <w:pPr>
        <w:spacing w:after="0" w:line="211" w:lineRule="exact"/>
        <w:rPr>
          <w:sz w:val="20"/>
          <w:szCs w:val="20"/>
          <w:color w:val="auto"/>
        </w:rPr>
      </w:pPr>
    </w:p>
    <w:p>
      <w:pPr>
        <w:ind w:right="20" w:firstLine="445"/>
        <w:spacing w:after="0" w:line="311" w:lineRule="auto"/>
        <w:rPr>
          <w:sz w:val="20"/>
          <w:szCs w:val="20"/>
          <w:color w:val="auto"/>
        </w:rPr>
      </w:pPr>
      <w:r>
        <w:rPr>
          <w:rFonts w:ascii="Arial" w:cs="Arial" w:eastAsia="Arial" w:hAnsi="Arial"/>
          <w:sz w:val="16"/>
          <w:szCs w:val="16"/>
          <w:color w:val="auto"/>
        </w:rPr>
        <w:t>Under current Bermuda law, the parent company, Essent Group, and its Bermuda subsidiary, Essent Re, are not required to pay any taxes on income and capital gains. In the event that there is a change such that these taxes are imposed, these companies would be exempted from any such tax until March of 2035 pursuant to the Bermuda Exempt Undertakings Tax Protection Act of 1966, and the Exempt Undertakings Tax Protection Amendment Act of 2011.</w:t>
      </w:r>
    </w:p>
    <w:p>
      <w:pPr>
        <w:spacing w:after="0" w:line="176"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Essent Holdings and its subsidiaries are subject to income taxes imposed by U.S. law and file a U.S. Consolidated Income Tax Return. Should Essent Holdings pay a dividend to its parent company, Essent Irish Intermediate Holdings Limited, withholding taxes at a rate of 5% under the U.S./Ireland tax treaty would likely apply assuming the Company avails itself of Treaty benefits under the U.S./Ireland tax treaty. Absent treaty benefits, the withholding rate on outbound dividends would be 30%. Currently, however, no withholding taxes are accrued with respect to such unremitted earnings as management has no intention of remitting these earnings. Similarly, no foreign income taxes have been provided on the un-remitted earnings of the Company's U.S. subsidiaries as management has neither the intention of remitting these earnings, nor would any Ireland tax be due, as any Irish tax would be expected to be fully offset by credit for taxes paid to the U.S. An estimate of the cumulative amount of U.S. earnings that would be subject to withholding tax, if distributed outside of the U.S., is approximately $2.1 billion. The associated withholding tax liability under the U.S./Ireland tax treaty would be approximately $103.5 million.</w:t>
      </w:r>
    </w:p>
    <w:p>
      <w:pPr>
        <w:spacing w:after="0" w:line="223"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Essent is not subject to income taxation other than as stated above. There can be no assurance that there will not be changes in applicable laws, regulations, or treaties which might require Essent to change the way it operates or becomes subject to taxation.</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At December 31, 2020 and 2019, the Company had no unrecognized tax benefits. As of December 31, 2020, the U.S. federal income tax returns for the tax years 2017 through 2019 remain subject to examination. The Company has not recorded any uncertain tax positions as of December 31, 2020 or December 31, 2019.</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 (EPS)</w:t>
      </w:r>
    </w:p>
    <w:p>
      <w:pPr>
        <w:spacing w:after="0" w:line="148"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 for the years ended December 31: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29"/>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413,041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555,713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467,363</w:t>
            </w:r>
          </w:p>
        </w:tc>
      </w:tr>
      <w:tr>
        <w:trPr>
          <w:trHeight w:val="230"/>
        </w:trPr>
        <w:tc>
          <w:tcPr>
            <w:tcW w:w="6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97,403</w:t>
            </w: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Dilutive effect of nonvested shares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97,974</w:t>
            </w:r>
          </w:p>
        </w:tc>
      </w:tr>
      <w:tr>
        <w:trPr>
          <w:trHeight w:val="54"/>
        </w:trPr>
        <w:tc>
          <w:tcPr>
            <w:tcW w:w="6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4.77</w:t>
            </w:r>
          </w:p>
        </w:tc>
      </w:tr>
    </w:tbl>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324,813, 39,490 and 128,575 antidilutive shares for the years ended December 31, 2020, 2019 and 2018, respectively.</w:t>
      </w:r>
    </w:p>
    <w:p>
      <w:pPr>
        <w:spacing w:after="0" w:line="144"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December 31, 2020, the following percentages of the performance-based share awards would be issuable under the terms of the arrangements if December 31, 2020 was the end of the contingency period:</w:t>
      </w:r>
    </w:p>
    <w:p>
      <w:pPr>
        <w:spacing w:after="0" w:line="157" w:lineRule="exact"/>
        <w:rPr>
          <w:sz w:val="20"/>
          <w:szCs w:val="20"/>
          <w:color w:val="auto"/>
        </w:rPr>
      </w:pPr>
    </w:p>
    <w:tbl>
      <w:tblPr>
        <w:tblLayout w:type="fixed"/>
        <w:tblInd w:w="2960" w:type="dxa"/>
        <w:tblCellMar>
          <w:top w:w="0" w:type="dxa"/>
          <w:left w:w="0" w:type="dxa"/>
          <w:bottom w:w="0" w:type="dxa"/>
          <w:right w:w="0" w:type="dxa"/>
        </w:tblCellMar>
      </w:tblP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 Performance-Based Grants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2019 Performance-Based Grants</w:t>
            </w:r>
          </w:p>
        </w:tc>
        <w:tc>
          <w:tcPr>
            <w:tcW w:w="172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Performance-Based Grants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bl>
    <w:p>
      <w:pPr>
        <w:spacing w:after="0" w:line="200" w:lineRule="exact"/>
        <w:rPr>
          <w:sz w:val="20"/>
          <w:szCs w:val="20"/>
          <w:color w:val="auto"/>
        </w:rPr>
      </w:pPr>
    </w:p>
    <w:p>
      <w:pPr>
        <w:spacing w:after="0" w:line="312" w:lineRule="exact"/>
        <w:rPr>
          <w:sz w:val="20"/>
          <w:szCs w:val="20"/>
          <w:color w:val="auto"/>
        </w:rPr>
      </w:pPr>
    </w:p>
    <w:p>
      <w:pPr>
        <w:ind w:right="360" w:firstLine="445"/>
        <w:spacing w:after="0" w:line="342" w:lineRule="auto"/>
        <w:rPr>
          <w:sz w:val="20"/>
          <w:szCs w:val="20"/>
          <w:color w:val="auto"/>
        </w:rPr>
      </w:pPr>
      <w:r>
        <w:rPr>
          <w:rFonts w:ascii="Arial" w:cs="Arial" w:eastAsia="Arial" w:hAnsi="Arial"/>
          <w:sz w:val="16"/>
          <w:szCs w:val="16"/>
          <w:color w:val="auto"/>
        </w:rPr>
        <w:t>Based on the compounded annual book value per share growth as of December 31, 2019 and 2018, 100% of all performance-based share awards would have been issuable under the terms of the arrangements at each date if December 31 was the end of the contingency period.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Income (Loss)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rollforward of accumulated other comprehensive income (loss) for the year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16"/>
                <w:szCs w:val="16"/>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Net of Tax</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Before Tax</w:t>
            </w:r>
          </w:p>
        </w:tc>
        <w:tc>
          <w:tcPr>
            <w:tcW w:w="1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Tax Effect</w:t>
            </w:r>
          </w:p>
        </w:tc>
        <w:tc>
          <w:tcPr>
            <w:tcW w:w="140" w:type="dxa"/>
            <w:vAlign w:val="bottom"/>
          </w:tcPr>
          <w:p>
            <w:pPr>
              <w:spacing w:after="0"/>
              <w:rPr>
                <w:sz w:val="16"/>
                <w:szCs w:val="16"/>
                <w:color w:val="auto"/>
              </w:rPr>
            </w:pPr>
          </w:p>
        </w:tc>
        <w:tc>
          <w:tcPr>
            <w:tcW w:w="880" w:type="dxa"/>
            <w:vAlign w:val="bottom"/>
          </w:tcPr>
          <w:p>
            <w:pPr>
              <w:jc w:val="right"/>
              <w:ind w:right="113"/>
              <w:spacing w:after="0"/>
              <w:rPr>
                <w:sz w:val="20"/>
                <w:szCs w:val="20"/>
                <w:color w:val="auto"/>
              </w:rPr>
            </w:pPr>
            <w:r>
              <w:rPr>
                <w:rFonts w:ascii="Arial" w:cs="Arial" w:eastAsia="Arial" w:hAnsi="Arial"/>
                <w:sz w:val="14"/>
                <w:szCs w:val="14"/>
                <w:b w:val="1"/>
                <w:bCs w:val="1"/>
                <w:color w:val="auto"/>
                <w:w w:val="97"/>
              </w:rPr>
              <w:t>Net of Tax</w:t>
            </w:r>
          </w:p>
        </w:tc>
        <w:tc>
          <w:tcPr>
            <w:tcW w:w="0" w:type="dxa"/>
            <w:vAlign w:val="bottom"/>
          </w:tcPr>
          <w:p>
            <w:pPr>
              <w:spacing w:after="0"/>
              <w:rPr>
                <w:sz w:val="1"/>
                <w:szCs w:val="1"/>
                <w:color w:val="auto"/>
              </w:rPr>
            </w:pPr>
          </w:p>
        </w:tc>
      </w:tr>
      <w:tr>
        <w:trPr>
          <w:trHeight w:val="224"/>
        </w:trPr>
        <w:tc>
          <w:tcPr>
            <w:tcW w:w="4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2"/>
              </w:rPr>
              <w:t>(13,214)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56,187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(28,993)</w:t>
            </w:r>
          </w:p>
        </w:tc>
        <w:tc>
          <w:tcPr>
            <w:tcW w:w="0" w:type="dxa"/>
            <w:vAlign w:val="bottom"/>
          </w:tcPr>
          <w:p>
            <w:pPr>
              <w:spacing w:after="0"/>
              <w:rPr>
                <w:sz w:val="1"/>
                <w:szCs w:val="1"/>
                <w:color w:val="auto"/>
              </w:rPr>
            </w:pPr>
          </w:p>
        </w:tc>
      </w:tr>
      <w:tr>
        <w:trPr>
          <w:trHeight w:val="230"/>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Unrealized holding gains (losses) on investments: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220"/>
              <w:spacing w:after="0"/>
              <w:rPr>
                <w:sz w:val="20"/>
                <w:szCs w:val="20"/>
                <w:color w:val="auto"/>
              </w:rPr>
            </w:pPr>
            <w:r>
              <w:rPr>
                <w:rFonts w:ascii="Arial" w:cs="Arial" w:eastAsia="Arial" w:hAnsi="Arial"/>
                <w:sz w:val="18"/>
                <w:szCs w:val="18"/>
                <w:color w:val="auto"/>
              </w:rPr>
              <w:t>Unrealized holding gains arising during the year</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ind w:left="220"/>
              <w:spacing w:after="0"/>
              <w:rPr>
                <w:sz w:val="20"/>
                <w:szCs w:val="20"/>
                <w:color w:val="auto"/>
              </w:rPr>
            </w:pPr>
            <w:r>
              <w:rPr>
                <w:rFonts w:ascii="Arial" w:cs="Arial" w:eastAsia="Arial" w:hAnsi="Arial"/>
                <w:sz w:val="18"/>
                <w:szCs w:val="18"/>
                <w:color w:val="auto"/>
                <w:w w:val="92"/>
              </w:rPr>
              <w:t>(17,286)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84,334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105,906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w w:val="92"/>
              </w:rPr>
              <w:t>(17,995)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87,911</w:t>
            </w:r>
          </w:p>
        </w:tc>
        <w:tc>
          <w:tcPr>
            <w:tcW w:w="0" w:type="dxa"/>
            <w:vAlign w:val="bottom"/>
          </w:tcPr>
          <w:p>
            <w:pPr>
              <w:spacing w:after="0"/>
              <w:rPr>
                <w:sz w:val="1"/>
                <w:szCs w:val="1"/>
                <w:color w:val="auto"/>
              </w:rPr>
            </w:pPr>
          </w:p>
        </w:tc>
      </w:tr>
      <w:tr>
        <w:trPr>
          <w:trHeight w:val="175"/>
        </w:trPr>
        <w:tc>
          <w:tcPr>
            <w:tcW w:w="46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Less: Reclassification adjustment for gains included in</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net income (1)</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Net unrealized gains on investments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2"/>
              </w:rPr>
              <w:t>(16,836)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82,087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2"/>
              </w:rPr>
              <w:t>(17,497)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85,180</w:t>
            </w:r>
          </w:p>
        </w:tc>
        <w:tc>
          <w:tcPr>
            <w:tcW w:w="0" w:type="dxa"/>
            <w:vAlign w:val="bottom"/>
          </w:tcPr>
          <w:p>
            <w:pPr>
              <w:spacing w:after="0"/>
              <w:rPr>
                <w:sz w:val="1"/>
                <w:szCs w:val="1"/>
                <w:color w:val="auto"/>
              </w:rPr>
            </w:pPr>
          </w:p>
        </w:tc>
      </w:tr>
      <w:tr>
        <w:trPr>
          <w:trHeight w:val="223"/>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gain</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2"/>
              </w:rPr>
              <w:t>(16,836)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82,087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2"/>
              </w:rPr>
              <w:t>(17,497)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85,180</w:t>
            </w:r>
          </w:p>
        </w:tc>
        <w:tc>
          <w:tcPr>
            <w:tcW w:w="0" w:type="dxa"/>
            <w:vAlign w:val="bottom"/>
          </w:tcPr>
          <w:p>
            <w:pPr>
              <w:spacing w:after="0"/>
              <w:rPr>
                <w:sz w:val="1"/>
                <w:szCs w:val="1"/>
                <w:color w:val="auto"/>
              </w:rPr>
            </w:pPr>
          </w:p>
        </w:tc>
      </w:tr>
      <w:tr>
        <w:trPr>
          <w:trHeight w:val="22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Balance at end of year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168,324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2"/>
              </w:rPr>
              <w:t>(30,050)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138,274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2"/>
              </w:rPr>
              <w:t>(13,214)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56,187</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 Included in net realized investments gains on our consolidated statements of comprehensive income.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of Financial Instruments</w:t>
      </w:r>
    </w:p>
    <w:p>
      <w:pPr>
        <w:spacing w:after="0" w:line="256"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5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14" w:lineRule="exact"/>
        <w:rPr>
          <w:sz w:val="20"/>
          <w:szCs w:val="20"/>
          <w:color w:val="auto"/>
        </w:rPr>
      </w:pPr>
    </w:p>
    <w:p>
      <w:pPr>
        <w:ind w:left="660" w:hanging="247"/>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 accessible at the measurement date.</w:t>
      </w:r>
    </w:p>
    <w:p>
      <w:pPr>
        <w:spacing w:after="0" w:line="252" w:lineRule="exact"/>
        <w:rPr>
          <w:rFonts w:ascii="Arial" w:cs="Arial" w:eastAsia="Arial" w:hAnsi="Arial"/>
          <w:sz w:val="18"/>
          <w:szCs w:val="18"/>
          <w:color w:val="auto"/>
        </w:rPr>
      </w:pPr>
    </w:p>
    <w:p>
      <w:pPr>
        <w:jc w:val="both"/>
        <w:ind w:left="660" w:right="80" w:hanging="247"/>
        <w:spacing w:after="0" w:line="263"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210" w:lineRule="exact"/>
        <w:rPr>
          <w:rFonts w:ascii="Arial" w:cs="Arial" w:eastAsia="Arial" w:hAnsi="Arial"/>
          <w:sz w:val="18"/>
          <w:szCs w:val="18"/>
          <w:color w:val="auto"/>
        </w:rPr>
      </w:pPr>
    </w:p>
    <w:p>
      <w:pPr>
        <w:ind w:left="660" w:hanging="247"/>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3—Valuations derived from one or more significant inputs that are unobservable.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56"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52" w:lineRule="exact"/>
        <w:rPr>
          <w:sz w:val="20"/>
          <w:szCs w:val="20"/>
          <w:color w:val="auto"/>
        </w:rPr>
      </w:pPr>
    </w:p>
    <w:p>
      <w:pPr>
        <w:ind w:left="660" w:right="120" w:hanging="247"/>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Investments available for sale—Investments available for sale are valued using quoted market prices in active markets, when available, and those investments are classified as Level 1 of the fair value hierarchy. Level 1 investments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6" w:name="page117"/>
    <w:bookmarkEnd w:id="116"/>
    <w:p>
      <w:pPr>
        <w:jc w:val="center"/>
        <w:ind w:right="440"/>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1" w:lineRule="exact"/>
        <w:rPr>
          <w:sz w:val="20"/>
          <w:szCs w:val="20"/>
          <w:color w:val="auto"/>
        </w:rPr>
      </w:pPr>
    </w:p>
    <w:p>
      <w:pPr>
        <w:ind w:left="160" w:right="120"/>
        <w:spacing w:after="0" w:line="257" w:lineRule="auto"/>
        <w:rPr>
          <w:sz w:val="20"/>
          <w:szCs w:val="20"/>
          <w:color w:val="auto"/>
        </w:rPr>
      </w:pPr>
      <w:r>
        <w:rPr>
          <w:rFonts w:ascii="Arial" w:cs="Arial" w:eastAsia="Arial" w:hAnsi="Arial"/>
          <w:sz w:val="18"/>
          <w:szCs w:val="18"/>
          <w:color w:val="auto"/>
        </w:rPr>
        <w:t>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215" w:lineRule="exact"/>
        <w:rPr>
          <w:sz w:val="20"/>
          <w:szCs w:val="20"/>
          <w:color w:val="auto"/>
        </w:rPr>
      </w:pPr>
    </w:p>
    <w:p>
      <w:pPr>
        <w:ind w:left="160" w:hanging="146"/>
        <w:spacing w:after="0" w:line="287" w:lineRule="auto"/>
        <w:rPr>
          <w:sz w:val="20"/>
          <w:szCs w:val="20"/>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20" w:top="364" w:right="399" w:bottom="1440" w:gutter="0" w:footer="0" w:header="0"/>
        </w:sectPr>
      </w:pPr>
    </w:p>
    <w:bookmarkStart w:id="117" w:name="page118"/>
    <w:bookmarkEnd w:id="117"/>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56"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Quoted Prices</w:t>
            </w:r>
          </w:p>
        </w:tc>
        <w:tc>
          <w:tcPr>
            <w:tcW w:w="260" w:type="dxa"/>
            <w:vAlign w:val="bottom"/>
          </w:tcPr>
          <w:p>
            <w:pPr>
              <w:spacing w:after="0"/>
              <w:rPr>
                <w:sz w:val="14"/>
                <w:szCs w:val="14"/>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 Active</w:t>
            </w:r>
          </w:p>
        </w:tc>
        <w:tc>
          <w:tcPr>
            <w:tcW w:w="2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2020 (In thousands)</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268,444</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18,085</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995,905</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551,517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551,517</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1,126,512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1,126,512</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409,282</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454,717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454,717</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679,304</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Total assets at fair value (1)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947,748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3,617,625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4,565,373</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 Active</w:t>
            </w:r>
          </w:p>
        </w:tc>
        <w:tc>
          <w:tcPr>
            <w:tcW w:w="2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2019 (In thousands)</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242,206</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33,605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33,605</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848,334</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361,638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361,638</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54,995</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880,301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880,301</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288,281</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326,025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326,025</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315,362</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Total assets at fair value (1)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557,568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2,793,179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3,350,747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660" w:hanging="328"/>
        <w:spacing w:after="0" w:line="259" w:lineRule="auto"/>
        <w:tabs>
          <w:tab w:leader="none" w:pos="654" w:val="left"/>
        </w:tabs>
        <w:numPr>
          <w:ilvl w:val="0"/>
          <w:numId w:val="68"/>
        </w:numPr>
        <w:rPr>
          <w:rFonts w:ascii="Arial" w:cs="Arial" w:eastAsia="Arial" w:hAnsi="Arial"/>
          <w:sz w:val="18"/>
          <w:szCs w:val="18"/>
          <w:color w:val="auto"/>
        </w:rPr>
      </w:pPr>
      <w:r>
        <w:rPr>
          <w:rFonts w:ascii="Arial" w:cs="Arial" w:eastAsia="Arial" w:hAnsi="Arial"/>
          <w:sz w:val="18"/>
          <w:szCs w:val="18"/>
          <w:color w:val="auto"/>
        </w:rPr>
        <w:t>Does not include the fair value of embedded derivatives, which we have accounted for separately as freestanding derivatives and included in other assets or other accrued liabilities in our consolidated balance sheet. See Note 5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Statutory Accounting</w:t>
      </w:r>
    </w:p>
    <w:p>
      <w:pPr>
        <w:spacing w:after="0" w:line="256" w:lineRule="exact"/>
        <w:rPr>
          <w:sz w:val="20"/>
          <w:szCs w:val="20"/>
          <w:color w:val="auto"/>
        </w:rPr>
      </w:pPr>
    </w:p>
    <w:p>
      <w:pPr>
        <w:ind w:right="220" w:firstLine="445"/>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years ended December 31:</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6"/>
                <w:szCs w:val="16"/>
                <w:color w:val="auto"/>
              </w:rPr>
            </w:pPr>
          </w:p>
        </w:tc>
        <w:tc>
          <w:tcPr>
            <w:tcW w:w="1360" w:type="dxa"/>
            <w:vAlign w:val="bottom"/>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jc w:val="right"/>
              <w:ind w:right="673"/>
              <w:spacing w:after="0"/>
              <w:rPr>
                <w:sz w:val="20"/>
                <w:szCs w:val="20"/>
                <w:color w:val="auto"/>
              </w:rPr>
            </w:pPr>
            <w:r>
              <w:rPr>
                <w:rFonts w:ascii="Arial" w:cs="Arial" w:eastAsia="Arial" w:hAnsi="Arial"/>
                <w:sz w:val="14"/>
                <w:szCs w:val="14"/>
                <w:b w:val="1"/>
                <w:bCs w:val="1"/>
                <w:color w:val="auto"/>
              </w:rPr>
              <w:t>2018</w:t>
            </w:r>
          </w:p>
        </w:tc>
      </w:tr>
      <w:tr>
        <w:trPr>
          <w:trHeight w:val="229"/>
        </w:trPr>
        <w:tc>
          <w:tcPr>
            <w:tcW w:w="5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Essent Guaranty</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29"/>
        </w:trPr>
        <w:tc>
          <w:tcPr>
            <w:tcW w:w="5580" w:type="dxa"/>
            <w:vAlign w:val="bottom"/>
            <w:gridSpan w:val="2"/>
          </w:tcPr>
          <w:p>
            <w:pPr>
              <w:ind w:left="220"/>
              <w:spacing w:after="0"/>
              <w:rPr>
                <w:sz w:val="20"/>
                <w:szCs w:val="20"/>
                <w:color w:val="auto"/>
              </w:rPr>
            </w:pPr>
            <w:r>
              <w:rPr>
                <w:rFonts w:ascii="Arial" w:cs="Arial" w:eastAsia="Arial" w:hAnsi="Arial"/>
                <w:sz w:val="18"/>
                <w:szCs w:val="18"/>
                <w:color w:val="auto"/>
              </w:rPr>
              <w:t>Statutory net income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312,091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443,675</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379,119</w:t>
            </w:r>
          </w:p>
        </w:tc>
      </w:tr>
      <w:tr>
        <w:trPr>
          <w:trHeight w:val="230"/>
        </w:trPr>
        <w:tc>
          <w:tcPr>
            <w:tcW w:w="5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Statutory surplus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1,048,878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1,032,416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872,105</w:t>
            </w:r>
          </w:p>
        </w:tc>
      </w:tr>
      <w:tr>
        <w:trPr>
          <w:trHeight w:val="229"/>
        </w:trPr>
        <w:tc>
          <w:tcPr>
            <w:tcW w:w="5580" w:type="dxa"/>
            <w:vAlign w:val="bottom"/>
            <w:gridSpan w:val="2"/>
          </w:tcPr>
          <w:p>
            <w:pPr>
              <w:ind w:left="220"/>
              <w:spacing w:after="0"/>
              <w:rPr>
                <w:sz w:val="20"/>
                <w:szCs w:val="20"/>
                <w:color w:val="auto"/>
              </w:rPr>
            </w:pPr>
            <w:r>
              <w:rPr>
                <w:rFonts w:ascii="Arial" w:cs="Arial" w:eastAsia="Arial" w:hAnsi="Arial"/>
                <w:sz w:val="18"/>
                <w:szCs w:val="18"/>
                <w:color w:val="auto"/>
              </w:rPr>
              <w:t>Contingency reserve liability</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1,499,782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1,197,279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916,568</w:t>
            </w:r>
          </w:p>
        </w:tc>
      </w:tr>
      <w:tr>
        <w:trPr>
          <w:trHeight w:val="257"/>
        </w:trPr>
        <w:tc>
          <w:tcPr>
            <w:tcW w:w="5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29"/>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Essent PA</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Statutory net income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9,306</w:t>
            </w:r>
          </w:p>
        </w:tc>
      </w:tr>
      <w:tr>
        <w:trPr>
          <w:trHeight w:val="229"/>
        </w:trPr>
        <w:tc>
          <w:tcPr>
            <w:tcW w:w="5580" w:type="dxa"/>
            <w:vAlign w:val="bottom"/>
            <w:gridSpan w:val="2"/>
          </w:tcPr>
          <w:p>
            <w:pPr>
              <w:ind w:left="220"/>
              <w:spacing w:after="0"/>
              <w:rPr>
                <w:sz w:val="20"/>
                <w:szCs w:val="20"/>
                <w:color w:val="auto"/>
              </w:rPr>
            </w:pPr>
            <w:r>
              <w:rPr>
                <w:rFonts w:ascii="Arial" w:cs="Arial" w:eastAsia="Arial" w:hAnsi="Arial"/>
                <w:sz w:val="18"/>
                <w:szCs w:val="18"/>
                <w:color w:val="auto"/>
              </w:rPr>
              <w:t>Statutory surplus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54,354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52,936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49,336</w:t>
            </w:r>
          </w:p>
        </w:tc>
      </w:tr>
      <w:tr>
        <w:trPr>
          <w:trHeight w:val="229"/>
        </w:trPr>
        <w:tc>
          <w:tcPr>
            <w:tcW w:w="5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Contingency reserve liability</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48,545</w:t>
            </w:r>
          </w:p>
        </w:tc>
      </w:tr>
    </w:tbl>
    <w:p>
      <w:pPr>
        <w:spacing w:after="0" w:line="310" w:lineRule="exact"/>
        <w:rPr>
          <w:sz w:val="20"/>
          <w:szCs w:val="20"/>
          <w:color w:val="auto"/>
        </w:rPr>
      </w:pPr>
    </w:p>
    <w:p>
      <w:pPr>
        <w:ind w:right="220" w:firstLine="445"/>
        <w:spacing w:after="0" w:line="272" w:lineRule="auto"/>
        <w:rPr>
          <w:sz w:val="20"/>
          <w:szCs w:val="20"/>
          <w:color w:val="auto"/>
        </w:rPr>
      </w:pPr>
      <w:r>
        <w:rPr>
          <w:rFonts w:ascii="Arial" w:cs="Arial" w:eastAsia="Arial" w:hAnsi="Arial"/>
          <w:sz w:val="17"/>
          <w:szCs w:val="17"/>
          <w:color w:val="auto"/>
        </w:rPr>
        <w:t>Net income determined in accordance with statutory accounting practices differs from GAAP. In 2020 and 2019,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As discussed in Note 12, we are eligible for a tax deduction, subject to certain limitations for amounts required by state law or regulation to be set aside in statutory contingency reserves when we purchase T&amp;L Bonds.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204" w:lineRule="exact"/>
        <w:rPr>
          <w:sz w:val="20"/>
          <w:szCs w:val="20"/>
          <w:color w:val="auto"/>
        </w:rPr>
      </w:pPr>
    </w:p>
    <w:p>
      <w:pPr>
        <w:ind w:right="620" w:firstLine="445"/>
        <w:spacing w:after="0" w:line="277" w:lineRule="auto"/>
        <w:rPr>
          <w:sz w:val="20"/>
          <w:szCs w:val="20"/>
          <w:color w:val="auto"/>
        </w:rPr>
      </w:pPr>
      <w:r>
        <w:rPr>
          <w:rFonts w:ascii="Arial" w:cs="Arial" w:eastAsia="Arial" w:hAnsi="Arial"/>
          <w:sz w:val="18"/>
          <w:szCs w:val="18"/>
          <w:color w:val="auto"/>
        </w:rPr>
        <w:t>At December 31, 2020 and 2019, the statutory capital of our U.S. insurance subsidiaries, which is defined as the total of statutory surplus and contingency reserves, was in excess of the statutory capital necessary to satisfy their regulatory requirements.</w:t>
      </w:r>
    </w:p>
    <w:p>
      <w:pPr>
        <w:spacing w:after="0" w:line="197"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December 31, 2020, Essent Guaranty, our GSE-approved mortgage insurance company, was in compliance with PMIERs 2.0.</w:t>
      </w:r>
    </w:p>
    <w:p>
      <w:pPr>
        <w:spacing w:after="0" w:line="193"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 xml:space="preserve">Statement of Statutory Accounting Principles No. 58, </w:t>
      </w:r>
      <w:r>
        <w:rPr>
          <w:rFonts w:ascii="Arial" w:cs="Arial" w:eastAsia="Arial" w:hAnsi="Arial"/>
          <w:sz w:val="16"/>
          <w:szCs w:val="16"/>
          <w:i w:val="1"/>
          <w:iCs w:val="1"/>
          <w:color w:val="auto"/>
        </w:rPr>
        <w:t>Mortgage Guaranty Insurance,</w:t>
      </w:r>
      <w:r>
        <w:rPr>
          <w:rFonts w:ascii="Arial" w:cs="Arial" w:eastAsia="Arial" w:hAnsi="Arial"/>
          <w:sz w:val="16"/>
          <w:szCs w:val="16"/>
          <w:color w:val="auto"/>
        </w:rPr>
        <w:t xml:space="preserve"> requires mortgage insurers to establish a special contingency reserve for statutory accounting purposes included in total liabilities equal to 50% of earned premium for that year. During 2020, Essent Guaranty increased its contingency reserve by $302.5 million and Essent PA increased its contingency reserve by $3.1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year ended December 31, 2020, Essent Guaranty and Essent PA released contingency reserves of $0.1 million and less than $0.1 million, respectively, to unassigned funds upon completion of the 120 month holding period. Essent Guaranty and Essent PA did not release any amounts from their contingency reserves in 2019 or 2018.</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00" w:firstLine="445"/>
        <w:spacing w:after="0" w:line="296" w:lineRule="auto"/>
        <w:rPr>
          <w:sz w:val="20"/>
          <w:szCs w:val="20"/>
          <w:color w:val="auto"/>
        </w:rPr>
      </w:pPr>
      <w:r>
        <w:rPr>
          <w:rFonts w:ascii="Arial" w:cs="Arial" w:eastAsia="Arial" w:hAnsi="Arial"/>
          <w:sz w:val="16"/>
          <w:szCs w:val="16"/>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2020 and 2019, all such requirements were met.</w:t>
      </w:r>
    </w:p>
    <w:p>
      <w:pPr>
        <w:spacing w:after="0" w:line="188" w:lineRule="exact"/>
        <w:rPr>
          <w:sz w:val="20"/>
          <w:szCs w:val="20"/>
          <w:color w:val="auto"/>
        </w:rPr>
      </w:pPr>
    </w:p>
    <w:p>
      <w:pPr>
        <w:ind w:right="500" w:firstLine="445"/>
        <w:spacing w:after="0" w:line="263" w:lineRule="auto"/>
        <w:rPr>
          <w:sz w:val="20"/>
          <w:szCs w:val="20"/>
          <w:color w:val="auto"/>
        </w:rPr>
      </w:pPr>
      <w:r>
        <w:rPr>
          <w:rFonts w:ascii="Arial" w:cs="Arial" w:eastAsia="Arial" w:hAnsi="Arial"/>
          <w:sz w:val="18"/>
          <w:szCs w:val="18"/>
          <w:color w:val="auto"/>
        </w:rPr>
        <w:t>Essent Re's statutory capital and surplus was $1.1 billion and $939.2 million as of December 31, 2020 and 2019, respectively, and statutory net income was $143.5 million and $176.4 million, respectively. Statutory capital and surplus and net income determined in accordance with statutory accounting practices were not significantly different than the amounts determined under GAAP.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Capital Maintenance Agreement</w:t>
      </w:r>
    </w:p>
    <w:p>
      <w:pPr>
        <w:spacing w:after="0" w:line="256" w:lineRule="exact"/>
        <w:rPr>
          <w:sz w:val="20"/>
          <w:szCs w:val="20"/>
          <w:color w:val="auto"/>
        </w:rPr>
      </w:pPr>
    </w:p>
    <w:p>
      <w:pPr>
        <w:ind w:right="340" w:firstLine="445"/>
        <w:spacing w:after="0" w:line="263" w:lineRule="auto"/>
        <w:rPr>
          <w:sz w:val="20"/>
          <w:szCs w:val="20"/>
          <w:color w:val="auto"/>
        </w:rPr>
      </w:pPr>
      <w:r>
        <w:rPr>
          <w:rFonts w:ascii="Arial" w:cs="Arial" w:eastAsia="Arial" w:hAnsi="Arial"/>
          <w:sz w:val="18"/>
          <w:szCs w:val="18"/>
          <w:color w:val="auto"/>
        </w:rPr>
        <w:t>Essent Guaranty has a capital maintenance agreement with Essent PA under which Essent Guaranty agreed to contribute funds, under specified conditions, to maintain Essent PA's risk-to-capital ratio at or below 25.0 to 1 in return for a surplus note. As of December 31, 2020, Essent PA's risk-to-capital ratio was 1.7:1 and there were no amounts outstanding related to this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Quarterly Financial Data (Unaudited)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unaudited results of operations for each quarter of 2020 and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54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120" w:type="dxa"/>
            <w:vAlign w:val="bottom"/>
          </w:tcPr>
          <w:p>
            <w:pPr>
              <w:jc w:val="right"/>
              <w:ind w:right="292"/>
              <w:spacing w:after="0"/>
              <w:rPr>
                <w:sz w:val="20"/>
                <w:szCs w:val="20"/>
                <w:color w:val="auto"/>
              </w:rPr>
            </w:pPr>
            <w:r>
              <w:rPr>
                <w:rFonts w:ascii="Arial" w:cs="Arial" w:eastAsia="Arial" w:hAnsi="Arial"/>
                <w:sz w:val="14"/>
                <w:szCs w:val="14"/>
                <w:b w:val="1"/>
                <w:bCs w:val="1"/>
                <w:color w:val="auto"/>
              </w:rPr>
              <w:t>March 31</w:t>
            </w:r>
          </w:p>
        </w:tc>
      </w:tr>
      <w:tr>
        <w:trPr>
          <w:trHeight w:val="224"/>
        </w:trPr>
        <w:tc>
          <w:tcPr>
            <w:tcW w:w="5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premiums earned</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222,258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211,471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206,496</w:t>
            </w:r>
          </w:p>
        </w:tc>
      </w:tr>
      <w:tr>
        <w:trPr>
          <w:trHeight w:val="229"/>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22,344</w:t>
            </w:r>
          </w:p>
        </w:tc>
      </w:tr>
      <w:tr>
        <w:trPr>
          <w:trHeight w:val="230"/>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losses and LAE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w:t>
            </w:r>
          </w:p>
        </w:tc>
      </w:tr>
      <w:tr>
        <w:trPr>
          <w:trHeight w:val="230"/>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41,947</w:t>
            </w:r>
          </w:p>
        </w:tc>
      </w:tr>
      <w:tr>
        <w:trPr>
          <w:trHeight w:val="230"/>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r>
      <w:tr>
        <w:trPr>
          <w:trHeight w:val="229"/>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146,152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148,431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176,698</w:t>
            </w:r>
          </w:p>
        </w:tc>
      </w:tr>
      <w:tr>
        <w:trPr>
          <w:trHeight w:val="230"/>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149,523</w:t>
            </w:r>
          </w:p>
        </w:tc>
      </w:tr>
      <w:tr>
        <w:trPr>
          <w:trHeight w:val="230"/>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111,908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111,908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97,949</w:t>
            </w:r>
          </w:p>
        </w:tc>
      </w:tr>
      <w:tr>
        <w:trPr>
          <w:trHeight w:val="229"/>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98,326</w:t>
            </w:r>
          </w:p>
        </w:tc>
      </w:tr>
      <w:tr>
        <w:trPr>
          <w:trHeight w:val="891"/>
        </w:trPr>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54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120" w:type="dxa"/>
            <w:vAlign w:val="bottom"/>
          </w:tcPr>
          <w:p>
            <w:pPr>
              <w:jc w:val="right"/>
              <w:ind w:right="292"/>
              <w:spacing w:after="0"/>
              <w:rPr>
                <w:sz w:val="20"/>
                <w:szCs w:val="20"/>
                <w:color w:val="auto"/>
              </w:rPr>
            </w:pPr>
            <w:r>
              <w:rPr>
                <w:rFonts w:ascii="Arial" w:cs="Arial" w:eastAsia="Arial" w:hAnsi="Arial"/>
                <w:sz w:val="14"/>
                <w:szCs w:val="14"/>
                <w:b w:val="1"/>
                <w:bCs w:val="1"/>
                <w:color w:val="auto"/>
              </w:rPr>
              <w:t>March 31</w:t>
            </w:r>
          </w:p>
        </w:tc>
      </w:tr>
      <w:tr>
        <w:trPr>
          <w:trHeight w:val="224"/>
        </w:trPr>
        <w:tc>
          <w:tcPr>
            <w:tcW w:w="5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premiums earned</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203,473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188,490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177,791</w:t>
            </w:r>
          </w:p>
        </w:tc>
      </w:tr>
      <w:tr>
        <w:trPr>
          <w:trHeight w:val="229"/>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22,735</w:t>
            </w:r>
          </w:p>
        </w:tc>
      </w:tr>
      <w:tr>
        <w:trPr>
          <w:trHeight w:val="229"/>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losses and LAE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w:t>
            </w:r>
          </w:p>
        </w:tc>
      </w:tr>
      <w:tr>
        <w:trPr>
          <w:trHeight w:val="230"/>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41,231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41,588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41,030</w:t>
            </w:r>
          </w:p>
        </w:tc>
      </w:tr>
      <w:tr>
        <w:trPr>
          <w:trHeight w:val="229"/>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r>
      <w:tr>
        <w:trPr>
          <w:trHeight w:val="230"/>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174,384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172,225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162,733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149,719</w:t>
            </w:r>
          </w:p>
        </w:tc>
      </w:tr>
      <w:tr>
        <w:trPr>
          <w:trHeight w:val="229"/>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127,720</w:t>
            </w:r>
          </w:p>
        </w:tc>
      </w:tr>
      <w:tr>
        <w:trPr>
          <w:trHeight w:val="229"/>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97,830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97,822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97,798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97,595</w:t>
            </w:r>
          </w:p>
        </w:tc>
      </w:tr>
      <w:tr>
        <w:trPr>
          <w:trHeight w:val="229"/>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1" w:name="page122"/>
    <w:bookmarkEnd w:id="121"/>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I—Summary of Investments—Other Than Investments in Related Parties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Type of Investment</w:t>
            </w:r>
          </w:p>
        </w:tc>
        <w:tc>
          <w:tcPr>
            <w:tcW w:w="280" w:type="dxa"/>
            <w:vAlign w:val="bottom"/>
          </w:tcPr>
          <w:p>
            <w:pPr>
              <w:spacing w:after="0"/>
              <w:rPr>
                <w:sz w:val="14"/>
                <w:szCs w:val="14"/>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360" w:type="dxa"/>
            <w:vAlign w:val="bottom"/>
          </w:tcPr>
          <w:p>
            <w:pPr>
              <w:spacing w:after="0"/>
              <w:rPr>
                <w:sz w:val="14"/>
                <w:szCs w:val="14"/>
                <w:color w:val="auto"/>
              </w:rPr>
            </w:pPr>
          </w:p>
        </w:tc>
        <w:tc>
          <w:tcPr>
            <w:tcW w:w="13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1700" w:type="dxa"/>
            <w:vAlign w:val="bottom"/>
          </w:tcPr>
          <w:p>
            <w:pPr>
              <w:jc w:val="center"/>
              <w:ind w:right="194"/>
              <w:spacing w:after="0"/>
              <w:rPr>
                <w:sz w:val="20"/>
                <w:szCs w:val="20"/>
                <w:color w:val="auto"/>
              </w:rPr>
            </w:pPr>
            <w:r>
              <w:rPr>
                <w:rFonts w:ascii="Arial" w:cs="Arial" w:eastAsia="Arial" w:hAnsi="Arial"/>
                <w:sz w:val="14"/>
                <w:szCs w:val="14"/>
                <w:b w:val="1"/>
                <w:bCs w:val="1"/>
                <w:color w:val="auto"/>
                <w:w w:val="93"/>
              </w:rPr>
              <w:t>Amount at which</w:t>
            </w:r>
          </w:p>
        </w:tc>
        <w:tc>
          <w:tcPr>
            <w:tcW w:w="0" w:type="dxa"/>
            <w:vAlign w:val="bottom"/>
          </w:tcPr>
          <w:p>
            <w:pPr>
              <w:spacing w:after="0"/>
              <w:rPr>
                <w:sz w:val="1"/>
                <w:szCs w:val="1"/>
                <w:color w:val="auto"/>
              </w:rPr>
            </w:pPr>
          </w:p>
        </w:tc>
      </w:tr>
      <w:tr>
        <w:trPr>
          <w:trHeight w:val="135"/>
        </w:trPr>
        <w:tc>
          <w:tcPr>
            <w:tcW w:w="58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tcPr>
          <w:p>
            <w:pPr>
              <w:jc w:val="center"/>
              <w:ind w:right="194"/>
              <w:spacing w:after="0" w:line="135" w:lineRule="exact"/>
              <w:rPr>
                <w:sz w:val="20"/>
                <w:szCs w:val="20"/>
                <w:color w:val="auto"/>
              </w:rPr>
            </w:pPr>
            <w:r>
              <w:rPr>
                <w:rFonts w:ascii="Arial" w:cs="Arial" w:eastAsia="Arial" w:hAnsi="Arial"/>
                <w:sz w:val="14"/>
                <w:szCs w:val="14"/>
                <w:b w:val="1"/>
                <w:bCs w:val="1"/>
                <w:color w:val="auto"/>
                <w:w w:val="91"/>
              </w:rPr>
              <w:t>shown in the</w:t>
            </w:r>
          </w:p>
        </w:tc>
        <w:tc>
          <w:tcPr>
            <w:tcW w:w="0" w:type="dxa"/>
            <w:vAlign w:val="bottom"/>
          </w:tcPr>
          <w:p>
            <w:pPr>
              <w:spacing w:after="0"/>
              <w:rPr>
                <w:sz w:val="1"/>
                <w:szCs w:val="1"/>
                <w:color w:val="auto"/>
              </w:rPr>
            </w:pPr>
          </w:p>
        </w:tc>
      </w:tr>
      <w:tr>
        <w:trPr>
          <w:trHeight w:val="188"/>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360" w:type="dxa"/>
            <w:vAlign w:val="bottom"/>
          </w:tcPr>
          <w:p>
            <w:pPr>
              <w:spacing w:after="0"/>
              <w:rPr>
                <w:sz w:val="16"/>
                <w:szCs w:val="16"/>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170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Balance Sheet</w:t>
            </w:r>
          </w:p>
        </w:tc>
        <w:tc>
          <w:tcPr>
            <w:tcW w:w="0" w:type="dxa"/>
            <w:vAlign w:val="bottom"/>
          </w:tcPr>
          <w:p>
            <w:pPr>
              <w:spacing w:after="0"/>
              <w:rPr>
                <w:sz w:val="1"/>
                <w:szCs w:val="1"/>
                <w:color w:val="auto"/>
              </w:rPr>
            </w:pPr>
          </w:p>
        </w:tc>
      </w:tr>
      <w:tr>
        <w:trPr>
          <w:trHeight w:val="224"/>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gridSpan w:val="2"/>
          </w:tcPr>
          <w:p>
            <w:pPr>
              <w:ind w:left="140"/>
              <w:spacing w:after="0"/>
              <w:rPr>
                <w:sz w:val="20"/>
                <w:szCs w:val="20"/>
                <w:color w:val="auto"/>
              </w:rPr>
            </w:pPr>
            <w:r>
              <w:rPr>
                <w:rFonts w:ascii="Arial" w:cs="Arial" w:eastAsia="Arial" w:hAnsi="Arial"/>
                <w:sz w:val="18"/>
                <w:szCs w:val="18"/>
                <w:color w:val="auto"/>
              </w:rPr>
              <w:t>Bonds: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United States Government and government agencies and authorities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1,212,622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1,254,075</w:t>
            </w:r>
          </w:p>
        </w:tc>
        <w:tc>
          <w:tcPr>
            <w:tcW w:w="0" w:type="dxa"/>
            <w:vAlign w:val="bottom"/>
          </w:tcPr>
          <w:p>
            <w:pPr>
              <w:spacing w:after="0"/>
              <w:rPr>
                <w:sz w:val="1"/>
                <w:szCs w:val="1"/>
                <w:color w:val="auto"/>
              </w:rPr>
            </w:pPr>
          </w:p>
        </w:tc>
      </w:tr>
      <w:tr>
        <w:trPr>
          <w:trHeight w:val="229"/>
        </w:trPr>
        <w:tc>
          <w:tcPr>
            <w:tcW w:w="5880" w:type="dxa"/>
            <w:vAlign w:val="bottom"/>
            <w:gridSpan w:val="2"/>
          </w:tcPr>
          <w:p>
            <w:pPr>
              <w:ind w:left="360"/>
              <w:spacing w:after="0"/>
              <w:rPr>
                <w:sz w:val="20"/>
                <w:szCs w:val="20"/>
                <w:color w:val="auto"/>
              </w:rPr>
            </w:pPr>
            <w:r>
              <w:rPr>
                <w:rFonts w:ascii="Arial" w:cs="Arial" w:eastAsia="Arial" w:hAnsi="Arial"/>
                <w:sz w:val="18"/>
                <w:szCs w:val="18"/>
                <w:color w:val="auto"/>
              </w:rPr>
              <w:t>States, municipalities and political subdivisions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513,870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551,517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551,517</w:t>
            </w: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409,282</w:t>
            </w:r>
          </w:p>
        </w:tc>
        <w:tc>
          <w:tcPr>
            <w:tcW w:w="0" w:type="dxa"/>
            <w:vAlign w:val="bottom"/>
          </w:tcPr>
          <w:p>
            <w:pPr>
              <w:spacing w:after="0"/>
              <w:rPr>
                <w:sz w:val="1"/>
                <w:szCs w:val="1"/>
                <w:color w:val="auto"/>
              </w:rPr>
            </w:pPr>
          </w:p>
        </w:tc>
      </w:tr>
      <w:tr>
        <w:trPr>
          <w:trHeight w:val="229"/>
        </w:trPr>
        <w:tc>
          <w:tcPr>
            <w:tcW w:w="5880" w:type="dxa"/>
            <w:vAlign w:val="bottom"/>
            <w:gridSpan w:val="2"/>
          </w:tcPr>
          <w:p>
            <w:pPr>
              <w:ind w:left="36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452,527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454,717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454,717</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government and agency securities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61,607</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All other corporate bonds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1,050,830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1,107,315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1,107,315</w:t>
            </w:r>
          </w:p>
        </w:tc>
        <w:tc>
          <w:tcPr>
            <w:tcW w:w="0" w:type="dxa"/>
            <w:vAlign w:val="bottom"/>
          </w:tcPr>
          <w:p>
            <w:pPr>
              <w:spacing w:after="0"/>
              <w:rPr>
                <w:sz w:val="1"/>
                <w:szCs w:val="1"/>
                <w:color w:val="auto"/>
              </w:rPr>
            </w:pPr>
          </w:p>
        </w:tc>
      </w:tr>
      <w:tr>
        <w:trPr>
          <w:trHeight w:val="223"/>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fixed maturities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3,677,815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3,838,513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3,838,513</w:t>
            </w:r>
          </w:p>
        </w:tc>
        <w:tc>
          <w:tcPr>
            <w:tcW w:w="0" w:type="dxa"/>
            <w:vAlign w:val="bottom"/>
          </w:tcPr>
          <w:p>
            <w:pPr>
              <w:spacing w:after="0"/>
              <w:rPr>
                <w:sz w:val="1"/>
                <w:szCs w:val="1"/>
                <w:color w:val="auto"/>
              </w:rPr>
            </w:pPr>
          </w:p>
        </w:tc>
      </w:tr>
      <w:tr>
        <w:trPr>
          <w:trHeight w:val="223"/>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726,875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726,860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726,860</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invested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81,263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88,904</w:t>
            </w:r>
          </w:p>
        </w:tc>
        <w:tc>
          <w:tcPr>
            <w:tcW w:w="0" w:type="dxa"/>
            <w:vAlign w:val="bottom"/>
          </w:tcPr>
          <w:p>
            <w:pPr>
              <w:spacing w:after="0"/>
              <w:rPr>
                <w:sz w:val="1"/>
                <w:szCs w:val="1"/>
                <w:color w:val="auto"/>
              </w:rPr>
            </w:pPr>
          </w:p>
        </w:tc>
      </w:tr>
      <w:tr>
        <w:trPr>
          <w:trHeight w:val="223"/>
        </w:trPr>
        <w:tc>
          <w:tcPr>
            <w:tcW w:w="5880" w:type="dxa"/>
            <w:vAlign w:val="bottom"/>
            <w:gridSpan w:val="2"/>
          </w:tcPr>
          <w:p>
            <w:pPr>
              <w:ind w:left="140"/>
              <w:spacing w:after="0"/>
              <w:rPr>
                <w:sz w:val="20"/>
                <w:szCs w:val="20"/>
                <w:color w:val="auto"/>
              </w:rPr>
            </w:pPr>
            <w:r>
              <w:rPr>
                <w:rFonts w:ascii="Arial" w:cs="Arial" w:eastAsia="Arial" w:hAnsi="Arial"/>
                <w:sz w:val="18"/>
                <w:szCs w:val="18"/>
                <w:color w:val="auto"/>
              </w:rPr>
              <w:t>Total investments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4,485,953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4,654,277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4,654,277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 maturities available for sale, at fair value (amortized cost: 2020 — $201,527; 2019 — $0)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98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8"/>
              </w:rPr>
              <w:t>Short-term investments available for sale, at fair value (amortized cost: 2020 — $352,412; 2019 —</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352,415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96,531</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$96,531)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96,531</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from affiliates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Investment in consolidated subsidiaries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3,518,029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3,009,447</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4,087,051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3,110,306</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140"/>
              <w:spacing w:after="0"/>
              <w:rPr>
                <w:sz w:val="20"/>
                <w:szCs w:val="20"/>
                <w:color w:val="auto"/>
              </w:rPr>
            </w:pPr>
            <w:r>
              <w:rPr>
                <w:rFonts w:ascii="Arial" w:cs="Arial" w:eastAsia="Arial" w:hAnsi="Arial"/>
                <w:sz w:val="18"/>
                <w:szCs w:val="18"/>
                <w:color w:val="auto"/>
              </w:rPr>
              <w:t>Due to affiliates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176"/>
        </w:trPr>
        <w:tc>
          <w:tcPr>
            <w:tcW w:w="79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Credit facility borrowings (at carrying value, less unamortized deferred costs of $2,287 in 2020 and $564</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222,713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124,436</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 2019)</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accrued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224,418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125,461</w:t>
            </w:r>
          </w:p>
        </w:tc>
        <w:tc>
          <w:tcPr>
            <w:tcW w:w="0" w:type="dxa"/>
            <w:vAlign w:val="bottom"/>
          </w:tcPr>
          <w:p>
            <w:pPr>
              <w:spacing w:after="0"/>
              <w:rPr>
                <w:sz w:val="1"/>
                <w:szCs w:val="1"/>
                <w:color w:val="auto"/>
              </w:rPr>
            </w:pPr>
          </w:p>
        </w:tc>
      </w:tr>
      <w:tr>
        <w:trPr>
          <w:trHeight w:val="20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140"/>
              <w:spacing w:after="0"/>
              <w:rPr>
                <w:sz w:val="20"/>
                <w:szCs w:val="20"/>
                <w:color w:val="auto"/>
              </w:rPr>
            </w:pPr>
            <w:r>
              <w:rPr>
                <w:rFonts w:ascii="Arial" w:cs="Arial" w:eastAsia="Arial" w:hAnsi="Arial"/>
                <w:sz w:val="18"/>
                <w:szCs w:val="18"/>
                <w:color w:val="auto"/>
              </w:rPr>
              <w:t>Common shares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1,571,163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1,118,655</w:t>
            </w:r>
          </w:p>
        </w:tc>
        <w:tc>
          <w:tcPr>
            <w:tcW w:w="0" w:type="dxa"/>
            <w:vAlign w:val="bottom"/>
          </w:tcPr>
          <w:p>
            <w:pPr>
              <w:spacing w:after="0"/>
              <w:rPr>
                <w:sz w:val="1"/>
                <w:szCs w:val="1"/>
                <w:color w:val="auto"/>
              </w:rPr>
            </w:pPr>
          </w:p>
        </w:tc>
      </w:tr>
      <w:tr>
        <w:trPr>
          <w:trHeight w:val="229"/>
        </w:trPr>
        <w:tc>
          <w:tcPr>
            <w:tcW w:w="798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138,274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56,187</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2,151,510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1,808,527</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3,862,633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2,984,845</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4,087,051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3,110,306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Net investment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Realized investment losses,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Administrative service fees from subsidiaries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23"/>
        </w:trPr>
        <w:tc>
          <w:tcPr>
            <w:tcW w:w="76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Expenses: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service fees to subsidiaries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30"/>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23"/>
        </w:trPr>
        <w:tc>
          <w:tcPr>
            <w:tcW w:w="7680" w:type="dxa"/>
            <w:vAlign w:val="bottom"/>
            <w:gridSpan w:val="2"/>
          </w:tcPr>
          <w:p>
            <w:pPr>
              <w:ind w:left="140"/>
              <w:spacing w:after="0"/>
              <w:rPr>
                <w:sz w:val="20"/>
                <w:szCs w:val="20"/>
                <w:color w:val="auto"/>
              </w:rPr>
            </w:pPr>
            <w:r>
              <w:rPr>
                <w:rFonts w:ascii="Arial" w:cs="Arial" w:eastAsia="Arial" w:hAnsi="Arial"/>
                <w:sz w:val="18"/>
                <w:szCs w:val="18"/>
                <w:color w:val="auto"/>
              </w:rPr>
              <w:t>Total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13,048</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 and equity in undistributed net income in subsidiaries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0" w:type="dxa"/>
            <w:vAlign w:val="bottom"/>
          </w:tcPr>
          <w:p>
            <w:pPr>
              <w:spacing w:after="0"/>
              <w:rPr>
                <w:sz w:val="1"/>
                <w:szCs w:val="1"/>
                <w:color w:val="auto"/>
              </w:rPr>
            </w:pPr>
          </w:p>
        </w:tc>
      </w:tr>
      <w:tr>
        <w:trPr>
          <w:trHeight w:val="22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Loss before equity in undistributed net income of subsidiaries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(11,517)</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in undistributed net income of subsidiaries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478,880</w:t>
            </w:r>
          </w:p>
        </w:tc>
        <w:tc>
          <w:tcPr>
            <w:tcW w:w="0" w:type="dxa"/>
            <w:vAlign w:val="bottom"/>
          </w:tcPr>
          <w:p>
            <w:pPr>
              <w:spacing w:after="0"/>
              <w:rPr>
                <w:sz w:val="1"/>
                <w:szCs w:val="1"/>
                <w:color w:val="auto"/>
              </w:rPr>
            </w:pPr>
          </w:p>
        </w:tc>
      </w:tr>
      <w:tr>
        <w:trPr>
          <w:trHeight w:val="223"/>
        </w:trPr>
        <w:tc>
          <w:tcPr>
            <w:tcW w:w="76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413,041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555,713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467,363</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8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Change in unrealized appreciation (depreciation) of investments, net of tax expense (benefit) of</w:t>
            </w: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82,087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85,180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(25,741)</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$16,836 in 2020, $17,497 in 2019 and $(5,686) in 2018</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82,087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(25,741)</w:t>
            </w:r>
          </w:p>
        </w:tc>
        <w:tc>
          <w:tcPr>
            <w:tcW w:w="0" w:type="dxa"/>
            <w:vAlign w:val="bottom"/>
          </w:tcPr>
          <w:p>
            <w:pPr>
              <w:spacing w:after="0"/>
              <w:rPr>
                <w:sz w:val="1"/>
                <w:szCs w:val="1"/>
                <w:color w:val="auto"/>
              </w:rPr>
            </w:pPr>
          </w:p>
        </w:tc>
      </w:tr>
      <w:tr>
        <w:trPr>
          <w:trHeight w:val="223"/>
        </w:trPr>
        <w:tc>
          <w:tcPr>
            <w:tcW w:w="7680" w:type="dxa"/>
            <w:vAlign w:val="bottom"/>
            <w:gridSpan w:val="2"/>
          </w:tcPr>
          <w:p>
            <w:pPr>
              <w:ind w:left="14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495,128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640,893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441,622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Statements of Cash Flows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Parent Company Only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1"/>
              </w:rPr>
              <w:t>Year Ended December 31,</w:t>
            </w:r>
          </w:p>
        </w:tc>
        <w:tc>
          <w:tcPr>
            <w:tcW w:w="1020" w:type="dxa"/>
            <w:vAlign w:val="bottom"/>
            <w:tcBorders>
              <w:bottom w:val="single" w:sz="8" w:color="auto"/>
            </w:tcBorders>
          </w:tcPr>
          <w:p>
            <w:pPr>
              <w:spacing w:after="0"/>
              <w:rPr>
                <w:sz w:val="16"/>
                <w:szCs w:val="16"/>
                <w:color w:val="auto"/>
              </w:rPr>
            </w:pPr>
          </w:p>
        </w:tc>
      </w:tr>
      <w:tr>
        <w:trPr>
          <w:trHeight w:val="188"/>
        </w:trPr>
        <w:tc>
          <w:tcPr>
            <w:tcW w:w="7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2018</w:t>
            </w:r>
          </w:p>
        </w:tc>
      </w:tr>
      <w:tr>
        <w:trPr>
          <w:trHeight w:val="224"/>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413,041</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555,713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467,363</w:t>
            </w: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Equity in net income of subsidiaries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(427,101)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(569,183)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(478,880)</w:t>
            </w:r>
          </w:p>
        </w:tc>
      </w:tr>
      <w:tr>
        <w:trPr>
          <w:trHeight w:val="22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 on the sale of investments,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843</w:t>
            </w:r>
          </w:p>
        </w:tc>
      </w:tr>
      <w:tr>
        <w:trPr>
          <w:trHeight w:val="230"/>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premium on investment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29"/>
        </w:trPr>
        <w:tc>
          <w:tcPr>
            <w:tcW w:w="70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15,537</w:t>
            </w: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w:t>
            </w: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change in short-term investments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(255,884)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26,122</w:t>
            </w: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Investments in subsidiaries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 of investments available for sale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(205,668)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Proceeds from maturity of investments available for sale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sales of investments available for sale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(457,328)</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30,274</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26,122</w:t>
            </w: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Issuance of common shares, net of costs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439,962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Credit facility borrowings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Credit facility repayments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Treasury stock acquired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(31,414)</w:t>
            </w: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Payment of issuance costs for credit facility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(69,410)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458,962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(31,545)</w:t>
            </w: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30"/>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at beginning of year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w:t>
            </w:r>
          </w:p>
        </w:tc>
      </w:tr>
      <w:tr>
        <w:trPr>
          <w:trHeight w:val="248"/>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Interest payments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(5,714)</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(5,509)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(4,984)</w:t>
            </w:r>
          </w:p>
        </w:tc>
      </w:tr>
      <w:tr>
        <w:trPr>
          <w:trHeight w:val="148"/>
        </w:trPr>
        <w:tc>
          <w:tcPr>
            <w:tcW w:w="6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Noncash Transactions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Repayment of borrowings with term loan proceeds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4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Supplementary Notes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w:t>
      </w:r>
    </w:p>
    <w:p>
      <w:pPr>
        <w:spacing w:after="0" w:line="256"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accompanying Parent Company financial statements should be read in conjunction with the consolidated financial statements and notes to consolidated financial statements. These financial statements have been prepared on the same basis and using the same accounting policies as described in the consolidated financial statements included herein, except that the Parent Company uses the equity method of accounting for its majority-owned subsidiaries.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w:t>
      </w:r>
    </w:p>
    <w:p>
      <w:pPr>
        <w:spacing w:after="0" w:line="256"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Under the insurance laws of the Commonwealth of Pennsylvania, the insurance subsidiaries may pay dividends during any 12-month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As of December 31, 2020, Essent Guaranty had unassigned surplus of approximately $343.6 million. Essent PA had unassigned surplus of approximately $15.4 million as of December 31, 2020.</w:t>
      </w:r>
    </w:p>
    <w:p>
      <w:pPr>
        <w:spacing w:after="0" w:line="21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During the years ended December 31, 2020 and 2018, the Parent Company did not receive any dividends from its subsidiaries. During the year ended December 31, 2019, the Parent Company received dividends from Essent Re totaling $55.0 million.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26" w:name="page127"/>
    <w:bookmarkEnd w:id="126"/>
    <w:p>
      <w:pPr>
        <w:jc w:val="center"/>
        <w:ind w:right="20"/>
        <w:spacing w:after="0"/>
        <w:rPr>
          <w:sz w:val="20"/>
          <w:szCs w:val="20"/>
          <w:color w:val="auto"/>
        </w:rPr>
      </w:pPr>
      <w:r>
        <w:rPr>
          <w:rFonts w:ascii="Arial" w:cs="Arial" w:eastAsia="Arial" w:hAnsi="Arial"/>
          <w:sz w:val="18"/>
          <w:szCs w:val="18"/>
          <w:b w:val="1"/>
          <w:bCs w:val="1"/>
          <w:color w:val="auto"/>
        </w:rPr>
        <w:t>Essent Group Ltd.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IV—Reinsurance</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Insurance Premiums Earned</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Ceded to Other</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Assumed from</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Assumed Premiums as</w:t>
            </w:r>
          </w:p>
        </w:tc>
        <w:tc>
          <w:tcPr>
            <w:tcW w:w="0" w:type="dxa"/>
            <w:vAlign w:val="bottom"/>
          </w:tcPr>
          <w:p>
            <w:pPr>
              <w:spacing w:after="0"/>
              <w:rPr>
                <w:sz w:val="1"/>
                <w:szCs w:val="1"/>
                <w:color w:val="auto"/>
              </w:rPr>
            </w:pPr>
          </w:p>
        </w:tc>
      </w:tr>
      <w:tr>
        <w:trPr>
          <w:trHeight w:val="135"/>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Gross Amount</w:t>
            </w:r>
          </w:p>
        </w:tc>
        <w:tc>
          <w:tcPr>
            <w:tcW w:w="120" w:type="dxa"/>
            <w:vAlign w:val="bottom"/>
            <w:vMerge w:val="restart"/>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3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Net Amount</w:t>
            </w:r>
          </w:p>
        </w:tc>
        <w:tc>
          <w:tcPr>
            <w:tcW w:w="10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 Percentage of Net</w:t>
            </w:r>
          </w:p>
        </w:tc>
        <w:tc>
          <w:tcPr>
            <w:tcW w:w="0" w:type="dxa"/>
            <w:vAlign w:val="bottom"/>
          </w:tcPr>
          <w:p>
            <w:pPr>
              <w:spacing w:after="0"/>
              <w:rPr>
                <w:sz w:val="1"/>
                <w:szCs w:val="1"/>
                <w:color w:val="auto"/>
              </w:rPr>
            </w:pPr>
          </w:p>
        </w:tc>
      </w:tr>
      <w:tr>
        <w:trPr>
          <w:trHeight w:val="188"/>
        </w:trPr>
        <w:tc>
          <w:tcPr>
            <w:tcW w:w="4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Companies</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Other Companies</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Premiums</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951,302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(88,738)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862,564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tcPr>
          <w:p>
            <w:pPr>
              <w:ind w:left="20"/>
              <w:spacing w:after="0" w:line="203" w:lineRule="exact"/>
              <w:rPr>
                <w:sz w:val="20"/>
                <w:szCs w:val="20"/>
                <w:color w:val="auto"/>
              </w:rPr>
            </w:pPr>
            <w:r>
              <w:rPr>
                <w:rFonts w:ascii="Arial" w:cs="Arial" w:eastAsia="Arial" w:hAnsi="Arial"/>
                <w:sz w:val="18"/>
                <w:szCs w:val="18"/>
                <w:color w:val="auto"/>
              </w:rPr>
              <w:t>2019</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812,924</w:t>
            </w:r>
          </w:p>
        </w:tc>
        <w:tc>
          <w:tcPr>
            <w:tcW w:w="12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(35,499)</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tcPr>
          <w:p>
            <w:pPr>
              <w:ind w:left="10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777,425</w:t>
            </w:r>
          </w:p>
        </w:tc>
        <w:tc>
          <w:tcPr>
            <w:tcW w:w="15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660,260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649,492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127" w:name="page128"/>
    <w:bookmarkEnd w:id="127"/>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ind w:right="100" w:firstLine="445"/>
        <w:spacing w:after="0" w:line="301" w:lineRule="auto"/>
        <w:rPr>
          <w:sz w:val="20"/>
          <w:szCs w:val="20"/>
          <w:color w:val="auto"/>
        </w:rPr>
      </w:pPr>
      <w:r>
        <w:rPr>
          <w:rFonts w:ascii="Arial" w:cs="Arial" w:eastAsia="Arial" w:hAnsi="Arial"/>
          <w:sz w:val="16"/>
          <w:szCs w:val="16"/>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Annual Report. Based on this evaluation, our chief executive officer and chief financial officer concluded that our disclosure controls and procedures were effective as of December 31, 2020, the end of the period covered by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214"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1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Management, including our chief executive officer and chief financial officer, assessed the effectiveness of internal control over financial reporting as of December 31, 2020. Management based this assessment on criteria for effective internal control over financial reporting described in "Internal Control— Integrated Framework (2013)" issued by the Committee of Sponsoring Organizations of the Treadway Commission. Based on this assessment, management determined that, as of December 31, 2020, the Company maintained effective internal control over financial reporting to provide reasonable assurance regarding the reliability of financial reporting and the preparation of financial statements for external purposes in accordance with generally accepted accounting principles.</w:t>
      </w:r>
    </w:p>
    <w:p>
      <w:pPr>
        <w:spacing w:after="0" w:line="219" w:lineRule="exact"/>
        <w:rPr>
          <w:sz w:val="20"/>
          <w:szCs w:val="20"/>
          <w:color w:val="auto"/>
        </w:rPr>
      </w:pPr>
    </w:p>
    <w:p>
      <w:pPr>
        <w:ind w:right="560" w:firstLine="445"/>
        <w:spacing w:after="0" w:line="263" w:lineRule="auto"/>
        <w:rPr>
          <w:sz w:val="20"/>
          <w:szCs w:val="20"/>
          <w:color w:val="auto"/>
        </w:rPr>
      </w:pPr>
      <w:r>
        <w:rPr>
          <w:rFonts w:ascii="Arial" w:cs="Arial" w:eastAsia="Arial" w:hAnsi="Arial"/>
          <w:sz w:val="18"/>
          <w:szCs w:val="18"/>
          <w:color w:val="auto"/>
        </w:rPr>
        <w:t>The effectiveness of the Company's internal control over financial reporting as of December 31, 2020 has been audited by PricewaterhouseCoopers LLP, an independent registered public accounting firm, as stated in their report, which is included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3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8" w:name="page129"/>
    <w:bookmarkEnd w:id="128"/>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2021 Annual General Meeting of Shareholders.</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2021 Annual General Meeting of Shareholders.</w:t>
      </w:r>
    </w:p>
    <w:p>
      <w:pPr>
        <w:spacing w:after="0" w:line="271" w:lineRule="exact"/>
        <w:rPr>
          <w:sz w:val="20"/>
          <w:szCs w:val="20"/>
          <w:color w:val="auto"/>
        </w:rPr>
      </w:pPr>
    </w:p>
    <w:p>
      <w:pPr>
        <w:ind w:left="940" w:right="360" w:hanging="971"/>
        <w:spacing w:after="0" w:line="282" w:lineRule="auto"/>
        <w:tabs>
          <w:tab w:leader="none" w:pos="9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2021 Annual General Meeting of Shareholders.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ind w:right="740" w:firstLine="445"/>
        <w:spacing w:after="0" w:line="308" w:lineRule="auto"/>
        <w:rPr>
          <w:sz w:val="20"/>
          <w:szCs w:val="20"/>
          <w:color w:val="auto"/>
        </w:rPr>
      </w:pPr>
      <w:r>
        <w:rPr>
          <w:rFonts w:ascii="Arial" w:cs="Arial" w:eastAsia="Arial" w:hAnsi="Arial"/>
          <w:sz w:val="17"/>
          <w:szCs w:val="17"/>
          <w:color w:val="auto"/>
        </w:rPr>
        <w:t>The following table sets forth, as of December 31, 2020, information concerning equity compensation plans under which our securities are authorized for issuance. The table does not reflect grants, awards, exercises, terminations or expirations since that date.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Number of Securities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180" w:type="dxa"/>
            <w:vAlign w:val="bottom"/>
            <w:vMerge w:val="restart"/>
          </w:tcPr>
          <w:p>
            <w:pPr>
              <w:jc w:val="center"/>
              <w:ind w:right="328"/>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35"/>
        </w:trPr>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gridSpan w:val="2"/>
            <w:vMerge w:val="continue"/>
          </w:tcPr>
          <w:p>
            <w:pPr>
              <w:spacing w:after="0"/>
              <w:rPr>
                <w:sz w:val="11"/>
                <w:szCs w:val="11"/>
                <w:color w:val="auto"/>
              </w:rPr>
            </w:pPr>
          </w:p>
        </w:tc>
        <w:tc>
          <w:tcPr>
            <w:tcW w:w="17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Exercise Price of</w:t>
            </w:r>
          </w:p>
        </w:tc>
        <w:tc>
          <w:tcPr>
            <w:tcW w:w="2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0"/>
              </w:rPr>
              <w:t>to be Issued Upon</w:t>
            </w:r>
          </w:p>
        </w:tc>
        <w:tc>
          <w:tcPr>
            <w:tcW w:w="17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Outstanding</w:t>
            </w:r>
          </w:p>
        </w:tc>
        <w:tc>
          <w:tcPr>
            <w:tcW w:w="2180" w:type="dxa"/>
            <w:vAlign w:val="bottom"/>
          </w:tcPr>
          <w:p>
            <w:pPr>
              <w:jc w:val="center"/>
              <w:ind w:right="308"/>
              <w:spacing w:after="0" w:line="135"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35"/>
        </w:trPr>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8"/>
              </w:rPr>
              <w:t>Exercise of</w:t>
            </w:r>
          </w:p>
        </w:tc>
        <w:tc>
          <w:tcPr>
            <w:tcW w:w="17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Options,</w:t>
            </w:r>
          </w:p>
        </w:tc>
        <w:tc>
          <w:tcPr>
            <w:tcW w:w="2180" w:type="dxa"/>
            <w:vAlign w:val="bottom"/>
          </w:tcPr>
          <w:p>
            <w:pPr>
              <w:jc w:val="center"/>
              <w:ind w:right="328"/>
              <w:spacing w:after="0" w:line="135" w:lineRule="exact"/>
              <w:rPr>
                <w:sz w:val="20"/>
                <w:szCs w:val="20"/>
                <w:color w:val="auto"/>
              </w:rPr>
            </w:pPr>
            <w:r>
              <w:rPr>
                <w:rFonts w:ascii="Arial" w:cs="Arial" w:eastAsia="Arial" w:hAnsi="Arial"/>
                <w:sz w:val="14"/>
                <w:szCs w:val="14"/>
                <w:b w:val="1"/>
                <w:bCs w:val="1"/>
                <w:color w:val="auto"/>
                <w:w w:val="93"/>
              </w:rPr>
              <w:t>for Future Issuance</w:t>
            </w:r>
          </w:p>
        </w:tc>
        <w:tc>
          <w:tcPr>
            <w:tcW w:w="0" w:type="dxa"/>
            <w:vAlign w:val="bottom"/>
          </w:tcPr>
          <w:p>
            <w:pPr>
              <w:spacing w:after="0"/>
              <w:rPr>
                <w:sz w:val="1"/>
                <w:szCs w:val="1"/>
                <w:color w:val="auto"/>
              </w:rPr>
            </w:pPr>
          </w:p>
        </w:tc>
      </w:tr>
      <w:tr>
        <w:trPr>
          <w:trHeight w:val="135"/>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236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3"/>
              </w:rPr>
              <w:t>Outstanding Options,</w:t>
            </w:r>
          </w:p>
        </w:tc>
        <w:tc>
          <w:tcPr>
            <w:tcW w:w="17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Warrants and</w:t>
            </w:r>
          </w:p>
        </w:tc>
        <w:tc>
          <w:tcPr>
            <w:tcW w:w="2180" w:type="dxa"/>
            <w:vAlign w:val="bottom"/>
          </w:tcPr>
          <w:p>
            <w:pPr>
              <w:jc w:val="center"/>
              <w:ind w:right="328"/>
              <w:spacing w:after="0" w:line="135" w:lineRule="exact"/>
              <w:rPr>
                <w:sz w:val="20"/>
                <w:szCs w:val="20"/>
                <w:color w:val="auto"/>
              </w:rPr>
            </w:pPr>
            <w:r>
              <w:rPr>
                <w:rFonts w:ascii="Arial" w:cs="Arial" w:eastAsia="Arial" w:hAnsi="Arial"/>
                <w:sz w:val="14"/>
                <w:szCs w:val="14"/>
                <w:b w:val="1"/>
                <w:bCs w:val="1"/>
                <w:color w:val="auto"/>
                <w:w w:val="98"/>
              </w:rPr>
              <w:t>Under Equity</w:t>
            </w:r>
          </w:p>
        </w:tc>
        <w:tc>
          <w:tcPr>
            <w:tcW w:w="0" w:type="dxa"/>
            <w:vAlign w:val="bottom"/>
          </w:tcPr>
          <w:p>
            <w:pPr>
              <w:spacing w:after="0"/>
              <w:rPr>
                <w:sz w:val="1"/>
                <w:szCs w:val="1"/>
                <w:color w:val="auto"/>
              </w:rPr>
            </w:pPr>
          </w:p>
        </w:tc>
      </w:tr>
      <w:tr>
        <w:trPr>
          <w:trHeight w:val="188"/>
        </w:trPr>
        <w:tc>
          <w:tcPr>
            <w:tcW w:w="4940" w:type="dxa"/>
            <w:vAlign w:val="bottom"/>
            <w:gridSpan w:val="2"/>
            <w:vMerge w:val="continue"/>
          </w:tcPr>
          <w:p>
            <w:pPr>
              <w:spacing w:after="0"/>
              <w:rPr>
                <w:sz w:val="16"/>
                <w:szCs w:val="16"/>
                <w:color w:val="auto"/>
              </w:rPr>
            </w:pPr>
          </w:p>
        </w:tc>
        <w:tc>
          <w:tcPr>
            <w:tcW w:w="2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Warrants and Rights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Rights</w:t>
            </w:r>
          </w:p>
        </w:tc>
        <w:tc>
          <w:tcPr>
            <w:tcW w:w="2180" w:type="dxa"/>
            <w:vAlign w:val="bottom"/>
          </w:tcPr>
          <w:p>
            <w:pPr>
              <w:jc w:val="center"/>
              <w:ind w:right="328"/>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81"/>
        </w:trPr>
        <w:tc>
          <w:tcPr>
            <w:tcW w:w="4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Borders>
              <w:top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5"/>
                <w:szCs w:val="15"/>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5"/>
                <w:szCs w:val="15"/>
                <w:color w:val="auto"/>
              </w:rPr>
            </w:pPr>
          </w:p>
        </w:tc>
        <w:tc>
          <w:tcPr>
            <w:tcW w:w="2180" w:type="dxa"/>
            <w:vAlign w:val="bottom"/>
            <w:tcBorders>
              <w:top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180"/>
          </w:cols>
          <w:pgMar w:left="320" w:top="891" w:right="399" w:bottom="1440" w:gutter="0" w:footer="0" w:header="0"/>
        </w:sectPr>
      </w:pPr>
    </w:p>
    <w:p>
      <w:pPr>
        <w:ind w:left="20"/>
        <w:spacing w:after="0" w:line="325" w:lineRule="auto"/>
        <w:rPr>
          <w:sz w:val="20"/>
          <w:szCs w:val="20"/>
          <w:color w:val="auto"/>
        </w:rPr>
      </w:pPr>
      <w:r>
        <w:rPr>
          <w:rFonts w:ascii="Arial" w:cs="Arial" w:eastAsia="Arial" w:hAnsi="Arial"/>
          <w:sz w:val="16"/>
          <w:szCs w:val="16"/>
          <w:color w:val="auto"/>
        </w:rPr>
        <w:t>Equity compensation plans approved by security holders Equity compensation plans not approved by security holders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820" w:type="dxa"/>
            <w:vAlign w:val="bottom"/>
          </w:tcPr>
          <w:p>
            <w:pPr>
              <w:jc w:val="right"/>
              <w:spacing w:after="0"/>
              <w:rPr>
                <w:sz w:val="20"/>
                <w:szCs w:val="20"/>
                <w:color w:val="auto"/>
              </w:rPr>
            </w:pPr>
            <w:r>
              <w:rPr>
                <w:rFonts w:ascii="Arial" w:cs="Arial" w:eastAsia="Arial" w:hAnsi="Arial"/>
                <w:sz w:val="18"/>
                <w:szCs w:val="18"/>
                <w:color w:val="auto"/>
              </w:rPr>
              <w:t>512,630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3,722,280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w w:val="99"/>
              </w:rPr>
              <w:t>(3)</w:t>
            </w:r>
          </w:p>
        </w:tc>
      </w:tr>
      <w:tr>
        <w:trPr>
          <w:trHeight w:val="230"/>
        </w:trPr>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r>
      <w:tr>
        <w:trPr>
          <w:trHeight w:val="223"/>
        </w:trPr>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512,630</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3,722,280</w:t>
            </w:r>
          </w:p>
        </w:tc>
        <w:tc>
          <w:tcPr>
            <w:tcW w:w="420" w:type="dxa"/>
            <w:vAlign w:val="bottom"/>
            <w:tcBorders>
              <w:top w:val="single" w:sz="8" w:color="auto"/>
              <w:bottom w:val="single" w:sz="8" w:color="auto"/>
            </w:tcBorders>
          </w:tcPr>
          <w:p>
            <w:pPr>
              <w:spacing w:after="0"/>
              <w:rPr>
                <w:sz w:val="19"/>
                <w:szCs w:val="19"/>
                <w:color w:val="auto"/>
              </w:rPr>
            </w:pP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-479425</wp:posOffset>
            </wp:positionV>
            <wp:extent cx="7098030"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-187960</wp:posOffset>
            </wp:positionV>
            <wp:extent cx="709803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4380" w:space="560"/>
            <w:col w:w="6240"/>
          </w:cols>
          <w:pgMar w:left="320" w:top="891" w:right="39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right="180" w:hanging="412"/>
        <w:spacing w:after="0" w:line="254" w:lineRule="auto"/>
        <w:tabs>
          <w:tab w:leader="none" w:pos="41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of these shares are subject to outstanding restricted common share unit awards. This number does not include 515,792 shares that are subject to then-outstanding, but unvested, restricted common share awards because those securities have been subtracted from the number of securities remaining available for future issuance under column (c).</w:t>
      </w:r>
    </w:p>
    <w:p>
      <w:pPr>
        <w:spacing w:after="0" w:line="217" w:lineRule="exact"/>
        <w:rPr>
          <w:rFonts w:ascii="Arial" w:cs="Arial" w:eastAsia="Arial" w:hAnsi="Arial"/>
          <w:sz w:val="18"/>
          <w:szCs w:val="18"/>
          <w:color w:val="auto"/>
        </w:rPr>
      </w:pPr>
    </w:p>
    <w:p>
      <w:pPr>
        <w:ind w:left="400" w:hanging="392"/>
        <w:spacing w:after="0"/>
        <w:tabs>
          <w:tab w:leader="none" w:pos="4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Not applicable because all outstanding awards reflected in column (a) will be issued upon the vesting of outstanding restricted common share units.</w:t>
      </w:r>
    </w:p>
    <w:p>
      <w:pPr>
        <w:spacing w:after="0" w:line="275" w:lineRule="exact"/>
        <w:rPr>
          <w:rFonts w:ascii="Arial" w:cs="Arial" w:eastAsia="Arial" w:hAnsi="Arial"/>
          <w:sz w:val="16"/>
          <w:szCs w:val="16"/>
          <w:color w:val="auto"/>
        </w:rPr>
      </w:pPr>
    </w:p>
    <w:p>
      <w:pPr>
        <w:ind w:left="420" w:right="20" w:hanging="412"/>
        <w:spacing w:after="0" w:line="290" w:lineRule="auto"/>
        <w:tabs>
          <w:tab w:leader="none" w:pos="414"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All of the shares that remained available for future issuance as of December 31, 2020 were available under the 2013 Essent Group Ltd. Long-Term Incentive Plan, as amended and restated effective May 3, 2017 (the "2013 Plan"). Subject to certain express limits of the 2013 Plan, shares available for award purposes under the 2013 Plan generally may be used for any type of award authorized under that plan including options, stock appreciation rights, and other forms of awards granted or denominated in our common shares including, without limitation, stock bonuses, restricted stock, restricted stock units and performance shares. A total of 7,500,000 common shares are reserved and available for delivery under the amended and restated 2013 Plan. Common shares underlying awards that are settled in cash, cancelled, forfeited, or otherwise terminated without delivery to a participant will again be available for issuance under the 2013 Plan. Common shares withheld or surrendered in connection with the payment of an exercise price of an award or to satisfy tax withholding will not again become available for issuance under the 2013 Plan.</w:t>
      </w:r>
    </w:p>
    <w:p>
      <w:pPr>
        <w:spacing w:after="0" w:line="18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2021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type w:val="continuous"/>
        </w:sectPr>
      </w:pPr>
    </w:p>
    <w:bookmarkStart w:id="129" w:name="page130"/>
    <w:bookmarkEnd w:id="129"/>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Incorporated herein by reference to our definitive proxy statement to be filed with respect to our 2021 Annual General Meeting of Shareholders.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56"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252" w:lineRule="exact"/>
        <w:rPr>
          <w:rFonts w:ascii="Arial" w:cs="Arial" w:eastAsia="Arial" w:hAnsi="Arial"/>
          <w:sz w:val="18"/>
          <w:szCs w:val="18"/>
          <w:color w:val="auto"/>
        </w:rPr>
      </w:pPr>
    </w:p>
    <w:p>
      <w:pPr>
        <w:ind w:left="980" w:right="440" w:hanging="324"/>
        <w:spacing w:after="0" w:line="277" w:lineRule="auto"/>
        <w:tabs>
          <w:tab w:leader="none" w:pos="971" w:val="left"/>
        </w:tabs>
        <w:numPr>
          <w:ilvl w:val="1"/>
          <w:numId w:val="70"/>
        </w:numPr>
        <w:rPr>
          <w:rFonts w:ascii="Arial" w:cs="Arial" w:eastAsia="Arial" w:hAnsi="Arial"/>
          <w:sz w:val="18"/>
          <w:szCs w:val="18"/>
          <w:color w:val="auto"/>
        </w:rPr>
      </w:pPr>
      <w:r>
        <w:rPr>
          <w:rFonts w:ascii="Arial" w:cs="Arial" w:eastAsia="Arial" w:hAnsi="Arial"/>
          <w:sz w:val="18"/>
          <w:szCs w:val="18"/>
          <w:color w:val="auto"/>
        </w:rPr>
        <w:t>Financial Statements. See the "Index to Financial Statements—Consolidated Financial Statements" included in Item 8 of Part II of this Annual Report for a list of the financial statements filed as a part of this Annual Report.</w:t>
      </w:r>
    </w:p>
    <w:p>
      <w:pPr>
        <w:spacing w:after="0" w:line="197" w:lineRule="exact"/>
        <w:rPr>
          <w:rFonts w:ascii="Arial" w:cs="Arial" w:eastAsia="Arial" w:hAnsi="Arial"/>
          <w:sz w:val="18"/>
          <w:szCs w:val="18"/>
          <w:color w:val="auto"/>
        </w:rPr>
      </w:pPr>
    </w:p>
    <w:p>
      <w:pPr>
        <w:ind w:left="980" w:right="260" w:hanging="324"/>
        <w:spacing w:after="0" w:line="277" w:lineRule="auto"/>
        <w:tabs>
          <w:tab w:leader="none" w:pos="971" w:val="left"/>
        </w:tabs>
        <w:numPr>
          <w:ilvl w:val="1"/>
          <w:numId w:val="70"/>
        </w:numPr>
        <w:rPr>
          <w:rFonts w:ascii="Arial" w:cs="Arial" w:eastAsia="Arial" w:hAnsi="Arial"/>
          <w:sz w:val="18"/>
          <w:szCs w:val="18"/>
          <w:color w:val="auto"/>
        </w:rPr>
      </w:pPr>
      <w:r>
        <w:rPr>
          <w:rFonts w:ascii="Arial" w:cs="Arial" w:eastAsia="Arial" w:hAnsi="Arial"/>
          <w:sz w:val="18"/>
          <w:szCs w:val="18"/>
          <w:color w:val="auto"/>
        </w:rPr>
        <w:t>Financial Statements Schedules. See the "Index to Financial Statements—Financial Statement Schedules" included in Item 8 of Part II of this Annual Report for a list of the financial statements filed as a part of this Annual Report.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Exhibit No.</w:t>
            </w:r>
          </w:p>
        </w:tc>
        <w:tc>
          <w:tcPr>
            <w:tcW w:w="360" w:type="dxa"/>
            <w:vAlign w:val="bottom"/>
          </w:tcPr>
          <w:p>
            <w:pPr>
              <w:spacing w:after="0"/>
              <w:rPr>
                <w:sz w:val="16"/>
                <w:szCs w:val="16"/>
                <w:color w:val="auto"/>
              </w:rPr>
            </w:pPr>
          </w:p>
        </w:tc>
        <w:tc>
          <w:tcPr>
            <w:tcW w:w="9800" w:type="dxa"/>
            <w:vAlign w:val="bottom"/>
            <w:gridSpan w:val="2"/>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175"/>
        </w:trPr>
        <w:tc>
          <w:tcPr>
            <w:tcW w:w="40" w:type="dxa"/>
            <w:vAlign w:val="bottom"/>
          </w:tcPr>
          <w:p>
            <w:pPr>
              <w:spacing w:after="0"/>
              <w:rPr>
                <w:sz w:val="15"/>
                <w:szCs w:val="15"/>
                <w:color w:val="auto"/>
              </w:rPr>
            </w:pPr>
          </w:p>
        </w:tc>
        <w:tc>
          <w:tcPr>
            <w:tcW w:w="1040" w:type="dxa"/>
            <w:vAlign w:val="bottom"/>
            <w:tcBorders>
              <w:top w:val="single" w:sz="8" w:color="auto"/>
            </w:tcBorders>
          </w:tcPr>
          <w:p>
            <w:pPr>
              <w:jc w:val="center"/>
              <w:spacing w:after="0" w:line="175" w:lineRule="exact"/>
              <w:rPr>
                <w:rFonts w:ascii="Arial" w:cs="Arial" w:eastAsia="Arial" w:hAnsi="Arial"/>
                <w:sz w:val="18"/>
                <w:szCs w:val="18"/>
                <w:u w:val="single" w:color="auto"/>
                <w:color w:val="0000FF"/>
                <w:w w:val="95"/>
              </w:rPr>
            </w:pPr>
            <w:hyperlink r:id="rId151">
              <w:r>
                <w:rPr>
                  <w:rFonts w:ascii="Arial" w:cs="Arial" w:eastAsia="Arial" w:hAnsi="Arial"/>
                  <w:sz w:val="18"/>
                  <w:szCs w:val="18"/>
                  <w:u w:val="single" w:color="auto"/>
                  <w:color w:val="0000FF"/>
                  <w:w w:val="95"/>
                </w:rPr>
                <w:t>3.1</w:t>
              </w:r>
            </w:hyperlink>
          </w:p>
        </w:tc>
        <w:tc>
          <w:tcPr>
            <w:tcW w:w="360" w:type="dxa"/>
            <w:vAlign w:val="bottom"/>
          </w:tcPr>
          <w:p>
            <w:pPr>
              <w:spacing w:after="0"/>
              <w:rPr>
                <w:sz w:val="15"/>
                <w:szCs w:val="15"/>
                <w:color w:val="auto"/>
              </w:rPr>
            </w:pPr>
          </w:p>
        </w:tc>
        <w:tc>
          <w:tcPr>
            <w:tcW w:w="978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8"/>
                <w:szCs w:val="18"/>
                <w:color w:val="auto"/>
                <w:w w:val="98"/>
              </w:rPr>
              <w:t>Memorandum of Association (incorporated herein by reference to Exhibit 3.1 of the Registration Statement on Form S-1 (File</w:t>
            </w: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No. 333-191193) filed on September 16, 2013)</w:t>
            </w:r>
          </w:p>
        </w:tc>
      </w:tr>
      <w:tr>
        <w:trPr>
          <w:trHeight w:val="176"/>
        </w:trPr>
        <w:tc>
          <w:tcPr>
            <w:tcW w:w="1080" w:type="dxa"/>
            <w:vAlign w:val="bottom"/>
            <w:gridSpan w:val="2"/>
          </w:tcPr>
          <w:p>
            <w:pPr>
              <w:jc w:val="center"/>
              <w:spacing w:after="0" w:line="176" w:lineRule="exact"/>
              <w:rPr>
                <w:rFonts w:ascii="Arial" w:cs="Arial" w:eastAsia="Arial" w:hAnsi="Arial"/>
                <w:sz w:val="18"/>
                <w:szCs w:val="18"/>
                <w:u w:val="single" w:color="auto"/>
                <w:color w:val="0000FF"/>
                <w:w w:val="95"/>
              </w:rPr>
            </w:pPr>
            <w:hyperlink r:id="rId152">
              <w:r>
                <w:rPr>
                  <w:rFonts w:ascii="Arial" w:cs="Arial" w:eastAsia="Arial" w:hAnsi="Arial"/>
                  <w:sz w:val="18"/>
                  <w:szCs w:val="18"/>
                  <w:u w:val="single" w:color="auto"/>
                  <w:color w:val="0000FF"/>
                  <w:w w:val="95"/>
                </w:rPr>
                <w:t>3.2</w:t>
              </w:r>
            </w:hyperlink>
          </w:p>
        </w:tc>
        <w:tc>
          <w:tcPr>
            <w:tcW w:w="360" w:type="dxa"/>
            <w:vAlign w:val="bottom"/>
          </w:tcPr>
          <w:p>
            <w:pPr>
              <w:spacing w:after="0"/>
              <w:rPr>
                <w:sz w:val="15"/>
                <w:szCs w:val="15"/>
                <w:color w:val="auto"/>
              </w:rPr>
            </w:pPr>
          </w:p>
        </w:tc>
        <w:tc>
          <w:tcPr>
            <w:tcW w:w="9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Certificate of Deposit of Memorandum of Increase of Share Capital, dated as of February 18, 2009 (incorporated herein by reference</w:t>
            </w:r>
          </w:p>
        </w:tc>
      </w:tr>
      <w:tr>
        <w:trPr>
          <w:trHeight w:val="229"/>
        </w:trPr>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to Exhibit 3.2 of the Registration Statement on Form S-1 (File No. 333-191193) filed on September 16, 2013)</w:t>
            </w:r>
          </w:p>
        </w:tc>
      </w:tr>
      <w:tr>
        <w:trPr>
          <w:trHeight w:val="176"/>
        </w:trPr>
        <w:tc>
          <w:tcPr>
            <w:tcW w:w="1080" w:type="dxa"/>
            <w:vAlign w:val="bottom"/>
            <w:gridSpan w:val="2"/>
          </w:tcPr>
          <w:p>
            <w:pPr>
              <w:jc w:val="center"/>
              <w:spacing w:after="0" w:line="176" w:lineRule="exact"/>
              <w:rPr>
                <w:rFonts w:ascii="Arial" w:cs="Arial" w:eastAsia="Arial" w:hAnsi="Arial"/>
                <w:sz w:val="18"/>
                <w:szCs w:val="18"/>
                <w:u w:val="single" w:color="auto"/>
                <w:color w:val="0000FF"/>
                <w:w w:val="89"/>
              </w:rPr>
            </w:pPr>
            <w:hyperlink r:id="rId153">
              <w:r>
                <w:rPr>
                  <w:rFonts w:ascii="Arial" w:cs="Arial" w:eastAsia="Arial" w:hAnsi="Arial"/>
                  <w:sz w:val="18"/>
                  <w:szCs w:val="18"/>
                  <w:u w:val="single" w:color="auto"/>
                  <w:color w:val="0000FF"/>
                  <w:w w:val="89"/>
                </w:rPr>
                <w:t>3.2.1</w:t>
              </w:r>
            </w:hyperlink>
          </w:p>
        </w:tc>
        <w:tc>
          <w:tcPr>
            <w:tcW w:w="360" w:type="dxa"/>
            <w:vAlign w:val="bottom"/>
          </w:tcPr>
          <w:p>
            <w:pPr>
              <w:spacing w:after="0"/>
              <w:rPr>
                <w:sz w:val="15"/>
                <w:szCs w:val="15"/>
                <w:color w:val="auto"/>
              </w:rPr>
            </w:pPr>
          </w:p>
        </w:tc>
        <w:tc>
          <w:tcPr>
            <w:tcW w:w="9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Certificate of Deposit of Memorandum of Increase of Share Capital, dated as of October 3, 2013 (incorporated herein by reference to</w:t>
            </w:r>
          </w:p>
        </w:tc>
      </w:tr>
      <w:tr>
        <w:trPr>
          <w:trHeight w:val="229"/>
        </w:trPr>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w w:val="97"/>
              </w:rPr>
              <w:t>Exhibit 3.2.1 of Amendment No.3 to the Registration Statement on Form S-1 (File No. 333-191193) filed on October 21, 2013)</w:t>
            </w:r>
          </w:p>
        </w:tc>
      </w:tr>
      <w:tr>
        <w:trPr>
          <w:trHeight w:val="176"/>
        </w:trPr>
        <w:tc>
          <w:tcPr>
            <w:tcW w:w="1080" w:type="dxa"/>
            <w:vAlign w:val="bottom"/>
            <w:gridSpan w:val="2"/>
          </w:tcPr>
          <w:p>
            <w:pPr>
              <w:jc w:val="center"/>
              <w:spacing w:after="0" w:line="176" w:lineRule="exact"/>
              <w:rPr>
                <w:rFonts w:ascii="Arial" w:cs="Arial" w:eastAsia="Arial" w:hAnsi="Arial"/>
                <w:sz w:val="18"/>
                <w:szCs w:val="18"/>
                <w:u w:val="single" w:color="auto"/>
                <w:color w:val="0000FF"/>
                <w:w w:val="95"/>
              </w:rPr>
            </w:pPr>
            <w:hyperlink r:id="rId154">
              <w:r>
                <w:rPr>
                  <w:rFonts w:ascii="Arial" w:cs="Arial" w:eastAsia="Arial" w:hAnsi="Arial"/>
                  <w:sz w:val="18"/>
                  <w:szCs w:val="18"/>
                  <w:u w:val="single" w:color="auto"/>
                  <w:color w:val="0000FF"/>
                  <w:w w:val="95"/>
                </w:rPr>
                <w:t>3.3</w:t>
              </w:r>
            </w:hyperlink>
          </w:p>
        </w:tc>
        <w:tc>
          <w:tcPr>
            <w:tcW w:w="360" w:type="dxa"/>
            <w:vAlign w:val="bottom"/>
          </w:tcPr>
          <w:p>
            <w:pPr>
              <w:spacing w:after="0"/>
              <w:rPr>
                <w:sz w:val="15"/>
                <w:szCs w:val="15"/>
                <w:color w:val="auto"/>
              </w:rPr>
            </w:pPr>
          </w:p>
        </w:tc>
        <w:tc>
          <w:tcPr>
            <w:tcW w:w="9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Amended and Restated Bye-laws (incorporated herein by reference to Exhibit 3.3 of the Form 10-K (File No. 001-36157) filed on</w:t>
            </w:r>
          </w:p>
        </w:tc>
      </w:tr>
      <w:tr>
        <w:trPr>
          <w:trHeight w:val="229"/>
        </w:trPr>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March 10, 2014)</w:t>
            </w:r>
          </w:p>
        </w:tc>
      </w:tr>
      <w:tr>
        <w:trPr>
          <w:trHeight w:val="176"/>
        </w:trPr>
        <w:tc>
          <w:tcPr>
            <w:tcW w:w="1080" w:type="dxa"/>
            <w:vAlign w:val="bottom"/>
            <w:gridSpan w:val="2"/>
          </w:tcPr>
          <w:p>
            <w:pPr>
              <w:jc w:val="center"/>
              <w:spacing w:after="0" w:line="176" w:lineRule="exact"/>
              <w:rPr>
                <w:rFonts w:ascii="Arial" w:cs="Arial" w:eastAsia="Arial" w:hAnsi="Arial"/>
                <w:sz w:val="18"/>
                <w:szCs w:val="18"/>
                <w:u w:val="single" w:color="auto"/>
                <w:color w:val="0000FF"/>
                <w:w w:val="95"/>
              </w:rPr>
            </w:pPr>
            <w:hyperlink r:id="rId155">
              <w:r>
                <w:rPr>
                  <w:rFonts w:ascii="Arial" w:cs="Arial" w:eastAsia="Arial" w:hAnsi="Arial"/>
                  <w:sz w:val="18"/>
                  <w:szCs w:val="18"/>
                  <w:u w:val="single" w:color="auto"/>
                  <w:color w:val="0000FF"/>
                  <w:w w:val="95"/>
                </w:rPr>
                <w:t>4.1</w:t>
              </w:r>
            </w:hyperlink>
          </w:p>
        </w:tc>
        <w:tc>
          <w:tcPr>
            <w:tcW w:w="360" w:type="dxa"/>
            <w:vAlign w:val="bottom"/>
          </w:tcPr>
          <w:p>
            <w:pPr>
              <w:spacing w:after="0"/>
              <w:rPr>
                <w:sz w:val="15"/>
                <w:szCs w:val="15"/>
                <w:color w:val="auto"/>
              </w:rPr>
            </w:pPr>
          </w:p>
        </w:tc>
        <w:tc>
          <w:tcPr>
            <w:tcW w:w="9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1"/>
              </w:rPr>
              <w:t>Form of Common Share Certificate (incorporated herein by reference to Exhibit 4.1 of Amendment No.3 to the Registration Statement</w:t>
            </w:r>
          </w:p>
        </w:tc>
      </w:tr>
      <w:tr>
        <w:trPr>
          <w:trHeight w:val="229"/>
        </w:trPr>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on Form S-1 (File No. 333-191193) filed on October 21, 2013)</w:t>
            </w:r>
          </w:p>
        </w:tc>
      </w:tr>
      <w:tr>
        <w:trPr>
          <w:trHeight w:val="176"/>
        </w:trPr>
        <w:tc>
          <w:tcPr>
            <w:tcW w:w="1080" w:type="dxa"/>
            <w:vAlign w:val="bottom"/>
            <w:gridSpan w:val="2"/>
          </w:tcPr>
          <w:p>
            <w:pPr>
              <w:jc w:val="center"/>
              <w:spacing w:after="0" w:line="176" w:lineRule="exact"/>
              <w:rPr>
                <w:rFonts w:ascii="Arial" w:cs="Arial" w:eastAsia="Arial" w:hAnsi="Arial"/>
                <w:sz w:val="18"/>
                <w:szCs w:val="18"/>
                <w:u w:val="single" w:color="auto"/>
                <w:color w:val="0000FF"/>
                <w:w w:val="95"/>
              </w:rPr>
            </w:pPr>
            <w:hyperlink r:id="rId156">
              <w:r>
                <w:rPr>
                  <w:rFonts w:ascii="Arial" w:cs="Arial" w:eastAsia="Arial" w:hAnsi="Arial"/>
                  <w:sz w:val="18"/>
                  <w:szCs w:val="18"/>
                  <w:u w:val="single" w:color="auto"/>
                  <w:color w:val="0000FF"/>
                  <w:w w:val="95"/>
                </w:rPr>
                <w:t>4.2</w:t>
              </w:r>
            </w:hyperlink>
          </w:p>
        </w:tc>
        <w:tc>
          <w:tcPr>
            <w:tcW w:w="360" w:type="dxa"/>
            <w:vAlign w:val="bottom"/>
          </w:tcPr>
          <w:p>
            <w:pPr>
              <w:spacing w:after="0"/>
              <w:rPr>
                <w:sz w:val="15"/>
                <w:szCs w:val="15"/>
                <w:color w:val="auto"/>
              </w:rPr>
            </w:pPr>
          </w:p>
        </w:tc>
        <w:tc>
          <w:tcPr>
            <w:tcW w:w="9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Third Amended and Restated Registration Rights Agreement, dated as of November 11, 2014, among Essent Group Ltd. and the</w:t>
            </w:r>
          </w:p>
        </w:tc>
      </w:tr>
      <w:tr>
        <w:trPr>
          <w:trHeight w:val="175"/>
        </w:trPr>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shareholders party thereto (incorporated herein by reference to Exhibit 4.1 of the Form 10-Q (File No. 001-36157) filed on</w:t>
            </w:r>
          </w:p>
        </w:tc>
      </w:tr>
      <w:tr>
        <w:trPr>
          <w:trHeight w:val="229"/>
        </w:trPr>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November 14, 2014)</w:t>
            </w:r>
          </w:p>
        </w:tc>
      </w:tr>
      <w:tr>
        <w:trPr>
          <w:trHeight w:val="176"/>
        </w:trPr>
        <w:tc>
          <w:tcPr>
            <w:tcW w:w="1080" w:type="dxa"/>
            <w:vAlign w:val="bottom"/>
            <w:gridSpan w:val="2"/>
          </w:tcPr>
          <w:p>
            <w:pPr>
              <w:jc w:val="center"/>
              <w:spacing w:after="0" w:line="176" w:lineRule="exact"/>
              <w:rPr>
                <w:rFonts w:ascii="Arial" w:cs="Arial" w:eastAsia="Arial" w:hAnsi="Arial"/>
                <w:sz w:val="18"/>
                <w:szCs w:val="18"/>
                <w:u w:val="single" w:color="auto"/>
                <w:color w:val="0000FF"/>
                <w:w w:val="91"/>
              </w:rPr>
            </w:pPr>
            <w:hyperlink r:id="rId157">
              <w:r>
                <w:rPr>
                  <w:rFonts w:ascii="Arial" w:cs="Arial" w:eastAsia="Arial" w:hAnsi="Arial"/>
                  <w:sz w:val="18"/>
                  <w:szCs w:val="18"/>
                  <w:u w:val="single" w:color="auto"/>
                  <w:color w:val="0000FF"/>
                  <w:w w:val="91"/>
                </w:rPr>
                <w:t>10.1</w:t>
              </w:r>
            </w:hyperlink>
          </w:p>
        </w:tc>
        <w:tc>
          <w:tcPr>
            <w:tcW w:w="360" w:type="dxa"/>
            <w:vAlign w:val="bottom"/>
          </w:tcPr>
          <w:p>
            <w:pPr>
              <w:spacing w:after="0"/>
              <w:rPr>
                <w:sz w:val="15"/>
                <w:szCs w:val="15"/>
                <w:color w:val="auto"/>
              </w:rPr>
            </w:pPr>
          </w:p>
        </w:tc>
        <w:tc>
          <w:tcPr>
            <w:tcW w:w="9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Asset Purchase Agreement, dated as of October 7, 2009, between Essent Guaranty, Inc. and Triad Guaranty Insurance Corporation</w:t>
            </w:r>
          </w:p>
        </w:tc>
      </w:tr>
      <w:tr>
        <w:trPr>
          <w:trHeight w:val="175"/>
        </w:trPr>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(incorporated herein by reference to Exhibit 10.4 of the Registration Statement on Form S-1 (File No. 333-191193) filed on</w:t>
            </w:r>
          </w:p>
        </w:tc>
      </w:tr>
      <w:tr>
        <w:trPr>
          <w:trHeight w:val="229"/>
        </w:trPr>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September 16, 2013)</w:t>
            </w:r>
          </w:p>
        </w:tc>
      </w:tr>
      <w:tr>
        <w:trPr>
          <w:trHeight w:val="176"/>
        </w:trPr>
        <w:tc>
          <w:tcPr>
            <w:tcW w:w="1080" w:type="dxa"/>
            <w:vAlign w:val="bottom"/>
            <w:gridSpan w:val="2"/>
          </w:tcPr>
          <w:p>
            <w:pPr>
              <w:jc w:val="center"/>
              <w:spacing w:after="0" w:line="176" w:lineRule="exact"/>
              <w:rPr>
                <w:rFonts w:ascii="Arial" w:cs="Arial" w:eastAsia="Arial" w:hAnsi="Arial"/>
                <w:sz w:val="18"/>
                <w:szCs w:val="18"/>
                <w:u w:val="single" w:color="auto"/>
                <w:color w:val="0000FF"/>
                <w:w w:val="91"/>
              </w:rPr>
            </w:pPr>
            <w:hyperlink r:id="rId158">
              <w:r>
                <w:rPr>
                  <w:rFonts w:ascii="Arial" w:cs="Arial" w:eastAsia="Arial" w:hAnsi="Arial"/>
                  <w:sz w:val="18"/>
                  <w:szCs w:val="18"/>
                  <w:u w:val="single" w:color="auto"/>
                  <w:color w:val="0000FF"/>
                  <w:w w:val="91"/>
                </w:rPr>
                <w:t>10.2</w:t>
              </w:r>
            </w:hyperlink>
          </w:p>
        </w:tc>
        <w:tc>
          <w:tcPr>
            <w:tcW w:w="360" w:type="dxa"/>
            <w:vAlign w:val="bottom"/>
          </w:tcPr>
          <w:p>
            <w:pPr>
              <w:ind w:left="20"/>
              <w:spacing w:after="0" w:line="176" w:lineRule="exact"/>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Leadership Bonus Program (incorporated herein by reference to Exhibit 10.8 of the Annual Report on Form 10-K (File No. 001-</w:t>
            </w:r>
          </w:p>
        </w:tc>
      </w:tr>
      <w:tr>
        <w:trPr>
          <w:trHeight w:val="229"/>
        </w:trPr>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36157) filed on February 29, 2016)</w:t>
            </w:r>
          </w:p>
        </w:tc>
      </w:tr>
      <w:tr>
        <w:trPr>
          <w:trHeight w:val="176"/>
        </w:trPr>
        <w:tc>
          <w:tcPr>
            <w:tcW w:w="1080" w:type="dxa"/>
            <w:vAlign w:val="bottom"/>
            <w:gridSpan w:val="2"/>
          </w:tcPr>
          <w:p>
            <w:pPr>
              <w:jc w:val="center"/>
              <w:spacing w:after="0" w:line="176" w:lineRule="exact"/>
              <w:rPr>
                <w:rFonts w:ascii="Arial" w:cs="Arial" w:eastAsia="Arial" w:hAnsi="Arial"/>
                <w:sz w:val="18"/>
                <w:szCs w:val="18"/>
                <w:u w:val="single" w:color="auto"/>
                <w:color w:val="0000FF"/>
                <w:w w:val="91"/>
              </w:rPr>
            </w:pPr>
            <w:hyperlink r:id="rId159">
              <w:r>
                <w:rPr>
                  <w:rFonts w:ascii="Arial" w:cs="Arial" w:eastAsia="Arial" w:hAnsi="Arial"/>
                  <w:sz w:val="18"/>
                  <w:szCs w:val="18"/>
                  <w:u w:val="single" w:color="auto"/>
                  <w:color w:val="0000FF"/>
                  <w:w w:val="91"/>
                </w:rPr>
                <w:t>10.3</w:t>
              </w:r>
            </w:hyperlink>
          </w:p>
        </w:tc>
        <w:tc>
          <w:tcPr>
            <w:tcW w:w="360" w:type="dxa"/>
            <w:vAlign w:val="bottom"/>
          </w:tcPr>
          <w:p>
            <w:pPr>
              <w:ind w:left="20"/>
              <w:spacing w:after="0" w:line="176" w:lineRule="exact"/>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2013 Long-Term Incentive Plan (incorporated herein by reference to Appendix B to the Company's Definitive Proxy Statement on</w:t>
            </w:r>
          </w:p>
        </w:tc>
      </w:tr>
      <w:tr>
        <w:trPr>
          <w:trHeight w:val="229"/>
        </w:trPr>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Schedule 14A (File No. 333-191193) filed on April 3, 2017)</w:t>
            </w:r>
          </w:p>
        </w:tc>
      </w:tr>
      <w:tr>
        <w:trPr>
          <w:trHeight w:val="176"/>
        </w:trPr>
        <w:tc>
          <w:tcPr>
            <w:tcW w:w="1080" w:type="dxa"/>
            <w:vAlign w:val="bottom"/>
            <w:gridSpan w:val="2"/>
          </w:tcPr>
          <w:p>
            <w:pPr>
              <w:jc w:val="center"/>
              <w:spacing w:after="0" w:line="176" w:lineRule="exact"/>
              <w:rPr>
                <w:rFonts w:ascii="Arial" w:cs="Arial" w:eastAsia="Arial" w:hAnsi="Arial"/>
                <w:sz w:val="18"/>
                <w:szCs w:val="18"/>
                <w:u w:val="single" w:color="auto"/>
                <w:color w:val="0000FF"/>
                <w:w w:val="91"/>
              </w:rPr>
            </w:pPr>
            <w:hyperlink r:id="rId160">
              <w:r>
                <w:rPr>
                  <w:rFonts w:ascii="Arial" w:cs="Arial" w:eastAsia="Arial" w:hAnsi="Arial"/>
                  <w:sz w:val="18"/>
                  <w:szCs w:val="18"/>
                  <w:u w:val="single" w:color="auto"/>
                  <w:color w:val="0000FF"/>
                  <w:w w:val="91"/>
                </w:rPr>
                <w:t>10.4</w:t>
              </w:r>
            </w:hyperlink>
          </w:p>
        </w:tc>
        <w:tc>
          <w:tcPr>
            <w:tcW w:w="360" w:type="dxa"/>
            <w:vAlign w:val="bottom"/>
          </w:tcPr>
          <w:p>
            <w:pPr>
              <w:ind w:left="20"/>
              <w:spacing w:after="0" w:line="176" w:lineRule="exact"/>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Form of Time-Based Restricted Share Agreement (incorporated herein by reference to Exhibit 10.11 of Amendment No.1 to the</w:t>
            </w:r>
          </w:p>
        </w:tc>
      </w:tr>
      <w:tr>
        <w:trPr>
          <w:trHeight w:val="229"/>
        </w:trPr>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Registration Statement on Form S-1 (File No. 333-191193) filed on September 26, 2013)</w:t>
            </w:r>
          </w:p>
        </w:tc>
      </w:tr>
      <w:tr>
        <w:trPr>
          <w:trHeight w:val="176"/>
        </w:trPr>
        <w:tc>
          <w:tcPr>
            <w:tcW w:w="1080" w:type="dxa"/>
            <w:vAlign w:val="bottom"/>
            <w:gridSpan w:val="2"/>
          </w:tcPr>
          <w:p>
            <w:pPr>
              <w:jc w:val="center"/>
              <w:spacing w:after="0" w:line="176" w:lineRule="exact"/>
              <w:rPr>
                <w:rFonts w:ascii="Arial" w:cs="Arial" w:eastAsia="Arial" w:hAnsi="Arial"/>
                <w:sz w:val="18"/>
                <w:szCs w:val="18"/>
                <w:u w:val="single" w:color="auto"/>
                <w:color w:val="0000FF"/>
                <w:w w:val="91"/>
              </w:rPr>
            </w:pPr>
            <w:hyperlink r:id="rId161">
              <w:r>
                <w:rPr>
                  <w:rFonts w:ascii="Arial" w:cs="Arial" w:eastAsia="Arial" w:hAnsi="Arial"/>
                  <w:sz w:val="18"/>
                  <w:szCs w:val="18"/>
                  <w:u w:val="single" w:color="auto"/>
                  <w:color w:val="0000FF"/>
                  <w:w w:val="91"/>
                </w:rPr>
                <w:t>10.5</w:t>
              </w:r>
            </w:hyperlink>
          </w:p>
        </w:tc>
        <w:tc>
          <w:tcPr>
            <w:tcW w:w="360" w:type="dxa"/>
            <w:vAlign w:val="bottom"/>
          </w:tcPr>
          <w:p>
            <w:pPr>
              <w:ind w:left="20"/>
              <w:spacing w:after="0" w:line="176" w:lineRule="exact"/>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Form of Performance-Based Restricted Share Agreement (incorporated herein by reference to Exhibit 10.11 of the Annual Report on</w:t>
            </w:r>
          </w:p>
        </w:tc>
      </w:tr>
      <w:tr>
        <w:trPr>
          <w:trHeight w:val="229"/>
        </w:trPr>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Form 10-K (File No. 001-36157) filed on February 27, 2015)</w:t>
            </w:r>
          </w:p>
        </w:tc>
      </w:tr>
      <w:tr>
        <w:trPr>
          <w:trHeight w:val="176"/>
        </w:trPr>
        <w:tc>
          <w:tcPr>
            <w:tcW w:w="1080" w:type="dxa"/>
            <w:vAlign w:val="bottom"/>
            <w:gridSpan w:val="2"/>
          </w:tcPr>
          <w:p>
            <w:pPr>
              <w:jc w:val="center"/>
              <w:spacing w:after="0" w:line="176" w:lineRule="exact"/>
              <w:rPr>
                <w:rFonts w:ascii="Arial" w:cs="Arial" w:eastAsia="Arial" w:hAnsi="Arial"/>
                <w:sz w:val="18"/>
                <w:szCs w:val="18"/>
                <w:u w:val="single" w:color="auto"/>
                <w:color w:val="0000FF"/>
                <w:w w:val="91"/>
              </w:rPr>
            </w:pPr>
            <w:hyperlink r:id="rId162">
              <w:r>
                <w:rPr>
                  <w:rFonts w:ascii="Arial" w:cs="Arial" w:eastAsia="Arial" w:hAnsi="Arial"/>
                  <w:sz w:val="18"/>
                  <w:szCs w:val="18"/>
                  <w:u w:val="single" w:color="auto"/>
                  <w:color w:val="0000FF"/>
                  <w:w w:val="91"/>
                </w:rPr>
                <w:t>10.6</w:t>
              </w:r>
            </w:hyperlink>
          </w:p>
        </w:tc>
        <w:tc>
          <w:tcPr>
            <w:tcW w:w="360" w:type="dxa"/>
            <w:vAlign w:val="bottom"/>
          </w:tcPr>
          <w:p>
            <w:pPr>
              <w:ind w:left="20"/>
              <w:spacing w:after="0" w:line="176" w:lineRule="exact"/>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1"/>
              </w:rPr>
              <w:t>Form of Performance-Based Restricted Share Agreement (incorporated herein by reference to Exhibit 10.1 of the Quarterly Report on</w:t>
            </w:r>
          </w:p>
        </w:tc>
      </w:tr>
      <w:tr>
        <w:trPr>
          <w:trHeight w:val="229"/>
        </w:trPr>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Form 10-Q (File No. 001-36157) filed on May 6, 2019)</w:t>
            </w:r>
          </w:p>
        </w:tc>
      </w:tr>
      <w:tr>
        <w:trPr>
          <w:trHeight w:val="230"/>
        </w:trPr>
        <w:tc>
          <w:tcPr>
            <w:tcW w:w="1080" w:type="dxa"/>
            <w:vAlign w:val="bottom"/>
            <w:gridSpan w:val="2"/>
          </w:tcPr>
          <w:p>
            <w:pPr>
              <w:jc w:val="center"/>
              <w:spacing w:after="0"/>
              <w:rPr>
                <w:rFonts w:ascii="Arial" w:cs="Arial" w:eastAsia="Arial" w:hAnsi="Arial"/>
                <w:sz w:val="18"/>
                <w:szCs w:val="18"/>
                <w:u w:val="single" w:color="auto"/>
                <w:color w:val="0000FF"/>
                <w:w w:val="91"/>
              </w:rPr>
            </w:pPr>
            <w:hyperlink w:anchor="page135">
              <w:r>
                <w:rPr>
                  <w:rFonts w:ascii="Arial" w:cs="Arial" w:eastAsia="Arial" w:hAnsi="Arial"/>
                  <w:sz w:val="18"/>
                  <w:szCs w:val="18"/>
                  <w:u w:val="single" w:color="auto"/>
                  <w:color w:val="0000FF"/>
                  <w:w w:val="91"/>
                </w:rPr>
                <w:t>10.7</w:t>
              </w:r>
            </w:hyperlink>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Form of Performance-Based Restricted Share Agreement (filed herewith)</w:t>
            </w:r>
          </w:p>
        </w:tc>
      </w:tr>
      <w:tr>
        <w:trPr>
          <w:trHeight w:val="176"/>
        </w:trPr>
        <w:tc>
          <w:tcPr>
            <w:tcW w:w="1080" w:type="dxa"/>
            <w:vAlign w:val="bottom"/>
            <w:gridSpan w:val="2"/>
          </w:tcPr>
          <w:p>
            <w:pPr>
              <w:jc w:val="center"/>
              <w:spacing w:after="0" w:line="176" w:lineRule="exact"/>
              <w:rPr>
                <w:rFonts w:ascii="Arial" w:cs="Arial" w:eastAsia="Arial" w:hAnsi="Arial"/>
                <w:sz w:val="18"/>
                <w:szCs w:val="18"/>
                <w:u w:val="single" w:color="auto"/>
                <w:color w:val="0000FF"/>
                <w:w w:val="91"/>
              </w:rPr>
            </w:pPr>
            <w:hyperlink r:id="rId163">
              <w:r>
                <w:rPr>
                  <w:rFonts w:ascii="Arial" w:cs="Arial" w:eastAsia="Arial" w:hAnsi="Arial"/>
                  <w:sz w:val="18"/>
                  <w:szCs w:val="18"/>
                  <w:u w:val="single" w:color="auto"/>
                  <w:color w:val="0000FF"/>
                  <w:w w:val="91"/>
                </w:rPr>
                <w:t>10.8</w:t>
              </w:r>
            </w:hyperlink>
          </w:p>
        </w:tc>
        <w:tc>
          <w:tcPr>
            <w:tcW w:w="360" w:type="dxa"/>
            <w:vAlign w:val="bottom"/>
          </w:tcPr>
          <w:p>
            <w:pPr>
              <w:ind w:left="20"/>
              <w:spacing w:after="0" w:line="176" w:lineRule="exact"/>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Annual Incentive Plan (incorporated herein by reference to Exhibit 10.13 of Amendment No.1 to the Registration Statement on Form</w:t>
            </w:r>
          </w:p>
        </w:tc>
      </w:tr>
      <w:tr>
        <w:trPr>
          <w:trHeight w:val="229"/>
        </w:trPr>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S-1 (File No. 333-191193) filed on September 26, 2013)</w:t>
            </w:r>
          </w:p>
        </w:tc>
      </w:tr>
      <w:tr>
        <w:trPr>
          <w:trHeight w:val="176"/>
        </w:trPr>
        <w:tc>
          <w:tcPr>
            <w:tcW w:w="1080" w:type="dxa"/>
            <w:vAlign w:val="bottom"/>
            <w:gridSpan w:val="2"/>
          </w:tcPr>
          <w:p>
            <w:pPr>
              <w:jc w:val="center"/>
              <w:spacing w:after="0" w:line="176" w:lineRule="exact"/>
              <w:rPr>
                <w:rFonts w:ascii="Arial" w:cs="Arial" w:eastAsia="Arial" w:hAnsi="Arial"/>
                <w:sz w:val="18"/>
                <w:szCs w:val="18"/>
                <w:u w:val="single" w:color="auto"/>
                <w:color w:val="0000FF"/>
                <w:w w:val="91"/>
              </w:rPr>
            </w:pPr>
            <w:hyperlink r:id="rId164">
              <w:r>
                <w:rPr>
                  <w:rFonts w:ascii="Arial" w:cs="Arial" w:eastAsia="Arial" w:hAnsi="Arial"/>
                  <w:sz w:val="18"/>
                  <w:szCs w:val="18"/>
                  <w:u w:val="single" w:color="auto"/>
                  <w:color w:val="0000FF"/>
                  <w:w w:val="91"/>
                </w:rPr>
                <w:t>10.9</w:t>
              </w:r>
            </w:hyperlink>
          </w:p>
        </w:tc>
        <w:tc>
          <w:tcPr>
            <w:tcW w:w="360" w:type="dxa"/>
            <w:vAlign w:val="bottom"/>
          </w:tcPr>
          <w:p>
            <w:pPr>
              <w:ind w:left="20"/>
              <w:spacing w:after="0" w:line="176" w:lineRule="exact"/>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Employment Agreement, dated as of September 25, 2013, by and between Essent US Holdings, Inc. and Mark Casale (incorporated</w:t>
            </w:r>
          </w:p>
        </w:tc>
      </w:tr>
      <w:tr>
        <w:trPr>
          <w:trHeight w:val="175"/>
        </w:trPr>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herein by reference to Exhibit 10.14 of Amendment No.2 to the Registration Statement on Form S-1 (File No. 333-191193) filed on</w:t>
            </w:r>
          </w:p>
        </w:tc>
      </w:tr>
      <w:tr>
        <w:trPr>
          <w:trHeight w:val="229"/>
        </w:trPr>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October 4, 2013)</w:t>
            </w:r>
          </w:p>
        </w:tc>
      </w:tr>
      <w:tr>
        <w:trPr>
          <w:trHeight w:val="176"/>
        </w:trPr>
        <w:tc>
          <w:tcPr>
            <w:tcW w:w="1080" w:type="dxa"/>
            <w:vAlign w:val="bottom"/>
            <w:gridSpan w:val="2"/>
          </w:tcPr>
          <w:p>
            <w:pPr>
              <w:jc w:val="center"/>
              <w:spacing w:after="0" w:line="176" w:lineRule="exact"/>
              <w:rPr>
                <w:rFonts w:ascii="Arial" w:cs="Arial" w:eastAsia="Arial" w:hAnsi="Arial"/>
                <w:sz w:val="18"/>
                <w:szCs w:val="18"/>
                <w:u w:val="single" w:color="auto"/>
                <w:color w:val="0000FF"/>
                <w:w w:val="88"/>
              </w:rPr>
            </w:pPr>
            <w:hyperlink r:id="rId165">
              <w:r>
                <w:rPr>
                  <w:rFonts w:ascii="Arial" w:cs="Arial" w:eastAsia="Arial" w:hAnsi="Arial"/>
                  <w:sz w:val="18"/>
                  <w:szCs w:val="18"/>
                  <w:u w:val="single" w:color="auto"/>
                  <w:color w:val="0000FF"/>
                  <w:w w:val="88"/>
                </w:rPr>
                <w:t>10.10</w:t>
              </w:r>
            </w:hyperlink>
          </w:p>
        </w:tc>
        <w:tc>
          <w:tcPr>
            <w:tcW w:w="360" w:type="dxa"/>
            <w:vAlign w:val="bottom"/>
          </w:tcPr>
          <w:p>
            <w:pPr>
              <w:ind w:left="20"/>
              <w:spacing w:after="0" w:line="176" w:lineRule="exact"/>
              <w:rPr>
                <w:sz w:val="20"/>
                <w:szCs w:val="20"/>
                <w:color w:val="auto"/>
              </w:rPr>
            </w:pPr>
            <w:r>
              <w:rPr>
                <w:rFonts w:ascii="Arial" w:cs="Arial" w:eastAsia="Arial" w:hAnsi="Arial"/>
                <w:sz w:val="18"/>
                <w:szCs w:val="18"/>
                <w:color w:val="auto"/>
              </w:rPr>
              <w:t>†</w:t>
            </w:r>
          </w:p>
        </w:tc>
        <w:tc>
          <w:tcPr>
            <w:tcW w:w="9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Employment Agreement, dated as of September 26, 2013, by and between Essent US Holdings, Inc. and Vijay Bhasin (incorporated</w:t>
            </w:r>
          </w:p>
        </w:tc>
      </w:tr>
      <w:tr>
        <w:trPr>
          <w:trHeight w:val="175"/>
        </w:trPr>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herein by reference to Exhibit 10.16 of Amendment No.2 to the Registration Statement on Form S-1 (File No. 333-191193) filed on</w:t>
            </w:r>
          </w:p>
        </w:tc>
      </w:tr>
      <w:tr>
        <w:trPr>
          <w:trHeight w:val="23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October 4, 2013)</w:t>
            </w:r>
          </w:p>
        </w:tc>
      </w:tr>
      <w:tr>
        <w:trPr>
          <w:trHeight w:val="850"/>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tcPr>
          <w:p>
            <w:pPr>
              <w:ind w:left="404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0" w:name="page131"/>
    <w:bookmarkEnd w:id="130"/>
    <w:tbl>
      <w:tblPr>
        <w:tblLayout w:type="fixed"/>
        <w:tblInd w:w="220" w:type="dxa"/>
        <w:tblCellMar>
          <w:top w:w="0" w:type="dxa"/>
          <w:left w:w="0" w:type="dxa"/>
          <w:bottom w:w="0" w:type="dxa"/>
          <w:right w:w="0" w:type="dxa"/>
        </w:tblCellMar>
      </w:tblPr>
      <w:tr>
        <w:trPr>
          <w:trHeight w:val="207"/>
        </w:trPr>
        <w:tc>
          <w:tcPr>
            <w:tcW w:w="540" w:type="dxa"/>
            <w:vAlign w:val="bottom"/>
            <w:gridSpan w:val="2"/>
          </w:tcPr>
          <w:p>
            <w:pPr>
              <w:jc w:val="center"/>
              <w:ind w:left="50"/>
              <w:spacing w:after="0"/>
              <w:rPr>
                <w:rFonts w:ascii="Arial" w:cs="Arial" w:eastAsia="Arial" w:hAnsi="Arial"/>
                <w:sz w:val="18"/>
                <w:szCs w:val="18"/>
                <w:u w:val="single" w:color="auto"/>
                <w:color w:val="0000FF"/>
                <w:w w:val="88"/>
              </w:rPr>
            </w:pPr>
            <w:hyperlink r:id="rId168">
              <w:r>
                <w:rPr>
                  <w:rFonts w:ascii="Arial" w:cs="Arial" w:eastAsia="Arial" w:hAnsi="Arial"/>
                  <w:sz w:val="18"/>
                  <w:szCs w:val="18"/>
                  <w:u w:val="single" w:color="auto"/>
                  <w:color w:val="0000FF"/>
                  <w:w w:val="88"/>
                </w:rPr>
                <w:t>10.11</w:t>
              </w:r>
            </w:hyperlink>
          </w:p>
        </w:tc>
        <w:tc>
          <w:tcPr>
            <w:tcW w:w="240" w:type="dxa"/>
            <w:vAlign w:val="bottom"/>
          </w:tcPr>
          <w:p>
            <w:pPr>
              <w:spacing w:after="0"/>
              <w:rPr>
                <w:sz w:val="17"/>
                <w:szCs w:val="17"/>
                <w:color w:val="auto"/>
              </w:rPr>
            </w:pPr>
          </w:p>
        </w:tc>
        <w:tc>
          <w:tcPr>
            <w:tcW w:w="10180" w:type="dxa"/>
            <w:vAlign w:val="bottom"/>
          </w:tcPr>
          <w:p>
            <w:pPr>
              <w:ind w:left="100"/>
              <w:spacing w:after="0"/>
              <w:rPr>
                <w:sz w:val="20"/>
                <w:szCs w:val="20"/>
                <w:color w:val="auto"/>
              </w:rPr>
            </w:pPr>
            <w:r>
              <w:rPr>
                <w:rFonts w:ascii="Arial" w:cs="Arial" w:eastAsia="Arial" w:hAnsi="Arial"/>
                <w:sz w:val="18"/>
                <w:szCs w:val="18"/>
                <w:color w:val="auto"/>
                <w:w w:val="97"/>
              </w:rPr>
              <w:t>†   Employment Agreement, dated as of September 26, 2013, by and between Essent US Holdings, Inc. and Lawrence E. McAlee</w:t>
            </w:r>
          </w:p>
        </w:tc>
      </w:tr>
      <w:tr>
        <w:trPr>
          <w:trHeight w:val="176"/>
        </w:trPr>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180" w:type="dxa"/>
            <w:vAlign w:val="bottom"/>
          </w:tcPr>
          <w:p>
            <w:pPr>
              <w:ind w:left="460"/>
              <w:spacing w:after="0" w:line="176" w:lineRule="exact"/>
              <w:rPr>
                <w:sz w:val="20"/>
                <w:szCs w:val="20"/>
                <w:color w:val="auto"/>
              </w:rPr>
            </w:pPr>
            <w:r>
              <w:rPr>
                <w:rFonts w:ascii="Arial" w:cs="Arial" w:eastAsia="Arial" w:hAnsi="Arial"/>
                <w:sz w:val="18"/>
                <w:szCs w:val="18"/>
                <w:color w:val="auto"/>
                <w:w w:val="95"/>
              </w:rPr>
              <w:t>(incorporated herein by reference to Exhibit 10.16 of the Annual Report on Form 10-K (File No. 001-36157) filed on February 27,</w:t>
            </w:r>
          </w:p>
        </w:tc>
      </w:tr>
      <w:tr>
        <w:trPr>
          <w:trHeight w:val="229"/>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180" w:type="dxa"/>
            <w:vAlign w:val="bottom"/>
          </w:tcPr>
          <w:p>
            <w:pPr>
              <w:ind w:left="460"/>
              <w:spacing w:after="0"/>
              <w:rPr>
                <w:sz w:val="20"/>
                <w:szCs w:val="20"/>
                <w:color w:val="auto"/>
              </w:rPr>
            </w:pPr>
            <w:r>
              <w:rPr>
                <w:rFonts w:ascii="Arial" w:cs="Arial" w:eastAsia="Arial" w:hAnsi="Arial"/>
                <w:sz w:val="18"/>
                <w:szCs w:val="18"/>
                <w:color w:val="auto"/>
              </w:rPr>
              <w:t>2015)</w:t>
            </w:r>
          </w:p>
        </w:tc>
      </w:tr>
      <w:tr>
        <w:trPr>
          <w:trHeight w:val="176"/>
        </w:trPr>
        <w:tc>
          <w:tcPr>
            <w:tcW w:w="780" w:type="dxa"/>
            <w:vAlign w:val="bottom"/>
            <w:gridSpan w:val="3"/>
          </w:tcPr>
          <w:p>
            <w:pPr>
              <w:jc w:val="center"/>
              <w:ind w:right="100"/>
              <w:spacing w:after="0" w:line="176" w:lineRule="exact"/>
              <w:rPr>
                <w:rFonts w:ascii="Arial" w:cs="Arial" w:eastAsia="Arial" w:hAnsi="Arial"/>
                <w:sz w:val="18"/>
                <w:szCs w:val="18"/>
                <w:u w:val="single" w:color="auto"/>
                <w:color w:val="0000FF"/>
                <w:w w:val="88"/>
              </w:rPr>
            </w:pPr>
            <w:hyperlink r:id="rId169">
              <w:r>
                <w:rPr>
                  <w:rFonts w:ascii="Arial" w:cs="Arial" w:eastAsia="Arial" w:hAnsi="Arial"/>
                  <w:sz w:val="18"/>
                  <w:szCs w:val="18"/>
                  <w:u w:val="single" w:color="auto"/>
                  <w:color w:val="0000FF"/>
                  <w:w w:val="88"/>
                </w:rPr>
                <w:t>10.12</w:t>
              </w:r>
            </w:hyperlink>
          </w:p>
        </w:tc>
        <w:tc>
          <w:tcPr>
            <w:tcW w:w="10180" w:type="dxa"/>
            <w:vAlign w:val="bottom"/>
          </w:tcPr>
          <w:p>
            <w:pPr>
              <w:ind w:left="100"/>
              <w:spacing w:after="0" w:line="176" w:lineRule="exact"/>
              <w:rPr>
                <w:sz w:val="20"/>
                <w:szCs w:val="20"/>
                <w:color w:val="auto"/>
              </w:rPr>
            </w:pPr>
            <w:r>
              <w:rPr>
                <w:rFonts w:ascii="Arial" w:cs="Arial" w:eastAsia="Arial" w:hAnsi="Arial"/>
                <w:sz w:val="18"/>
                <w:szCs w:val="18"/>
                <w:color w:val="auto"/>
                <w:w w:val="95"/>
              </w:rPr>
              <w:t>†   Employment Agreement, dated as of September 26, 2013, by and between Essent US Holdings, Inc. and Mary Lourdes Gibbons</w:t>
            </w:r>
          </w:p>
        </w:tc>
      </w:tr>
      <w:tr>
        <w:trPr>
          <w:trHeight w:val="176"/>
        </w:trPr>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180" w:type="dxa"/>
            <w:vAlign w:val="bottom"/>
          </w:tcPr>
          <w:p>
            <w:pPr>
              <w:ind w:left="460"/>
              <w:spacing w:after="0" w:line="176" w:lineRule="exact"/>
              <w:rPr>
                <w:sz w:val="20"/>
                <w:szCs w:val="20"/>
                <w:color w:val="auto"/>
              </w:rPr>
            </w:pPr>
            <w:r>
              <w:rPr>
                <w:rFonts w:ascii="Arial" w:cs="Arial" w:eastAsia="Arial" w:hAnsi="Arial"/>
                <w:sz w:val="18"/>
                <w:szCs w:val="18"/>
                <w:color w:val="auto"/>
                <w:w w:val="95"/>
              </w:rPr>
              <w:t>(incorporated herein by reference to Exhibit 10.17 of the Annual Report on Form 10-K (File No. 001-36157) filed on February 27,</w:t>
            </w:r>
          </w:p>
        </w:tc>
      </w:tr>
      <w:tr>
        <w:trPr>
          <w:trHeight w:val="229"/>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180" w:type="dxa"/>
            <w:vAlign w:val="bottom"/>
          </w:tcPr>
          <w:p>
            <w:pPr>
              <w:ind w:left="460"/>
              <w:spacing w:after="0"/>
              <w:rPr>
                <w:sz w:val="20"/>
                <w:szCs w:val="20"/>
                <w:color w:val="auto"/>
              </w:rPr>
            </w:pPr>
            <w:r>
              <w:rPr>
                <w:rFonts w:ascii="Arial" w:cs="Arial" w:eastAsia="Arial" w:hAnsi="Arial"/>
                <w:sz w:val="18"/>
                <w:szCs w:val="18"/>
                <w:color w:val="auto"/>
              </w:rPr>
              <w:t>2015)</w:t>
            </w:r>
          </w:p>
        </w:tc>
      </w:tr>
      <w:tr>
        <w:trPr>
          <w:trHeight w:val="176"/>
        </w:trPr>
        <w:tc>
          <w:tcPr>
            <w:tcW w:w="780" w:type="dxa"/>
            <w:vAlign w:val="bottom"/>
            <w:gridSpan w:val="3"/>
          </w:tcPr>
          <w:p>
            <w:pPr>
              <w:jc w:val="center"/>
              <w:ind w:right="100"/>
              <w:spacing w:after="0" w:line="176" w:lineRule="exact"/>
              <w:rPr>
                <w:rFonts w:ascii="Arial" w:cs="Arial" w:eastAsia="Arial" w:hAnsi="Arial"/>
                <w:sz w:val="18"/>
                <w:szCs w:val="18"/>
                <w:u w:val="single" w:color="auto"/>
                <w:color w:val="0000FF"/>
                <w:w w:val="88"/>
              </w:rPr>
            </w:pPr>
            <w:hyperlink r:id="rId170">
              <w:r>
                <w:rPr>
                  <w:rFonts w:ascii="Arial" w:cs="Arial" w:eastAsia="Arial" w:hAnsi="Arial"/>
                  <w:sz w:val="18"/>
                  <w:szCs w:val="18"/>
                  <w:u w:val="single" w:color="auto"/>
                  <w:color w:val="0000FF"/>
                  <w:w w:val="88"/>
                </w:rPr>
                <w:t>10.13</w:t>
              </w:r>
            </w:hyperlink>
          </w:p>
        </w:tc>
        <w:tc>
          <w:tcPr>
            <w:tcW w:w="10180" w:type="dxa"/>
            <w:vAlign w:val="bottom"/>
          </w:tcPr>
          <w:p>
            <w:pPr>
              <w:ind w:left="100"/>
              <w:spacing w:after="0" w:line="176" w:lineRule="exact"/>
              <w:rPr>
                <w:sz w:val="20"/>
                <w:szCs w:val="20"/>
                <w:color w:val="auto"/>
              </w:rPr>
            </w:pPr>
            <w:r>
              <w:rPr>
                <w:rFonts w:ascii="Arial" w:cs="Arial" w:eastAsia="Arial" w:hAnsi="Arial"/>
                <w:sz w:val="18"/>
                <w:szCs w:val="18"/>
                <w:color w:val="auto"/>
                <w:w w:val="94"/>
              </w:rPr>
              <w:t>†   Employment Agreement, dated as of March 13, 2015, by and between Essent Reinsurance Ltd. and Joseph Hissong (incorporated</w:t>
            </w:r>
          </w:p>
        </w:tc>
      </w:tr>
      <w:tr>
        <w:trPr>
          <w:trHeight w:val="229"/>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180" w:type="dxa"/>
            <w:vAlign w:val="bottom"/>
          </w:tcPr>
          <w:p>
            <w:pPr>
              <w:ind w:left="460"/>
              <w:spacing w:after="0"/>
              <w:rPr>
                <w:sz w:val="20"/>
                <w:szCs w:val="20"/>
                <w:color w:val="auto"/>
              </w:rPr>
            </w:pPr>
            <w:r>
              <w:rPr>
                <w:rFonts w:ascii="Arial" w:cs="Arial" w:eastAsia="Arial" w:hAnsi="Arial"/>
                <w:sz w:val="18"/>
                <w:szCs w:val="18"/>
                <w:color w:val="auto"/>
              </w:rPr>
              <w:t>herein by reference to Exhibit 10.18 of the Annual Report on Form 10-K (File No. 001-36157) filed on February 29, 2016)</w:t>
            </w:r>
          </w:p>
        </w:tc>
      </w:tr>
      <w:tr>
        <w:trPr>
          <w:trHeight w:val="176"/>
        </w:trPr>
        <w:tc>
          <w:tcPr>
            <w:tcW w:w="780" w:type="dxa"/>
            <w:vAlign w:val="bottom"/>
            <w:gridSpan w:val="3"/>
          </w:tcPr>
          <w:p>
            <w:pPr>
              <w:jc w:val="center"/>
              <w:ind w:right="100"/>
              <w:spacing w:after="0" w:line="176" w:lineRule="exact"/>
              <w:rPr>
                <w:rFonts w:ascii="Arial" w:cs="Arial" w:eastAsia="Arial" w:hAnsi="Arial"/>
                <w:sz w:val="18"/>
                <w:szCs w:val="18"/>
                <w:u w:val="single" w:color="auto"/>
                <w:color w:val="0000FF"/>
                <w:w w:val="88"/>
              </w:rPr>
            </w:pPr>
            <w:hyperlink r:id="rId171">
              <w:r>
                <w:rPr>
                  <w:rFonts w:ascii="Arial" w:cs="Arial" w:eastAsia="Arial" w:hAnsi="Arial"/>
                  <w:sz w:val="18"/>
                  <w:szCs w:val="18"/>
                  <w:u w:val="single" w:color="auto"/>
                  <w:color w:val="0000FF"/>
                  <w:w w:val="88"/>
                </w:rPr>
                <w:t>10.14</w:t>
              </w:r>
            </w:hyperlink>
          </w:p>
        </w:tc>
        <w:tc>
          <w:tcPr>
            <w:tcW w:w="10180" w:type="dxa"/>
            <w:vAlign w:val="bottom"/>
          </w:tcPr>
          <w:p>
            <w:pPr>
              <w:ind w:left="100"/>
              <w:spacing w:after="0" w:line="176" w:lineRule="exact"/>
              <w:rPr>
                <w:sz w:val="20"/>
                <w:szCs w:val="20"/>
                <w:color w:val="auto"/>
              </w:rPr>
            </w:pPr>
            <w:r>
              <w:rPr>
                <w:rFonts w:ascii="Arial" w:cs="Arial" w:eastAsia="Arial" w:hAnsi="Arial"/>
                <w:sz w:val="18"/>
                <w:szCs w:val="18"/>
                <w:color w:val="auto"/>
                <w:w w:val="95"/>
              </w:rPr>
              <w:t>†   Employment Agreement, dated as of September 26, 2013, by and between Essent Guaranty, Inc. and Jeff Cashmer (incorporated</w:t>
            </w:r>
          </w:p>
        </w:tc>
      </w:tr>
      <w:tr>
        <w:trPr>
          <w:trHeight w:val="229"/>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180" w:type="dxa"/>
            <w:vAlign w:val="bottom"/>
          </w:tcPr>
          <w:p>
            <w:pPr>
              <w:ind w:left="460"/>
              <w:spacing w:after="0"/>
              <w:rPr>
                <w:sz w:val="20"/>
                <w:szCs w:val="20"/>
                <w:color w:val="auto"/>
              </w:rPr>
            </w:pPr>
            <w:r>
              <w:rPr>
                <w:rFonts w:ascii="Arial" w:cs="Arial" w:eastAsia="Arial" w:hAnsi="Arial"/>
                <w:sz w:val="18"/>
                <w:szCs w:val="18"/>
                <w:color w:val="auto"/>
              </w:rPr>
              <w:t>herein by reference to Exhibit 10.19 of the Annual Report on Form 10-K (File No. 001-36157) filed on February 16, 2017)</w:t>
            </w:r>
          </w:p>
        </w:tc>
      </w:tr>
      <w:tr>
        <w:trPr>
          <w:trHeight w:val="176"/>
        </w:trPr>
        <w:tc>
          <w:tcPr>
            <w:tcW w:w="780" w:type="dxa"/>
            <w:vAlign w:val="bottom"/>
            <w:gridSpan w:val="3"/>
          </w:tcPr>
          <w:p>
            <w:pPr>
              <w:jc w:val="center"/>
              <w:ind w:right="100"/>
              <w:spacing w:after="0" w:line="176" w:lineRule="exact"/>
              <w:rPr>
                <w:rFonts w:ascii="Arial" w:cs="Arial" w:eastAsia="Arial" w:hAnsi="Arial"/>
                <w:sz w:val="18"/>
                <w:szCs w:val="18"/>
                <w:u w:val="single" w:color="auto"/>
                <w:color w:val="0000FF"/>
                <w:w w:val="88"/>
              </w:rPr>
            </w:pPr>
            <w:hyperlink r:id="rId172">
              <w:r>
                <w:rPr>
                  <w:rFonts w:ascii="Arial" w:cs="Arial" w:eastAsia="Arial" w:hAnsi="Arial"/>
                  <w:sz w:val="18"/>
                  <w:szCs w:val="18"/>
                  <w:u w:val="single" w:color="auto"/>
                  <w:color w:val="0000FF"/>
                  <w:w w:val="88"/>
                </w:rPr>
                <w:t>10.15</w:t>
              </w:r>
            </w:hyperlink>
          </w:p>
        </w:tc>
        <w:tc>
          <w:tcPr>
            <w:tcW w:w="10180" w:type="dxa"/>
            <w:vAlign w:val="bottom"/>
          </w:tcPr>
          <w:p>
            <w:pPr>
              <w:ind w:left="100"/>
              <w:spacing w:after="0" w:line="176" w:lineRule="exact"/>
              <w:rPr>
                <w:sz w:val="20"/>
                <w:szCs w:val="20"/>
                <w:color w:val="auto"/>
              </w:rPr>
            </w:pPr>
            <w:r>
              <w:rPr>
                <w:rFonts w:ascii="Arial" w:cs="Arial" w:eastAsia="Arial" w:hAnsi="Arial"/>
                <w:sz w:val="18"/>
                <w:szCs w:val="18"/>
                <w:color w:val="auto"/>
                <w:w w:val="98"/>
              </w:rPr>
              <w:t>†   Employment Agreement, dated as of September 26, 2013, by and between Essent Guaranty, Inc. and Christopher G. Curran</w:t>
            </w:r>
          </w:p>
        </w:tc>
      </w:tr>
      <w:tr>
        <w:trPr>
          <w:trHeight w:val="176"/>
        </w:trPr>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180" w:type="dxa"/>
            <w:vAlign w:val="bottom"/>
          </w:tcPr>
          <w:p>
            <w:pPr>
              <w:ind w:left="460"/>
              <w:spacing w:after="0" w:line="176" w:lineRule="exact"/>
              <w:rPr>
                <w:sz w:val="20"/>
                <w:szCs w:val="20"/>
                <w:color w:val="auto"/>
              </w:rPr>
            </w:pPr>
            <w:r>
              <w:rPr>
                <w:rFonts w:ascii="Arial" w:cs="Arial" w:eastAsia="Arial" w:hAnsi="Arial"/>
                <w:sz w:val="18"/>
                <w:szCs w:val="18"/>
                <w:color w:val="auto"/>
                <w:w w:val="95"/>
              </w:rPr>
              <w:t>(incorporated herein by reference to Exhibit 10.13 of the Annual Report on Form 10-K (File No. 001-36157) filed on February 19,</w:t>
            </w:r>
          </w:p>
        </w:tc>
      </w:tr>
      <w:tr>
        <w:trPr>
          <w:trHeight w:val="229"/>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180" w:type="dxa"/>
            <w:vAlign w:val="bottom"/>
          </w:tcPr>
          <w:p>
            <w:pPr>
              <w:ind w:left="460"/>
              <w:spacing w:after="0"/>
              <w:rPr>
                <w:sz w:val="20"/>
                <w:szCs w:val="20"/>
                <w:color w:val="auto"/>
              </w:rPr>
            </w:pPr>
            <w:r>
              <w:rPr>
                <w:rFonts w:ascii="Arial" w:cs="Arial" w:eastAsia="Arial" w:hAnsi="Arial"/>
                <w:sz w:val="18"/>
                <w:szCs w:val="18"/>
                <w:color w:val="auto"/>
              </w:rPr>
              <w:t>2019)</w:t>
            </w:r>
          </w:p>
        </w:tc>
      </w:tr>
      <w:tr>
        <w:trPr>
          <w:trHeight w:val="176"/>
        </w:trPr>
        <w:tc>
          <w:tcPr>
            <w:tcW w:w="780" w:type="dxa"/>
            <w:vAlign w:val="bottom"/>
            <w:gridSpan w:val="3"/>
          </w:tcPr>
          <w:p>
            <w:pPr>
              <w:jc w:val="center"/>
              <w:ind w:right="100"/>
              <w:spacing w:after="0" w:line="176" w:lineRule="exact"/>
              <w:rPr>
                <w:rFonts w:ascii="Arial" w:cs="Arial" w:eastAsia="Arial" w:hAnsi="Arial"/>
                <w:sz w:val="18"/>
                <w:szCs w:val="18"/>
                <w:u w:val="single" w:color="auto"/>
                <w:color w:val="0000FF"/>
                <w:w w:val="88"/>
              </w:rPr>
            </w:pPr>
            <w:hyperlink r:id="rId173">
              <w:r>
                <w:rPr>
                  <w:rFonts w:ascii="Arial" w:cs="Arial" w:eastAsia="Arial" w:hAnsi="Arial"/>
                  <w:sz w:val="18"/>
                  <w:szCs w:val="18"/>
                  <w:u w:val="single" w:color="auto"/>
                  <w:color w:val="0000FF"/>
                  <w:w w:val="88"/>
                </w:rPr>
                <w:t>10.16</w:t>
              </w:r>
            </w:hyperlink>
          </w:p>
        </w:tc>
        <w:tc>
          <w:tcPr>
            <w:tcW w:w="10180" w:type="dxa"/>
            <w:vAlign w:val="bottom"/>
          </w:tcPr>
          <w:p>
            <w:pPr>
              <w:ind w:left="100"/>
              <w:spacing w:after="0" w:line="176" w:lineRule="exact"/>
              <w:rPr>
                <w:sz w:val="20"/>
                <w:szCs w:val="20"/>
                <w:color w:val="auto"/>
              </w:rPr>
            </w:pPr>
            <w:r>
              <w:rPr>
                <w:rFonts w:ascii="Arial" w:cs="Arial" w:eastAsia="Arial" w:hAnsi="Arial"/>
                <w:sz w:val="18"/>
                <w:szCs w:val="18"/>
                <w:color w:val="auto"/>
                <w:w w:val="98"/>
              </w:rPr>
              <w:t>†   Form of Director and Officer Indemnification Agreement (incorporated herein by reference to Exhibit 10.17 of the Registration</w:t>
            </w:r>
          </w:p>
        </w:tc>
      </w:tr>
      <w:tr>
        <w:trPr>
          <w:trHeight w:val="229"/>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180" w:type="dxa"/>
            <w:vAlign w:val="bottom"/>
          </w:tcPr>
          <w:p>
            <w:pPr>
              <w:ind w:left="460"/>
              <w:spacing w:after="0"/>
              <w:rPr>
                <w:sz w:val="20"/>
                <w:szCs w:val="20"/>
                <w:color w:val="auto"/>
              </w:rPr>
            </w:pPr>
            <w:r>
              <w:rPr>
                <w:rFonts w:ascii="Arial" w:cs="Arial" w:eastAsia="Arial" w:hAnsi="Arial"/>
                <w:sz w:val="18"/>
                <w:szCs w:val="18"/>
                <w:color w:val="auto"/>
              </w:rPr>
              <w:t>Statement on Form S-1 (File No. 333-191193) filed on September 16, 2013)</w:t>
            </w:r>
          </w:p>
        </w:tc>
      </w:tr>
      <w:tr>
        <w:trPr>
          <w:trHeight w:val="190"/>
        </w:trPr>
        <w:tc>
          <w:tcPr>
            <w:tcW w:w="780" w:type="dxa"/>
            <w:vAlign w:val="bottom"/>
            <w:gridSpan w:val="3"/>
          </w:tcPr>
          <w:p>
            <w:pPr>
              <w:jc w:val="center"/>
              <w:ind w:right="100"/>
              <w:spacing w:after="0" w:line="190" w:lineRule="exact"/>
              <w:rPr>
                <w:rFonts w:ascii="Arial" w:cs="Arial" w:eastAsia="Arial" w:hAnsi="Arial"/>
                <w:sz w:val="18"/>
                <w:szCs w:val="18"/>
                <w:color w:val="0000FF"/>
                <w:w w:val="88"/>
              </w:rPr>
            </w:pPr>
            <w:hyperlink r:id="rId174">
              <w:r>
                <w:rPr>
                  <w:rFonts w:ascii="Arial" w:cs="Arial" w:eastAsia="Arial" w:hAnsi="Arial"/>
                  <w:sz w:val="18"/>
                  <w:szCs w:val="18"/>
                  <w:color w:val="0000FF"/>
                  <w:w w:val="88"/>
                </w:rPr>
                <w:t>10.</w:t>
              </w:r>
            </w:hyperlink>
            <w:r>
              <w:rPr>
                <w:rFonts w:ascii="Arial" w:cs="Arial" w:eastAsia="Arial" w:hAnsi="Arial"/>
                <w:sz w:val="18"/>
                <w:szCs w:val="18"/>
                <w:u w:val="single" w:color="auto"/>
                <w:color w:val="0000FF"/>
                <w:w w:val="88"/>
              </w:rPr>
              <w:t>17</w:t>
            </w:r>
          </w:p>
        </w:tc>
        <w:tc>
          <w:tcPr>
            <w:tcW w:w="10180" w:type="dxa"/>
            <w:vAlign w:val="bottom"/>
          </w:tcPr>
          <w:p>
            <w:pPr>
              <w:ind w:left="100"/>
              <w:spacing w:after="0" w:line="190" w:lineRule="exact"/>
              <w:rPr>
                <w:sz w:val="20"/>
                <w:szCs w:val="20"/>
                <w:color w:val="auto"/>
              </w:rPr>
            </w:pPr>
            <w:r>
              <w:rPr>
                <w:rFonts w:ascii="Arial" w:cs="Arial" w:eastAsia="Arial" w:hAnsi="Arial"/>
                <w:sz w:val="18"/>
                <w:szCs w:val="18"/>
                <w:color w:val="auto"/>
                <w:w w:val="94"/>
              </w:rPr>
              <w:t>†   Section 409A Specified Employee Policy (incorporated herein by reference to Exhibit 10.18 of Amendment No.2 to the Registration</w:t>
            </w:r>
          </w:p>
        </w:tc>
      </w:tr>
      <w:tr>
        <w:trPr>
          <w:trHeight w:val="195"/>
        </w:trPr>
        <w:tc>
          <w:tcPr>
            <w:tcW w:w="140" w:type="dxa"/>
            <w:vAlign w:val="bottom"/>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10180" w:type="dxa"/>
            <w:vAlign w:val="bottom"/>
          </w:tcPr>
          <w:p>
            <w:pPr>
              <w:ind w:left="460"/>
              <w:spacing w:after="0" w:line="195" w:lineRule="exact"/>
              <w:rPr>
                <w:sz w:val="20"/>
                <w:szCs w:val="20"/>
                <w:color w:val="auto"/>
              </w:rPr>
            </w:pPr>
            <w:r>
              <w:rPr>
                <w:rFonts w:ascii="Arial" w:cs="Arial" w:eastAsia="Arial" w:hAnsi="Arial"/>
                <w:sz w:val="18"/>
                <w:szCs w:val="18"/>
                <w:color w:val="auto"/>
              </w:rPr>
              <w:t>Statement on Form S-1 (File No. 333-191193) filed on October 4, 2013)</w:t>
            </w:r>
          </w:p>
        </w:tc>
      </w:tr>
      <w:tr>
        <w:trPr>
          <w:trHeight w:val="176"/>
        </w:trPr>
        <w:tc>
          <w:tcPr>
            <w:tcW w:w="780" w:type="dxa"/>
            <w:vAlign w:val="bottom"/>
            <w:gridSpan w:val="3"/>
          </w:tcPr>
          <w:p>
            <w:pPr>
              <w:jc w:val="center"/>
              <w:ind w:right="100"/>
              <w:spacing w:after="0" w:line="176" w:lineRule="exact"/>
              <w:rPr>
                <w:rFonts w:ascii="Arial" w:cs="Arial" w:eastAsia="Arial" w:hAnsi="Arial"/>
                <w:sz w:val="18"/>
                <w:szCs w:val="18"/>
                <w:u w:val="single" w:color="auto"/>
                <w:color w:val="0000FF"/>
                <w:w w:val="88"/>
              </w:rPr>
            </w:pPr>
            <w:hyperlink r:id="rId175">
              <w:r>
                <w:rPr>
                  <w:rFonts w:ascii="Arial" w:cs="Arial" w:eastAsia="Arial" w:hAnsi="Arial"/>
                  <w:sz w:val="18"/>
                  <w:szCs w:val="18"/>
                  <w:u w:val="single" w:color="auto"/>
                  <w:color w:val="0000FF"/>
                  <w:w w:val="88"/>
                </w:rPr>
                <w:t>10.18</w:t>
              </w:r>
            </w:hyperlink>
          </w:p>
        </w:tc>
        <w:tc>
          <w:tcPr>
            <w:tcW w:w="10180" w:type="dxa"/>
            <w:vAlign w:val="bottom"/>
          </w:tcPr>
          <w:p>
            <w:pPr>
              <w:ind w:left="460"/>
              <w:spacing w:after="0" w:line="176" w:lineRule="exact"/>
              <w:rPr>
                <w:sz w:val="20"/>
                <w:szCs w:val="20"/>
                <w:color w:val="auto"/>
              </w:rPr>
            </w:pPr>
            <w:r>
              <w:rPr>
                <w:rFonts w:ascii="Arial" w:cs="Arial" w:eastAsia="Arial" w:hAnsi="Arial"/>
                <w:sz w:val="18"/>
                <w:szCs w:val="18"/>
                <w:color w:val="auto"/>
                <w:w w:val="94"/>
              </w:rPr>
              <w:t>Second Amended and Restated Credit Agreement, dated as of October 14, 2020, by and among Essent Group Ltd., Essent Irish</w:t>
            </w:r>
          </w:p>
        </w:tc>
      </w:tr>
      <w:tr>
        <w:trPr>
          <w:trHeight w:val="176"/>
        </w:trPr>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180" w:type="dxa"/>
            <w:vAlign w:val="bottom"/>
          </w:tcPr>
          <w:p>
            <w:pPr>
              <w:ind w:left="460"/>
              <w:spacing w:after="0" w:line="176" w:lineRule="exact"/>
              <w:rPr>
                <w:sz w:val="20"/>
                <w:szCs w:val="20"/>
                <w:color w:val="auto"/>
              </w:rPr>
            </w:pPr>
            <w:r>
              <w:rPr>
                <w:rFonts w:ascii="Arial" w:cs="Arial" w:eastAsia="Arial" w:hAnsi="Arial"/>
                <w:sz w:val="18"/>
                <w:szCs w:val="18"/>
                <w:color w:val="auto"/>
                <w:w w:val="90"/>
              </w:rPr>
              <w:t>Intermediate Holdings Limited and Essent US Holdings, Inc., as borrowers, the several banks and other financial institutions or entities</w:t>
            </w:r>
          </w:p>
        </w:tc>
      </w:tr>
      <w:tr>
        <w:trPr>
          <w:trHeight w:val="176"/>
        </w:trPr>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180" w:type="dxa"/>
            <w:vAlign w:val="bottom"/>
          </w:tcPr>
          <w:p>
            <w:pPr>
              <w:ind w:left="460"/>
              <w:spacing w:after="0" w:line="176" w:lineRule="exact"/>
              <w:rPr>
                <w:sz w:val="20"/>
                <w:szCs w:val="20"/>
                <w:color w:val="auto"/>
              </w:rPr>
            </w:pPr>
            <w:r>
              <w:rPr>
                <w:rFonts w:ascii="Arial" w:cs="Arial" w:eastAsia="Arial" w:hAnsi="Arial"/>
                <w:sz w:val="18"/>
                <w:szCs w:val="18"/>
                <w:color w:val="auto"/>
                <w:w w:val="93"/>
              </w:rPr>
              <w:t>from time to time parties to this agreement, as lenders, and JPMorgan Chase Bank, N.A., as administrative agent (incorporated by</w:t>
            </w:r>
          </w:p>
        </w:tc>
      </w:tr>
      <w:tr>
        <w:trPr>
          <w:trHeight w:val="229"/>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180" w:type="dxa"/>
            <w:vAlign w:val="bottom"/>
          </w:tcPr>
          <w:p>
            <w:pPr>
              <w:ind w:left="460"/>
              <w:spacing w:after="0"/>
              <w:rPr>
                <w:sz w:val="20"/>
                <w:szCs w:val="20"/>
                <w:color w:val="auto"/>
              </w:rPr>
            </w:pPr>
            <w:r>
              <w:rPr>
                <w:rFonts w:ascii="Arial" w:cs="Arial" w:eastAsia="Arial" w:hAnsi="Arial"/>
                <w:sz w:val="18"/>
                <w:szCs w:val="18"/>
                <w:color w:val="auto"/>
              </w:rPr>
              <w:t>reference herein to Exhibit 10.1 of the Current Report on Form 8-K (File No. 001-36157) filed on October 20, 2020)</w:t>
            </w:r>
          </w:p>
        </w:tc>
      </w:tr>
      <w:tr>
        <w:trPr>
          <w:trHeight w:val="230"/>
        </w:trPr>
        <w:tc>
          <w:tcPr>
            <w:tcW w:w="540" w:type="dxa"/>
            <w:vAlign w:val="bottom"/>
            <w:gridSpan w:val="2"/>
          </w:tcPr>
          <w:p>
            <w:pPr>
              <w:jc w:val="center"/>
              <w:ind w:left="50"/>
              <w:spacing w:after="0"/>
              <w:rPr>
                <w:rFonts w:ascii="Arial" w:cs="Arial" w:eastAsia="Arial" w:hAnsi="Arial"/>
                <w:sz w:val="18"/>
                <w:szCs w:val="18"/>
                <w:u w:val="single" w:color="auto"/>
                <w:color w:val="0000FF"/>
                <w:w w:val="91"/>
              </w:rPr>
            </w:pPr>
            <w:hyperlink w:anchor="page148">
              <w:r>
                <w:rPr>
                  <w:rFonts w:ascii="Arial" w:cs="Arial" w:eastAsia="Arial" w:hAnsi="Arial"/>
                  <w:sz w:val="18"/>
                  <w:szCs w:val="18"/>
                  <w:u w:val="single" w:color="auto"/>
                  <w:color w:val="0000FF"/>
                  <w:w w:val="91"/>
                </w:rPr>
                <w:t>21.1</w:t>
              </w:r>
            </w:hyperlink>
          </w:p>
        </w:tc>
        <w:tc>
          <w:tcPr>
            <w:tcW w:w="240" w:type="dxa"/>
            <w:vAlign w:val="bottom"/>
          </w:tcPr>
          <w:p>
            <w:pPr>
              <w:spacing w:after="0"/>
              <w:rPr>
                <w:sz w:val="19"/>
                <w:szCs w:val="19"/>
                <w:color w:val="auto"/>
              </w:rPr>
            </w:pPr>
          </w:p>
        </w:tc>
        <w:tc>
          <w:tcPr>
            <w:tcW w:w="10180" w:type="dxa"/>
            <w:vAlign w:val="bottom"/>
          </w:tcPr>
          <w:p>
            <w:pPr>
              <w:ind w:left="100"/>
              <w:spacing w:after="0"/>
              <w:rPr>
                <w:sz w:val="20"/>
                <w:szCs w:val="20"/>
                <w:color w:val="auto"/>
              </w:rPr>
            </w:pPr>
            <w:r>
              <w:rPr>
                <w:rFonts w:ascii="Arial" w:cs="Arial" w:eastAsia="Arial" w:hAnsi="Arial"/>
                <w:sz w:val="18"/>
                <w:szCs w:val="18"/>
                <w:color w:val="auto"/>
              </w:rPr>
              <w:t>*   List of Subsidiaries</w:t>
            </w:r>
          </w:p>
        </w:tc>
      </w:tr>
      <w:tr>
        <w:trPr>
          <w:trHeight w:val="229"/>
        </w:trPr>
        <w:tc>
          <w:tcPr>
            <w:tcW w:w="540" w:type="dxa"/>
            <w:vAlign w:val="bottom"/>
            <w:gridSpan w:val="2"/>
          </w:tcPr>
          <w:p>
            <w:pPr>
              <w:jc w:val="center"/>
              <w:ind w:left="50"/>
              <w:spacing w:after="0"/>
              <w:rPr>
                <w:rFonts w:ascii="Arial" w:cs="Arial" w:eastAsia="Arial" w:hAnsi="Arial"/>
                <w:sz w:val="18"/>
                <w:szCs w:val="18"/>
                <w:u w:val="single" w:color="auto"/>
                <w:color w:val="0000FF"/>
                <w:w w:val="91"/>
              </w:rPr>
            </w:pPr>
            <w:hyperlink w:anchor="page149">
              <w:r>
                <w:rPr>
                  <w:rFonts w:ascii="Arial" w:cs="Arial" w:eastAsia="Arial" w:hAnsi="Arial"/>
                  <w:sz w:val="18"/>
                  <w:szCs w:val="18"/>
                  <w:u w:val="single" w:color="auto"/>
                  <w:color w:val="0000FF"/>
                  <w:w w:val="91"/>
                </w:rPr>
                <w:t>23.1</w:t>
              </w:r>
            </w:hyperlink>
          </w:p>
        </w:tc>
        <w:tc>
          <w:tcPr>
            <w:tcW w:w="240" w:type="dxa"/>
            <w:vAlign w:val="bottom"/>
          </w:tcPr>
          <w:p>
            <w:pPr>
              <w:spacing w:after="0"/>
              <w:rPr>
                <w:sz w:val="19"/>
                <w:szCs w:val="19"/>
                <w:color w:val="auto"/>
              </w:rPr>
            </w:pPr>
          </w:p>
        </w:tc>
        <w:tc>
          <w:tcPr>
            <w:tcW w:w="10180" w:type="dxa"/>
            <w:vAlign w:val="bottom"/>
          </w:tcPr>
          <w:p>
            <w:pPr>
              <w:ind w:left="100"/>
              <w:spacing w:after="0"/>
              <w:rPr>
                <w:sz w:val="20"/>
                <w:szCs w:val="20"/>
                <w:color w:val="auto"/>
              </w:rPr>
            </w:pPr>
            <w:r>
              <w:rPr>
                <w:rFonts w:ascii="Arial" w:cs="Arial" w:eastAsia="Arial" w:hAnsi="Arial"/>
                <w:sz w:val="18"/>
                <w:szCs w:val="18"/>
                <w:color w:val="auto"/>
              </w:rPr>
              <w:t>*   Consent of PricewaterhouseCoopers LLP</w:t>
            </w:r>
          </w:p>
        </w:tc>
      </w:tr>
      <w:tr>
        <w:trPr>
          <w:trHeight w:val="176"/>
        </w:trPr>
        <w:tc>
          <w:tcPr>
            <w:tcW w:w="540" w:type="dxa"/>
            <w:vAlign w:val="bottom"/>
            <w:gridSpan w:val="2"/>
          </w:tcPr>
          <w:p>
            <w:pPr>
              <w:jc w:val="center"/>
              <w:ind w:left="50"/>
              <w:spacing w:after="0" w:line="176" w:lineRule="exact"/>
              <w:rPr>
                <w:rFonts w:ascii="Arial" w:cs="Arial" w:eastAsia="Arial" w:hAnsi="Arial"/>
                <w:sz w:val="18"/>
                <w:szCs w:val="18"/>
                <w:u w:val="single" w:color="auto"/>
                <w:color w:val="0000FF"/>
                <w:w w:val="91"/>
              </w:rPr>
            </w:pPr>
            <w:hyperlink w:anchor="page150">
              <w:r>
                <w:rPr>
                  <w:rFonts w:ascii="Arial" w:cs="Arial" w:eastAsia="Arial" w:hAnsi="Arial"/>
                  <w:sz w:val="18"/>
                  <w:szCs w:val="18"/>
                  <w:u w:val="single" w:color="auto"/>
                  <w:color w:val="0000FF"/>
                  <w:w w:val="91"/>
                </w:rPr>
                <w:t>31.1</w:t>
              </w:r>
            </w:hyperlink>
          </w:p>
        </w:tc>
        <w:tc>
          <w:tcPr>
            <w:tcW w:w="240" w:type="dxa"/>
            <w:vAlign w:val="bottom"/>
          </w:tcPr>
          <w:p>
            <w:pPr>
              <w:spacing w:after="0"/>
              <w:rPr>
                <w:sz w:val="15"/>
                <w:szCs w:val="15"/>
                <w:color w:val="auto"/>
              </w:rPr>
            </w:pPr>
          </w:p>
        </w:tc>
        <w:tc>
          <w:tcPr>
            <w:tcW w:w="10180" w:type="dxa"/>
            <w:vAlign w:val="bottom"/>
          </w:tcPr>
          <w:p>
            <w:pPr>
              <w:ind w:left="100"/>
              <w:spacing w:after="0" w:line="176" w:lineRule="exact"/>
              <w:rPr>
                <w:sz w:val="20"/>
                <w:szCs w:val="20"/>
                <w:color w:val="auto"/>
              </w:rPr>
            </w:pPr>
            <w:r>
              <w:rPr>
                <w:rFonts w:ascii="Arial" w:cs="Arial" w:eastAsia="Arial" w:hAnsi="Arial"/>
                <w:sz w:val="18"/>
                <w:szCs w:val="18"/>
                <w:color w:val="auto"/>
                <w:w w:val="97"/>
              </w:rPr>
              <w:t>*   Certification of Chief Executive Officer required by Rule 13a-14(a) or Rule 15d-14(a) of the Securities Exchange Act of 1934, as</w:t>
            </w:r>
          </w:p>
        </w:tc>
      </w:tr>
      <w:tr>
        <w:trPr>
          <w:trHeight w:val="229"/>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180" w:type="dxa"/>
            <w:vAlign w:val="bottom"/>
          </w:tcPr>
          <w:p>
            <w:pPr>
              <w:ind w:left="46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176"/>
        </w:trPr>
        <w:tc>
          <w:tcPr>
            <w:tcW w:w="540" w:type="dxa"/>
            <w:vAlign w:val="bottom"/>
            <w:gridSpan w:val="2"/>
          </w:tcPr>
          <w:p>
            <w:pPr>
              <w:jc w:val="center"/>
              <w:ind w:left="50"/>
              <w:spacing w:after="0" w:line="176" w:lineRule="exact"/>
              <w:rPr>
                <w:rFonts w:ascii="Arial" w:cs="Arial" w:eastAsia="Arial" w:hAnsi="Arial"/>
                <w:sz w:val="18"/>
                <w:szCs w:val="18"/>
                <w:u w:val="single" w:color="auto"/>
                <w:color w:val="0000FF"/>
                <w:w w:val="91"/>
              </w:rPr>
            </w:pPr>
            <w:hyperlink w:anchor="page151">
              <w:r>
                <w:rPr>
                  <w:rFonts w:ascii="Arial" w:cs="Arial" w:eastAsia="Arial" w:hAnsi="Arial"/>
                  <w:sz w:val="18"/>
                  <w:szCs w:val="18"/>
                  <w:u w:val="single" w:color="auto"/>
                  <w:color w:val="0000FF"/>
                  <w:w w:val="91"/>
                </w:rPr>
                <w:t>31.2</w:t>
              </w:r>
            </w:hyperlink>
          </w:p>
        </w:tc>
        <w:tc>
          <w:tcPr>
            <w:tcW w:w="240" w:type="dxa"/>
            <w:vAlign w:val="bottom"/>
          </w:tcPr>
          <w:p>
            <w:pPr>
              <w:spacing w:after="0"/>
              <w:rPr>
                <w:sz w:val="15"/>
                <w:szCs w:val="15"/>
                <w:color w:val="auto"/>
              </w:rPr>
            </w:pPr>
          </w:p>
        </w:tc>
        <w:tc>
          <w:tcPr>
            <w:tcW w:w="10180" w:type="dxa"/>
            <w:vAlign w:val="bottom"/>
          </w:tcPr>
          <w:p>
            <w:pPr>
              <w:ind w:left="100"/>
              <w:spacing w:after="0" w:line="176" w:lineRule="exact"/>
              <w:rPr>
                <w:sz w:val="20"/>
                <w:szCs w:val="20"/>
                <w:color w:val="auto"/>
              </w:rPr>
            </w:pPr>
            <w:r>
              <w:rPr>
                <w:rFonts w:ascii="Arial" w:cs="Arial" w:eastAsia="Arial" w:hAnsi="Arial"/>
                <w:sz w:val="18"/>
                <w:szCs w:val="18"/>
                <w:color w:val="auto"/>
                <w:w w:val="97"/>
              </w:rPr>
              <w:t>*   Certification of Chief Financial Officer required by Rule 13a-14(a) or Rule 15d-14(a) of the Securities Exchange Act of 1934, as</w:t>
            </w:r>
          </w:p>
        </w:tc>
      </w:tr>
      <w:tr>
        <w:trPr>
          <w:trHeight w:val="229"/>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180" w:type="dxa"/>
            <w:vAlign w:val="bottom"/>
          </w:tcPr>
          <w:p>
            <w:pPr>
              <w:ind w:left="46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176"/>
        </w:trPr>
        <w:tc>
          <w:tcPr>
            <w:tcW w:w="540" w:type="dxa"/>
            <w:vAlign w:val="bottom"/>
            <w:gridSpan w:val="2"/>
          </w:tcPr>
          <w:p>
            <w:pPr>
              <w:jc w:val="center"/>
              <w:ind w:left="50"/>
              <w:spacing w:after="0" w:line="176" w:lineRule="exact"/>
              <w:rPr>
                <w:rFonts w:ascii="Arial" w:cs="Arial" w:eastAsia="Arial" w:hAnsi="Arial"/>
                <w:sz w:val="18"/>
                <w:szCs w:val="18"/>
                <w:u w:val="single" w:color="auto"/>
                <w:color w:val="0000FF"/>
                <w:w w:val="91"/>
              </w:rPr>
            </w:pPr>
            <w:hyperlink w:anchor="page152">
              <w:r>
                <w:rPr>
                  <w:rFonts w:ascii="Arial" w:cs="Arial" w:eastAsia="Arial" w:hAnsi="Arial"/>
                  <w:sz w:val="18"/>
                  <w:szCs w:val="18"/>
                  <w:u w:val="single" w:color="auto"/>
                  <w:color w:val="0000FF"/>
                  <w:w w:val="91"/>
                </w:rPr>
                <w:t>32.1</w:t>
              </w:r>
            </w:hyperlink>
          </w:p>
        </w:tc>
        <w:tc>
          <w:tcPr>
            <w:tcW w:w="240" w:type="dxa"/>
            <w:vAlign w:val="bottom"/>
          </w:tcPr>
          <w:p>
            <w:pPr>
              <w:spacing w:after="0"/>
              <w:rPr>
                <w:sz w:val="15"/>
                <w:szCs w:val="15"/>
                <w:color w:val="auto"/>
              </w:rPr>
            </w:pPr>
          </w:p>
        </w:tc>
        <w:tc>
          <w:tcPr>
            <w:tcW w:w="10180" w:type="dxa"/>
            <w:vAlign w:val="bottom"/>
          </w:tcPr>
          <w:p>
            <w:pPr>
              <w:ind w:left="100"/>
              <w:spacing w:after="0" w:line="176" w:lineRule="exact"/>
              <w:rPr>
                <w:sz w:val="20"/>
                <w:szCs w:val="20"/>
                <w:color w:val="auto"/>
              </w:rPr>
            </w:pPr>
            <w:r>
              <w:rPr>
                <w:rFonts w:ascii="Arial" w:cs="Arial" w:eastAsia="Arial" w:hAnsi="Arial"/>
                <w:sz w:val="18"/>
                <w:szCs w:val="18"/>
                <w:color w:val="auto"/>
                <w:w w:val="93"/>
              </w:rPr>
              <w:t>*   Certification of Chief Executive Officer and Chief Financial Officer pursuant to 18 U.S.C. 1350, as adopted pursuant to Section 906 of</w:t>
            </w:r>
          </w:p>
        </w:tc>
      </w:tr>
      <w:tr>
        <w:trPr>
          <w:trHeight w:val="229"/>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180" w:type="dxa"/>
            <w:vAlign w:val="bottom"/>
          </w:tcPr>
          <w:p>
            <w:pPr>
              <w:ind w:left="460"/>
              <w:spacing w:after="0"/>
              <w:rPr>
                <w:sz w:val="20"/>
                <w:szCs w:val="20"/>
                <w:color w:val="auto"/>
              </w:rPr>
            </w:pPr>
            <w:r>
              <w:rPr>
                <w:rFonts w:ascii="Arial" w:cs="Arial" w:eastAsia="Arial" w:hAnsi="Arial"/>
                <w:sz w:val="18"/>
                <w:szCs w:val="18"/>
                <w:color w:val="auto"/>
              </w:rPr>
              <w:t>the Sarbanes-Oxley Act of 2002</w:t>
            </w:r>
          </w:p>
        </w:tc>
      </w:tr>
      <w:tr>
        <w:trPr>
          <w:trHeight w:val="176"/>
        </w:trPr>
        <w:tc>
          <w:tcPr>
            <w:tcW w:w="780" w:type="dxa"/>
            <w:vAlign w:val="bottom"/>
            <w:gridSpan w:val="3"/>
          </w:tcPr>
          <w:p>
            <w:pPr>
              <w:jc w:val="center"/>
              <w:ind w:right="100"/>
              <w:spacing w:after="0" w:line="176" w:lineRule="exact"/>
              <w:rPr>
                <w:sz w:val="20"/>
                <w:szCs w:val="20"/>
                <w:color w:val="auto"/>
              </w:rPr>
            </w:pPr>
            <w:r>
              <w:rPr>
                <w:rFonts w:ascii="Arial" w:cs="Arial" w:eastAsia="Arial" w:hAnsi="Arial"/>
                <w:sz w:val="18"/>
                <w:szCs w:val="18"/>
                <w:color w:val="auto"/>
                <w:w w:val="92"/>
              </w:rPr>
              <w:t>101.INS</w:t>
            </w:r>
          </w:p>
        </w:tc>
        <w:tc>
          <w:tcPr>
            <w:tcW w:w="10180" w:type="dxa"/>
            <w:vAlign w:val="bottom"/>
          </w:tcPr>
          <w:p>
            <w:pPr>
              <w:ind w:left="100"/>
              <w:spacing w:after="0" w:line="176" w:lineRule="exact"/>
              <w:rPr>
                <w:sz w:val="20"/>
                <w:szCs w:val="20"/>
                <w:color w:val="auto"/>
              </w:rPr>
            </w:pPr>
            <w:r>
              <w:rPr>
                <w:rFonts w:ascii="Arial" w:cs="Arial" w:eastAsia="Arial" w:hAnsi="Arial"/>
                <w:sz w:val="18"/>
                <w:szCs w:val="18"/>
                <w:color w:val="auto"/>
                <w:w w:val="96"/>
              </w:rPr>
              <w:t>*   Inline XBRL Instance Document - the instance document does not appear in the Interactive Data File because its XBRL tags are</w:t>
            </w:r>
          </w:p>
        </w:tc>
      </w:tr>
      <w:tr>
        <w:trPr>
          <w:trHeight w:val="229"/>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180" w:type="dxa"/>
            <w:vAlign w:val="bottom"/>
          </w:tcPr>
          <w:p>
            <w:pPr>
              <w:ind w:left="460"/>
              <w:spacing w:after="0"/>
              <w:rPr>
                <w:sz w:val="20"/>
                <w:szCs w:val="20"/>
                <w:color w:val="auto"/>
              </w:rPr>
            </w:pPr>
            <w:r>
              <w:rPr>
                <w:rFonts w:ascii="Arial" w:cs="Arial" w:eastAsia="Arial" w:hAnsi="Arial"/>
                <w:sz w:val="18"/>
                <w:szCs w:val="18"/>
                <w:color w:val="auto"/>
              </w:rPr>
              <w:t>embedded within the Inline XBRL document.</w:t>
            </w:r>
          </w:p>
        </w:tc>
      </w:tr>
      <w:tr>
        <w:trPr>
          <w:trHeight w:val="230"/>
        </w:trPr>
        <w:tc>
          <w:tcPr>
            <w:tcW w:w="7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101.SCH</w:t>
            </w:r>
          </w:p>
        </w:tc>
        <w:tc>
          <w:tcPr>
            <w:tcW w:w="10180" w:type="dxa"/>
            <w:vAlign w:val="bottom"/>
          </w:tcPr>
          <w:p>
            <w:pPr>
              <w:ind w:left="100"/>
              <w:spacing w:after="0"/>
              <w:rPr>
                <w:sz w:val="20"/>
                <w:szCs w:val="20"/>
                <w:color w:val="auto"/>
              </w:rPr>
            </w:pPr>
            <w:r>
              <w:rPr>
                <w:rFonts w:ascii="Arial" w:cs="Arial" w:eastAsia="Arial" w:hAnsi="Arial"/>
                <w:sz w:val="18"/>
                <w:szCs w:val="18"/>
                <w:color w:val="auto"/>
              </w:rPr>
              <w:t>*   XBRL Taxonomy Extension Schema Document</w:t>
            </w:r>
          </w:p>
        </w:tc>
      </w:tr>
      <w:tr>
        <w:trPr>
          <w:trHeight w:val="230"/>
        </w:trPr>
        <w:tc>
          <w:tcPr>
            <w:tcW w:w="780" w:type="dxa"/>
            <w:vAlign w:val="bottom"/>
            <w:gridSpan w:val="3"/>
          </w:tcPr>
          <w:p>
            <w:pPr>
              <w:jc w:val="center"/>
              <w:ind w:right="100"/>
              <w:spacing w:after="0"/>
              <w:rPr>
                <w:sz w:val="20"/>
                <w:szCs w:val="20"/>
                <w:color w:val="auto"/>
              </w:rPr>
            </w:pPr>
            <w:r>
              <w:rPr>
                <w:rFonts w:ascii="Arial" w:cs="Arial" w:eastAsia="Arial" w:hAnsi="Arial"/>
                <w:sz w:val="18"/>
                <w:szCs w:val="18"/>
                <w:color w:val="auto"/>
                <w:w w:val="97"/>
              </w:rPr>
              <w:t>101.CAL</w:t>
            </w:r>
          </w:p>
        </w:tc>
        <w:tc>
          <w:tcPr>
            <w:tcW w:w="10180" w:type="dxa"/>
            <w:vAlign w:val="bottom"/>
          </w:tcPr>
          <w:p>
            <w:pPr>
              <w:ind w:left="10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230"/>
        </w:trPr>
        <w:tc>
          <w:tcPr>
            <w:tcW w:w="7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101.DEF</w:t>
            </w:r>
          </w:p>
        </w:tc>
        <w:tc>
          <w:tcPr>
            <w:tcW w:w="10180" w:type="dxa"/>
            <w:vAlign w:val="bottom"/>
          </w:tcPr>
          <w:p>
            <w:pPr>
              <w:ind w:left="100"/>
              <w:spacing w:after="0"/>
              <w:rPr>
                <w:sz w:val="20"/>
                <w:szCs w:val="20"/>
                <w:color w:val="auto"/>
              </w:rPr>
            </w:pPr>
            <w:r>
              <w:rPr>
                <w:rFonts w:ascii="Arial" w:cs="Arial" w:eastAsia="Arial" w:hAnsi="Arial"/>
                <w:sz w:val="18"/>
                <w:szCs w:val="18"/>
                <w:color w:val="auto"/>
              </w:rPr>
              <w:t>*   XBRL Taxonomy Extension Definition Linkbase Document</w:t>
            </w:r>
          </w:p>
        </w:tc>
      </w:tr>
      <w:tr>
        <w:trPr>
          <w:trHeight w:val="230"/>
        </w:trPr>
        <w:tc>
          <w:tcPr>
            <w:tcW w:w="78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101.LAB</w:t>
            </w:r>
          </w:p>
        </w:tc>
        <w:tc>
          <w:tcPr>
            <w:tcW w:w="10180" w:type="dxa"/>
            <w:vAlign w:val="bottom"/>
          </w:tcPr>
          <w:p>
            <w:pPr>
              <w:ind w:left="100"/>
              <w:spacing w:after="0"/>
              <w:rPr>
                <w:sz w:val="20"/>
                <w:szCs w:val="20"/>
                <w:color w:val="auto"/>
              </w:rPr>
            </w:pPr>
            <w:r>
              <w:rPr>
                <w:rFonts w:ascii="Arial" w:cs="Arial" w:eastAsia="Arial" w:hAnsi="Arial"/>
                <w:sz w:val="18"/>
                <w:szCs w:val="18"/>
                <w:color w:val="auto"/>
              </w:rPr>
              <w:t>*   XBRL Taxonomy Extension Label Linkbase Document</w:t>
            </w:r>
          </w:p>
        </w:tc>
      </w:tr>
      <w:tr>
        <w:trPr>
          <w:trHeight w:val="229"/>
        </w:trPr>
        <w:tc>
          <w:tcPr>
            <w:tcW w:w="7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101.PRE</w:t>
            </w:r>
          </w:p>
        </w:tc>
        <w:tc>
          <w:tcPr>
            <w:tcW w:w="10180" w:type="dxa"/>
            <w:vAlign w:val="bottom"/>
          </w:tcPr>
          <w:p>
            <w:pPr>
              <w:ind w:left="10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230"/>
        </w:trPr>
        <w:tc>
          <w:tcPr>
            <w:tcW w:w="54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104</w:t>
            </w:r>
          </w:p>
        </w:tc>
        <w:tc>
          <w:tcPr>
            <w:tcW w:w="240" w:type="dxa"/>
            <w:vAlign w:val="bottom"/>
          </w:tcPr>
          <w:p>
            <w:pPr>
              <w:spacing w:after="0"/>
              <w:rPr>
                <w:sz w:val="20"/>
                <w:szCs w:val="20"/>
                <w:color w:val="auto"/>
              </w:rPr>
            </w:pPr>
          </w:p>
        </w:tc>
        <w:tc>
          <w:tcPr>
            <w:tcW w:w="10180" w:type="dxa"/>
            <w:vAlign w:val="bottom"/>
          </w:tcPr>
          <w:p>
            <w:pPr>
              <w:ind w:left="46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137160</wp:posOffset>
            </wp:positionV>
            <wp:extent cx="70891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9" w:lineRule="exact"/>
        <w:rPr>
          <w:sz w:val="20"/>
          <w:szCs w:val="20"/>
          <w:color w:val="auto"/>
        </w:rPr>
      </w:pPr>
    </w:p>
    <w:p>
      <w:pPr>
        <w:ind w:left="1100" w:hanging="583"/>
        <w:spacing w:after="0"/>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32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40" w:lineRule="exact"/>
        <w:rPr>
          <w:sz w:val="20"/>
          <w:szCs w:val="20"/>
          <w:color w:val="auto"/>
        </w:rPr>
      </w:pPr>
    </w:p>
    <w:p>
      <w:pPr>
        <w:ind w:right="460" w:firstLine="445"/>
        <w:spacing w:after="0" w:line="277" w:lineRule="auto"/>
        <w:rPr>
          <w:sz w:val="20"/>
          <w:szCs w:val="20"/>
          <w:color w:val="auto"/>
        </w:rPr>
      </w:pPr>
      <w:r>
        <w:rPr>
          <w:rFonts w:ascii="Arial" w:cs="Arial" w:eastAsia="Arial" w:hAnsi="Arial"/>
          <w:sz w:val="18"/>
          <w:szCs w:val="18"/>
          <w:color w:val="auto"/>
        </w:rPr>
        <w:t>Under the requirements of Section 13 or 15(d) of the Securities Exchange Act of 1934, this report was signed on behalf of the Registrant by the authorized person named below in Radnor, Pennsylvania on the 26th day of February, 2021.</w:t>
      </w:r>
    </w:p>
    <w:p>
      <w:pPr>
        <w:spacing w:after="0" w:line="143" w:lineRule="exact"/>
        <w:rPr>
          <w:sz w:val="20"/>
          <w:szCs w:val="20"/>
          <w:color w:val="auto"/>
        </w:rPr>
      </w:pPr>
    </w:p>
    <w:tbl>
      <w:tblPr>
        <w:tblLayout w:type="fixed"/>
        <w:tblInd w:w="5140" w:type="dxa"/>
        <w:tblCellMar>
          <w:top w:w="0" w:type="dxa"/>
          <w:left w:w="0" w:type="dxa"/>
          <w:bottom w:w="0" w:type="dxa"/>
          <w:right w:w="0" w:type="dxa"/>
        </w:tblCellMar>
      </w:tblPr>
      <w:tr>
        <w:trPr>
          <w:trHeight w:val="229"/>
        </w:trPr>
        <w:tc>
          <w:tcPr>
            <w:tcW w:w="2040" w:type="dxa"/>
            <w:vAlign w:val="bottom"/>
            <w:gridSpan w:val="2"/>
          </w:tcPr>
          <w:p>
            <w:pPr>
              <w:spacing w:after="0"/>
              <w:rPr>
                <w:sz w:val="20"/>
                <w:szCs w:val="20"/>
                <w:color w:val="auto"/>
              </w:rPr>
            </w:pPr>
            <w:r>
              <w:rPr>
                <w:rFonts w:ascii="Arial" w:cs="Arial" w:eastAsia="Arial" w:hAnsi="Arial"/>
                <w:sz w:val="18"/>
                <w:szCs w:val="18"/>
                <w:color w:val="auto"/>
              </w:rPr>
              <w:t>ESSENT GROUP LTD.</w:t>
            </w:r>
          </w:p>
        </w:tc>
        <w:tc>
          <w:tcPr>
            <w:tcW w:w="40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MARK A. CASALE</w:t>
            </w:r>
          </w:p>
        </w:tc>
      </w:tr>
      <w:tr>
        <w:trPr>
          <w:trHeight w:val="222"/>
        </w:trPr>
        <w:tc>
          <w:tcPr>
            <w:tcW w:w="100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rPr>
              <w:t>Name:</w:t>
            </w:r>
          </w:p>
        </w:tc>
        <w:tc>
          <w:tcPr>
            <w:tcW w:w="4020" w:type="dxa"/>
            <w:vAlign w:val="bottom"/>
          </w:tcPr>
          <w:p>
            <w:pPr>
              <w:ind w:left="320"/>
              <w:spacing w:after="0"/>
              <w:rPr>
                <w:sz w:val="20"/>
                <w:szCs w:val="20"/>
                <w:color w:val="auto"/>
              </w:rPr>
            </w:pPr>
            <w:r>
              <w:rPr>
                <w:rFonts w:ascii="Arial" w:cs="Arial" w:eastAsia="Arial" w:hAnsi="Arial"/>
                <w:sz w:val="18"/>
                <w:szCs w:val="18"/>
                <w:color w:val="auto"/>
              </w:rPr>
              <w:t>Mark A. Casale</w:t>
            </w:r>
          </w:p>
        </w:tc>
      </w:tr>
      <w:tr>
        <w:trPr>
          <w:trHeight w:val="176"/>
        </w:trPr>
        <w:tc>
          <w:tcPr>
            <w:tcW w:w="1000" w:type="dxa"/>
            <w:vAlign w:val="bottom"/>
          </w:tcPr>
          <w:p>
            <w:pPr>
              <w:spacing w:after="0"/>
              <w:rPr>
                <w:sz w:val="15"/>
                <w:szCs w:val="15"/>
                <w:color w:val="auto"/>
              </w:rPr>
            </w:pPr>
          </w:p>
        </w:tc>
        <w:tc>
          <w:tcPr>
            <w:tcW w:w="1040" w:type="dxa"/>
            <w:vAlign w:val="bottom"/>
          </w:tcPr>
          <w:p>
            <w:pPr>
              <w:ind w:left="20"/>
              <w:spacing w:after="0" w:line="176" w:lineRule="exact"/>
              <w:rPr>
                <w:sz w:val="20"/>
                <w:szCs w:val="20"/>
                <w:color w:val="auto"/>
              </w:rPr>
            </w:pPr>
            <w:r>
              <w:rPr>
                <w:rFonts w:ascii="Arial" w:cs="Arial" w:eastAsia="Arial" w:hAnsi="Arial"/>
                <w:sz w:val="18"/>
                <w:szCs w:val="18"/>
                <w:color w:val="auto"/>
              </w:rPr>
              <w:t>Title:</w:t>
            </w:r>
          </w:p>
        </w:tc>
        <w:tc>
          <w:tcPr>
            <w:tcW w:w="4020" w:type="dxa"/>
            <w:vAlign w:val="bottom"/>
          </w:tcPr>
          <w:p>
            <w:pPr>
              <w:ind w:left="320"/>
              <w:spacing w:after="0" w:line="176" w:lineRule="exact"/>
              <w:rPr>
                <w:sz w:val="20"/>
                <w:szCs w:val="20"/>
                <w:color w:val="auto"/>
              </w:rPr>
            </w:pPr>
            <w:r>
              <w:rPr>
                <w:rFonts w:ascii="Arial" w:cs="Arial" w:eastAsia="Arial" w:hAnsi="Arial"/>
                <w:sz w:val="18"/>
                <w:szCs w:val="18"/>
                <w:i w:val="1"/>
                <w:iCs w:val="1"/>
                <w:color w:val="auto"/>
              </w:rPr>
              <w:t>Chairman of the Board of Directors, Chief</w:t>
            </w:r>
          </w:p>
        </w:tc>
      </w:tr>
      <w:tr>
        <w:trPr>
          <w:trHeight w:val="230"/>
        </w:trPr>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20" w:type="dxa"/>
            <w:vAlign w:val="bottom"/>
          </w:tcPr>
          <w:p>
            <w:pPr>
              <w:ind w:left="320"/>
              <w:spacing w:after="0"/>
              <w:rPr>
                <w:sz w:val="20"/>
                <w:szCs w:val="20"/>
                <w:color w:val="auto"/>
              </w:rPr>
            </w:pPr>
            <w:r>
              <w:rPr>
                <w:rFonts w:ascii="Arial" w:cs="Arial" w:eastAsia="Arial" w:hAnsi="Arial"/>
                <w:sz w:val="18"/>
                <w:szCs w:val="18"/>
                <w:i w:val="1"/>
                <w:iCs w:val="1"/>
                <w:color w:val="auto"/>
              </w:rPr>
              <w:t>Executive Officer and President</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54"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Under the requirements of the Securities Exchange Act of 1934, this report was signed by the following persons on behalf of the Registrant and in the capacities and on the date indicated.</w:t>
      </w:r>
    </w:p>
    <w:p>
      <w:pPr>
        <w:spacing w:after="0" w:line="135" w:lineRule="exact"/>
        <w:rPr>
          <w:sz w:val="20"/>
          <w:szCs w:val="20"/>
          <w:color w:val="auto"/>
        </w:rPr>
      </w:pPr>
    </w:p>
    <w:p>
      <w:pPr>
        <w:ind w:left="1700"/>
        <w:spacing w:after="0"/>
        <w:tabs>
          <w:tab w:leader="none" w:pos="6320" w:val="left"/>
          <w:tab w:leader="none" w:pos="99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240"/>
          </w:cols>
          <w:pgMar w:left="320" w:top="1039" w:right="339" w:bottom="1440" w:gutter="0" w:footer="0" w:header="0"/>
        </w:sectPr>
      </w:pPr>
    </w:p>
    <w:p>
      <w:pPr>
        <w:spacing w:after="0" w:line="29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Mark A. Casale</w:t>
      </w: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5374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4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Lawrence E. McAlee</w:t>
      </w: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David B. Weinstock</w:t>
      </w: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JANE P. CHWICK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Jane P. Chwick</w:t>
      </w: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ADITYA DUTT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Aditya Dutt</w:t>
      </w: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ROBERT GLANVILLE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Robert Glanville</w:t>
      </w: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ANGELA HEISE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Angela Heise</w:t>
      </w: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ROY J. KASMAR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Roy J. Kasmar</w:t>
      </w: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ALLAN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Allan Levine</w:t>
      </w: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DOUGLAS J. PAULS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Douglas J. Pauls</w:t>
      </w: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 WILLIAM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William Spiegel</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ind w:left="340"/>
              <w:spacing w:after="0"/>
              <w:rPr>
                <w:sz w:val="20"/>
                <w:szCs w:val="20"/>
                <w:color w:val="auto"/>
              </w:rPr>
            </w:pPr>
            <w:r>
              <w:rPr>
                <w:rFonts w:ascii="Arial" w:cs="Arial" w:eastAsia="Arial" w:hAnsi="Arial"/>
                <w:sz w:val="18"/>
                <w:szCs w:val="18"/>
                <w:color w:val="auto"/>
              </w:rPr>
              <w:t>Chairman of the Board of Directors,</w:t>
            </w:r>
          </w:p>
        </w:tc>
        <w:tc>
          <w:tcPr>
            <w:tcW w:w="1960" w:type="dxa"/>
            <w:vAlign w:val="bottom"/>
            <w:vMerge w:val="restart"/>
          </w:tcPr>
          <w:p>
            <w:pPr>
              <w:ind w:left="64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r>
        <w:trPr>
          <w:trHeight w:val="135"/>
        </w:trPr>
        <w:tc>
          <w:tcPr>
            <w:tcW w:w="3960" w:type="dxa"/>
            <w:vAlign w:val="bottom"/>
            <w:vMerge w:val="restart"/>
          </w:tcPr>
          <w:p>
            <w:pPr>
              <w:jc w:val="center"/>
              <w:ind w:right="550"/>
              <w:spacing w:after="0"/>
              <w:rPr>
                <w:sz w:val="20"/>
                <w:szCs w:val="20"/>
                <w:color w:val="auto"/>
              </w:rPr>
            </w:pPr>
            <w:r>
              <w:rPr>
                <w:rFonts w:ascii="Arial" w:cs="Arial" w:eastAsia="Arial" w:hAnsi="Arial"/>
                <w:sz w:val="18"/>
                <w:szCs w:val="18"/>
                <w:color w:val="auto"/>
                <w:w w:val="92"/>
              </w:rPr>
              <w:t>Chief Executive Officer and President</w:t>
            </w:r>
          </w:p>
        </w:tc>
        <w:tc>
          <w:tcPr>
            <w:tcW w:w="1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96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4"/>
        </w:trPr>
        <w:tc>
          <w:tcPr>
            <w:tcW w:w="3960" w:type="dxa"/>
            <w:vAlign w:val="bottom"/>
          </w:tcPr>
          <w:p>
            <w:pPr>
              <w:jc w:val="center"/>
              <w:ind w:right="550"/>
              <w:spacing w:after="0"/>
              <w:rPr>
                <w:sz w:val="20"/>
                <w:szCs w:val="20"/>
                <w:color w:val="auto"/>
              </w:rPr>
            </w:pPr>
            <w:r>
              <w:rPr>
                <w:rFonts w:ascii="Arial" w:cs="Arial" w:eastAsia="Arial" w:hAnsi="Arial"/>
                <w:sz w:val="18"/>
                <w:szCs w:val="18"/>
                <w:color w:val="auto"/>
                <w:w w:val="92"/>
              </w:rPr>
              <w:t>Senior Vice President, Chief Financial Officer</w:t>
            </w:r>
          </w:p>
        </w:tc>
        <w:tc>
          <w:tcPr>
            <w:tcW w:w="1960" w:type="dxa"/>
            <w:vAlign w:val="bottom"/>
          </w:tcPr>
          <w:p>
            <w:pPr>
              <w:ind w:left="64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r>
        <w:trPr>
          <w:trHeight w:val="769"/>
        </w:trPr>
        <w:tc>
          <w:tcPr>
            <w:tcW w:w="3960" w:type="dxa"/>
            <w:vAlign w:val="bottom"/>
          </w:tcPr>
          <w:p>
            <w:pPr>
              <w:jc w:val="center"/>
              <w:ind w:right="530"/>
              <w:spacing w:after="0"/>
              <w:rPr>
                <w:sz w:val="20"/>
                <w:szCs w:val="20"/>
                <w:color w:val="auto"/>
              </w:rPr>
            </w:pPr>
            <w:r>
              <w:rPr>
                <w:rFonts w:ascii="Arial" w:cs="Arial" w:eastAsia="Arial" w:hAnsi="Arial"/>
                <w:sz w:val="18"/>
                <w:szCs w:val="18"/>
                <w:color w:val="auto"/>
                <w:w w:val="93"/>
              </w:rPr>
              <w:t>Vice President, Chief Accounting Officer</w:t>
            </w:r>
          </w:p>
        </w:tc>
        <w:tc>
          <w:tcPr>
            <w:tcW w:w="1960" w:type="dxa"/>
            <w:vAlign w:val="bottom"/>
          </w:tcPr>
          <w:p>
            <w:pPr>
              <w:ind w:left="64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r>
        <w:trPr>
          <w:trHeight w:val="770"/>
        </w:trPr>
        <w:tc>
          <w:tcPr>
            <w:tcW w:w="3960" w:type="dxa"/>
            <w:vAlign w:val="bottom"/>
          </w:tcPr>
          <w:p>
            <w:pPr>
              <w:jc w:val="center"/>
              <w:ind w:right="55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ind w:left="64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r>
        <w:trPr>
          <w:trHeight w:val="769"/>
        </w:trPr>
        <w:tc>
          <w:tcPr>
            <w:tcW w:w="3960" w:type="dxa"/>
            <w:vAlign w:val="bottom"/>
          </w:tcPr>
          <w:p>
            <w:pPr>
              <w:jc w:val="center"/>
              <w:ind w:right="55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ind w:left="64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r>
        <w:trPr>
          <w:trHeight w:val="770"/>
        </w:trPr>
        <w:tc>
          <w:tcPr>
            <w:tcW w:w="3960" w:type="dxa"/>
            <w:vAlign w:val="bottom"/>
          </w:tcPr>
          <w:p>
            <w:pPr>
              <w:jc w:val="center"/>
              <w:ind w:right="55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ind w:left="64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r>
        <w:trPr>
          <w:trHeight w:val="770"/>
        </w:trPr>
        <w:tc>
          <w:tcPr>
            <w:tcW w:w="3960" w:type="dxa"/>
            <w:vAlign w:val="bottom"/>
          </w:tcPr>
          <w:p>
            <w:pPr>
              <w:jc w:val="center"/>
              <w:ind w:right="55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ind w:left="64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r>
        <w:trPr>
          <w:trHeight w:val="769"/>
        </w:trPr>
        <w:tc>
          <w:tcPr>
            <w:tcW w:w="3960" w:type="dxa"/>
            <w:vAlign w:val="bottom"/>
          </w:tcPr>
          <w:p>
            <w:pPr>
              <w:jc w:val="center"/>
              <w:ind w:right="55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ind w:left="64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r>
        <w:trPr>
          <w:trHeight w:val="770"/>
        </w:trPr>
        <w:tc>
          <w:tcPr>
            <w:tcW w:w="3960" w:type="dxa"/>
            <w:vAlign w:val="bottom"/>
          </w:tcPr>
          <w:p>
            <w:pPr>
              <w:jc w:val="center"/>
              <w:ind w:right="55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ind w:left="64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r>
        <w:trPr>
          <w:trHeight w:val="769"/>
        </w:trPr>
        <w:tc>
          <w:tcPr>
            <w:tcW w:w="3960" w:type="dxa"/>
            <w:vAlign w:val="bottom"/>
          </w:tcPr>
          <w:p>
            <w:pPr>
              <w:jc w:val="center"/>
              <w:ind w:right="55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ind w:left="64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r>
        <w:trPr>
          <w:trHeight w:val="770"/>
        </w:trPr>
        <w:tc>
          <w:tcPr>
            <w:tcW w:w="3960" w:type="dxa"/>
            <w:vAlign w:val="bottom"/>
          </w:tcPr>
          <w:p>
            <w:pPr>
              <w:jc w:val="center"/>
              <w:ind w:right="55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ind w:left="640"/>
              <w:spacing w:after="0"/>
              <w:rPr>
                <w:sz w:val="20"/>
                <w:szCs w:val="20"/>
                <w:color w:val="auto"/>
              </w:rPr>
            </w:pPr>
            <w:r>
              <w:rPr>
                <w:rFonts w:ascii="Arial" w:cs="Arial" w:eastAsia="Arial" w:hAnsi="Arial"/>
                <w:sz w:val="18"/>
                <w:szCs w:val="18"/>
                <w:color w:val="auto"/>
                <w:w w:val="88"/>
              </w:rPr>
              <w:t>February 26, 2021</w:t>
            </w:r>
          </w:p>
        </w:tc>
        <w:tc>
          <w:tcPr>
            <w:tcW w:w="0" w:type="dxa"/>
            <w:vAlign w:val="bottom"/>
          </w:tcPr>
          <w:p>
            <w:pPr>
              <w:spacing w:after="0"/>
              <w:rPr>
                <w:sz w:val="1"/>
                <w:szCs w:val="1"/>
                <w:color w:val="auto"/>
              </w:rPr>
            </w:pPr>
          </w:p>
        </w:tc>
      </w:tr>
    </w:tbl>
    <w:p>
      <w:pPr>
        <w:spacing w:after="0" w:line="325" w:lineRule="exact"/>
        <w:rPr>
          <w:sz w:val="20"/>
          <w:szCs w:val="20"/>
          <w:color w:val="auto"/>
        </w:rPr>
      </w:pPr>
    </w:p>
    <w:p>
      <w:pPr>
        <w:sectPr>
          <w:pgSz w:w="11900" w:h="16838" w:orient="portrait"/>
          <w:cols w:equalWidth="0" w:num="2">
            <w:col w:w="4100" w:space="720"/>
            <w:col w:w="6420"/>
          </w:cols>
          <w:pgMar w:left="320" w:top="10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8"/>
          <w:szCs w:val="18"/>
          <w:color w:val="auto"/>
        </w:rPr>
        <w:t>QuickLinks</w:t>
      </w:r>
    </w:p>
    <w:p>
      <w:pPr>
        <w:spacing w:after="0" w:line="387" w:lineRule="exact"/>
        <w:rPr>
          <w:sz w:val="20"/>
          <w:szCs w:val="20"/>
          <w:color w:val="auto"/>
        </w:rPr>
      </w:pPr>
    </w:p>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SPECIAL NOTE REGARDING 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RISK FACTOR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PART I</w:t>
        </w:r>
      </w:hyperlink>
    </w:p>
    <w:p>
      <w:pPr>
        <w:spacing w:after="0" w:line="238" w:lineRule="exact"/>
        <w:rPr>
          <w:sz w:val="20"/>
          <w:szCs w:val="20"/>
          <w:color w:val="auto"/>
        </w:rPr>
      </w:pPr>
    </w:p>
    <w:p>
      <w:pPr>
        <w:ind w:left="3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ITEM 1. BUSINESS</w:t>
        </w:r>
      </w:hyperlink>
    </w:p>
    <w:p>
      <w:pPr>
        <w:spacing w:after="0" w:line="252" w:lineRule="exact"/>
        <w:rPr>
          <w:sz w:val="20"/>
          <w:szCs w:val="20"/>
          <w:color w:val="auto"/>
        </w:rPr>
      </w:pPr>
    </w:p>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Residential Purchase vs. Refinancing Mortgage Originations ($ in billions)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Relative Share of Private and Public Mortgage Insurance</w:t>
        </w:r>
      </w:hyperlink>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Private mortgage insurance NIW ($ in billions)</w:t>
        </w:r>
      </w:hyperlink>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Portfolio by Credit Score</w:t>
        </w:r>
      </w:hyperlink>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Portfolio by LTV</w:t>
        </w:r>
      </w:hyperlink>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Portfolio by Loan Amortization Period</w:t>
        </w:r>
      </w:hyperlink>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Top Ten States</w:t>
        </w:r>
      </w:hyperlink>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Top Ten Metropolitan Statistical Areas</w:t>
        </w:r>
      </w:hyperlink>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Number of Loans in Default and Default Rate</w:t>
        </w:r>
      </w:hyperlink>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Loan Defaults by Originating Year</w:t>
        </w:r>
      </w:hyperlink>
    </w:p>
    <w:p>
      <w:pPr>
        <w:spacing w:after="0" w:line="238" w:lineRule="exact"/>
        <w:rPr>
          <w:sz w:val="20"/>
          <w:szCs w:val="20"/>
          <w:color w:val="auto"/>
        </w:rPr>
      </w:pPr>
    </w:p>
    <w:p>
      <w:pPr>
        <w:ind w:left="38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1A. RISK FACTORS</w:t>
        </w:r>
      </w:hyperlink>
    </w:p>
    <w:p>
      <w:pPr>
        <w:spacing w:after="0" w:line="252" w:lineRule="exact"/>
        <w:rPr>
          <w:sz w:val="20"/>
          <w:szCs w:val="20"/>
          <w:color w:val="auto"/>
        </w:rPr>
      </w:pPr>
    </w:p>
    <w:p>
      <w:pPr>
        <w:ind w:left="38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1B. UNRESOLVED STAFF COMMENTS</w:t>
        </w:r>
      </w:hyperlink>
    </w:p>
    <w:p>
      <w:pPr>
        <w:spacing w:after="0" w:line="23" w:lineRule="exact"/>
        <w:rPr>
          <w:sz w:val="20"/>
          <w:szCs w:val="20"/>
          <w:color w:val="auto"/>
        </w:rPr>
      </w:pPr>
    </w:p>
    <w:p>
      <w:pPr>
        <w:ind w:left="38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2. PROPERTIES</w:t>
        </w:r>
      </w:hyperlink>
    </w:p>
    <w:p>
      <w:pPr>
        <w:spacing w:after="0" w:line="9" w:lineRule="exact"/>
        <w:rPr>
          <w:sz w:val="20"/>
          <w:szCs w:val="20"/>
          <w:color w:val="auto"/>
        </w:rPr>
      </w:pPr>
    </w:p>
    <w:p>
      <w:pPr>
        <w:ind w:left="38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3. LEGAL PROCEEDINGS</w:t>
        </w:r>
      </w:hyperlink>
    </w:p>
    <w:p>
      <w:pPr>
        <w:spacing w:after="0" w:line="9" w:lineRule="exact"/>
        <w:rPr>
          <w:sz w:val="20"/>
          <w:szCs w:val="20"/>
          <w:color w:val="auto"/>
        </w:rPr>
      </w:pPr>
    </w:p>
    <w:p>
      <w:pPr>
        <w:ind w:left="38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4. MINE SAFETY DISCLOSURES</w:t>
        </w:r>
      </w:hyperlink>
    </w:p>
    <w:p>
      <w:pPr>
        <w:spacing w:after="0" w:line="238" w:lineRule="exact"/>
        <w:rPr>
          <w:sz w:val="20"/>
          <w:szCs w:val="20"/>
          <w:color w:val="auto"/>
        </w:rPr>
      </w:pPr>
    </w:p>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PART II</w:t>
        </w:r>
      </w:hyperlink>
    </w:p>
    <w:p>
      <w:pPr>
        <w:spacing w:after="0" w:line="252" w:lineRule="exact"/>
        <w:rPr>
          <w:sz w:val="20"/>
          <w:szCs w:val="20"/>
          <w:color w:val="auto"/>
        </w:rPr>
      </w:pPr>
    </w:p>
    <w:p>
      <w:pPr>
        <w:ind w:right="360" w:firstLine="364"/>
        <w:spacing w:after="0" w:line="277" w:lineRule="auto"/>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ITEM 5. MARKET FOR THE COMPANY'S COMMON EQUITY, RELATED STOCKHOLDER MATTERS AND ISSUER PURCHASES OF</w:t>
        </w:r>
      </w:hyperlink>
      <w:r>
        <w:rPr>
          <w:rFonts w:ascii="Arial" w:cs="Arial" w:eastAsia="Arial" w:hAnsi="Arial"/>
          <w:sz w:val="18"/>
          <w:szCs w:val="18"/>
          <w:u w:val="single" w:color="auto"/>
          <w:color w:val="0000FF"/>
        </w:rPr>
        <w:t xml:space="preserve"> </w:t>
      </w:r>
      <w:hyperlink w:anchor="page58">
        <w:r>
          <w:rPr>
            <w:rFonts w:ascii="Arial" w:cs="Arial" w:eastAsia="Arial" w:hAnsi="Arial"/>
            <w:sz w:val="18"/>
            <w:szCs w:val="18"/>
            <w:u w:val="single" w:color="auto"/>
            <w:color w:val="0000FF"/>
          </w:rPr>
          <w:t>EQUITY SECURITIES</w:t>
        </w:r>
      </w:hyperlink>
    </w:p>
    <w:p>
      <w:pPr>
        <w:spacing w:after="0" w:line="197" w:lineRule="exact"/>
        <w:rPr>
          <w:sz w:val="20"/>
          <w:szCs w:val="20"/>
          <w:color w:val="auto"/>
        </w:rPr>
      </w:pPr>
    </w:p>
    <w:p>
      <w:pPr>
        <w:ind w:left="38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ITEM 6. SELECTED FINANCIAL DATA</w:t>
        </w:r>
      </w:hyperlink>
    </w:p>
    <w:p>
      <w:pPr>
        <w:spacing w:after="0" w:line="252" w:lineRule="exact"/>
        <w:rPr>
          <w:sz w:val="20"/>
          <w:szCs w:val="20"/>
          <w:color w:val="auto"/>
        </w:rPr>
      </w:pPr>
    </w:p>
    <w:p>
      <w:pPr>
        <w:ind w:left="38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7. Management's Discussion and Analysis of Financial Condition and Results of Operations</w:t>
        </w:r>
      </w:hyperlink>
    </w:p>
    <w:p>
      <w:pPr>
        <w:spacing w:after="0" w:line="252" w:lineRule="exact"/>
        <w:rPr>
          <w:sz w:val="20"/>
          <w:szCs w:val="20"/>
          <w:color w:val="auto"/>
        </w:rPr>
      </w:pPr>
    </w:p>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Investment Portfolio by Asset Class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Investment Portfolio by Rating</w:t>
        </w:r>
      </w:hyperlink>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Investment Portfolio by Effective Duration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Top Ten Portfolio Holdings</w:t>
        </w:r>
      </w:hyperlink>
    </w:p>
    <w:p>
      <w:pPr>
        <w:spacing w:after="0" w:line="238" w:lineRule="exact"/>
        <w:rPr>
          <w:sz w:val="20"/>
          <w:szCs w:val="20"/>
          <w:color w:val="auto"/>
        </w:rPr>
      </w:pPr>
    </w:p>
    <w:p>
      <w:pPr>
        <w:ind w:left="38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ITEM 7A. QUANTITATIVE AND QUALITATIVE DISCLOSURES ABOUT MARKET RISK</w:t>
        </w:r>
      </w:hyperlink>
    </w:p>
    <w:p>
      <w:pPr>
        <w:spacing w:after="0" w:line="252" w:lineRule="exact"/>
        <w:rPr>
          <w:sz w:val="20"/>
          <w:szCs w:val="20"/>
          <w:color w:val="auto"/>
        </w:rPr>
      </w:pPr>
    </w:p>
    <w:p>
      <w:pPr>
        <w:ind w:left="38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ITEM 8. FINANCIAL STATEMENTS AND SUPPLEMENTARY DATA</w:t>
        </w:r>
      </w:hyperlink>
    </w:p>
    <w:p>
      <w:pPr>
        <w:spacing w:after="0" w:line="252" w:lineRule="exact"/>
        <w:rPr>
          <w:sz w:val="20"/>
          <w:szCs w:val="20"/>
          <w:color w:val="auto"/>
        </w:rPr>
      </w:pPr>
    </w:p>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INDEX TO FINANCIAL STATEMENTS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Report of Independent Registered Public Accounting Firm</w:t>
        </w:r>
      </w:hyperlink>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Essent Group Ltd. and Subsidiaries Consolidated 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Essent Group Ltd. and Subsidiaries Consolidated Statements of Comprehensive Income</w:t>
        </w:r>
      </w:hyperlink>
    </w:p>
    <w:p>
      <w:pPr>
        <w:spacing w:after="0" w:line="9" w:lineRule="exact"/>
        <w:rPr>
          <w:sz w:val="20"/>
          <w:szCs w:val="20"/>
          <w:color w:val="auto"/>
        </w:rPr>
      </w:pPr>
    </w:p>
    <w:p>
      <w:pPr>
        <w:ind w:right="4180"/>
        <w:spacing w:after="0" w:line="265" w:lineRule="auto"/>
        <w:rPr>
          <w:rFonts w:ascii="Arial" w:cs="Arial" w:eastAsia="Arial" w:hAnsi="Arial"/>
          <w:sz w:val="17"/>
          <w:szCs w:val="17"/>
          <w:u w:val="single" w:color="auto"/>
          <w:color w:val="0000FF"/>
        </w:rPr>
      </w:pPr>
      <w:hyperlink w:anchor="page90">
        <w:r>
          <w:rPr>
            <w:rFonts w:ascii="Arial" w:cs="Arial" w:eastAsia="Arial" w:hAnsi="Arial"/>
            <w:sz w:val="17"/>
            <w:szCs w:val="17"/>
            <w:u w:val="single" w:color="auto"/>
            <w:color w:val="0000FF"/>
          </w:rPr>
          <w:t>Essent Group Ltd. and Subsidiaries Consolidated Statements of Changes in Stockholders' Equity</w:t>
        </w:r>
      </w:hyperlink>
      <w:r>
        <w:rPr>
          <w:rFonts w:ascii="Arial" w:cs="Arial" w:eastAsia="Arial" w:hAnsi="Arial"/>
          <w:sz w:val="17"/>
          <w:szCs w:val="17"/>
          <w:u w:val="single" w:color="auto"/>
          <w:color w:val="0000FF"/>
        </w:rPr>
        <w:t xml:space="preserve"> </w:t>
      </w:r>
      <w:hyperlink w:anchor="page91">
        <w:r>
          <w:rPr>
            <w:rFonts w:ascii="Arial" w:cs="Arial" w:eastAsia="Arial" w:hAnsi="Arial"/>
            <w:sz w:val="17"/>
            <w:szCs w:val="17"/>
            <w:u w:val="single" w:color="auto"/>
            <w:color w:val="0000FF"/>
          </w:rPr>
          <w:t>Essent Group Ltd. and Subsidiaries Consolidated Statements of Cash Flows</w:t>
        </w:r>
      </w:hyperlink>
      <w:r>
        <w:rPr>
          <w:rFonts w:ascii="Arial" w:cs="Arial" w:eastAsia="Arial" w:hAnsi="Arial"/>
          <w:sz w:val="17"/>
          <w:szCs w:val="17"/>
          <w:u w:val="single" w:color="auto"/>
          <w:color w:val="0000FF"/>
        </w:rPr>
        <w:t xml:space="preserve"> </w:t>
      </w:r>
      <w:hyperlink w:anchor="page92">
        <w:r>
          <w:rPr>
            <w:rFonts w:ascii="Arial" w:cs="Arial" w:eastAsia="Arial" w:hAnsi="Arial"/>
            <w:sz w:val="17"/>
            <w:szCs w:val="17"/>
            <w:u w:val="single" w:color="auto"/>
            <w:color w:val="0000FF"/>
          </w:rPr>
          <w:t>Essent Group Ltd. and Subsidiaries Notes to Consolidated Financial Statements</w:t>
        </w:r>
      </w:hyperlink>
    </w:p>
    <w:p>
      <w:pPr>
        <w:ind w:right="2200"/>
        <w:spacing w:after="0" w:line="281" w:lineRule="auto"/>
        <w:rPr>
          <w:rFonts w:ascii="Arial" w:cs="Arial" w:eastAsia="Arial" w:hAnsi="Arial"/>
          <w:sz w:val="16"/>
          <w:szCs w:val="16"/>
          <w:u w:val="single" w:color="auto"/>
          <w:color w:val="0000FF"/>
        </w:rPr>
      </w:pPr>
      <w:hyperlink w:anchor="page121">
        <w:r>
          <w:rPr>
            <w:rFonts w:ascii="Arial" w:cs="Arial" w:eastAsia="Arial" w:hAnsi="Arial"/>
            <w:sz w:val="16"/>
            <w:szCs w:val="16"/>
            <w:u w:val="single" w:color="auto"/>
            <w:color w:val="0000FF"/>
          </w:rPr>
          <w:t>Essent Group Ltd. and Subsidiaries Schedule I—Summary of Investments—Other Than Investments in Related Parties</w:t>
        </w:r>
      </w:hyperlink>
      <w:r>
        <w:rPr>
          <w:rFonts w:ascii="Arial" w:cs="Arial" w:eastAsia="Arial" w:hAnsi="Arial"/>
          <w:sz w:val="16"/>
          <w:szCs w:val="16"/>
          <w:u w:val="single" w:color="auto"/>
          <w:color w:val="0000FF"/>
        </w:rPr>
        <w:t xml:space="preserve"> </w:t>
      </w:r>
      <w:hyperlink w:anchor="page123">
        <w:r>
          <w:rPr>
            <w:rFonts w:ascii="Arial" w:cs="Arial" w:eastAsia="Arial" w:hAnsi="Arial"/>
            <w:sz w:val="16"/>
            <w:szCs w:val="16"/>
            <w:u w:val="single" w:color="auto"/>
            <w:color w:val="0000FF"/>
          </w:rPr>
          <w:t>Essent Group Ltd. and Subsidiaries Schedule II—Financial Information of Registrant Balance Sheets Parent Company Only</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Essent Group Ltd. and Subsidiaries Schedule II—Condensed Financial Information of Registrant Condensed Statements of Comprehensive Income Parent</w:t>
        </w:r>
      </w:hyperlink>
      <w:r>
        <w:rPr>
          <w:rFonts w:ascii="Arial" w:cs="Arial" w:eastAsia="Arial" w:hAnsi="Arial"/>
          <w:sz w:val="18"/>
          <w:szCs w:val="18"/>
          <w:u w:val="single" w:color="auto"/>
          <w:color w:val="0000FF"/>
        </w:rPr>
        <w:t xml:space="preserve"> </w:t>
      </w:r>
      <w:hyperlink w:anchor="page123">
        <w:r>
          <w:rPr>
            <w:rFonts w:ascii="Arial" w:cs="Arial" w:eastAsia="Arial" w:hAnsi="Arial"/>
            <w:sz w:val="18"/>
            <w:szCs w:val="18"/>
            <w:u w:val="single" w:color="auto"/>
            <w:color w:val="0000FF"/>
          </w:rPr>
          <w:t>Company Only</w:t>
        </w:r>
      </w:hyperlink>
    </w:p>
    <w:p>
      <w:pPr>
        <w:spacing w:after="0" w:line="1" w:lineRule="exact"/>
        <w:rPr>
          <w:sz w:val="20"/>
          <w:szCs w:val="20"/>
          <w:color w:val="auto"/>
        </w:rPr>
      </w:pPr>
    </w:p>
    <w:p>
      <w:pPr>
        <w:ind w:right="120"/>
        <w:spacing w:after="0" w:line="260" w:lineRule="auto"/>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Essent Group Ltd. and Subsidiaries Schedule II—Condensed Financial Information of Registrant Condensed Statements of Cash Flows Parent Company</w:t>
        </w:r>
      </w:hyperlink>
      <w:r>
        <w:rPr>
          <w:rFonts w:ascii="Arial" w:cs="Arial" w:eastAsia="Arial" w:hAnsi="Arial"/>
          <w:sz w:val="18"/>
          <w:szCs w:val="18"/>
          <w:u w:val="single" w:color="auto"/>
          <w:color w:val="0000FF"/>
        </w:rPr>
        <w:t xml:space="preserve"> </w:t>
      </w:r>
      <w:hyperlink w:anchor="page124">
        <w:r>
          <w:rPr>
            <w:rFonts w:ascii="Arial" w:cs="Arial" w:eastAsia="Arial" w:hAnsi="Arial"/>
            <w:sz w:val="18"/>
            <w:szCs w:val="18"/>
            <w:u w:val="single" w:color="auto"/>
            <w:color w:val="0000FF"/>
          </w:rPr>
          <w:t>Only</w:t>
        </w:r>
      </w:hyperlink>
    </w:p>
    <w:p>
      <w:pPr>
        <w:sectPr>
          <w:pgSz w:w="11900" w:h="16838" w:orient="portrait"/>
          <w:cols w:equalWidth="0" w:num="1">
            <w:col w:w="11140"/>
          </w:cols>
          <w:pgMar w:left="320" w:top="1043" w:right="4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43" w:right="439" w:bottom="1440" w:gutter="0" w:footer="0" w:header="0"/>
          <w:type w:val="continuous"/>
        </w:sectPr>
      </w:pPr>
    </w:p>
    <w:bookmarkStart w:id="133" w:name="page134"/>
    <w:bookmarkEnd w:id="133"/>
    <w:p>
      <w:pPr>
        <w:ind w:right="240"/>
        <w:spacing w:after="0" w:line="277" w:lineRule="auto"/>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Essent Group Ltd. and Subsidiaries Schedule II—Condensed Financial Information of Registrant Parent Company Only Supplementary Notes</w:t>
        </w:r>
      </w:hyperlink>
      <w:r>
        <w:rPr>
          <w:rFonts w:ascii="Arial" w:cs="Arial" w:eastAsia="Arial" w:hAnsi="Arial"/>
          <w:sz w:val="18"/>
          <w:szCs w:val="18"/>
          <w:u w:val="single" w:color="auto"/>
          <w:color w:val="0000FF"/>
        </w:rPr>
        <w:t xml:space="preserve"> </w:t>
      </w:r>
      <w:hyperlink w:anchor="page126">
        <w:r>
          <w:rPr>
            <w:rFonts w:ascii="Arial" w:cs="Arial" w:eastAsia="Arial" w:hAnsi="Arial"/>
            <w:sz w:val="18"/>
            <w:szCs w:val="18"/>
            <w:u w:val="single" w:color="auto"/>
            <w:color w:val="0000FF"/>
          </w:rPr>
          <w:t>Schedule IV—Reinsurance for the years ended December 31, 2018, 2017 and 2016</w:t>
        </w:r>
      </w:hyperlink>
    </w:p>
    <w:p>
      <w:pPr>
        <w:spacing w:after="0" w:line="197" w:lineRule="exact"/>
        <w:rPr>
          <w:sz w:val="20"/>
          <w:szCs w:val="20"/>
          <w:color w:val="auto"/>
        </w:rPr>
      </w:pPr>
    </w:p>
    <w:p>
      <w:pPr>
        <w:ind w:left="380"/>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ITEM 9. CHANGES IN AND DISAGREEMENTS WITH ACCOUNTANTS ON ACCOUNTING AND FINANCIAL DISCLOSURE</w:t>
        </w:r>
      </w:hyperlink>
    </w:p>
    <w:p>
      <w:pPr>
        <w:spacing w:after="0" w:line="23" w:lineRule="exact"/>
        <w:rPr>
          <w:sz w:val="20"/>
          <w:szCs w:val="20"/>
          <w:color w:val="auto"/>
        </w:rPr>
      </w:pPr>
    </w:p>
    <w:p>
      <w:pPr>
        <w:ind w:left="380"/>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ITEM 9A. CONTROLS AND PROCEDURES</w:t>
        </w:r>
      </w:hyperlink>
    </w:p>
    <w:p>
      <w:pPr>
        <w:spacing w:after="0" w:line="9" w:lineRule="exact"/>
        <w:rPr>
          <w:sz w:val="20"/>
          <w:szCs w:val="20"/>
          <w:color w:val="auto"/>
        </w:rPr>
      </w:pPr>
    </w:p>
    <w:p>
      <w:pPr>
        <w:ind w:left="380"/>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ITEM 9B. OTHER INFORMATION</w:t>
        </w:r>
      </w:hyperlink>
    </w:p>
    <w:p>
      <w:pPr>
        <w:spacing w:after="0" w:line="238" w:lineRule="exact"/>
        <w:rPr>
          <w:sz w:val="20"/>
          <w:szCs w:val="20"/>
          <w:color w:val="auto"/>
        </w:rPr>
      </w:pPr>
    </w:p>
    <w:p>
      <w:pPr>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PART III</w:t>
        </w:r>
      </w:hyperlink>
    </w:p>
    <w:p>
      <w:pPr>
        <w:spacing w:after="0" w:line="252" w:lineRule="exact"/>
        <w:rPr>
          <w:sz w:val="20"/>
          <w:szCs w:val="20"/>
          <w:color w:val="auto"/>
        </w:rPr>
      </w:pPr>
    </w:p>
    <w:p>
      <w:pPr>
        <w:ind w:left="380" w:right="3580"/>
        <w:spacing w:after="0" w:line="258" w:lineRule="auto"/>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ITEM 10. DIRECTORS, EXECUTIVE OFFICERS AND CORPORATE GOVERNANCE</w:t>
        </w:r>
      </w:hyperlink>
      <w:r>
        <w:rPr>
          <w:rFonts w:ascii="Arial" w:cs="Arial" w:eastAsia="Arial" w:hAnsi="Arial"/>
          <w:sz w:val="18"/>
          <w:szCs w:val="18"/>
          <w:u w:val="single" w:color="auto"/>
          <w:color w:val="0000FF"/>
        </w:rPr>
        <w:t xml:space="preserve"> </w:t>
      </w:r>
      <w:hyperlink w:anchor="page129">
        <w:r>
          <w:rPr>
            <w:rFonts w:ascii="Arial" w:cs="Arial" w:eastAsia="Arial" w:hAnsi="Arial"/>
            <w:sz w:val="18"/>
            <w:szCs w:val="18"/>
            <w:u w:val="single" w:color="auto"/>
            <w:color w:val="0000FF"/>
          </w:rPr>
          <w:t>ITEM 11. EXECUTIVE COMPENSATION</w:t>
        </w:r>
      </w:hyperlink>
    </w:p>
    <w:p>
      <w:pPr>
        <w:spacing w:after="0" w:line="1" w:lineRule="exact"/>
        <w:rPr>
          <w:sz w:val="20"/>
          <w:szCs w:val="20"/>
          <w:color w:val="auto"/>
        </w:rPr>
      </w:pPr>
    </w:p>
    <w:p>
      <w:pPr>
        <w:ind w:firstLine="364"/>
        <w:spacing w:after="0" w:line="250" w:lineRule="auto"/>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ITEM 12. SECURITY OWNERSHIP OF CERTAIN BENEFICIAL OWNERS AND MANAGEMENT AND RELATED STOCKHOLDER</w:t>
        </w:r>
      </w:hyperlink>
      <w:r>
        <w:rPr>
          <w:rFonts w:ascii="Arial" w:cs="Arial" w:eastAsia="Arial" w:hAnsi="Arial"/>
          <w:sz w:val="18"/>
          <w:szCs w:val="18"/>
          <w:u w:val="single" w:color="auto"/>
          <w:color w:val="0000FF"/>
        </w:rPr>
        <w:t xml:space="preserve"> </w:t>
      </w:r>
      <w:hyperlink w:anchor="page129">
        <w:r>
          <w:rPr>
            <w:rFonts w:ascii="Arial" w:cs="Arial" w:eastAsia="Arial" w:hAnsi="Arial"/>
            <w:sz w:val="18"/>
            <w:szCs w:val="18"/>
            <w:u w:val="single" w:color="auto"/>
            <w:color w:val="0000FF"/>
          </w:rPr>
          <w:t>MATTERS</w:t>
        </w:r>
      </w:hyperlink>
    </w:p>
    <w:p>
      <w:pPr>
        <w:spacing w:after="0" w:line="1" w:lineRule="exact"/>
        <w:rPr>
          <w:sz w:val="20"/>
          <w:szCs w:val="20"/>
          <w:color w:val="auto"/>
        </w:rPr>
      </w:pPr>
    </w:p>
    <w:p>
      <w:pPr>
        <w:ind w:left="380" w:right="1680"/>
        <w:spacing w:after="0" w:line="260" w:lineRule="auto"/>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ITEM 13. CERTAIN RELATIONSHIPS AND RELATED TRANSACTIONS, AND DIRECTOR INDEPENDENCE</w:t>
        </w:r>
      </w:hyperlink>
      <w:r>
        <w:rPr>
          <w:rFonts w:ascii="Arial" w:cs="Arial" w:eastAsia="Arial" w:hAnsi="Arial"/>
          <w:sz w:val="18"/>
          <w:szCs w:val="18"/>
          <w:u w:val="single" w:color="auto"/>
          <w:color w:val="0000FF"/>
        </w:rPr>
        <w:t xml:space="preserve"> </w:t>
      </w:r>
      <w:hyperlink w:anchor="page129">
        <w:r>
          <w:rPr>
            <w:rFonts w:ascii="Arial" w:cs="Arial" w:eastAsia="Arial" w:hAnsi="Arial"/>
            <w:sz w:val="18"/>
            <w:szCs w:val="18"/>
            <w:u w:val="single" w:color="auto"/>
            <w:color w:val="0000FF"/>
          </w:rPr>
          <w:t>ITEM 14. PRINCIPAL ACCOUNTING FEES AND SERVICES</w:t>
        </w:r>
      </w:hyperlink>
    </w:p>
    <w:p>
      <w:pPr>
        <w:spacing w:after="0" w:line="212" w:lineRule="exact"/>
        <w:rPr>
          <w:sz w:val="20"/>
          <w:szCs w:val="20"/>
          <w:color w:val="auto"/>
        </w:rPr>
      </w:pPr>
    </w:p>
    <w:p>
      <w:pPr>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PART IV</w:t>
        </w:r>
      </w:hyperlink>
    </w:p>
    <w:p>
      <w:pPr>
        <w:spacing w:after="0" w:line="252" w:lineRule="exact"/>
        <w:rPr>
          <w:sz w:val="20"/>
          <w:szCs w:val="20"/>
          <w:color w:val="auto"/>
        </w:rPr>
      </w:pPr>
    </w:p>
    <w:p>
      <w:pPr>
        <w:ind w:left="380"/>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ITEM 15. EXHIBITS, FINANCIAL STATEMENT SCHEDULES</w:t>
        </w:r>
      </w:hyperlink>
    </w:p>
    <w:p>
      <w:pPr>
        <w:spacing w:after="0" w:line="23" w:lineRule="exact"/>
        <w:rPr>
          <w:sz w:val="20"/>
          <w:szCs w:val="20"/>
          <w:color w:val="auto"/>
        </w:rPr>
      </w:pPr>
    </w:p>
    <w:p>
      <w:pPr>
        <w:ind w:left="380"/>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ITEM 16. FORM 10-K SUMMARY</w:t>
        </w:r>
      </w:hyperlink>
    </w:p>
    <w:p>
      <w:pPr>
        <w:spacing w:after="0" w:line="238" w:lineRule="exact"/>
        <w:rPr>
          <w:sz w:val="20"/>
          <w:szCs w:val="20"/>
          <w:color w:val="auto"/>
        </w:rPr>
      </w:pPr>
    </w:p>
    <w:p>
      <w:pPr>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SIGNATURES</w:t>
        </w:r>
      </w:hyperlink>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500"/>
          </w:cols>
          <w:pgMar w:left="320" w:top="895" w:right="107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auto"/>
        </w:rPr>
        <w:t>EXHIBIT 10.7</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RESTRICTED STOCK AGREEMENT</w:t>
      </w:r>
    </w:p>
    <w:p>
      <w:pPr>
        <w:spacing w:after="0" w:line="222"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9"/>
          <w:szCs w:val="19"/>
          <w:color w:val="auto"/>
        </w:rPr>
        <w:t>Pursuant to the Notice of Grant of Stock (the “</w:t>
      </w:r>
      <w:r>
        <w:rPr>
          <w:rFonts w:ascii="Arial" w:cs="Arial" w:eastAsia="Arial" w:hAnsi="Arial"/>
          <w:sz w:val="19"/>
          <w:szCs w:val="19"/>
          <w:u w:val="single" w:color="auto"/>
          <w:color w:val="auto"/>
        </w:rPr>
        <w:t>Grant Notice</w:t>
      </w:r>
      <w:r>
        <w:rPr>
          <w:rFonts w:ascii="Arial" w:cs="Arial" w:eastAsia="Arial" w:hAnsi="Arial"/>
          <w:sz w:val="19"/>
          <w:szCs w:val="19"/>
          <w:color w:val="auto"/>
        </w:rPr>
        <w:t>”) attached to this Restricted Stock Agreement (the “Agreement”), Essent Group Ltd. (the “</w:t>
      </w:r>
      <w:r>
        <w:rPr>
          <w:rFonts w:ascii="Arial" w:cs="Arial" w:eastAsia="Arial" w:hAnsi="Arial"/>
          <w:sz w:val="19"/>
          <w:szCs w:val="19"/>
          <w:u w:val="single" w:color="auto"/>
          <w:color w:val="auto"/>
        </w:rPr>
        <w:t>Company</w:t>
      </w:r>
      <w:r>
        <w:rPr>
          <w:rFonts w:ascii="Arial" w:cs="Arial" w:eastAsia="Arial" w:hAnsi="Arial"/>
          <w:sz w:val="19"/>
          <w:szCs w:val="19"/>
          <w:color w:val="auto"/>
        </w:rPr>
        <w:t>”) has granted to the holder named in the row entitled “Participant Name” in the Grant Notice (the “</w:t>
      </w:r>
      <w:r>
        <w:rPr>
          <w:rFonts w:ascii="Arial" w:cs="Arial" w:eastAsia="Arial" w:hAnsi="Arial"/>
          <w:sz w:val="19"/>
          <w:szCs w:val="19"/>
          <w:u w:val="single" w:color="auto"/>
          <w:color w:val="auto"/>
        </w:rPr>
        <w:t>Participant</w:t>
      </w:r>
      <w:r>
        <w:rPr>
          <w:rFonts w:ascii="Arial" w:cs="Arial" w:eastAsia="Arial" w:hAnsi="Arial"/>
          <w:sz w:val="19"/>
          <w:szCs w:val="19"/>
          <w:color w:val="auto"/>
        </w:rPr>
        <w:t>”) the number of shares of Stock (as defined below) set forth in the row entitled “Share Amount” in the Grant Notice (the “</w:t>
      </w:r>
      <w:r>
        <w:rPr>
          <w:rFonts w:ascii="Arial" w:cs="Arial" w:eastAsia="Arial" w:hAnsi="Arial"/>
          <w:sz w:val="19"/>
          <w:szCs w:val="19"/>
          <w:u w:val="single" w:color="auto"/>
          <w:color w:val="auto"/>
        </w:rPr>
        <w:t>Shares</w:t>
      </w:r>
      <w:r>
        <w:rPr>
          <w:rFonts w:ascii="Arial" w:cs="Arial" w:eastAsia="Arial" w:hAnsi="Arial"/>
          <w:sz w:val="19"/>
          <w:szCs w:val="19"/>
          <w:color w:val="auto"/>
        </w:rPr>
        <w:t>”) pursuant to the Company’s 2013 Long-Term Incentive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w:t>
      </w:r>
    </w:p>
    <w:p>
      <w:pPr>
        <w:spacing w:after="0" w:line="197"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w:t>
      </w:r>
    </w:p>
    <w:p>
      <w:pPr>
        <w:spacing w:after="0" w:line="202"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GENERAL</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not specifically defined herein shall have the meanings specified in Exhibit A to this Agreement, the Plan or the Grant Notice.</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Shares issued to Participant hereunder are subject to the terms and conditions set forth in this Agreement and the Plan, which is incorporated herein by reference. In the event of any inconsistency between the Plan and this Agreement or the Grant Notice, the terms of the Plan shall control.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ISSUANCE OF SHARES</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Issuance of Shares</w:t>
      </w:r>
      <w:r>
        <w:rPr>
          <w:rFonts w:ascii="Arial" w:cs="Arial" w:eastAsia="Arial" w:hAnsi="Arial"/>
          <w:sz w:val="20"/>
          <w:szCs w:val="20"/>
          <w:color w:val="auto"/>
        </w:rPr>
        <w:t>. In consideration of Participant’s past and/or continued employment with or service to the Company or one of its Affiliates and for other good and valuable consideration, effective as of the date set forth in the Grant Notice in the row entitled “Grant/Award Date” (the “</w:t>
      </w:r>
      <w:r>
        <w:rPr>
          <w:rFonts w:ascii="Arial" w:cs="Arial" w:eastAsia="Arial" w:hAnsi="Arial"/>
          <w:sz w:val="20"/>
          <w:szCs w:val="20"/>
          <w:u w:val="single" w:color="auto"/>
          <w:color w:val="auto"/>
        </w:rPr>
        <w:t>Grant Date</w:t>
      </w:r>
      <w:r>
        <w:rPr>
          <w:rFonts w:ascii="Arial" w:cs="Arial" w:eastAsia="Arial" w:hAnsi="Arial"/>
          <w:sz w:val="20"/>
          <w:szCs w:val="20"/>
          <w:color w:val="auto"/>
        </w:rPr>
        <w:t>”), the Company has granted to Participant the number of Shares set forth in the Grant Notice, upon the terms and conditions set forth in the Grant Notice, the Plan and this Agreement.</w:t>
      </w:r>
    </w:p>
    <w:p>
      <w:pPr>
        <w:spacing w:after="0" w:line="19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Issuance Mechanics</w:t>
      </w:r>
      <w:r>
        <w:rPr>
          <w:rFonts w:ascii="Arial" w:cs="Arial" w:eastAsia="Arial" w:hAnsi="Arial"/>
          <w:sz w:val="18"/>
          <w:szCs w:val="18"/>
          <w:color w:val="auto"/>
        </w:rPr>
        <w:t>. As of the Grant Date, the Company shall issue the Shares in the form of the Company’s common shares, par value $0.015 per share (“</w:t>
      </w:r>
      <w:r>
        <w:rPr>
          <w:rFonts w:ascii="Arial" w:cs="Arial" w:eastAsia="Arial" w:hAnsi="Arial"/>
          <w:sz w:val="18"/>
          <w:szCs w:val="18"/>
          <w:u w:val="single" w:color="auto"/>
          <w:color w:val="auto"/>
        </w:rPr>
        <w:t>Stock</w:t>
      </w:r>
      <w:r>
        <w:rPr>
          <w:rFonts w:ascii="Arial" w:cs="Arial" w:eastAsia="Arial" w:hAnsi="Arial"/>
          <w:sz w:val="18"/>
          <w:szCs w:val="18"/>
          <w:color w:val="auto"/>
        </w:rPr>
        <w:t>”), to Participant and shall (a) cause a stock certificate or certificates representing such shares of Stock to be registered in the name of Participant, or (b) cause such shares of Stock to be held in book-entry form. If a stock certificate is issued, it shall be delivered to and held in custody by the Company and shall bear the restrictive legends required by Section 5.1. If the shares of Stock are held in book-entry form, then such entry will reflect that the shares are subject to the restrictions of this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FORFEITURE AND TRANSFER RESTRICTIONS</w:t>
      </w:r>
    </w:p>
    <w:p>
      <w:pPr>
        <w:spacing w:after="0" w:line="2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Forfeiture Restriction</w:t>
      </w:r>
      <w:r>
        <w:rPr>
          <w:rFonts w:ascii="Arial" w:cs="Arial" w:eastAsia="Arial" w:hAnsi="Arial"/>
          <w:sz w:val="18"/>
          <w:szCs w:val="18"/>
          <w:color w:val="auto"/>
        </w:rPr>
        <w:t>. Subject to the provisions of Section 3.2 below, in the event of Participant’s Termination for any reason, including as a result of Participant’s death or Disability, all of the Unreleased Shares (as defined in Section 3.2(d) below) shall thereupon be forfeited immediately for no consideration and without any further action by the Company (the “</w:t>
      </w:r>
      <w:r>
        <w:rPr>
          <w:rFonts w:ascii="Arial" w:cs="Arial" w:eastAsia="Arial" w:hAnsi="Arial"/>
          <w:sz w:val="18"/>
          <w:szCs w:val="18"/>
          <w:u w:val="single" w:color="auto"/>
          <w:color w:val="auto"/>
        </w:rPr>
        <w:t>Forfeiture Restriction</w:t>
      </w:r>
      <w:r>
        <w:rPr>
          <w:rFonts w:ascii="Arial" w:cs="Arial" w:eastAsia="Arial" w:hAnsi="Arial"/>
          <w:sz w:val="18"/>
          <w:szCs w:val="18"/>
          <w:color w:val="auto"/>
        </w:rPr>
        <w:t>”), except as otherwise provided in a written agreement between Participant and the Company. Upon the occurrence of such forfeiture, the Company shall become the legal and beneficial owner of the Unreleased Shares and all rights and interests therein or relating thereto, and the Company shall have the right to retain and transfer to its own name the number of Unreleased Shares being forfeited by Participant. The Unreleased</w:t>
      </w:r>
    </w:p>
    <w:p>
      <w:pPr>
        <w:sectPr>
          <w:pgSz w:w="11900" w:h="16838" w:orient="portrait"/>
          <w:cols w:equalWidth="0" w:num="1">
            <w:col w:w="11240"/>
          </w:cols>
          <w:pgMar w:left="320" w:top="603" w:right="339" w:bottom="1440" w:gutter="0" w:footer="0" w:header="0"/>
        </w:sectPr>
      </w:pPr>
    </w:p>
    <w:bookmarkStart w:id="135" w:name="page136"/>
    <w:bookmarkEnd w:id="135"/>
    <w:p>
      <w:pPr>
        <w:jc w:val="both"/>
        <w:spacing w:after="0" w:line="263" w:lineRule="auto"/>
        <w:rPr>
          <w:sz w:val="20"/>
          <w:szCs w:val="20"/>
          <w:color w:val="auto"/>
        </w:rPr>
      </w:pPr>
      <w:r>
        <w:rPr>
          <w:rFonts w:ascii="Arial" w:cs="Arial" w:eastAsia="Arial" w:hAnsi="Arial"/>
          <w:sz w:val="19"/>
          <w:szCs w:val="19"/>
          <w:color w:val="auto"/>
        </w:rPr>
        <w:t>Shares shall be held by the Company in accordance with Section 3.3 until the Shares are forfeited as provided in this Section 3.1, until such Unreleased Shares are fully released from the Forfeiture Restriction as provided in Section 3.2 or until such time as this Agreement is no longer in effect. Participant hereby authorizes and directs the Company (or such person designated by the Committee), to transfer any Unreleased Shares that are forfeited pursuant to this Section 3.1 from Participant to the Company.</w:t>
      </w:r>
    </w:p>
    <w:p>
      <w:pPr>
        <w:spacing w:after="0" w:line="17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u w:val="single" w:color="auto"/>
          <w:color w:val="auto"/>
        </w:rPr>
        <w:t>Release of Shares from Forfeiture Restriction</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59" w:lineRule="auto"/>
        <w:tabs>
          <w:tab w:leader="none" w:pos="1844" w:val="left"/>
        </w:tabs>
        <w:numPr>
          <w:ilvl w:val="0"/>
          <w:numId w:val="72"/>
        </w:numPr>
        <w:rPr>
          <w:rFonts w:ascii="Arial" w:cs="Arial" w:eastAsia="Arial" w:hAnsi="Arial"/>
          <w:sz w:val="19"/>
          <w:szCs w:val="19"/>
          <w:color w:val="auto"/>
        </w:rPr>
      </w:pPr>
      <w:r>
        <w:rPr>
          <w:rFonts w:ascii="Arial" w:cs="Arial" w:eastAsia="Arial" w:hAnsi="Arial"/>
          <w:sz w:val="19"/>
          <w:szCs w:val="19"/>
          <w:color w:val="auto"/>
        </w:rPr>
        <w:t>Following the completion of the Performance Period, the Committee shall determine the Company’s BVPS Growth Percentage and Relative Total Shareholder Return and will certify the level of achievement with respect to the Vesting Percentage and the portion of Shares granted herein that have become Earned Shares. Following the Committee’s determination, Participant shall immediately forfeit for no consideration any and all Shares which do not become Earned Shares, and Participant’s rights in any such Shares which do not become Earned Shares shall immediately lapse and expire. Each Earned Share shall be fully vested on the date set forth in the Grant Notice under the heading “Vesting Schedule” (the “</w:t>
      </w:r>
      <w:r>
        <w:rPr>
          <w:rFonts w:ascii="Arial" w:cs="Arial" w:eastAsia="Arial" w:hAnsi="Arial"/>
          <w:sz w:val="19"/>
          <w:szCs w:val="19"/>
          <w:u w:val="single" w:color="auto"/>
          <w:color w:val="auto"/>
        </w:rPr>
        <w:t>Vesting Date</w:t>
      </w:r>
      <w:r>
        <w:rPr>
          <w:rFonts w:ascii="Arial" w:cs="Arial" w:eastAsia="Arial" w:hAnsi="Arial"/>
          <w:sz w:val="19"/>
          <w:szCs w:val="19"/>
          <w:color w:val="auto"/>
        </w:rPr>
        <w:t>”).</w:t>
      </w:r>
    </w:p>
    <w:p>
      <w:pPr>
        <w:spacing w:after="0" w:line="178" w:lineRule="exact"/>
        <w:rPr>
          <w:rFonts w:ascii="Arial" w:cs="Arial" w:eastAsia="Arial" w:hAnsi="Arial"/>
          <w:sz w:val="19"/>
          <w:szCs w:val="19"/>
          <w:color w:val="auto"/>
        </w:rPr>
      </w:pPr>
    </w:p>
    <w:p>
      <w:pPr>
        <w:ind w:left="1740" w:hanging="436"/>
        <w:spacing w:after="0"/>
        <w:tabs>
          <w:tab w:leader="none" w:pos="17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Notwithstanding the foregoing, if a Change in Control occurs:</w:t>
      </w:r>
    </w:p>
    <w:p>
      <w:pPr>
        <w:spacing w:after="0" w:line="215" w:lineRule="exact"/>
        <w:rPr>
          <w:rFonts w:ascii="Arial" w:cs="Arial" w:eastAsia="Arial" w:hAnsi="Arial"/>
          <w:sz w:val="20"/>
          <w:szCs w:val="20"/>
          <w:color w:val="auto"/>
        </w:rPr>
      </w:pPr>
    </w:p>
    <w:p>
      <w:pPr>
        <w:ind w:firstLine="1628"/>
        <w:spacing w:after="0" w:line="260" w:lineRule="auto"/>
        <w:tabs>
          <w:tab w:leader="none" w:pos="2123" w:val="left"/>
        </w:tabs>
        <w:numPr>
          <w:ilvl w:val="1"/>
          <w:numId w:val="72"/>
        </w:numPr>
        <w:rPr>
          <w:rFonts w:ascii="Arial" w:cs="Arial" w:eastAsia="Arial" w:hAnsi="Arial"/>
          <w:sz w:val="20"/>
          <w:szCs w:val="20"/>
          <w:color w:val="auto"/>
        </w:rPr>
      </w:pPr>
      <w:r>
        <w:rPr>
          <w:rFonts w:ascii="Arial" w:cs="Arial" w:eastAsia="Arial" w:hAnsi="Arial"/>
          <w:sz w:val="20"/>
          <w:szCs w:val="20"/>
          <w:color w:val="auto"/>
        </w:rPr>
        <w:t>on or following the completion of the Performance Period but prior to the Vesting Date, one hundred percent (100%) of the then-unvested Earned Shares shall fully vest upon the consummation of such Change in Control; or</w:t>
      </w:r>
    </w:p>
    <w:p>
      <w:pPr>
        <w:spacing w:after="0" w:line="176" w:lineRule="exact"/>
        <w:rPr>
          <w:rFonts w:ascii="Arial" w:cs="Arial" w:eastAsia="Arial" w:hAnsi="Arial"/>
          <w:sz w:val="20"/>
          <w:szCs w:val="20"/>
          <w:color w:val="auto"/>
        </w:rPr>
      </w:pPr>
    </w:p>
    <w:p>
      <w:pPr>
        <w:ind w:left="2060" w:hanging="432"/>
        <w:spacing w:after="0"/>
        <w:tabs>
          <w:tab w:leader="none" w:pos="2060" w:val="left"/>
        </w:tabs>
        <w:numPr>
          <w:ilvl w:val="1"/>
          <w:numId w:val="72"/>
        </w:numPr>
        <w:rPr>
          <w:rFonts w:ascii="Arial" w:cs="Arial" w:eastAsia="Arial" w:hAnsi="Arial"/>
          <w:sz w:val="20"/>
          <w:szCs w:val="20"/>
          <w:color w:val="auto"/>
        </w:rPr>
      </w:pPr>
      <w:r>
        <w:rPr>
          <w:rFonts w:ascii="Arial" w:cs="Arial" w:eastAsia="Arial" w:hAnsi="Arial"/>
          <w:sz w:val="20"/>
          <w:szCs w:val="20"/>
          <w:color w:val="auto"/>
        </w:rPr>
        <w:t>prior to the expiration of the Performance Period:</w:t>
      </w:r>
    </w:p>
    <w:p>
      <w:pPr>
        <w:spacing w:after="0" w:line="215" w:lineRule="exact"/>
        <w:rPr>
          <w:rFonts w:ascii="Arial" w:cs="Arial" w:eastAsia="Arial" w:hAnsi="Arial"/>
          <w:sz w:val="20"/>
          <w:szCs w:val="20"/>
          <w:color w:val="auto"/>
        </w:rPr>
      </w:pPr>
    </w:p>
    <w:p>
      <w:pPr>
        <w:jc w:val="both"/>
        <w:ind w:firstLine="1952"/>
        <w:spacing w:after="0" w:line="243" w:lineRule="auto"/>
        <w:tabs>
          <w:tab w:leader="none" w:pos="2462" w:val="left"/>
        </w:tabs>
        <w:numPr>
          <w:ilvl w:val="2"/>
          <w:numId w:val="72"/>
        </w:numPr>
        <w:rPr>
          <w:rFonts w:ascii="Arial" w:cs="Arial" w:eastAsia="Arial" w:hAnsi="Arial"/>
          <w:sz w:val="20"/>
          <w:szCs w:val="20"/>
          <w:color w:val="auto"/>
        </w:rPr>
      </w:pPr>
      <w:r>
        <w:rPr>
          <w:rFonts w:ascii="Arial" w:cs="Arial" w:eastAsia="Arial" w:hAnsi="Arial"/>
          <w:sz w:val="20"/>
          <w:szCs w:val="20"/>
          <w:color w:val="auto"/>
        </w:rPr>
        <w:t>the number of Shares which become Earned Shares upon the consummation of such Change in Control shall be the greater of (x) the number of Shares that would have become Earned Shares at the “Target” level BVPS Growth Percentage and assuming “Target” Relative Total Shareholder Return, in each case, as set forth in the definition of “Vesting Percentage” in Exhibit A hereto, and (y) the number of Shares that would have become Earned Shares at the “Target” level BVPS Growth Percentage as set forth in the definition of “Vesting Percentage” in Exhibit A hereto and based on actual Relative Total Shareholder Return, determined in accordance with Exhibit A hereto; and</w:t>
      </w:r>
    </w:p>
    <w:p>
      <w:pPr>
        <w:spacing w:after="0" w:line="195" w:lineRule="exact"/>
        <w:rPr>
          <w:rFonts w:ascii="Arial" w:cs="Arial" w:eastAsia="Arial" w:hAnsi="Arial"/>
          <w:sz w:val="20"/>
          <w:szCs w:val="20"/>
          <w:color w:val="auto"/>
        </w:rPr>
      </w:pPr>
    </w:p>
    <w:p>
      <w:pPr>
        <w:ind w:firstLine="1952"/>
        <w:spacing w:after="0" w:line="287" w:lineRule="auto"/>
        <w:tabs>
          <w:tab w:leader="none" w:pos="2428" w:val="left"/>
        </w:tabs>
        <w:numPr>
          <w:ilvl w:val="2"/>
          <w:numId w:val="72"/>
        </w:numPr>
        <w:rPr>
          <w:rFonts w:ascii="Arial" w:cs="Arial" w:eastAsia="Arial" w:hAnsi="Arial"/>
          <w:sz w:val="19"/>
          <w:szCs w:val="19"/>
          <w:color w:val="auto"/>
        </w:rPr>
      </w:pPr>
      <w:r>
        <w:rPr>
          <w:rFonts w:ascii="Arial" w:cs="Arial" w:eastAsia="Arial" w:hAnsi="Arial"/>
          <w:sz w:val="19"/>
          <w:szCs w:val="19"/>
          <w:color w:val="auto"/>
        </w:rPr>
        <w:t>the treatment of the Earned Shares determined pursuant to Section 3.2(b)(ii)(A) above will be dependent upon whether the acquiring or surviving company (the “</w:t>
      </w:r>
      <w:r>
        <w:rPr>
          <w:rFonts w:ascii="Arial" w:cs="Arial" w:eastAsia="Arial" w:hAnsi="Arial"/>
          <w:sz w:val="19"/>
          <w:szCs w:val="19"/>
          <w:u w:val="single" w:color="auto"/>
          <w:color w:val="auto"/>
        </w:rPr>
        <w:t>Acquirer</w:t>
      </w:r>
      <w:r>
        <w:rPr>
          <w:rFonts w:ascii="Arial" w:cs="Arial" w:eastAsia="Arial" w:hAnsi="Arial"/>
          <w:sz w:val="19"/>
          <w:szCs w:val="19"/>
          <w:color w:val="auto"/>
        </w:rPr>
        <w:t>”) assumes the outstanding equity awards as follows:</w:t>
      </w:r>
    </w:p>
    <w:p>
      <w:pPr>
        <w:spacing w:after="0" w:line="152" w:lineRule="exact"/>
        <w:rPr>
          <w:rFonts w:ascii="Arial" w:cs="Arial" w:eastAsia="Arial" w:hAnsi="Arial"/>
          <w:sz w:val="19"/>
          <w:szCs w:val="19"/>
          <w:color w:val="auto"/>
        </w:rPr>
      </w:pPr>
    </w:p>
    <w:p>
      <w:pPr>
        <w:ind w:right="100" w:firstLine="2600"/>
        <w:spacing w:after="0" w:line="250" w:lineRule="auto"/>
        <w:tabs>
          <w:tab w:leader="none" w:pos="2977" w:val="left"/>
        </w:tabs>
        <w:numPr>
          <w:ilvl w:val="3"/>
          <w:numId w:val="72"/>
        </w:numPr>
        <w:rPr>
          <w:rFonts w:ascii="Arial" w:cs="Arial" w:eastAsia="Arial" w:hAnsi="Arial"/>
          <w:sz w:val="20"/>
          <w:szCs w:val="20"/>
          <w:color w:val="auto"/>
        </w:rPr>
      </w:pPr>
      <w:r>
        <w:rPr>
          <w:rFonts w:ascii="Arial" w:cs="Arial" w:eastAsia="Arial" w:hAnsi="Arial"/>
          <w:sz w:val="20"/>
          <w:szCs w:val="20"/>
          <w:color w:val="auto"/>
        </w:rPr>
        <w:t>if the Acquirer does not assume the Shares on or before the date of such Change in Control, the Earned Shares shall become fully vested on such date and shall be treated in the same manner as Stock held by shareholders of the Company in connection with such Change in Control; or</w:t>
      </w:r>
    </w:p>
    <w:p>
      <w:pPr>
        <w:spacing w:after="0" w:line="185" w:lineRule="exact"/>
        <w:rPr>
          <w:rFonts w:ascii="Arial" w:cs="Arial" w:eastAsia="Arial" w:hAnsi="Arial"/>
          <w:sz w:val="20"/>
          <w:szCs w:val="20"/>
          <w:color w:val="auto"/>
        </w:rPr>
      </w:pPr>
    </w:p>
    <w:p>
      <w:pPr>
        <w:jc w:val="both"/>
        <w:ind w:firstLine="2600"/>
        <w:spacing w:after="0" w:line="243" w:lineRule="auto"/>
        <w:tabs>
          <w:tab w:leader="none" w:pos="3200" w:val="left"/>
        </w:tabs>
        <w:numPr>
          <w:ilvl w:val="3"/>
          <w:numId w:val="72"/>
        </w:numPr>
        <w:rPr>
          <w:rFonts w:ascii="Arial" w:cs="Arial" w:eastAsia="Arial" w:hAnsi="Arial"/>
          <w:sz w:val="20"/>
          <w:szCs w:val="20"/>
          <w:color w:val="auto"/>
        </w:rPr>
      </w:pPr>
      <w:r>
        <w:rPr>
          <w:rFonts w:ascii="Arial" w:cs="Arial" w:eastAsia="Arial" w:hAnsi="Arial"/>
          <w:sz w:val="20"/>
          <w:szCs w:val="20"/>
          <w:color w:val="auto"/>
        </w:rPr>
        <w:t>if the Acquirer assumes the Shares, provided that Participant remains employed by the Service Recipient pursuant to terms and conditions substantially similar to those set forth in the Participant’s Employment Agreement with the Service Recipient, dated September 30, 2013, as such agreement may be amended, restated or otherwise modified from time to time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the Acquirer or any of their respective Affiliate(s), as the case may be, upon and after the consummation of such Change in Control, the Earned Shares shall be converted into a number of time-based restricted shares of the Acquirer’s common stock (or, if the Acquirer is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136" w:name="page137"/>
    <w:bookmarkEnd w:id="136"/>
    <w:p>
      <w:pPr>
        <w:spacing w:after="0" w:line="309" w:lineRule="auto"/>
        <w:rPr>
          <w:sz w:val="20"/>
          <w:szCs w:val="20"/>
          <w:color w:val="auto"/>
        </w:rPr>
      </w:pPr>
      <w:r>
        <w:rPr>
          <w:rFonts w:ascii="Arial" w:cs="Arial" w:eastAsia="Arial" w:hAnsi="Arial"/>
          <w:sz w:val="16"/>
          <w:szCs w:val="16"/>
          <w:color w:val="auto"/>
        </w:rPr>
        <w:t>of another company, time-based restricted shares of the Acquirer’s ultimate parent entity) that have in the aggregate a fair market value equal to the fair market value of such Earned Shares as of the consummation of such Change in Control, and that shall fully vest on the earlier of</w:t>
      </w:r>
    </w:p>
    <w:p>
      <w:pPr>
        <w:spacing w:after="0" w:line="1" w:lineRule="exact"/>
        <w:rPr>
          <w:sz w:val="20"/>
          <w:szCs w:val="20"/>
          <w:color w:val="auto"/>
        </w:rPr>
      </w:pPr>
    </w:p>
    <w:p>
      <w:pPr>
        <w:jc w:val="both"/>
        <w:ind w:firstLine="8"/>
        <w:spacing w:after="0" w:line="254" w:lineRule="auto"/>
        <w:tabs>
          <w:tab w:leader="none" w:pos="343"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December 31, 20__, or (B) a Termination of Participant’s employment with the Service Provider, the Acquirer and/or their respective Affiliate(s) upon or after such Change in Control as a result of Participant’s death or Disability (as such term is defined in and subject to the applicable provisions set forth in the Employment Agreement), a Termination by the Company without Cause (as such term is defined in and subject to the applicable provisions set forth in the Employment Agreement), or a Termination by Participant for Good Reason (as such term is defined in and subject to the applicable provisions set forth in the Employment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foregoing, in no event shall any Earned Shares be exchanged for or converted into shares of a class or series that is not publicly traded and marketable as of the date of such Change in Control without the prior consent of Participant in his or her sole discretion, and in the event that Participant does not so consent then such Earned Shares shall be deemed to be fully vested as of such Change in Control in accordance with Section 3.2(b)(ii)(A) and shall be treated in the same manner as Stock held by shareholders of the Company in connection with such Change in Control; and</w:t>
      </w:r>
    </w:p>
    <w:p>
      <w:pPr>
        <w:spacing w:after="0" w:line="182" w:lineRule="exact"/>
        <w:rPr>
          <w:rFonts w:ascii="Arial" w:cs="Arial" w:eastAsia="Arial" w:hAnsi="Arial"/>
          <w:sz w:val="19"/>
          <w:szCs w:val="19"/>
          <w:color w:val="auto"/>
        </w:rPr>
      </w:pPr>
    </w:p>
    <w:p>
      <w:pPr>
        <w:jc w:val="both"/>
        <w:ind w:firstLine="1952"/>
        <w:spacing w:after="0" w:line="250" w:lineRule="auto"/>
        <w:tabs>
          <w:tab w:leader="none" w:pos="2502" w:val="left"/>
        </w:tabs>
        <w:numPr>
          <w:ilvl w:val="3"/>
          <w:numId w:val="73"/>
        </w:numPr>
        <w:rPr>
          <w:rFonts w:ascii="Arial" w:cs="Arial" w:eastAsia="Arial" w:hAnsi="Arial"/>
          <w:sz w:val="20"/>
          <w:szCs w:val="20"/>
          <w:color w:val="auto"/>
        </w:rPr>
      </w:pPr>
      <w:r>
        <w:rPr>
          <w:rFonts w:ascii="Arial" w:cs="Arial" w:eastAsia="Arial" w:hAnsi="Arial"/>
          <w:sz w:val="20"/>
          <w:szCs w:val="20"/>
          <w:color w:val="auto"/>
        </w:rPr>
        <w:t>Participant shall immediately forfeit for no consideration any and all Shares which do not become Earned Shares as of the consummation of such Change in Control, and Participant’s rights in any such Shares which do not become Earned Shares shall immediately lapse and expire.</w:t>
      </w:r>
    </w:p>
    <w:p>
      <w:pPr>
        <w:spacing w:after="0" w:line="185" w:lineRule="exact"/>
        <w:rPr>
          <w:rFonts w:ascii="Arial" w:cs="Arial" w:eastAsia="Arial" w:hAnsi="Arial"/>
          <w:sz w:val="20"/>
          <w:szCs w:val="20"/>
          <w:color w:val="auto"/>
        </w:rPr>
      </w:pPr>
    </w:p>
    <w:p>
      <w:pPr>
        <w:jc w:val="both"/>
        <w:ind w:firstLine="1304"/>
        <w:spacing w:after="0" w:line="242" w:lineRule="auto"/>
        <w:tabs>
          <w:tab w:leader="none" w:pos="1813" w:val="left"/>
        </w:tabs>
        <w:numPr>
          <w:ilvl w:val="1"/>
          <w:numId w:val="73"/>
        </w:numPr>
        <w:rPr>
          <w:rFonts w:ascii="Arial" w:cs="Arial" w:eastAsia="Arial" w:hAnsi="Arial"/>
          <w:sz w:val="20"/>
          <w:szCs w:val="20"/>
          <w:color w:val="auto"/>
        </w:rPr>
      </w:pPr>
      <w:r>
        <w:rPr>
          <w:rFonts w:ascii="Arial" w:cs="Arial" w:eastAsia="Arial" w:hAnsi="Arial"/>
          <w:sz w:val="20"/>
          <w:szCs w:val="20"/>
          <w:color w:val="auto"/>
        </w:rPr>
        <w:t>In the event Participant incurs a Termination as a result of (i) Participant’s death, (ii) Participant’s Disability (as such term is defined in and subject to the applicable provisions set forth in the Employment Agreement), (iii) a Termination by the Service Recipient without Cause (as such term is defined in and subject to the applicable provisions set forth in the Employment Agreement), (iv) a Termination by Participant for Good Reason (as such term is defined in and subject to the applicable provisions set forth in the Employment Agreement), or (v) a voluntary Termination by Participant that follows (x) satisfaction for late, normal or early retirement under the tax-qualified defined contribution plan in which Participant is eligible to participate, as defined in such plan or (y) the date after which Participant has attained the age of sixty-two (62) and completed at least ten (10) years of continuous service with the Company or its Affiliates, then:</w:t>
      </w:r>
    </w:p>
    <w:p>
      <w:pPr>
        <w:spacing w:after="0" w:line="196" w:lineRule="exact"/>
        <w:rPr>
          <w:rFonts w:ascii="Arial" w:cs="Arial" w:eastAsia="Arial" w:hAnsi="Arial"/>
          <w:sz w:val="20"/>
          <w:szCs w:val="20"/>
          <w:color w:val="auto"/>
        </w:rPr>
      </w:pPr>
    </w:p>
    <w:p>
      <w:pPr>
        <w:ind w:firstLine="1628"/>
        <w:spacing w:after="0" w:line="260" w:lineRule="auto"/>
        <w:tabs>
          <w:tab w:leader="none" w:pos="2026" w:val="left"/>
        </w:tabs>
        <w:numPr>
          <w:ilvl w:val="2"/>
          <w:numId w:val="73"/>
        </w:numPr>
        <w:rPr>
          <w:rFonts w:ascii="Arial" w:cs="Arial" w:eastAsia="Arial" w:hAnsi="Arial"/>
          <w:sz w:val="20"/>
          <w:szCs w:val="20"/>
          <w:color w:val="auto"/>
        </w:rPr>
      </w:pPr>
      <w:r>
        <w:rPr>
          <w:rFonts w:ascii="Arial" w:cs="Arial" w:eastAsia="Arial" w:hAnsi="Arial"/>
          <w:sz w:val="20"/>
          <w:szCs w:val="20"/>
          <w:color w:val="auto"/>
        </w:rPr>
        <w:t>if such Termination occurs on or following the completion of the Performance Period, one hundred percent (100%) of the Earned Shares for such Performance Period shall fully vest upon the Vesting Date;</w:t>
      </w:r>
    </w:p>
    <w:p>
      <w:pPr>
        <w:spacing w:after="0" w:line="176" w:lineRule="exact"/>
        <w:rPr>
          <w:rFonts w:ascii="Arial" w:cs="Arial" w:eastAsia="Arial" w:hAnsi="Arial"/>
          <w:sz w:val="20"/>
          <w:szCs w:val="20"/>
          <w:color w:val="auto"/>
        </w:rPr>
      </w:pPr>
    </w:p>
    <w:p>
      <w:pPr>
        <w:jc w:val="both"/>
        <w:ind w:firstLine="1628"/>
        <w:spacing w:after="0" w:line="256" w:lineRule="auto"/>
        <w:tabs>
          <w:tab w:leader="none" w:pos="2105" w:val="left"/>
        </w:tabs>
        <w:numPr>
          <w:ilvl w:val="2"/>
          <w:numId w:val="73"/>
        </w:numPr>
        <w:rPr>
          <w:rFonts w:ascii="Arial" w:cs="Arial" w:eastAsia="Arial" w:hAnsi="Arial"/>
          <w:sz w:val="19"/>
          <w:szCs w:val="19"/>
          <w:color w:val="auto"/>
        </w:rPr>
      </w:pPr>
      <w:r>
        <w:rPr>
          <w:rFonts w:ascii="Arial" w:cs="Arial" w:eastAsia="Arial" w:hAnsi="Arial"/>
          <w:sz w:val="19"/>
          <w:szCs w:val="19"/>
          <w:color w:val="auto"/>
        </w:rPr>
        <w:t>if such Termination occurs prior to the expiration of the Performance Period, the Shares shall remain outstanding through the last day of the Performance Period, without regard to the Termination, the number of Shares which become Earned Shares, if any, shall be determined based on the Vesting Percentage during the Performance Period, and the number of Earned Shares that become vested on the Vesting Date shall be determined by multiplying the number of Earned Shares by a fraction, the numerator of which is the number of days which elapsed from the commencement of the Performance Period through the date of the Termination and the denominator of which is 1,095, and any other unvested Shares (excluding unvested Earned Shares) as of such date shall immediately be forfeited for no consideration, and Participant’s rights in any such unvested Shares (excluding unvested Earned Shares) shall immediately lapse and expire (the “</w:t>
      </w:r>
      <w:r>
        <w:rPr>
          <w:rFonts w:ascii="Arial" w:cs="Arial" w:eastAsia="Arial" w:hAnsi="Arial"/>
          <w:sz w:val="19"/>
          <w:szCs w:val="19"/>
          <w:u w:val="single" w:color="auto"/>
          <w:color w:val="auto"/>
        </w:rPr>
        <w:t>Initial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Termination Shares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such Termination is by the Service Recipient without Cause or by Participant for Good Reason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137" w:name="page138"/>
    <w:bookmarkEnd w:id="137"/>
    <w:p>
      <w:pPr>
        <w:jc w:val="both"/>
        <w:ind w:firstLine="1952"/>
        <w:spacing w:after="0" w:line="259" w:lineRule="auto"/>
        <w:tabs>
          <w:tab w:leader="none" w:pos="2473" w:val="left"/>
        </w:tabs>
        <w:numPr>
          <w:ilvl w:val="1"/>
          <w:numId w:val="74"/>
        </w:numPr>
        <w:rPr>
          <w:rFonts w:ascii="Arial" w:cs="Arial" w:eastAsia="Arial" w:hAnsi="Arial"/>
          <w:sz w:val="19"/>
          <w:szCs w:val="19"/>
          <w:color w:val="auto"/>
        </w:rPr>
      </w:pPr>
      <w:r>
        <w:rPr>
          <w:rFonts w:ascii="Arial" w:cs="Arial" w:eastAsia="Arial" w:hAnsi="Arial"/>
          <w:sz w:val="19"/>
          <w:szCs w:val="19"/>
          <w:color w:val="auto"/>
        </w:rPr>
        <w:t>a Change in Control does not occur prior to the last day of the Performance Period (assuming no Change in Control), (1) if the date of the Termination was not more than 180 days prior to the last day of the Performance Period, the unvested Earned Shares shall remain outstanding through the last day of the 180-day period following the date of the Termination (the “</w:t>
      </w:r>
      <w:r>
        <w:rPr>
          <w:rFonts w:ascii="Arial" w:cs="Arial" w:eastAsia="Arial" w:hAnsi="Arial"/>
          <w:sz w:val="19"/>
          <w:szCs w:val="19"/>
          <w:u w:val="single" w:color="auto"/>
          <w:color w:val="auto"/>
        </w:rPr>
        <w:t>Protected Period</w:t>
      </w:r>
      <w:r>
        <w:rPr>
          <w:rFonts w:ascii="Arial" w:cs="Arial" w:eastAsia="Arial" w:hAnsi="Arial"/>
          <w:sz w:val="19"/>
          <w:szCs w:val="19"/>
          <w:color w:val="auto"/>
        </w:rPr>
        <w:t xml:space="preserve">”), and </w:t>
      </w:r>
      <w:r>
        <w:rPr>
          <w:rFonts w:ascii="Arial" w:cs="Arial" w:eastAsia="Arial" w:hAnsi="Arial"/>
          <w:sz w:val="16"/>
          <w:szCs w:val="16"/>
          <w:color w:val="auto"/>
        </w:rPr>
        <w:t>(2)</w:t>
      </w:r>
      <w:r>
        <w:rPr>
          <w:rFonts w:ascii="Arial" w:cs="Arial" w:eastAsia="Arial" w:hAnsi="Arial"/>
          <w:sz w:val="19"/>
          <w:szCs w:val="19"/>
          <w:color w:val="auto"/>
        </w:rPr>
        <w:t xml:space="preserve"> if a Change in Control occurs after the last day of the Performance Period and during the Protected Period, then in addition to the vesting of the Initial Termination Shares upon such Termination, one hundred percent (100%) of the then-unvested Earned Shares shall fully vest upon the consummation of such Change in Control; and</w:t>
      </w:r>
    </w:p>
    <w:p>
      <w:pPr>
        <w:spacing w:after="0" w:line="178" w:lineRule="exact"/>
        <w:rPr>
          <w:rFonts w:ascii="Arial" w:cs="Arial" w:eastAsia="Arial" w:hAnsi="Arial"/>
          <w:sz w:val="19"/>
          <w:szCs w:val="19"/>
          <w:color w:val="auto"/>
        </w:rPr>
      </w:pPr>
    </w:p>
    <w:p>
      <w:pPr>
        <w:jc w:val="both"/>
        <w:ind w:right="20" w:firstLine="1952"/>
        <w:spacing w:after="0" w:line="385" w:lineRule="auto"/>
        <w:tabs>
          <w:tab w:leader="none" w:pos="245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 Change in Control occurs prior to the last day of the Performance Period (assuming no Change in Control) and during the Protected Period, the number of Shares which become Earned Shares will be determined in accordance with Section 3.2(b)(ii).</w:t>
      </w:r>
    </w:p>
    <w:p>
      <w:pPr>
        <w:spacing w:after="0" w:line="84" w:lineRule="exact"/>
        <w:rPr>
          <w:rFonts w:ascii="Arial" w:cs="Arial" w:eastAsia="Arial" w:hAnsi="Arial"/>
          <w:sz w:val="16"/>
          <w:szCs w:val="16"/>
          <w:color w:val="auto"/>
        </w:rPr>
      </w:pPr>
    </w:p>
    <w:p>
      <w:pPr>
        <w:jc w:val="both"/>
        <w:ind w:firstLine="1304"/>
        <w:spacing w:after="0" w:line="255" w:lineRule="auto"/>
        <w:tabs>
          <w:tab w:leader="none" w:pos="179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Shares shall be released from the Forfeiture Restriction in accordance with the vesting schedule set forth in the Grant Notice. Any of the Shares which, from time to time, have not yet been released from the Forfeiture Restriction are referred to herein as “</w:t>
      </w:r>
      <w:r>
        <w:rPr>
          <w:rFonts w:ascii="Arial" w:cs="Arial" w:eastAsia="Arial" w:hAnsi="Arial"/>
          <w:sz w:val="19"/>
          <w:szCs w:val="19"/>
          <w:u w:val="single" w:color="auto"/>
          <w:color w:val="auto"/>
        </w:rPr>
        <w:t>Unreleased Shares</w:t>
      </w:r>
      <w:r>
        <w:rPr>
          <w:rFonts w:ascii="Arial" w:cs="Arial" w:eastAsia="Arial" w:hAnsi="Arial"/>
          <w:sz w:val="19"/>
          <w:szCs w:val="19"/>
          <w:color w:val="auto"/>
        </w:rPr>
        <w:t>.” In the event any of the Unreleased Shares are released from the Forfeiture Restriction, any Retained Distributions (as defined below) paid on such Unreleased Shares shall be promptly paid by the Company to Participant. As soon as administratively practicable following the release of any Shares from the Forfeiture Restriction, the Company shall, as applicable, either deliver to Participant the certificate or certificates representing such Shares in the Company’s possession belonging to Participant, or, if the Shares are held in book-entry form, then the Company shall remove the notations indicating that the Shares are subject to the restrictions of this Agreement. Participant (or the beneficiary or personal representative of Participant in the event of Participant’s death or incapacity, as the case may be) shall deliver to the Company any representations or other documents or assurances as the Company or its representatives deem necessary or advisable in connection with any such delivery.</w:t>
      </w:r>
    </w:p>
    <w:p>
      <w:pPr>
        <w:spacing w:after="0" w:line="1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u w:val="single" w:color="auto"/>
          <w:color w:val="auto"/>
        </w:rPr>
        <w:t>Escrow</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71" w:lineRule="auto"/>
        <w:tabs>
          <w:tab w:leader="none" w:pos="185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Unreleased Shares shall be held by the Company until such Unreleased Shares are forfeited as provided in Section 3.1, until such Unreleased Shares are fully released from the Forfeiture Restriction as provided in Section 3.2, or until such time as this Agreement is no longer in effect. Participant shall not retain physical custody of any certificates representing Unreleased Shares issued to Participant. Participant, by acceptance of this Agreement, shall be deemed to appoint, and does so appoint, the Company and each of its authorized representatives as Participant’s attorney(s)-in-fact to effect any transfer of forfeited Unreleased Shares (and Retained Distributions, if any, paid on such forfeited Unreleased Shares) to the Company as may be required pursuant to the Plan or this Agreement, and to execute such representations or other documents or assurances as the Company or such representatives deem necessary or advisable in connection with any such transfer. To the extent allowable by applicable law and the applicable rules of each national securities exchange on which the Stock is listed, the Company, or its designee, shall not be liable for any act it may do or omit to do with respect to holding the Shares in escrow and while acting in good faith and in the exercise of its judgment.</w:t>
      </w:r>
    </w:p>
    <w:p>
      <w:pPr>
        <w:spacing w:after="0" w:line="173" w:lineRule="exact"/>
        <w:rPr>
          <w:rFonts w:ascii="Arial" w:cs="Arial" w:eastAsia="Arial" w:hAnsi="Arial"/>
          <w:sz w:val="18"/>
          <w:szCs w:val="18"/>
          <w:color w:val="auto"/>
        </w:rPr>
      </w:pPr>
    </w:p>
    <w:p>
      <w:pPr>
        <w:jc w:val="both"/>
        <w:ind w:firstLine="1304"/>
        <w:spacing w:after="0" w:line="244" w:lineRule="auto"/>
        <w:tabs>
          <w:tab w:leader="none" w:pos="1829"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Company will retain custody of all cash dividends and other distributions (“</w:t>
      </w:r>
      <w:r>
        <w:rPr>
          <w:rFonts w:ascii="Arial" w:cs="Arial" w:eastAsia="Arial" w:hAnsi="Arial"/>
          <w:sz w:val="20"/>
          <w:szCs w:val="20"/>
          <w:u w:val="single" w:color="auto"/>
          <w:color w:val="auto"/>
        </w:rPr>
        <w:t>Retained Distributions</w:t>
      </w:r>
      <w:r>
        <w:rPr>
          <w:rFonts w:ascii="Arial" w:cs="Arial" w:eastAsia="Arial" w:hAnsi="Arial"/>
          <w:sz w:val="20"/>
          <w:szCs w:val="20"/>
          <w:color w:val="auto"/>
        </w:rPr>
        <w:t>”) made or declared with respect to Unreleased Shares (and such Retained Distributions will be subject to the Forfeiture Restriction and the other terms and conditions under this Agreement that are applicable to the Shares) until such time, if ever, as the Unreleased Shares with respect to which such Retained Distributions shall have been made, paid or declared shall have become vested pursuant to the Grant Notice. Retained Distributions that were made or declared in cash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138" w:name="page139"/>
    <w:bookmarkEnd w:id="138"/>
    <w:p>
      <w:pPr>
        <w:jc w:val="both"/>
        <w:spacing w:after="0" w:line="278" w:lineRule="auto"/>
        <w:rPr>
          <w:sz w:val="20"/>
          <w:szCs w:val="20"/>
          <w:color w:val="auto"/>
        </w:rPr>
      </w:pPr>
      <w:r>
        <w:rPr>
          <w:rFonts w:ascii="Arial" w:cs="Arial" w:eastAsia="Arial" w:hAnsi="Arial"/>
          <w:sz w:val="18"/>
          <w:szCs w:val="18"/>
          <w:color w:val="auto"/>
        </w:rPr>
        <w:t>deemed reinvested in notional shares of Stock such that upon release and distribution of such Retained Distributions to Participant as set forth in the immediately preceding sentence, Participant shall be entitled to receive on the date of such distribution or release an amount of cash or the number of whole shares of Stock or a combination thereof, as determined by the Committee, the aggregate fair value of which shall be equal to the Fair Market Value of the notional shares of Stock to which such released Retained Distributions relate. Any Retained Distributions with respect to Unreleased Shares shall be forfeited in the event such Unreleased Shares are forfeited.</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Rights as Stockholder</w:t>
      </w:r>
      <w:r>
        <w:rPr>
          <w:rFonts w:ascii="Arial" w:cs="Arial" w:eastAsia="Arial" w:hAnsi="Arial"/>
          <w:sz w:val="20"/>
          <w:szCs w:val="20"/>
          <w:color w:val="auto"/>
        </w:rPr>
        <w:t>. Except as otherwise provided herein, upon issuance of the Shares by the Company, Participant shall have all the rights of a stockholder with respect to said Shares, subject to the restrictions herein, including the right to vote the Shares and to receive all dividends or other distributions paid or made with respect to the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TAXATION AND TAX WITHHOLDING</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Representation</w:t>
      </w:r>
      <w:r>
        <w:rPr>
          <w:rFonts w:ascii="Arial" w:cs="Arial" w:eastAsia="Arial" w:hAnsi="Arial"/>
          <w:sz w:val="18"/>
          <w:szCs w:val="18"/>
          <w:color w:val="auto"/>
        </w:rPr>
        <w:t>. Participant represents to the Company that Participant has reviewed with his or her own tax advisors the federal, state, local and foreign tax consequences of this investment and the transactions contemplated by this Agreement. Participant is relying solely on such advisors and not on any statements or representations of the Company or any of its agents. Participant is ultimately liable and responsible for all taxes owed in connection with this investment and the transactions contemplated by this Agreement, regardless of any action the Company or any of its Affiliates take with respect to any tax withholding obligations that arise in connection with the Shares. Neither the Company nor any of its Affiliates make any representation or undertaking regarding the treatment of any tax withholding in connection with the Shares or Participant’s sale of shares of Stock. The Company and its Affiliates do not commit and are under no obligation to structure this investment or the transactions contemplated by this Agreement to reduce or eliminate Participant’s tax liability.</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Section 83(b) Election</w:t>
      </w:r>
      <w:r>
        <w:rPr>
          <w:rFonts w:ascii="Arial" w:cs="Arial" w:eastAsia="Arial" w:hAnsi="Arial"/>
          <w:sz w:val="20"/>
          <w:szCs w:val="20"/>
          <w:color w:val="auto"/>
        </w:rPr>
        <w:t>. If Participant makes an election under Section 83(b) of the U.S. Internal Revenue Code of 1986, as amended (the “</w:t>
      </w:r>
      <w:r>
        <w:rPr>
          <w:rFonts w:ascii="Arial" w:cs="Arial" w:eastAsia="Arial" w:hAnsi="Arial"/>
          <w:sz w:val="20"/>
          <w:szCs w:val="20"/>
          <w:u w:val="single" w:color="auto"/>
          <w:color w:val="auto"/>
        </w:rPr>
        <w:t>Code</w:t>
      </w:r>
      <w:r>
        <w:rPr>
          <w:rFonts w:ascii="Arial" w:cs="Arial" w:eastAsia="Arial" w:hAnsi="Arial"/>
          <w:sz w:val="20"/>
          <w:szCs w:val="20"/>
          <w:color w:val="auto"/>
        </w:rPr>
        <w:t>”), to be taxed with respect to the Shares as of the date of transfer of the Shares rather than as of the date or dates upon which Participant would otherwise be taxable under Section 83(a) of the Code, Participant shall deliver a copy of such election to the Company promptly upon filing such election with the Internal Revenue Service.</w:t>
      </w:r>
    </w:p>
    <w:p>
      <w:pPr>
        <w:spacing w:after="0" w:line="19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16" w:lineRule="exact"/>
        <w:rPr>
          <w:sz w:val="20"/>
          <w:szCs w:val="20"/>
          <w:color w:val="auto"/>
        </w:rPr>
      </w:pPr>
    </w:p>
    <w:p>
      <w:pPr>
        <w:jc w:val="both"/>
        <w:ind w:firstLine="1304"/>
        <w:spacing w:after="0" w:line="282" w:lineRule="auto"/>
        <w:tabs>
          <w:tab w:leader="none" w:pos="171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and its Affiliates have the authority to deduct or withhold, or require Participant to remit to the Company or the applicable Affiliate, an amount sufficient to satisfy applicable federal, state, local and foreign taxes (including the employee portion of any FICA obligation) required by law to be withheld with respect to any taxable event arising pursuant to this Agreement. The Company and its Affiliates may withhold or Participant may make such payment in one or more of the forms specified below:</w:t>
      </w:r>
    </w:p>
    <w:p>
      <w:pPr>
        <w:spacing w:after="0" w:line="161" w:lineRule="exact"/>
        <w:rPr>
          <w:rFonts w:ascii="Arial" w:cs="Arial" w:eastAsia="Arial" w:hAnsi="Arial"/>
          <w:sz w:val="18"/>
          <w:szCs w:val="18"/>
          <w:color w:val="auto"/>
        </w:rPr>
      </w:pPr>
    </w:p>
    <w:p>
      <w:pPr>
        <w:ind w:left="2340" w:hanging="388"/>
        <w:spacing w:after="0"/>
        <w:tabs>
          <w:tab w:leader="none" w:pos="23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by cash or check made payable to the Company or its Affiliate with respect to which the withholding obligation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arises;</w:t>
      </w:r>
    </w:p>
    <w:p>
      <w:pPr>
        <w:spacing w:after="0" w:line="199" w:lineRule="exact"/>
        <w:rPr>
          <w:rFonts w:ascii="Arial" w:cs="Arial" w:eastAsia="Arial" w:hAnsi="Arial"/>
          <w:sz w:val="18"/>
          <w:szCs w:val="18"/>
          <w:color w:val="auto"/>
        </w:rPr>
      </w:pPr>
    </w:p>
    <w:p>
      <w:pPr>
        <w:ind w:left="2400" w:hanging="448"/>
        <w:spacing w:after="0"/>
        <w:tabs>
          <w:tab w:leader="none" w:pos="2400" w:val="left"/>
        </w:tabs>
        <w:numPr>
          <w:ilvl w:val="1"/>
          <w:numId w:val="77"/>
        </w:numPr>
        <w:rPr>
          <w:rFonts w:ascii="Arial" w:cs="Arial" w:eastAsia="Arial" w:hAnsi="Arial"/>
          <w:sz w:val="20"/>
          <w:szCs w:val="20"/>
          <w:color w:val="auto"/>
        </w:rPr>
      </w:pPr>
      <w:r>
        <w:rPr>
          <w:rFonts w:ascii="Arial" w:cs="Arial" w:eastAsia="Arial" w:hAnsi="Arial"/>
          <w:sz w:val="20"/>
          <w:szCs w:val="20"/>
          <w:color w:val="auto"/>
        </w:rPr>
        <w:t>by the deduction of such amount from other compensation payable to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139" w:name="page140"/>
    <w:bookmarkEnd w:id="139"/>
    <w:p>
      <w:pPr>
        <w:jc w:val="both"/>
        <w:ind w:firstLine="1952"/>
        <w:spacing w:after="0" w:line="263" w:lineRule="auto"/>
        <w:tabs>
          <w:tab w:leader="none" w:pos="2458" w:val="left"/>
        </w:tabs>
        <w:numPr>
          <w:ilvl w:val="2"/>
          <w:numId w:val="78"/>
        </w:numPr>
        <w:rPr>
          <w:rFonts w:ascii="Arial" w:cs="Arial" w:eastAsia="Arial" w:hAnsi="Arial"/>
          <w:sz w:val="19"/>
          <w:szCs w:val="19"/>
          <w:color w:val="auto"/>
        </w:rPr>
      </w:pPr>
      <w:r>
        <w:rPr>
          <w:rFonts w:ascii="Arial" w:cs="Arial" w:eastAsia="Arial" w:hAnsi="Arial"/>
          <w:sz w:val="19"/>
          <w:szCs w:val="19"/>
          <w:color w:val="auto"/>
        </w:rPr>
        <w:t>with respect to any withholding taxes arising in connection with the vesting of the Shares, with the consent of the Committee, by requesting that the Company and its Affiliates withhold a net number of vested Shares having a then current Fair Market Value not exceeding the amount necessary to satisfy the withholding obligation of the Company and its Affiliates based on the minimum applicable statutory withholding rates for federal, state, local and foreign income tax and payroll tax purposes;</w:t>
      </w:r>
    </w:p>
    <w:p>
      <w:pPr>
        <w:spacing w:after="0" w:line="176" w:lineRule="exact"/>
        <w:rPr>
          <w:rFonts w:ascii="Arial" w:cs="Arial" w:eastAsia="Arial" w:hAnsi="Arial"/>
          <w:sz w:val="19"/>
          <w:szCs w:val="19"/>
          <w:color w:val="auto"/>
        </w:rPr>
      </w:pPr>
    </w:p>
    <w:p>
      <w:pPr>
        <w:jc w:val="both"/>
        <w:ind w:firstLine="1952"/>
        <w:spacing w:after="0" w:line="246" w:lineRule="auto"/>
        <w:tabs>
          <w:tab w:leader="none" w:pos="2450" w:val="left"/>
        </w:tabs>
        <w:numPr>
          <w:ilvl w:val="2"/>
          <w:numId w:val="78"/>
        </w:numPr>
        <w:rPr>
          <w:rFonts w:ascii="Arial" w:cs="Arial" w:eastAsia="Arial" w:hAnsi="Arial"/>
          <w:sz w:val="20"/>
          <w:szCs w:val="20"/>
          <w:color w:val="auto"/>
        </w:rPr>
      </w:pPr>
      <w:r>
        <w:rPr>
          <w:rFonts w:ascii="Arial" w:cs="Arial" w:eastAsia="Arial" w:hAnsi="Arial"/>
          <w:sz w:val="20"/>
          <w:szCs w:val="20"/>
          <w:color w:val="auto"/>
        </w:rPr>
        <w:t>with respect to any withholding taxes arising in connection with the vesting of the Shares, with the consent of the Committee, by tendering to the Company vested shares of Stock having a then current Fair Market Value not exceeding the amount necessary to satisfy the withholding obligation of the Company and its Affiliates based on the minimum applicable statutory withholding rates for federal, state, local and foreign income tax and payroll tax purposes;</w:t>
      </w:r>
    </w:p>
    <w:p>
      <w:pPr>
        <w:spacing w:after="0" w:line="191" w:lineRule="exact"/>
        <w:rPr>
          <w:rFonts w:ascii="Arial" w:cs="Arial" w:eastAsia="Arial" w:hAnsi="Arial"/>
          <w:sz w:val="20"/>
          <w:szCs w:val="20"/>
          <w:color w:val="auto"/>
        </w:rPr>
      </w:pPr>
    </w:p>
    <w:p>
      <w:pPr>
        <w:jc w:val="both"/>
        <w:ind w:firstLine="1952"/>
        <w:spacing w:after="0" w:line="243" w:lineRule="auto"/>
        <w:tabs>
          <w:tab w:leader="none" w:pos="2388" w:val="left"/>
        </w:tabs>
        <w:numPr>
          <w:ilvl w:val="2"/>
          <w:numId w:val="78"/>
        </w:numPr>
        <w:rPr>
          <w:rFonts w:ascii="Arial" w:cs="Arial" w:eastAsia="Arial" w:hAnsi="Arial"/>
          <w:sz w:val="20"/>
          <w:szCs w:val="20"/>
          <w:color w:val="auto"/>
        </w:rPr>
      </w:pPr>
      <w:r>
        <w:rPr>
          <w:rFonts w:ascii="Arial" w:cs="Arial" w:eastAsia="Arial" w:hAnsi="Arial"/>
          <w:sz w:val="20"/>
          <w:szCs w:val="20"/>
          <w:color w:val="auto"/>
        </w:rPr>
        <w:t xml:space="preserve">with respect to any withholding taxes arising in connection with the vesting of the Shares, through the delivery of a notice that Participant has placed a market sell order with a broker acceptable to the Company with respect to those Shares that are then becoming vested and that the broker has been directed to pay a sufficient portion of the net proceeds of the sale to the Company or the Affiliate with respect to which the withholding obligation arises in satisfaction of such withholding taxes;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payment of such proceeds is then made to the Company or the applicable Affiliate at such time as may be required by the Committee, but in any event not later than the settlement of such sale; or</w:t>
      </w:r>
    </w:p>
    <w:p>
      <w:pPr>
        <w:spacing w:after="0" w:line="195" w:lineRule="exact"/>
        <w:rPr>
          <w:rFonts w:ascii="Arial" w:cs="Arial" w:eastAsia="Arial" w:hAnsi="Arial"/>
          <w:sz w:val="20"/>
          <w:szCs w:val="20"/>
          <w:color w:val="auto"/>
        </w:rPr>
      </w:pPr>
    </w:p>
    <w:p>
      <w:pPr>
        <w:ind w:left="2440" w:hanging="488"/>
        <w:spacing w:after="0"/>
        <w:tabs>
          <w:tab w:leader="none" w:pos="2440" w:val="left"/>
        </w:tabs>
        <w:numPr>
          <w:ilvl w:val="2"/>
          <w:numId w:val="78"/>
        </w:numPr>
        <w:rPr>
          <w:rFonts w:ascii="Arial" w:cs="Arial" w:eastAsia="Arial" w:hAnsi="Arial"/>
          <w:sz w:val="20"/>
          <w:szCs w:val="20"/>
          <w:color w:val="auto"/>
        </w:rPr>
      </w:pPr>
      <w:r>
        <w:rPr>
          <w:rFonts w:ascii="Arial" w:cs="Arial" w:eastAsia="Arial" w:hAnsi="Arial"/>
          <w:sz w:val="20"/>
          <w:szCs w:val="20"/>
          <w:color w:val="auto"/>
        </w:rPr>
        <w:t>in any combination of the foregoing.</w:t>
      </w:r>
    </w:p>
    <w:p>
      <w:pPr>
        <w:spacing w:after="0" w:line="215" w:lineRule="exact"/>
        <w:rPr>
          <w:rFonts w:ascii="Arial" w:cs="Arial" w:eastAsia="Arial" w:hAnsi="Arial"/>
          <w:sz w:val="20"/>
          <w:szCs w:val="20"/>
          <w:color w:val="auto"/>
        </w:rPr>
      </w:pPr>
    </w:p>
    <w:p>
      <w:pPr>
        <w:jc w:val="both"/>
        <w:ind w:firstLine="1304"/>
        <w:spacing w:after="0" w:line="272" w:lineRule="auto"/>
        <w:tabs>
          <w:tab w:leader="none" w:pos="1785" w:val="left"/>
        </w:tabs>
        <w:numPr>
          <w:ilvl w:val="1"/>
          <w:numId w:val="79"/>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Shares, in the event Participant fails to provide timely payment of all sums required pursuant to Section 4.3(a), the Company shall have the right and option, but not the obligation, to treat such failure as an election by Participant to satisfy all or any portion of Participant’s required payment obligation pursuant to Section 4.3(a)</w:t>
      </w:r>
    </w:p>
    <w:p>
      <w:pPr>
        <w:jc w:val="both"/>
        <w:ind w:firstLine="8"/>
        <w:spacing w:after="0" w:line="281" w:lineRule="auto"/>
        <w:tabs>
          <w:tab w:leader="none" w:pos="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or Section 4.3(a)(iii) above, or any combination of the foregoing as the Company may determine to be appropriate;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a taxable event occurs in connection with the shares of a successor entity following a Change in Control, then Participant shall have the right to elect to satisfy applicable withholding taxes in accordance with the cashless method described in Section 4.3(a)(iii) above.</w:t>
      </w:r>
    </w:p>
    <w:p>
      <w:pPr>
        <w:spacing w:after="0" w:line="161" w:lineRule="exact"/>
        <w:rPr>
          <w:rFonts w:ascii="Arial" w:cs="Arial" w:eastAsia="Arial" w:hAnsi="Arial"/>
          <w:sz w:val="18"/>
          <w:szCs w:val="18"/>
          <w:color w:val="auto"/>
        </w:rPr>
      </w:pPr>
    </w:p>
    <w:p>
      <w:pPr>
        <w:jc w:val="both"/>
        <w:ind w:firstLine="1304"/>
        <w:spacing w:after="0" w:line="246" w:lineRule="auto"/>
        <w:tabs>
          <w:tab w:leader="none" w:pos="1747" w:val="left"/>
        </w:tabs>
        <w:numPr>
          <w:ilvl w:val="1"/>
          <w:numId w:val="80"/>
        </w:numPr>
        <w:rPr>
          <w:rFonts w:ascii="Arial" w:cs="Arial" w:eastAsia="Arial" w:hAnsi="Arial"/>
          <w:sz w:val="20"/>
          <w:szCs w:val="20"/>
          <w:color w:val="auto"/>
        </w:rPr>
      </w:pPr>
      <w:r>
        <w:rPr>
          <w:rFonts w:ascii="Arial" w:cs="Arial" w:eastAsia="Arial" w:hAnsi="Arial"/>
          <w:sz w:val="20"/>
          <w:szCs w:val="20"/>
          <w:color w:val="auto"/>
        </w:rPr>
        <w:t>The Company shall not be obligated to deliver any certificate representing the Shares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of the Shares or any other taxable event related to the Shares.</w:t>
      </w:r>
    </w:p>
    <w:p>
      <w:pPr>
        <w:spacing w:after="0" w:line="191" w:lineRule="exact"/>
        <w:rPr>
          <w:rFonts w:ascii="Arial" w:cs="Arial" w:eastAsia="Arial" w:hAnsi="Arial"/>
          <w:sz w:val="20"/>
          <w:szCs w:val="20"/>
          <w:color w:val="auto"/>
        </w:rPr>
      </w:pPr>
    </w:p>
    <w:p>
      <w:pPr>
        <w:jc w:val="both"/>
        <w:ind w:firstLine="1304"/>
        <w:spacing w:after="0" w:line="274" w:lineRule="auto"/>
        <w:tabs>
          <w:tab w:leader="none" w:pos="1752"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the event any tax withholding obligation arising in connection with the Shares will be satisfied under Section 4.3(a) (iii), then the Company may elect to instruct any brokerage firm determined acceptable to the Company for such purpose to sell on Participant’s behalf a whole number of shares of Stock from those Shares that are then becoming vested as the Company determines to be appropriate to generate cash proceeds sufficient to satisfy the tax withholding obligation and to remit the proceeds of such sale to the Company or the Affiliate with respect to which the withholding obligation arises. Participant’s acceptance of this Agreement constitutes Participant’s instruction and authorization to the Company and such brokerage firm to complete the transactions described in this Section 4.3(d), including the transactions described in the previous sentence, as applicable. The Company may refuse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140" w:name="page141"/>
    <w:bookmarkEnd w:id="140"/>
    <w:p>
      <w:pPr>
        <w:spacing w:after="0" w:line="260" w:lineRule="auto"/>
        <w:rPr>
          <w:sz w:val="20"/>
          <w:szCs w:val="20"/>
          <w:color w:val="auto"/>
        </w:rPr>
      </w:pPr>
      <w:r>
        <w:rPr>
          <w:rFonts w:ascii="Arial" w:cs="Arial" w:eastAsia="Arial" w:hAnsi="Arial"/>
          <w:sz w:val="20"/>
          <w:szCs w:val="20"/>
          <w:color w:val="auto"/>
        </w:rPr>
        <w:t>deliver any certificate representing the Shares to Participant or his or her legal representative until the foregoing tax withholding obligations are satisfied.</w:t>
      </w:r>
    </w:p>
    <w:p>
      <w:pPr>
        <w:spacing w:after="0" w:line="177" w:lineRule="exact"/>
        <w:rPr>
          <w:sz w:val="20"/>
          <w:szCs w:val="20"/>
          <w:color w:val="auto"/>
        </w:rPr>
      </w:pPr>
    </w:p>
    <w:p>
      <w:pPr>
        <w:jc w:val="both"/>
        <w:ind w:firstLine="1304"/>
        <w:spacing w:after="0" w:line="260" w:lineRule="auto"/>
        <w:tabs>
          <w:tab w:leader="none" w:pos="1716" w:val="left"/>
        </w:tabs>
        <w:numPr>
          <w:ilvl w:val="0"/>
          <w:numId w:val="81"/>
        </w:numPr>
        <w:rPr>
          <w:rFonts w:ascii="Arial" w:cs="Arial" w:eastAsia="Arial" w:hAnsi="Arial"/>
          <w:sz w:val="19"/>
          <w:szCs w:val="19"/>
          <w:color w:val="auto"/>
        </w:rPr>
      </w:pPr>
      <w:r>
        <w:rPr>
          <w:rFonts w:ascii="Arial" w:cs="Arial" w:eastAsia="Arial" w:hAnsi="Arial"/>
          <w:sz w:val="19"/>
          <w:szCs w:val="19"/>
          <w:color w:val="auto"/>
        </w:rPr>
        <w:t>Participant is ultimately liable and responsible for all taxes owed in connection with the Shares, regardless of any action the Company or any of its Affiliates takes with respect to any tax withholding obligations that arise in connection with the Shares. Neither the Company nor any of its Affiliates make any representation or undertaking regarding the treatment of any tax withholding in connection with the awarding, vesting or payment of the Shares or the subsequent sale of the Shares. The Company and its Affiliates do not commit and are under no obligation to structure this Agreement to reduce or eliminate Participant’s tax liability.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RESTRICTIVE LEGENDS AND STOP-TRANSFER ORDERS</w:t>
      </w:r>
    </w:p>
    <w:p>
      <w:pPr>
        <w:spacing w:after="0" w:line="19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Legends</w:t>
      </w:r>
      <w:r>
        <w:rPr>
          <w:rFonts w:ascii="Arial" w:cs="Arial" w:eastAsia="Arial" w:hAnsi="Arial"/>
          <w:sz w:val="20"/>
          <w:szCs w:val="20"/>
          <w:color w:val="auto"/>
        </w:rPr>
        <w:t>. The certificate or certificates representing the Shares, if any, shall bear the following legend (as well as any legends required by the Company’s charter and applicable law):</w:t>
      </w:r>
    </w:p>
    <w:p>
      <w:pPr>
        <w:spacing w:after="0" w:line="177" w:lineRule="exact"/>
        <w:rPr>
          <w:sz w:val="20"/>
          <w:szCs w:val="20"/>
          <w:color w:val="auto"/>
        </w:rPr>
      </w:pPr>
    </w:p>
    <w:p>
      <w:pPr>
        <w:jc w:val="both"/>
        <w:ind w:left="1300" w:right="1300"/>
        <w:spacing w:after="0" w:line="263" w:lineRule="auto"/>
        <w:rPr>
          <w:sz w:val="20"/>
          <w:szCs w:val="20"/>
          <w:color w:val="auto"/>
        </w:rPr>
      </w:pPr>
      <w:r>
        <w:rPr>
          <w:rFonts w:ascii="Arial" w:cs="Arial" w:eastAsia="Arial" w:hAnsi="Arial"/>
          <w:sz w:val="19"/>
          <w:szCs w:val="19"/>
          <w:color w:val="auto"/>
        </w:rPr>
        <w:t>THE SHARES REPRESENTED BY THIS CERTIFICATE ARE SUBJECT TO FORFEITURE IN FAVOR OF THE COMPANY AND MAY BE TRANSFERRED ONLY IN ACCORDANCE WITH THE TERMS OF A RESTRICTED STOCK AGREEMENT BETWEEN THE COMPANY AND THE STOCKHOLDER, A COPY OF WHICH IS ON FILE WITH THE SECRETARY OF THE COMPANY.</w:t>
      </w:r>
    </w:p>
    <w:p>
      <w:pPr>
        <w:spacing w:after="0" w:line="17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Refusal to Transfer; Stop-Transfer Notices</w:t>
      </w:r>
      <w:r>
        <w:rPr>
          <w:rFonts w:ascii="Arial" w:cs="Arial" w:eastAsia="Arial" w:hAnsi="Arial"/>
          <w:sz w:val="20"/>
          <w:szCs w:val="20"/>
          <w:color w:val="auto"/>
        </w:rPr>
        <w:t>. The Company shall not be required (a) to transfer on its books any Shares that have been sold or otherwise transferred in violation of any of the provisions of this Agreement or (b) to treat as owner of such Shares or to accord the right to vote or pay dividends to any purchaser or other transferee to whom such Shares shall have been so transferred.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9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Removal of Legend</w:t>
      </w:r>
      <w:r>
        <w:rPr>
          <w:rFonts w:ascii="Arial" w:cs="Arial" w:eastAsia="Arial" w:hAnsi="Arial"/>
          <w:sz w:val="20"/>
          <w:szCs w:val="20"/>
          <w:color w:val="auto"/>
        </w:rPr>
        <w:t>. After such time as the Forfeiture Restriction shall have lapsed with respect to the Shares, and upon Participant’s request, a new certificate or certificates representing such Shares shall be issued without the legend referred to in Section 5.1 and delivered to Participant. If the Shares are held in book entry form, the Company shall cause any restrictions noted on the book form to be removed.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Administration</w:t>
      </w:r>
      <w:r>
        <w:rPr>
          <w:rFonts w:ascii="Arial" w:cs="Arial" w:eastAsia="Arial" w:hAnsi="Arial"/>
          <w:sz w:val="20"/>
          <w:szCs w:val="20"/>
          <w:color w:val="auto"/>
        </w:rPr>
        <w:t>. The Committee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Committee will be final, binding, and conclusive upon Participant, the Company and all other interested persons. To the extent allowable pursuant to applicable law, no member of the Committee or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will be personally liable for any action, determination or interpretation made with respect to the Plan, the Grant Notice or this Agreement.</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Shares Not Transferable</w:t>
      </w:r>
      <w:r>
        <w:rPr>
          <w:rFonts w:ascii="Arial" w:cs="Arial" w:eastAsia="Arial" w:hAnsi="Arial"/>
          <w:sz w:val="19"/>
          <w:szCs w:val="19"/>
          <w:color w:val="auto"/>
        </w:rPr>
        <w:t>. The Shares and Retained Distributions may not be sold, pledged, assigned or transferred in any manner unless and until the Forfeiture Restrictions have lapsed. No Unreleased Shares or Retained Distributions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Adjustments</w:t>
      </w:r>
      <w:r>
        <w:rPr>
          <w:rFonts w:ascii="Arial" w:cs="Arial" w:eastAsia="Arial" w:hAnsi="Arial"/>
          <w:sz w:val="20"/>
          <w:szCs w:val="20"/>
          <w:color w:val="auto"/>
        </w:rPr>
        <w:t>. The Committee may accelerate the vesting of all or a portion of the Unreleased Shares in such circumstances as it, in its sole discretion, may determine. Participant acknowledges that the Shares are subject to adjustment, modification and termination in certain events as provided in this Agreement and Section 11 of the Plan.</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6.4,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internal laws of Bermuda without reference to the principles of conflicts of laws thereof.</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Conformity to Securities Laws</w:t>
      </w:r>
      <w:r>
        <w:rPr>
          <w:rFonts w:ascii="Arial" w:cs="Arial" w:eastAsia="Arial" w:hAnsi="Arial"/>
          <w:sz w:val="19"/>
          <w:szCs w:val="19"/>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Shares are granted, only in such a manner as to conform to applicable law. To the extent permitted by applicable law, the Plan and this Agreement shall be deemed amended to the extent necessary to conform to applicable law.</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6.8 </w:t>
      </w:r>
      <w:r>
        <w:rPr>
          <w:rFonts w:ascii="Arial" w:cs="Arial" w:eastAsia="Arial" w:hAnsi="Arial"/>
          <w:sz w:val="19"/>
          <w:szCs w:val="19"/>
          <w:u w:val="single" w:color="auto"/>
          <w:color w:val="auto"/>
        </w:rPr>
        <w:t>Amendment, Suspension and Termination</w:t>
      </w:r>
      <w:r>
        <w:rPr>
          <w:rFonts w:ascii="Arial" w:cs="Arial" w:eastAsia="Arial" w:hAnsi="Arial"/>
          <w:sz w:val="19"/>
          <w:szCs w:val="19"/>
          <w:color w:val="auto"/>
        </w:rPr>
        <w:t>. To the extent permitted by the Plan, this Agreement may be wholly or partially amended or otherwise modified, suspended or terminated at any time or from time to time by the Committee or the Board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may otherwise be provided by the Plan, no amendment, modification, suspension or termination of this Agreement shall adversely affect the Shares in any material way without the prior written consent of Participant.</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6.9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 Section 6.2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142" w:name="page143"/>
    <w:bookmarkEnd w:id="142"/>
    <w:p>
      <w:pPr>
        <w:jc w:val="both"/>
        <w:spacing w:after="0" w:line="260" w:lineRule="auto"/>
        <w:rPr>
          <w:sz w:val="20"/>
          <w:szCs w:val="20"/>
          <w:color w:val="auto"/>
        </w:rPr>
      </w:pPr>
      <w:r>
        <w:rPr>
          <w:rFonts w:ascii="Arial" w:cs="Arial" w:eastAsia="Arial" w:hAnsi="Arial"/>
          <w:sz w:val="20"/>
          <w:szCs w:val="20"/>
          <w:color w:val="auto"/>
        </w:rPr>
        <w:t>this Agreement shall be binding upon and inure to the benefit of the heirs, legatees, legal representatives, successors and assigns of the parties hereto.</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Participant is subject to Section 16 of the Exchange Act, the Plan, the Shares,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6.11 </w:t>
      </w:r>
      <w:r>
        <w:rPr>
          <w:rFonts w:ascii="Arial" w:cs="Arial" w:eastAsia="Arial" w:hAnsi="Arial"/>
          <w:sz w:val="20"/>
          <w:szCs w:val="20"/>
          <w:u w:val="single" w:color="auto"/>
          <w:color w:val="auto"/>
        </w:rPr>
        <w:t>Not a Contract of Employment</w:t>
      </w:r>
      <w:r>
        <w:rPr>
          <w:rFonts w:ascii="Arial" w:cs="Arial" w:eastAsia="Arial" w:hAnsi="Arial"/>
          <w:sz w:val="20"/>
          <w:szCs w:val="20"/>
          <w:color w:val="auto"/>
        </w:rPr>
        <w:t>. Nothing in this Agreement or in the Plan shall confer upon Participant any right to continue to serve as an employee or other service provider of the Company or any of its Affiliates or shall interfere with or restrict in any way the rights of the Company or its Affiliates, which rights are hereby expressly reserved, to discharge or terminate the services of Participant at any time for any reason whatsoever, with or without cause, except to the extent expressly provided otherwise in a written agreement between the Company or one of its Affiliates and Participant.</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6.12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Sections 409A and 457A</w:t>
      </w:r>
      <w:r>
        <w:rPr>
          <w:rFonts w:ascii="Arial" w:cs="Arial" w:eastAsia="Arial" w:hAnsi="Arial"/>
          <w:sz w:val="18"/>
          <w:szCs w:val="18"/>
          <w:color w:val="auto"/>
        </w:rPr>
        <w:t>. This Agreement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8"/>
          <w:szCs w:val="18"/>
          <w:u w:val="single" w:color="auto"/>
          <w:color w:val="auto"/>
        </w:rPr>
        <w:t>Section 409A</w:t>
      </w:r>
      <w:r>
        <w:rPr>
          <w:rFonts w:ascii="Arial" w:cs="Arial" w:eastAsia="Arial" w:hAnsi="Arial"/>
          <w:sz w:val="18"/>
          <w:szCs w:val="18"/>
          <w:color w:val="auto"/>
        </w:rPr>
        <w:t>”). However, notwithstanding any other provision of the Plan, the Grant Notice or this Agreement, if at any time the Committee determines that this Agreement (or any portion thereof) may be subject to Section 409A or Section 457A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8"/>
          <w:szCs w:val="18"/>
          <w:u w:val="single" w:color="auto"/>
          <w:color w:val="auto"/>
        </w:rPr>
        <w:t>Section 457A</w:t>
      </w:r>
      <w:r>
        <w:rPr>
          <w:rFonts w:ascii="Arial" w:cs="Arial" w:eastAsia="Arial" w:hAnsi="Arial"/>
          <w:sz w:val="18"/>
          <w:szCs w:val="18"/>
          <w:color w:val="auto"/>
        </w:rPr>
        <w:t>”), the Committee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Committee determines are necessary or appropriate for this Agreement and the award of Shares either to be exempt from the application of Section 409A or Section 457A or to comply with the requirements of Section 409A or Section 457A.</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6.14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Limitation on Participant’s Rights</w:t>
      </w:r>
      <w:r>
        <w:rPr>
          <w:rFonts w:ascii="Arial" w:cs="Arial" w:eastAsia="Arial" w:hAnsi="Arial"/>
          <w:sz w:val="18"/>
          <w:szCs w:val="18"/>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143" w:name="page144"/>
    <w:bookmarkEnd w:id="143"/>
    <w:p>
      <w:pPr>
        <w:jc w:val="both"/>
        <w:ind w:firstLine="648"/>
        <w:spacing w:after="0" w:line="316"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6.17 </w:t>
      </w:r>
      <w:r>
        <w:rPr>
          <w:rFonts w:ascii="Arial" w:cs="Arial" w:eastAsia="Arial" w:hAnsi="Arial"/>
          <w:sz w:val="19"/>
          <w:szCs w:val="19"/>
          <w:u w:val="single" w:color="auto"/>
          <w:color w:val="auto"/>
        </w:rPr>
        <w:t>Broker-Assisted Sales</w:t>
      </w:r>
      <w:r>
        <w:rPr>
          <w:rFonts w:ascii="Arial" w:cs="Arial" w:eastAsia="Arial" w:hAnsi="Arial"/>
          <w:sz w:val="19"/>
          <w:szCs w:val="19"/>
          <w:color w:val="auto"/>
        </w:rPr>
        <w:t>. In the event of any broker-assisted sale of shares of Stock in connection with the payment of withholding taxes as provided in Section 4.3(a)(iii) or Section 4.3(a)(v): (A) any shares of Stock to be sold through a broker-assisted sale will be sold on the day the tax withholding obligation arises or as soon thereafter as practicable; (B) such shares of Stock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Affiliate with respect to which the withholding obligation arises an amount in cash sufficient to satisfy any remaining portion of the Company’s or the applicable Affiliate’s withholding obligation.</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6.18 </w:t>
      </w:r>
      <w:r>
        <w:rPr>
          <w:rFonts w:ascii="Arial" w:cs="Arial" w:eastAsia="Arial" w:hAnsi="Arial"/>
          <w:sz w:val="20"/>
          <w:szCs w:val="20"/>
          <w:u w:val="single" w:color="auto"/>
          <w:color w:val="auto"/>
        </w:rPr>
        <w:t>Lock-Up</w:t>
      </w:r>
      <w:r>
        <w:rPr>
          <w:rFonts w:ascii="Arial" w:cs="Arial" w:eastAsia="Arial" w:hAnsi="Arial"/>
          <w:sz w:val="20"/>
          <w:szCs w:val="20"/>
          <w:color w:val="auto"/>
        </w:rPr>
        <w:t>. Participant shall agree, if so requested by the Company and any underwriter in connection with any public offering of securities of the Company, not to directly or indirectly offer, sell, contract to sell, sell any option or contract to purchase, purchase any option or contract to sell, grant any option, right or warrant for the sale of or otherwise dispose of or transfer any shares of Stock held by him or her for such period, not to exceed one hundred eighty (180) days following the effective date of the relevant registration statement filed under the Securities Act in connection with such public offering, as such underwriter shall specify reasonably and in good faith. The Company may impose stop-transfer instructions with respect to securities subject to the foregoing restrictions until the end of such 180-day period.</w:t>
      </w:r>
    </w:p>
    <w:p>
      <w:pPr>
        <w:spacing w:after="0" w:line="19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u w:val="single" w:color="auto"/>
          <w:color w:val="auto"/>
        </w:rPr>
        <w:t>Acceptance of Agreement, Plan and Grant Notice</w:t>
      </w:r>
      <w:r>
        <w:rPr>
          <w:rFonts w:ascii="Arial" w:cs="Arial" w:eastAsia="Arial" w:hAnsi="Arial"/>
          <w:sz w:val="18"/>
          <w:szCs w:val="18"/>
          <w:color w:val="auto"/>
        </w:rPr>
        <w:t>. By his or her acceptance of the Grant Notice, Participant agrees to be bound by the terms and conditions of the Agreement, the Plan and the Grant Notice. Participant has reviewed the Agreement, the Plan and the Grant Notice in their entirety, has had an opportunity to obtain the advice of counsel prior to accepting the Grant Notice and fully understands all provisions of the Grant Notice, the Agreement and the Plan. Participant agrees to accept as binding, conclusive and final all decisions or interpretations of the Committee upon any questions arising under the Agreement, Plan or the Grant Notice.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tabs>
          <w:tab w:leader="none" w:pos="180" w:val="left"/>
          <w:tab w:leader="none" w:pos="180" w:val="left"/>
        </w:tabs>
        <w:rPr>
          <w:sz w:val="20"/>
          <w:szCs w:val="20"/>
          <w:color w:val="auto"/>
        </w:rPr>
      </w:pPr>
      <w:r>
        <w:rPr>
          <w:rFonts w:ascii="Arial" w:cs="Arial" w:eastAsia="Arial" w:hAnsi="Arial"/>
          <w:sz w:val="20"/>
          <w:szCs w:val="20"/>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20"/>
          <w:szCs w:val="20"/>
          <w:b w:val="1"/>
          <w:bCs w:val="1"/>
          <w:color w:val="auto"/>
        </w:rPr>
        <w:t>EXHIBIT A</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CERTAIN DEFINED TERMS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the Grant Notice and the Agreement, the following terms have the following meanings:</w:t>
      </w:r>
    </w:p>
    <w:p>
      <w:pPr>
        <w:spacing w:after="0" w:line="108" w:lineRule="exact"/>
        <w:rPr>
          <w:sz w:val="20"/>
          <w:szCs w:val="20"/>
          <w:color w:val="auto"/>
        </w:rPr>
      </w:pPr>
    </w:p>
    <w:p>
      <w:pPr>
        <w:jc w:val="both"/>
        <w:ind w:firstLine="1304"/>
        <w:spacing w:after="0" w:line="271" w:lineRule="auto"/>
        <w:tabs>
          <w:tab w:leader="none" w:pos="1794"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Book Value</w:t>
      </w:r>
      <w:r>
        <w:rPr>
          <w:rFonts w:ascii="Arial" w:cs="Arial" w:eastAsia="Arial" w:hAnsi="Arial"/>
          <w:sz w:val="18"/>
          <w:szCs w:val="18"/>
          <w:color w:val="auto"/>
        </w:rPr>
        <w:t xml:space="preserve">” means, for any year, (i) the consolidated stockholder’s equity of the Company computed in accordance with GAAP, as reflected in the Company’s financial statements,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accumulated other comprehensive income (loss) (within the meaning of GAAP) as reflected in the Company’s financial statements,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proceeds from the assumed exercise of all outstanding “in-the-money” stock options, warrants, or similar instruments,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(iv) cash dividends and other distributions paid in respect of the Company’s outstanding equity, and assuming that all cash dividends and cash distributions are immediately reinvested in common shares of the Company using the closing market price on the ex-dividend date, plus (v) any amounts paid by the Company to its equityholders for the repurchase of shares of Company’s outstanding equity. For purposes of determining “Adjusted Book Value” (A) the following items shall not be taken into account, (x) the cumulative effect of changes in accounting principles under GAAP, (y) the cumulative effective of changes in tax laws and/or tax rates, and (z) the impact of extraordinary, unusual and/or non-recurring items, in each case, at the discretion of the Committee and (B) there shall be adjustments to give effect to any stock dividends or stock splits.</w:t>
      </w:r>
    </w:p>
    <w:p>
      <w:pPr>
        <w:spacing w:after="0" w:line="173" w:lineRule="exact"/>
        <w:rPr>
          <w:rFonts w:ascii="Arial" w:cs="Arial" w:eastAsia="Arial" w:hAnsi="Arial"/>
          <w:sz w:val="18"/>
          <w:szCs w:val="18"/>
          <w:color w:val="auto"/>
        </w:rPr>
      </w:pPr>
    </w:p>
    <w:p>
      <w:pPr>
        <w:jc w:val="both"/>
        <w:ind w:firstLine="1304"/>
        <w:spacing w:after="0" w:line="276" w:lineRule="auto"/>
        <w:tabs>
          <w:tab w:leader="none" w:pos="1738"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Beginning Share Price</w:t>
      </w:r>
      <w:r>
        <w:rPr>
          <w:rFonts w:ascii="Arial" w:cs="Arial" w:eastAsia="Arial" w:hAnsi="Arial"/>
          <w:sz w:val="18"/>
          <w:szCs w:val="18"/>
          <w:color w:val="auto"/>
        </w:rPr>
        <w:t>” shall mean the product of (x) the average closing price of the common stock of the applicable company during the thirty (30) consecutive trading days preceding the first day of the Performance Period, in each case, with such stock price rounded down to the nearest cent, and (y) the sum of (A) one share of common stock of the applicable company, plus (B) a cumulative number of shares of common stock purchased with the dividends declared on the common stock, assuming same day reinvestment of the dividend in shares of common stock at the closing price on the ex-dividend date, for the ex-dividend dates that occur during the thirty (30) consecutive trading days preceding the first day of the Performance Period, rounded down to the nearest thousandths.</w:t>
      </w:r>
    </w:p>
    <w:p>
      <w:pPr>
        <w:spacing w:after="0" w:line="164" w:lineRule="exact"/>
        <w:rPr>
          <w:rFonts w:ascii="Arial" w:cs="Arial" w:eastAsia="Arial" w:hAnsi="Arial"/>
          <w:sz w:val="18"/>
          <w:szCs w:val="18"/>
          <w:color w:val="auto"/>
        </w:rPr>
      </w:pPr>
    </w:p>
    <w:p>
      <w:pPr>
        <w:ind w:right="20" w:firstLine="1304"/>
        <w:spacing w:after="0" w:line="260" w:lineRule="auto"/>
        <w:tabs>
          <w:tab w:leader="none" w:pos="1727" w:val="left"/>
        </w:tabs>
        <w:numPr>
          <w:ilvl w:val="0"/>
          <w:numId w:val="8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BVPS</w:t>
      </w:r>
      <w:r>
        <w:rPr>
          <w:rFonts w:ascii="Arial" w:cs="Arial" w:eastAsia="Arial" w:hAnsi="Arial"/>
          <w:sz w:val="20"/>
          <w:szCs w:val="20"/>
          <w:color w:val="auto"/>
        </w:rPr>
        <w:t>” means, for any year, Adjusted Book Value divided by Diluted Common Shares Outstanding, as determined by the Committee in good faith.</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887" w:val="left"/>
        </w:tabs>
        <w:numPr>
          <w:ilvl w:val="0"/>
          <w:numId w:val="8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BVPS Growth Percentage</w:t>
      </w:r>
      <w:r>
        <w:rPr>
          <w:rFonts w:ascii="Arial" w:cs="Arial" w:eastAsia="Arial" w:hAnsi="Arial"/>
          <w:sz w:val="20"/>
          <w:szCs w:val="20"/>
          <w:color w:val="auto"/>
        </w:rPr>
        <w:t>” means, for the Performance Period, the compounded annual growth rate in BVPS measured at the end of the Performance Period over the BVPS measured at the end of the year prior to the beginning of the Performance Period.</w:t>
      </w:r>
    </w:p>
    <w:p>
      <w:pPr>
        <w:spacing w:after="0" w:line="185" w:lineRule="exact"/>
        <w:rPr>
          <w:rFonts w:ascii="Arial" w:cs="Arial" w:eastAsia="Arial" w:hAnsi="Arial"/>
          <w:sz w:val="20"/>
          <w:szCs w:val="20"/>
          <w:color w:val="auto"/>
        </w:rPr>
      </w:pPr>
    </w:p>
    <w:p>
      <w:pPr>
        <w:jc w:val="both"/>
        <w:ind w:firstLine="1304"/>
        <w:spacing w:after="0" w:line="257" w:lineRule="auto"/>
        <w:tabs>
          <w:tab w:leader="none" w:pos="1835" w:val="left"/>
        </w:tabs>
        <w:numPr>
          <w:ilvl w:val="0"/>
          <w:numId w:val="8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Comparator Group</w:t>
      </w:r>
      <w:r>
        <w:rPr>
          <w:rFonts w:ascii="Arial" w:cs="Arial" w:eastAsia="Arial" w:hAnsi="Arial"/>
          <w:sz w:val="19"/>
          <w:szCs w:val="19"/>
          <w:color w:val="auto"/>
        </w:rPr>
        <w:t>” shall mean companies comprising the S&amp;P 1500 Financials Index as of the first day of the Performance Period, inclusive of the Company. The Comparator Group may be changed as follows: (i) in the event of a merger, acquisition or business combination transaction of a member of the Comparator Group with or by another member of the Comparator Group, the surviving entity will remain in the Comparator Group; (ii) in the event of a merger, acquisition or other business combination transaction of a member of the Comparator Group with or by another company that is not a member of the Comparator Group, or “going private transaction” where the member of the Comparator Group is not the surviving entity or is otherwise no longer publicly traded, the company will no longer be a member of the Comparator Group; and (iii) in the event of a bankruptcy of a member of the Comparator Group such company will remain a member of the Comparator Group so long as such company is publicly traded.</w:t>
      </w:r>
    </w:p>
    <w:p>
      <w:pPr>
        <w:sectPr>
          <w:pgSz w:w="11900" w:h="16838" w:orient="portrait"/>
          <w:cols w:equalWidth="0" w:num="1">
            <w:col w:w="11240"/>
          </w:cols>
          <w:pgMar w:left="320" w:top="1413" w:right="339" w:bottom="1440" w:gutter="0" w:footer="0" w:header="0"/>
        </w:sectPr>
      </w:pPr>
    </w:p>
    <w:bookmarkStart w:id="145" w:name="page146"/>
    <w:bookmarkEnd w:id="145"/>
    <w:p>
      <w:pPr>
        <w:jc w:val="both"/>
        <w:ind w:firstLine="1304"/>
        <w:spacing w:after="0" w:line="282" w:lineRule="auto"/>
        <w:tabs>
          <w:tab w:leader="none" w:pos="1692"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Diluted Common Shares Outstanding</w:t>
      </w:r>
      <w:r>
        <w:rPr>
          <w:rFonts w:ascii="Arial" w:cs="Arial" w:eastAsia="Arial" w:hAnsi="Arial"/>
          <w:sz w:val="18"/>
          <w:szCs w:val="18"/>
          <w:color w:val="auto"/>
        </w:rPr>
        <w:t xml:space="preserve">” means, (i) the total number shares of Stock outstanding,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all “in-the-money” stock options, warrants and similar instruments and equity instruments (including any Restricted Stock Units) issued to employees, officers, directors and consultants of the Company and its Affiliates; provided, however, that Diluted Common Shares Outstanding shall be equitably adjusted to give effect to any of the Company’s equity shares repurchased during the Performance Period.</w:t>
      </w:r>
    </w:p>
    <w:p>
      <w:pPr>
        <w:spacing w:after="0" w:line="161" w:lineRule="exact"/>
        <w:rPr>
          <w:rFonts w:ascii="Arial" w:cs="Arial" w:eastAsia="Arial" w:hAnsi="Arial"/>
          <w:sz w:val="18"/>
          <w:szCs w:val="18"/>
          <w:color w:val="auto"/>
        </w:rPr>
      </w:pPr>
    </w:p>
    <w:p>
      <w:pPr>
        <w:ind w:left="1740" w:hanging="436"/>
        <w:spacing w:after="0"/>
        <w:tabs>
          <w:tab w:leader="none" w:pos="1740" w:val="left"/>
        </w:tabs>
        <w:numPr>
          <w:ilvl w:val="0"/>
          <w:numId w:val="8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Earned Shares</w:t>
      </w:r>
      <w:r>
        <w:rPr>
          <w:rFonts w:ascii="Arial" w:cs="Arial" w:eastAsia="Arial" w:hAnsi="Arial"/>
          <w:sz w:val="20"/>
          <w:szCs w:val="20"/>
          <w:color w:val="auto"/>
        </w:rPr>
        <w:t xml:space="preserve">” means (i) the number of Shares granted herein, </w:t>
      </w:r>
      <w:r>
        <w:rPr>
          <w:rFonts w:ascii="Arial" w:cs="Arial" w:eastAsia="Arial" w:hAnsi="Arial"/>
          <w:sz w:val="20"/>
          <w:szCs w:val="20"/>
          <w:i w:val="1"/>
          <w:iCs w:val="1"/>
          <w:color w:val="auto"/>
        </w:rPr>
        <w:t>multiplied</w:t>
      </w:r>
      <w:r>
        <w:rPr>
          <w:rFonts w:ascii="Arial" w:cs="Arial" w:eastAsia="Arial" w:hAnsi="Arial"/>
          <w:sz w:val="20"/>
          <w:szCs w:val="20"/>
          <w:color w:val="auto"/>
        </w:rPr>
        <w:t xml:space="preserve"> by (ii) the Vesting Percentage.</w:t>
      </w:r>
    </w:p>
    <w:p>
      <w:pPr>
        <w:spacing w:after="0" w:line="215" w:lineRule="exact"/>
        <w:rPr>
          <w:rFonts w:ascii="Arial" w:cs="Arial" w:eastAsia="Arial" w:hAnsi="Arial"/>
          <w:sz w:val="20"/>
          <w:szCs w:val="20"/>
          <w:color w:val="auto"/>
        </w:rPr>
      </w:pPr>
    </w:p>
    <w:p>
      <w:pPr>
        <w:jc w:val="both"/>
        <w:ind w:firstLine="1304"/>
        <w:spacing w:after="0" w:line="271" w:lineRule="auto"/>
        <w:tabs>
          <w:tab w:leader="none" w:pos="1753" w:val="left"/>
        </w:tabs>
        <w:numPr>
          <w:ilvl w:val="0"/>
          <w:numId w:val="83"/>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Ending Share Price</w:t>
      </w:r>
      <w:r>
        <w:rPr>
          <w:rFonts w:ascii="Arial" w:cs="Arial" w:eastAsia="Arial" w:hAnsi="Arial"/>
          <w:sz w:val="18"/>
          <w:szCs w:val="18"/>
          <w:color w:val="auto"/>
        </w:rPr>
        <w:t>” shall mean the product of (x) the average closing price of the common stock of the applicable company during the thirty (30) consecutive trading days ending on (and including) the last day of the Performance Period, in each case, with such stock price rounded down to the nearest cent, and (y) the sum of (A) one share of common stock of the applicable company, plus (B) a cumulative number of shares of common stock purchased with the dividends declared on the common stock, assuming same day reinvestment of the dividend in shares of common stock at the closing price on the ex-dividend date, for the ex-dividend dates that occur during the thirty (30) consecutive trading days preceding the first day of the Performance Period through the expiration of the Performance Period, rounded down to the nearest thousandths; provided, that, notwithstanding the foregoing, in the event of a Change in Control, the Ending Share Price in respect of the Company shall be equal to the price per share of Stock to be paid to the holder thereof in accordance with the definitive agreement governing the transaction constituting the Change in Control (or, in the absence of such agreement, the closing price per share of Stock as reported for the last trading day immediately preceding the consummation of the Change in Control), adjusted to reflect an assumed reinvestment of any dividends in accordance with clause (B) above.</w:t>
      </w:r>
    </w:p>
    <w:p>
      <w:pPr>
        <w:spacing w:after="0" w:line="169" w:lineRule="exact"/>
        <w:rPr>
          <w:rFonts w:ascii="Arial" w:cs="Arial" w:eastAsia="Arial" w:hAnsi="Arial"/>
          <w:sz w:val="16"/>
          <w:szCs w:val="16"/>
          <w:color w:val="auto"/>
        </w:rPr>
      </w:pPr>
    </w:p>
    <w:p>
      <w:pPr>
        <w:ind w:right="20" w:firstLine="1304"/>
        <w:spacing w:after="0" w:line="260" w:lineRule="auto"/>
        <w:tabs>
          <w:tab w:leader="none" w:pos="1694" w:val="left"/>
        </w:tabs>
        <w:numPr>
          <w:ilvl w:val="0"/>
          <w:numId w:val="8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Period</w:t>
      </w:r>
      <w:r>
        <w:rPr>
          <w:rFonts w:ascii="Arial" w:cs="Arial" w:eastAsia="Arial" w:hAnsi="Arial"/>
          <w:sz w:val="20"/>
          <w:szCs w:val="20"/>
          <w:color w:val="auto"/>
        </w:rPr>
        <w:t>” means the period commencing on January 1, 20__ and ending on the earlier of (i) December 31, 20__ or (ii) the consummation of a Change in Control.</w:t>
      </w:r>
    </w:p>
    <w:p>
      <w:pPr>
        <w:spacing w:after="0" w:line="176" w:lineRule="exact"/>
        <w:rPr>
          <w:rFonts w:ascii="Arial" w:cs="Arial" w:eastAsia="Arial" w:hAnsi="Arial"/>
          <w:sz w:val="20"/>
          <w:szCs w:val="20"/>
          <w:color w:val="auto"/>
        </w:rPr>
      </w:pPr>
    </w:p>
    <w:p>
      <w:pPr>
        <w:jc w:val="both"/>
        <w:ind w:firstLine="1304"/>
        <w:spacing w:after="0" w:line="259" w:lineRule="auto"/>
        <w:tabs>
          <w:tab w:leader="none" w:pos="1870" w:val="left"/>
        </w:tabs>
        <w:numPr>
          <w:ilvl w:val="0"/>
          <w:numId w:val="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Relative Total Shareholder Return</w:t>
      </w:r>
      <w:r>
        <w:rPr>
          <w:rFonts w:ascii="Arial" w:cs="Arial" w:eastAsia="Arial" w:hAnsi="Arial"/>
          <w:sz w:val="19"/>
          <w:szCs w:val="19"/>
          <w:color w:val="auto"/>
        </w:rPr>
        <w:t>” shall mean the Company’s Total Shareholder Return relative to the Total Shareholder Return of the Comparator Group, expressed as a percentile rank. Relative Total Shareholder Return shall be determined by calculating the Total Shareholder Return of the Company and each member of the Comparator Group for the Performance Period, and the Company and each member of the Comparator Group will be ranked in order of maximum to minimum according to their respective Total Shareholder Return for the Performance Period, with the company with the highest return ranked as 1. After this ranking, the percentile performance of the Company relative to the Comparator Group will be determined as follows: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xml:space="preserve">P </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1</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((R-1)/(N-1))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Where: “P” represents the percentile performance, which will be rounded, if necessary, to the nearest tenth of a percent.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 represents the number of companies in the Comparator Group (inclusive of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 represents the Company’s ranking versus the Comparator Group.</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Example</w:t>
      </w:r>
      <w:r>
        <w:rPr>
          <w:rFonts w:ascii="Arial" w:cs="Arial" w:eastAsia="Arial" w:hAnsi="Arial"/>
          <w:sz w:val="18"/>
          <w:szCs w:val="18"/>
          <w:color w:val="auto"/>
        </w:rPr>
        <w:t>: If there are 225 companies in the Comparator Group (inclusive of the Company), and the Company ranked 86th out of 225,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performance would be at the 62nd percentile: .620 = 1 – ((86-1)/(225-1)).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240"/>
          </w:cols>
          <w:pgMar w:left="320" w:top="1419" w:right="339" w:bottom="1440" w:gutter="0" w:footer="0" w:header="0"/>
        </w:sectPr>
      </w:pPr>
    </w:p>
    <w:bookmarkStart w:id="146" w:name="page147"/>
    <w:bookmarkEnd w:id="146"/>
    <w:p>
      <w:pPr>
        <w:jc w:val="both"/>
        <w:ind w:left="-8" w:firstLine="1304"/>
        <w:spacing w:after="0" w:line="269" w:lineRule="auto"/>
        <w:tabs>
          <w:tab w:leader="none" w:pos="1744" w:val="left"/>
        </w:tabs>
        <w:numPr>
          <w:ilvl w:val="0"/>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Shareholder Return</w:t>
      </w:r>
      <w:r>
        <w:rPr>
          <w:rFonts w:ascii="Arial" w:cs="Arial" w:eastAsia="Arial" w:hAnsi="Arial"/>
          <w:sz w:val="19"/>
          <w:szCs w:val="19"/>
          <w:color w:val="auto"/>
        </w:rPr>
        <w:t>” shall mean for each member of the Comparator Group, the percentage change in the value of the Stock or the common stock of a member of the Comparator Group, as applicable, determined by dividing (x) the Ending Share Price by (y) the Beginning Share Price, as determined by the Committee in its sole discretion, and then subtracting by 1.</w:t>
      </w:r>
    </w:p>
    <w:p>
      <w:pPr>
        <w:spacing w:after="0" w:line="169" w:lineRule="exact"/>
        <w:rPr>
          <w:rFonts w:ascii="Arial" w:cs="Arial" w:eastAsia="Arial" w:hAnsi="Arial"/>
          <w:sz w:val="19"/>
          <w:szCs w:val="19"/>
          <w:color w:val="auto"/>
        </w:rPr>
      </w:pPr>
    </w:p>
    <w:p>
      <w:pPr>
        <w:jc w:val="both"/>
        <w:ind w:left="-8" w:firstLine="1304"/>
        <w:spacing w:after="0" w:line="250" w:lineRule="auto"/>
        <w:tabs>
          <w:tab w:leader="none" w:pos="1848" w:val="left"/>
        </w:tabs>
        <w:numPr>
          <w:ilvl w:val="0"/>
          <w:numId w:val="8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Vesting Percentage</w:t>
      </w:r>
      <w:r>
        <w:rPr>
          <w:rFonts w:ascii="Arial" w:cs="Arial" w:eastAsia="Arial" w:hAnsi="Arial"/>
          <w:sz w:val="20"/>
          <w:szCs w:val="20"/>
          <w:color w:val="auto"/>
        </w:rPr>
        <w:t>” means a function of the BVPS Growth Percentage achieved by the Company during the Performance Period, rounded to the nearest tenth of a percent (0.1%) and the Relative Total Shareholder Return achieved by the Company during the Performance Period, and shall be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4972050" cy="28460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4972050" cy="2846070"/>
                    </a:xfrm>
                    <a:prstGeom prst="rect">
                      <a:avLst/>
                    </a:prstGeom>
                    <a:noFill/>
                  </pic:spPr>
                </pic:pic>
              </a:graphicData>
            </a:graphic>
          </wp:anchor>
        </w:drawing>
      </w:r>
    </w:p>
    <w:p>
      <w:pPr>
        <w:sectPr>
          <w:pgSz w:w="11900" w:h="16838" w:orient="portrait"/>
          <w:cols w:equalWidth="0" w:num="1">
            <w:col w:w="11232"/>
          </w:cols>
          <w:pgMar w:left="328" w:top="1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32"/>
        <w:spacing w:after="0"/>
        <w:rPr>
          <w:sz w:val="20"/>
          <w:szCs w:val="20"/>
          <w:color w:val="auto"/>
        </w:rPr>
      </w:pPr>
      <w:r>
        <w:rPr>
          <w:rFonts w:ascii="Arial" w:cs="Arial" w:eastAsia="Arial" w:hAnsi="Arial"/>
          <w:sz w:val="18"/>
          <w:szCs w:val="18"/>
          <w:color w:val="auto"/>
        </w:rPr>
        <w:t>Three-Year</w:t>
      </w:r>
    </w:p>
    <w:p>
      <w:pPr>
        <w:spacing w:after="0" w:line="39" w:lineRule="exact"/>
        <w:rPr>
          <w:sz w:val="20"/>
          <w:szCs w:val="20"/>
          <w:color w:val="auto"/>
        </w:rPr>
      </w:pPr>
    </w:p>
    <w:p>
      <w:pPr>
        <w:ind w:left="132"/>
        <w:spacing w:after="0"/>
        <w:rPr>
          <w:sz w:val="20"/>
          <w:szCs w:val="20"/>
          <w:color w:val="auto"/>
        </w:rPr>
      </w:pPr>
      <w:r>
        <w:rPr>
          <w:rFonts w:ascii="Arial" w:cs="Arial" w:eastAsia="Arial" w:hAnsi="Arial"/>
          <w:sz w:val="16"/>
          <w:szCs w:val="16"/>
          <w:color w:val="auto"/>
        </w:rPr>
        <w:t>Book Value</w:t>
      </w:r>
    </w:p>
    <w:p>
      <w:pPr>
        <w:spacing w:after="0" w:line="45" w:lineRule="exact"/>
        <w:rPr>
          <w:sz w:val="20"/>
          <w:szCs w:val="20"/>
          <w:color w:val="auto"/>
        </w:rPr>
      </w:pPr>
    </w:p>
    <w:p>
      <w:pPr>
        <w:ind w:left="132"/>
        <w:spacing w:after="0"/>
        <w:rPr>
          <w:sz w:val="20"/>
          <w:szCs w:val="20"/>
          <w:color w:val="auto"/>
        </w:rPr>
      </w:pPr>
      <w:r>
        <w:rPr>
          <w:rFonts w:ascii="Arial" w:cs="Arial" w:eastAsia="Arial" w:hAnsi="Arial"/>
          <w:sz w:val="20"/>
          <w:szCs w:val="20"/>
          <w:color w:val="auto"/>
        </w:rPr>
        <w:t>Per Share</w:t>
      </w:r>
    </w:p>
    <w:p>
      <w:pPr>
        <w:ind w:left="132"/>
        <w:spacing w:after="0"/>
        <w:rPr>
          <w:sz w:val="20"/>
          <w:szCs w:val="20"/>
          <w:color w:val="auto"/>
        </w:rPr>
      </w:pPr>
      <w:r>
        <w:rPr>
          <w:rFonts w:ascii="Arial" w:cs="Arial" w:eastAsia="Arial" w:hAnsi="Arial"/>
          <w:sz w:val="20"/>
          <w:szCs w:val="20"/>
          <w:color w:val="auto"/>
        </w:rPr>
        <w:t>CAGR*</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4360"/>
        <w:spacing w:after="0"/>
        <w:rPr>
          <w:sz w:val="20"/>
          <w:szCs w:val="20"/>
          <w:color w:val="auto"/>
        </w:rPr>
      </w:pPr>
      <w:r>
        <w:rPr>
          <w:rFonts w:ascii="Arial" w:cs="Arial" w:eastAsia="Arial" w:hAnsi="Arial"/>
          <w:sz w:val="19"/>
          <w:szCs w:val="19"/>
          <w:color w:val="auto"/>
        </w:rPr>
        <w:t>Relative Total Shareholder Return*</w:t>
      </w:r>
    </w:p>
    <w:p>
      <w:pPr>
        <w:spacing w:after="0" w:line="27" w:lineRule="exact"/>
        <w:rPr>
          <w:sz w:val="20"/>
          <w:szCs w:val="20"/>
          <w:color w:val="auto"/>
        </w:rPr>
      </w:pPr>
    </w:p>
    <w:p>
      <w:pPr>
        <w:jc w:val="center"/>
        <w:ind w:right="4360"/>
        <w:spacing w:after="0"/>
        <w:rPr>
          <w:sz w:val="20"/>
          <w:szCs w:val="20"/>
          <w:color w:val="auto"/>
        </w:rPr>
      </w:pPr>
      <w:r>
        <w:rPr>
          <w:rFonts w:ascii="Arial" w:cs="Arial" w:eastAsia="Arial" w:hAnsi="Arial"/>
          <w:sz w:val="18"/>
          <w:szCs w:val="18"/>
          <w:color w:val="auto"/>
        </w:rPr>
        <w:t>vs. S&amp;P 1500 Financial Services Index</w:t>
      </w:r>
    </w:p>
    <w:p>
      <w:pPr>
        <w:spacing w:after="0" w:line="2760" w:lineRule="exact"/>
        <w:rPr>
          <w:sz w:val="20"/>
          <w:szCs w:val="20"/>
          <w:color w:val="auto"/>
        </w:rPr>
      </w:pPr>
    </w:p>
    <w:p>
      <w:pPr>
        <w:sectPr>
          <w:pgSz w:w="11900" w:h="16838" w:orient="portrait"/>
          <w:cols w:equalWidth="0" w:num="2">
            <w:col w:w="3052" w:space="720"/>
            <w:col w:w="7460"/>
          </w:cols>
          <w:pgMar w:left="328" w:top="14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 w:right="480" w:firstLine="8"/>
        <w:spacing w:after="0" w:line="385" w:lineRule="auto"/>
        <w:tabs>
          <w:tab w:leader="none" w:pos="289"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the event that the BVPS Growth Percentage or the Relative Total Shareholder Return falls between the performance levels shown above, the Vesting Percentage shall be determined using a straight line linear interpolation between the respective levels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232"/>
          </w:cols>
          <w:pgMar w:left="328" w:top="1419" w:right="339" w:bottom="1440" w:gutter="0" w:footer="0" w:header="0"/>
          <w:type w:val="continuous"/>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82"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Essent Group Ltd.</w:t>
            </w:r>
          </w:p>
        </w:tc>
        <w:tc>
          <w:tcPr>
            <w:tcW w:w="4420" w:type="dxa"/>
            <w:vAlign w:val="bottom"/>
            <w:gridSpan w:val="2"/>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List of Subsidiaries</w:t>
            </w:r>
          </w:p>
        </w:tc>
      </w:tr>
      <w:tr>
        <w:trPr>
          <w:trHeight w:val="527"/>
        </w:trPr>
        <w:tc>
          <w:tcPr>
            <w:tcW w:w="4420" w:type="dxa"/>
            <w:vAlign w:val="bottom"/>
            <w:gridSpan w:val="3"/>
          </w:tcPr>
          <w:p>
            <w:pPr>
              <w:ind w:left="20"/>
              <w:spacing w:after="0"/>
              <w:rPr>
                <w:sz w:val="20"/>
                <w:szCs w:val="20"/>
                <w:color w:val="auto"/>
              </w:rPr>
            </w:pPr>
            <w:r>
              <w:rPr>
                <w:rFonts w:ascii="Arial" w:cs="Arial" w:eastAsia="Arial" w:hAnsi="Arial"/>
                <w:sz w:val="18"/>
                <w:szCs w:val="18"/>
                <w:b w:val="1"/>
                <w:bCs w:val="1"/>
                <w:color w:val="auto"/>
              </w:rPr>
              <w:t>Subsidiary</w:t>
            </w:r>
          </w:p>
        </w:tc>
        <w:tc>
          <w:tcPr>
            <w:tcW w:w="1420" w:type="dxa"/>
            <w:vAlign w:val="bottom"/>
          </w:tcPr>
          <w:p>
            <w:pPr>
              <w:spacing w:after="0"/>
              <w:rPr>
                <w:sz w:val="24"/>
                <w:szCs w:val="24"/>
                <w:color w:val="auto"/>
              </w:rPr>
            </w:pPr>
          </w:p>
        </w:tc>
        <w:tc>
          <w:tcPr>
            <w:tcW w:w="442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2"/>
              </w:rPr>
              <w:t>Jurisdiction of Incorporation/Formation</w:t>
            </w: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2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0"/>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Essent Reinsurance Ltd. (1)</w:t>
            </w:r>
          </w:p>
        </w:tc>
        <w:tc>
          <w:tcPr>
            <w:tcW w:w="14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jc w:val="center"/>
              <w:ind w:right="1320"/>
              <w:spacing w:after="0"/>
              <w:rPr>
                <w:sz w:val="20"/>
                <w:szCs w:val="20"/>
                <w:color w:val="auto"/>
              </w:rPr>
            </w:pPr>
            <w:r>
              <w:rPr>
                <w:rFonts w:ascii="Arial" w:cs="Arial" w:eastAsia="Arial" w:hAnsi="Arial"/>
                <w:sz w:val="18"/>
                <w:szCs w:val="18"/>
                <w:color w:val="auto"/>
                <w:w w:val="90"/>
              </w:rPr>
              <w:t>Bermuda</w:t>
            </w:r>
          </w:p>
        </w:tc>
      </w:tr>
      <w:tr>
        <w:trPr>
          <w:trHeight w:val="229"/>
        </w:trPr>
        <w:tc>
          <w:tcPr>
            <w:tcW w:w="20" w:type="dxa"/>
            <w:vAlign w:val="bottom"/>
          </w:tcPr>
          <w:p>
            <w:pPr>
              <w:spacing w:after="0"/>
              <w:rPr>
                <w:sz w:val="19"/>
                <w:szCs w:val="19"/>
                <w:color w:val="auto"/>
              </w:rPr>
            </w:pP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Essent Agency (Bermuda) Ltd. (2)</w:t>
            </w:r>
          </w:p>
        </w:tc>
        <w:tc>
          <w:tcPr>
            <w:tcW w:w="1420" w:type="dxa"/>
            <w:vAlign w:val="bottom"/>
          </w:tcPr>
          <w:p>
            <w:pPr>
              <w:spacing w:after="0"/>
              <w:rPr>
                <w:sz w:val="19"/>
                <w:szCs w:val="19"/>
                <w:color w:val="auto"/>
              </w:rPr>
            </w:pPr>
          </w:p>
        </w:tc>
        <w:tc>
          <w:tcPr>
            <w:tcW w:w="4420" w:type="dxa"/>
            <w:vAlign w:val="bottom"/>
            <w:gridSpan w:val="2"/>
          </w:tcPr>
          <w:p>
            <w:pPr>
              <w:jc w:val="center"/>
              <w:ind w:right="1320"/>
              <w:spacing w:after="0"/>
              <w:rPr>
                <w:sz w:val="20"/>
                <w:szCs w:val="20"/>
                <w:color w:val="auto"/>
              </w:rPr>
            </w:pPr>
            <w:r>
              <w:rPr>
                <w:rFonts w:ascii="Arial" w:cs="Arial" w:eastAsia="Arial" w:hAnsi="Arial"/>
                <w:sz w:val="18"/>
                <w:szCs w:val="18"/>
                <w:color w:val="auto"/>
                <w:w w:val="90"/>
              </w:rPr>
              <w:t>Bermuda</w:t>
            </w:r>
          </w:p>
        </w:tc>
      </w:tr>
      <w:tr>
        <w:trPr>
          <w:trHeight w:val="230"/>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Essent Irish Intermediate Holdings Ltd. (1)</w:t>
            </w:r>
          </w:p>
        </w:tc>
        <w:tc>
          <w:tcPr>
            <w:tcW w:w="14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jc w:val="center"/>
              <w:ind w:right="1300"/>
              <w:spacing w:after="0"/>
              <w:rPr>
                <w:sz w:val="20"/>
                <w:szCs w:val="20"/>
                <w:color w:val="auto"/>
              </w:rPr>
            </w:pPr>
            <w:r>
              <w:rPr>
                <w:rFonts w:ascii="Arial" w:cs="Arial" w:eastAsia="Arial" w:hAnsi="Arial"/>
                <w:sz w:val="18"/>
                <w:szCs w:val="18"/>
                <w:color w:val="auto"/>
                <w:w w:val="93"/>
              </w:rPr>
              <w:t>Republic of Ireland</w:t>
            </w:r>
          </w:p>
        </w:tc>
      </w:tr>
      <w:tr>
        <w:trPr>
          <w:trHeight w:val="229"/>
        </w:trPr>
        <w:tc>
          <w:tcPr>
            <w:tcW w:w="4420" w:type="dxa"/>
            <w:vAlign w:val="bottom"/>
            <w:gridSpan w:val="3"/>
          </w:tcPr>
          <w:p>
            <w:pPr>
              <w:ind w:left="20"/>
              <w:spacing w:after="0"/>
              <w:rPr>
                <w:sz w:val="20"/>
                <w:szCs w:val="20"/>
                <w:color w:val="auto"/>
              </w:rPr>
            </w:pPr>
            <w:r>
              <w:rPr>
                <w:rFonts w:ascii="Arial" w:cs="Arial" w:eastAsia="Arial" w:hAnsi="Arial"/>
                <w:sz w:val="18"/>
                <w:szCs w:val="18"/>
                <w:color w:val="auto"/>
              </w:rPr>
              <w:t>Essent US Holdings, Inc. (3)</w:t>
            </w:r>
          </w:p>
        </w:tc>
        <w:tc>
          <w:tcPr>
            <w:tcW w:w="1420" w:type="dxa"/>
            <w:vAlign w:val="bottom"/>
          </w:tcPr>
          <w:p>
            <w:pPr>
              <w:spacing w:after="0"/>
              <w:rPr>
                <w:sz w:val="19"/>
                <w:szCs w:val="19"/>
                <w:color w:val="auto"/>
              </w:rPr>
            </w:pPr>
          </w:p>
        </w:tc>
        <w:tc>
          <w:tcPr>
            <w:tcW w:w="4420" w:type="dxa"/>
            <w:vAlign w:val="bottom"/>
            <w:gridSpan w:val="2"/>
          </w:tcPr>
          <w:p>
            <w:pPr>
              <w:jc w:val="center"/>
              <w:ind w:right="1300"/>
              <w:spacing w:after="0"/>
              <w:rPr>
                <w:sz w:val="20"/>
                <w:szCs w:val="20"/>
                <w:color w:val="auto"/>
              </w:rPr>
            </w:pPr>
            <w:r>
              <w:rPr>
                <w:rFonts w:ascii="Arial" w:cs="Arial" w:eastAsia="Arial" w:hAnsi="Arial"/>
                <w:sz w:val="18"/>
                <w:szCs w:val="18"/>
                <w:color w:val="auto"/>
                <w:w w:val="89"/>
              </w:rPr>
              <w:t>Delaware</w:t>
            </w: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Essent Guaranty of PA, Inc. (4)</w:t>
            </w:r>
          </w:p>
        </w:tc>
        <w:tc>
          <w:tcPr>
            <w:tcW w:w="14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jc w:val="center"/>
              <w:ind w:right="1300"/>
              <w:spacing w:after="0"/>
              <w:rPr>
                <w:sz w:val="20"/>
                <w:szCs w:val="20"/>
                <w:color w:val="auto"/>
              </w:rPr>
            </w:pPr>
            <w:r>
              <w:rPr>
                <w:rFonts w:ascii="Arial" w:cs="Arial" w:eastAsia="Arial" w:hAnsi="Arial"/>
                <w:sz w:val="18"/>
                <w:szCs w:val="18"/>
                <w:color w:val="auto"/>
                <w:w w:val="89"/>
              </w:rPr>
              <w:t>Pennsylvania</w:t>
            </w:r>
          </w:p>
        </w:tc>
      </w:tr>
      <w:tr>
        <w:trPr>
          <w:trHeight w:val="230"/>
        </w:trPr>
        <w:tc>
          <w:tcPr>
            <w:tcW w:w="20" w:type="dxa"/>
            <w:vAlign w:val="bottom"/>
          </w:tcPr>
          <w:p>
            <w:pPr>
              <w:spacing w:after="0"/>
              <w:rPr>
                <w:sz w:val="19"/>
                <w:szCs w:val="19"/>
                <w:color w:val="auto"/>
              </w:rPr>
            </w:pP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CUW Solutions, LLC (4)</w:t>
            </w:r>
          </w:p>
        </w:tc>
        <w:tc>
          <w:tcPr>
            <w:tcW w:w="1420" w:type="dxa"/>
            <w:vAlign w:val="bottom"/>
          </w:tcPr>
          <w:p>
            <w:pPr>
              <w:spacing w:after="0"/>
              <w:rPr>
                <w:sz w:val="19"/>
                <w:szCs w:val="19"/>
                <w:color w:val="auto"/>
              </w:rPr>
            </w:pPr>
          </w:p>
        </w:tc>
        <w:tc>
          <w:tcPr>
            <w:tcW w:w="4420" w:type="dxa"/>
            <w:vAlign w:val="bottom"/>
            <w:gridSpan w:val="2"/>
          </w:tcPr>
          <w:p>
            <w:pPr>
              <w:jc w:val="center"/>
              <w:ind w:right="1300"/>
              <w:spacing w:after="0"/>
              <w:rPr>
                <w:sz w:val="20"/>
                <w:szCs w:val="20"/>
                <w:color w:val="auto"/>
              </w:rPr>
            </w:pPr>
            <w:r>
              <w:rPr>
                <w:rFonts w:ascii="Arial" w:cs="Arial" w:eastAsia="Arial" w:hAnsi="Arial"/>
                <w:sz w:val="18"/>
                <w:szCs w:val="18"/>
                <w:color w:val="auto"/>
                <w:w w:val="89"/>
              </w:rPr>
              <w:t>Delaware</w:t>
            </w: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Essent Guaranty, Inc. (4)</w:t>
            </w:r>
          </w:p>
        </w:tc>
        <w:tc>
          <w:tcPr>
            <w:tcW w:w="14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jc w:val="center"/>
              <w:ind w:right="1300"/>
              <w:spacing w:after="0"/>
              <w:rPr>
                <w:sz w:val="20"/>
                <w:szCs w:val="20"/>
                <w:color w:val="auto"/>
              </w:rPr>
            </w:pPr>
            <w:r>
              <w:rPr>
                <w:rFonts w:ascii="Arial" w:cs="Arial" w:eastAsia="Arial" w:hAnsi="Arial"/>
                <w:sz w:val="18"/>
                <w:szCs w:val="18"/>
                <w:color w:val="auto"/>
                <w:w w:val="89"/>
              </w:rPr>
              <w:t>Pennsylvania</w:t>
            </w:r>
          </w:p>
        </w:tc>
      </w:tr>
      <w:tr>
        <w:trPr>
          <w:trHeight w:val="230"/>
        </w:trPr>
        <w:tc>
          <w:tcPr>
            <w:tcW w:w="20" w:type="dxa"/>
            <w:vAlign w:val="bottom"/>
          </w:tcPr>
          <w:p>
            <w:pPr>
              <w:spacing w:after="0"/>
              <w:rPr>
                <w:sz w:val="20"/>
                <w:szCs w:val="20"/>
                <w:color w:val="auto"/>
              </w:rPr>
            </w:pPr>
          </w:p>
        </w:tc>
        <w:tc>
          <w:tcPr>
            <w:tcW w:w="4400" w:type="dxa"/>
            <w:vAlign w:val="bottom"/>
            <w:gridSpan w:val="2"/>
          </w:tcPr>
          <w:p>
            <w:pPr>
              <w:ind w:left="200"/>
              <w:spacing w:after="0"/>
              <w:rPr>
                <w:sz w:val="20"/>
                <w:szCs w:val="20"/>
                <w:color w:val="auto"/>
              </w:rPr>
            </w:pPr>
            <w:r>
              <w:rPr>
                <w:rFonts w:ascii="Arial" w:cs="Arial" w:eastAsia="Arial" w:hAnsi="Arial"/>
                <w:sz w:val="18"/>
                <w:szCs w:val="18"/>
                <w:color w:val="auto"/>
              </w:rPr>
              <w:t>Essent Solutions, LLC (5)</w:t>
            </w:r>
          </w:p>
        </w:tc>
        <w:tc>
          <w:tcPr>
            <w:tcW w:w="1420" w:type="dxa"/>
            <w:vAlign w:val="bottom"/>
          </w:tcPr>
          <w:p>
            <w:pPr>
              <w:spacing w:after="0"/>
              <w:rPr>
                <w:sz w:val="20"/>
                <w:szCs w:val="20"/>
                <w:color w:val="auto"/>
              </w:rPr>
            </w:pPr>
          </w:p>
        </w:tc>
        <w:tc>
          <w:tcPr>
            <w:tcW w:w="4420" w:type="dxa"/>
            <w:vAlign w:val="bottom"/>
            <w:gridSpan w:val="2"/>
          </w:tcPr>
          <w:p>
            <w:pPr>
              <w:jc w:val="center"/>
              <w:ind w:right="1300"/>
              <w:spacing w:after="0"/>
              <w:rPr>
                <w:sz w:val="20"/>
                <w:szCs w:val="20"/>
                <w:color w:val="auto"/>
              </w:rPr>
            </w:pPr>
            <w:r>
              <w:rPr>
                <w:rFonts w:ascii="Arial" w:cs="Arial" w:eastAsia="Arial" w:hAnsi="Arial"/>
                <w:sz w:val="18"/>
                <w:szCs w:val="18"/>
                <w:color w:val="auto"/>
                <w:w w:val="89"/>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162560</wp:posOffset>
            </wp:positionV>
            <wp:extent cx="571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62" w:lineRule="exact"/>
        <w:rPr>
          <w:sz w:val="20"/>
          <w:szCs w:val="20"/>
          <w:color w:val="auto"/>
        </w:rPr>
      </w:pPr>
    </w:p>
    <w:p>
      <w:pPr>
        <w:ind w:left="246" w:hanging="246"/>
        <w:spacing w:after="0"/>
        <w:tabs>
          <w:tab w:leader="none" w:pos="2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100% of common shares held by Essent Group Ltd.</w:t>
      </w:r>
    </w:p>
    <w:p>
      <w:pPr>
        <w:spacing w:after="0" w:line="23" w:lineRule="exact"/>
        <w:rPr>
          <w:rFonts w:ascii="Arial" w:cs="Arial" w:eastAsia="Arial" w:hAnsi="Arial"/>
          <w:sz w:val="18"/>
          <w:szCs w:val="18"/>
          <w:color w:val="auto"/>
        </w:rPr>
      </w:pPr>
    </w:p>
    <w:p>
      <w:pPr>
        <w:ind w:left="246" w:hanging="246"/>
        <w:spacing w:after="0"/>
        <w:tabs>
          <w:tab w:leader="none" w:pos="2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100% of common shares held by Essent Reinsurance Ltd.</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100% of common shares held by Essent Irish Intermediate Holdings Ltd.</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100% of common shares held by Essent US Holdings Inc.</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100% of common shares held by Essent Guaranty, Inc.</w:t>
      </w:r>
    </w:p>
    <w:p>
      <w:pPr>
        <w:sectPr>
          <w:pgSz w:w="11900" w:h="16838" w:orient="portrait"/>
          <w:cols w:equalWidth="0" w:num="1">
            <w:col w:w="10746"/>
          </w:cols>
          <w:pgMar w:left="814" w:top="89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 w:lineRule="exact"/>
        <w:rPr>
          <w:sz w:val="20"/>
          <w:szCs w:val="20"/>
          <w:color w:val="auto"/>
        </w:rPr>
      </w:pPr>
    </w:p>
    <w:p>
      <w:pPr>
        <w:jc w:val="both"/>
        <w:ind w:right="340"/>
        <w:spacing w:after="0" w:line="216" w:lineRule="exact"/>
        <w:rPr>
          <w:sz w:val="20"/>
          <w:szCs w:val="20"/>
          <w:color w:val="auto"/>
        </w:rPr>
      </w:pPr>
      <w:r>
        <w:rPr>
          <w:rFonts w:ascii="Arial" w:cs="Arial" w:eastAsia="Arial" w:hAnsi="Arial"/>
          <w:sz w:val="18"/>
          <w:szCs w:val="18"/>
          <w:color w:val="auto"/>
        </w:rPr>
        <w:t>We hereby consent to the incorporation by reference in the Registration Statements on Form S-3 (No. 333-223110) and Form S-8 (No. 333-192092) of Essent Group Ltd. of our report dated February 26, 2021 relating to the financial statements and financial statement schedules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00"/>
          </w:cols>
          <w:pgMar w:left="320" w:top="891" w:right="37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Essent Group Ltd.;</w:t>
      </w:r>
    </w:p>
    <w:p>
      <w:pPr>
        <w:spacing w:after="0" w:line="225" w:lineRule="exact"/>
        <w:rPr>
          <w:rFonts w:ascii="Arial" w:cs="Arial" w:eastAsia="Arial" w:hAnsi="Arial"/>
          <w:sz w:val="18"/>
          <w:szCs w:val="18"/>
          <w:color w:val="auto"/>
        </w:rPr>
      </w:pPr>
    </w:p>
    <w:p>
      <w:pPr>
        <w:jc w:val="both"/>
        <w:ind w:right="240" w:firstLine="8"/>
        <w:spacing w:after="0" w:line="342" w:lineRule="auto"/>
        <w:tabs>
          <w:tab w:leader="none" w:pos="517"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517"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51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0" w:firstLine="494"/>
        <w:spacing w:after="0" w:line="263" w:lineRule="auto"/>
        <w:tabs>
          <w:tab w:leader="none" w:pos="1001"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494"/>
        <w:spacing w:after="0" w:line="263" w:lineRule="auto"/>
        <w:tabs>
          <w:tab w:leader="none" w:pos="1011"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520" w:firstLine="494"/>
        <w:spacing w:after="0" w:line="342" w:lineRule="auto"/>
        <w:tabs>
          <w:tab w:leader="none" w:pos="1014"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494"/>
        <w:spacing w:after="0" w:line="263" w:lineRule="auto"/>
        <w:tabs>
          <w:tab w:leader="none" w:pos="1011"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8"/>
        <w:spacing w:after="0" w:line="308" w:lineRule="auto"/>
        <w:tabs>
          <w:tab w:leader="none" w:pos="544"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780" w:firstLine="494"/>
        <w:spacing w:after="0" w:line="308" w:lineRule="auto"/>
        <w:tabs>
          <w:tab w:leader="none" w:pos="1014" w:val="left"/>
        </w:tabs>
        <w:numPr>
          <w:ilvl w:val="1"/>
          <w:numId w:val="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60" w:firstLine="494"/>
        <w:spacing w:after="0" w:line="277" w:lineRule="auto"/>
        <w:tabs>
          <w:tab w:leader="none" w:pos="1024"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1319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A. Casale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 and Chairman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Essent Group Ltd.;</w:t>
      </w:r>
    </w:p>
    <w:p>
      <w:pPr>
        <w:spacing w:after="0" w:line="225" w:lineRule="exact"/>
        <w:rPr>
          <w:rFonts w:ascii="Arial" w:cs="Arial" w:eastAsia="Arial" w:hAnsi="Arial"/>
          <w:sz w:val="18"/>
          <w:szCs w:val="18"/>
          <w:color w:val="auto"/>
        </w:rPr>
      </w:pPr>
    </w:p>
    <w:p>
      <w:pPr>
        <w:jc w:val="both"/>
        <w:ind w:right="240" w:firstLine="8"/>
        <w:spacing w:after="0" w:line="342" w:lineRule="auto"/>
        <w:tabs>
          <w:tab w:leader="none" w:pos="517"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517"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3" w:lineRule="auto"/>
        <w:tabs>
          <w:tab w:leader="none" w:pos="51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0" w:firstLine="494"/>
        <w:spacing w:after="0" w:line="263" w:lineRule="auto"/>
        <w:tabs>
          <w:tab w:leader="none" w:pos="1001"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494"/>
        <w:spacing w:after="0" w:line="263" w:lineRule="auto"/>
        <w:tabs>
          <w:tab w:leader="none" w:pos="1011"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520" w:firstLine="494"/>
        <w:spacing w:after="0" w:line="342" w:lineRule="auto"/>
        <w:tabs>
          <w:tab w:leader="none" w:pos="1014"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firstLine="494"/>
        <w:spacing w:after="0" w:line="263" w:lineRule="auto"/>
        <w:tabs>
          <w:tab w:leader="none" w:pos="1011"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8"/>
        <w:spacing w:after="0" w:line="308" w:lineRule="auto"/>
        <w:tabs>
          <w:tab w:leader="none" w:pos="544"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780" w:firstLine="494"/>
        <w:spacing w:after="0" w:line="308" w:lineRule="auto"/>
        <w:tabs>
          <w:tab w:leader="none" w:pos="1014"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460" w:firstLine="494"/>
        <w:spacing w:after="0" w:line="277" w:lineRule="auto"/>
        <w:tabs>
          <w:tab w:leader="none" w:pos="1024"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1319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Lawrence E. McAlee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151" w:name="page152"/>
    <w:bookmarkEnd w:id="151"/>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4" w:lineRule="exact"/>
        <w:rPr>
          <w:sz w:val="20"/>
          <w:szCs w:val="20"/>
          <w:color w:val="auto"/>
        </w:rPr>
      </w:pPr>
    </w:p>
    <w:p>
      <w:pPr>
        <w:ind w:right="160" w:firstLine="8"/>
        <w:spacing w:after="0" w:line="277" w:lineRule="auto"/>
        <w:tabs>
          <w:tab w:leader="none" w:pos="68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2020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160" w:firstLine="8"/>
        <w:spacing w:after="0" w:line="527" w:lineRule="auto"/>
        <w:tabs>
          <w:tab w:leader="none" w:pos="68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26, 2021</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A. Casale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 and Chairman</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Lawrence E. McAlee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1)"/>
      <w:numFmt w:val="lowerRoman"/>
      <w:start w:val="1"/>
    </w:lvl>
  </w:abstractNum>
  <w:abstractNum w:abstractNumId="9">
    <w:nsid w:val="579478FE"/>
    <w:multiLevelType w:val="hybridMultilevel"/>
    <w:lvl w:ilvl="0">
      <w:lvlJc w:val="left"/>
      <w:lvlText w:val="(%1)"/>
      <w:numFmt w:val="decimal"/>
      <w:start w:val="1"/>
    </w:lvl>
  </w:abstractNum>
  <w:abstractNum w:abstractNumId="10">
    <w:nsid w:val="749ABB43"/>
    <w:multiLevelType w:val="hybridMultilevel"/>
    <w:lvl w:ilvl="0">
      <w:lvlJc w:val="left"/>
      <w:lvlText w:val="(%1)"/>
      <w:numFmt w:val="decimal"/>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1"/>
      <w:numFmt w:val="upperLetter"/>
      <w:start w:val="61"/>
    </w:lvl>
  </w:abstractNum>
  <w:abstractNum w:abstractNumId="25">
    <w:nsid w:val="180115BE"/>
    <w:multiLevelType w:val="hybridMultilevel"/>
    <w:lvl w:ilvl="0">
      <w:lvlJc w:val="left"/>
      <w:lvlText w:val="(%1)"/>
      <w:numFmt w:val="decimal"/>
      <w:start w:val="7"/>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1)"/>
      <w:numFmt w:val="lowerRoman"/>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1)"/>
      <w:numFmt w:val="lowerRoman"/>
      <w:start w:val="3"/>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1)"/>
      <w:numFmt w:val="decimal"/>
      <w:start w:val="1"/>
    </w:lvl>
  </w:abstractNum>
  <w:abstractNum w:abstractNumId="49">
    <w:nsid w:val="15014ACB"/>
    <w:multiLevelType w:val="hybridMultilevel"/>
    <w:lvl w:ilvl="0">
      <w:lvlJc w:val="left"/>
      <w:lvlText w:val="(%1)"/>
      <w:numFmt w:val="decimal"/>
      <w:start w:val="2"/>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1)"/>
      <w:numFmt w:val="decimal"/>
      <w:start w:val="1"/>
    </w:lvl>
  </w:abstractNum>
  <w:abstractNum w:abstractNumId="55">
    <w:nsid w:val="168E121F"/>
    <w:multiLevelType w:val="hybridMultilevel"/>
    <w:lvl w:ilvl="0">
      <w:lvlJc w:val="left"/>
      <w:lvlText w:val="(%1)"/>
      <w:numFmt w:val="decimal"/>
      <w:start w:val="1"/>
    </w:lvl>
  </w:abstractNum>
  <w:abstractNum w:abstractNumId="56">
    <w:nsid w:val="1EBA5D23"/>
    <w:multiLevelType w:val="hybridMultilevel"/>
    <w:lvl w:ilvl="0">
      <w:lvlJc w:val="left"/>
      <w:lvlText w:val="(%1)"/>
      <w:numFmt w:val="decimal"/>
      <w:start w:val="1"/>
    </w:lvl>
  </w:abstractNum>
  <w:abstractNum w:abstractNumId="57">
    <w:nsid w:val="661E3F1E"/>
    <w:multiLevelType w:val="hybridMultilevel"/>
    <w:lvl w:ilvl="0">
      <w:lvlJc w:val="left"/>
      <w:lvlText w:val="(%1)"/>
      <w:numFmt w:val="decimal"/>
      <w:start w:val="1"/>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1)"/>
      <w:numFmt w:val="decimal"/>
      <w:start w:val="1"/>
    </w:lvl>
  </w:abstractNum>
  <w:abstractNum w:abstractNumId="63">
    <w:nsid w:val="BF72B14"/>
    <w:multiLevelType w:val="hybridMultilevel"/>
    <w:lvl w:ilvl="0">
      <w:lvlJc w:val="left"/>
      <w:lvlText w:val="(%1)"/>
      <w:numFmt w:val="decimal"/>
      <w:start w:val="3"/>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
      <w:numFmt w:val="bullet"/>
      <w:start w:val="1"/>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decimal"/>
      <w:start w:val="1"/>
    </w:lvl>
  </w:abstractNum>
  <w:abstractNum w:abstractNumId="69">
    <w:nsid w:val="3B0FD379"/>
    <w:multiLevelType w:val="hybridMultilevel"/>
    <w:lvl w:ilvl="0">
      <w:lvlJc w:val="left"/>
      <w:lvlText w:val="(%1)"/>
      <w:numFmt w:val="lowerLetter"/>
      <w:start w:val="1"/>
    </w:lvl>
    <w:lvl w:ilvl="1">
      <w:lvlJc w:val="left"/>
      <w:lvlText w:val="%2."/>
      <w:numFmt w:val="decimal"/>
      <w:start w:val="1"/>
    </w:lvl>
  </w:abstractNum>
  <w:abstractNum w:abstractNumId="70">
    <w:nsid w:val="68EB2F63"/>
    <w:multiLevelType w:val="hybridMultilevel"/>
    <w:lvl w:ilvl="0">
      <w:lvlJc w:val="left"/>
      <w:lvlText w:val="†"/>
      <w:numFmt w:val="bullet"/>
      <w:start w:val="1"/>
    </w:lvl>
  </w:abstractNum>
  <w:abstractNum w:abstractNumId="71">
    <w:nsid w:val="4962813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lowerRoman"/>
      <w:start w:val="1"/>
    </w:lvl>
  </w:abstractNum>
  <w:abstractNum w:abstractNumId="72">
    <w:nsid w:val="60B6DF70"/>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4)"/>
      <w:numFmt w:val="upperLetter"/>
      <w:start w:val="3"/>
    </w:lvl>
  </w:abstractNum>
  <w:abstractNum w:abstractNumId="73">
    <w:nsid w:val="6A5EE64"/>
    <w:multiLevelType w:val="hybridMultilevel"/>
    <w:lvl w:ilvl="0">
      <w:lvlJc w:val="left"/>
      <w:lvlText w:val="%1"/>
      <w:numFmt w:val="lowerLetter"/>
      <w:start w:val="1"/>
    </w:lvl>
    <w:lvl w:ilvl="1">
      <w:lvlJc w:val="left"/>
      <w:lvlText w:val="(%2)"/>
      <w:numFmt w:val="upperLetter"/>
      <w:start w:val="1"/>
    </w:lvl>
  </w:abstractNum>
  <w:abstractNum w:abstractNumId="74">
    <w:nsid w:val="14330624"/>
    <w:multiLevelType w:val="hybridMultilevel"/>
    <w:lvl w:ilvl="0">
      <w:lvlJc w:val="left"/>
      <w:lvlText w:val="(%1)"/>
      <w:numFmt w:val="lowerLetter"/>
      <w:start w:val="4"/>
    </w:lvl>
    <w:lvl w:ilvl="1">
      <w:lvlJc w:val="left"/>
      <w:lvlText w:val="%2"/>
      <w:numFmt w:val="upperLetter"/>
      <w:start w:val="1"/>
    </w:lvl>
  </w:abstractNum>
  <w:abstractNum w:abstractNumId="75">
    <w:nsid w:val="7FFFCA11"/>
    <w:multiLevelType w:val="hybridMultilevel"/>
    <w:lvl w:ilvl="0">
      <w:lvlJc w:val="left"/>
      <w:lvlText w:val="(%1)"/>
      <w:numFmt w:val="lowerLetter"/>
      <w:start w:val="1"/>
    </w:lvl>
  </w:abstractNum>
  <w:abstractNum w:abstractNumId="76">
    <w:nsid w:val="1A27709E"/>
    <w:multiLevelType w:val="hybridMultilevel"/>
    <w:lvl w:ilvl="0">
      <w:lvlJc w:val="left"/>
      <w:lvlText w:val="(%1)"/>
      <w:numFmt w:val="lowerLetter"/>
      <w:start w:val="1"/>
    </w:lvl>
    <w:lvl w:ilvl="1">
      <w:lvlJc w:val="left"/>
      <w:lvlText w:val="(%2)"/>
      <w:numFmt w:val="lowerRoman"/>
      <w:start w:val="1"/>
    </w:lvl>
  </w:abstractNum>
  <w:abstractNum w:abstractNumId="77">
    <w:nsid w:val="71EA110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78">
    <w:nsid w:val="100F59D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9">
    <w:nsid w:val="7FB7E0AA"/>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80">
    <w:nsid w:val="6EB5BD4"/>
    <w:multiLevelType w:val="hybridMultilevel"/>
    <w:lvl w:ilvl="0">
      <w:lvlJc w:val="left"/>
      <w:lvlText w:val="(%1)"/>
      <w:numFmt w:val="lowerLetter"/>
      <w:start w:val="5"/>
    </w:lvl>
  </w:abstractNum>
  <w:abstractNum w:abstractNumId="81">
    <w:nsid w:val="6F6DD9AC"/>
    <w:multiLevelType w:val="hybridMultilevel"/>
    <w:lvl w:ilvl="0">
      <w:lvlJc w:val="left"/>
      <w:lvlText w:val="(%1)"/>
      <w:numFmt w:val="lowerLetter"/>
      <w:start w:val="1"/>
    </w:lvl>
  </w:abstractNum>
  <w:abstractNum w:abstractNumId="82">
    <w:nsid w:val="94211F2"/>
    <w:multiLevelType w:val="hybridMultilevel"/>
    <w:lvl w:ilvl="0">
      <w:lvlJc w:val="left"/>
      <w:lvlText w:val="(%1)"/>
      <w:numFmt w:val="lowerLetter"/>
      <w:start w:val="6"/>
    </w:lvl>
  </w:abstractNum>
  <w:abstractNum w:abstractNumId="83">
    <w:nsid w:val="885E1B"/>
    <w:multiLevelType w:val="hybridMultilevel"/>
    <w:lvl w:ilvl="0">
      <w:lvlJc w:val="left"/>
      <w:lvlText w:val="(%1)"/>
      <w:numFmt w:val="lowerLetter"/>
      <w:start w:val="1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51" Type="http://schemas.openxmlformats.org/officeDocument/2006/relationships/hyperlink" Target="http://www.sec.gov/Archives/edgar/data/1448893/000104746913009103/a2216665zex-3_1.htm" TargetMode="External"/><Relationship Id="rId152" Type="http://schemas.openxmlformats.org/officeDocument/2006/relationships/hyperlink" Target="http://www.sec.gov/Archives/edgar/data/1448893/000104746913009103/a2216665zex-3_2.htm" TargetMode="External"/><Relationship Id="rId153" Type="http://schemas.openxmlformats.org/officeDocument/2006/relationships/hyperlink" Target="http://www.sec.gov/Archives/edgar/data/1448893/000104746913009786/a2216918zex-3_21.htm" TargetMode="External"/><Relationship Id="rId154" Type="http://schemas.openxmlformats.org/officeDocument/2006/relationships/hyperlink" Target="http://www.sec.gov/Archives/edgar/data/1448893/000104746914002063/a2218772zex-3_3.htm" TargetMode="External"/><Relationship Id="rId155" Type="http://schemas.openxmlformats.org/officeDocument/2006/relationships/hyperlink" Target="http://www.sec.gov/Archives/edgar/data/1448893/000104746913009786/a2216918zex-4_1.htm" TargetMode="External"/><Relationship Id="rId156" Type="http://schemas.openxmlformats.org/officeDocument/2006/relationships/hyperlink" Target="http://www.sec.gov/Archives/edgar/data/1448893/000110465914080985/a14-19645_1ex4d1.htm" TargetMode="External"/><Relationship Id="rId157" Type="http://schemas.openxmlformats.org/officeDocument/2006/relationships/hyperlink" Target="http://www.sec.gov/Archives/edgar/data/1448893/000104746913009103/a2216665zex-10_4.htm" TargetMode="External"/><Relationship Id="rId158" Type="http://schemas.openxmlformats.org/officeDocument/2006/relationships/hyperlink" Target="http://www.sec.gov/Archives/edgar/data/1448893/000162828016011882/a12311510kex108.htm" TargetMode="External"/><Relationship Id="rId159" Type="http://schemas.openxmlformats.org/officeDocument/2006/relationships/hyperlink" Target="http://www.sec.gov/Archives/edgar/data/1448893/000162828017003281/a2017def14aproxystatement.htm" TargetMode="External"/><Relationship Id="rId160" Type="http://schemas.openxmlformats.org/officeDocument/2006/relationships/hyperlink" Target="http://www.sec.gov/Archives/edgar/data/1448893/000104746913009304/a2216729zex-10_11.htm" TargetMode="External"/><Relationship Id="rId161" Type="http://schemas.openxmlformats.org/officeDocument/2006/relationships/hyperlink" Target="http://www.sec.gov/Archives/edgar/data/1448893/000104746915001414/a2223199zex-10_11.htm" TargetMode="External"/><Relationship Id="rId162" Type="http://schemas.openxmlformats.org/officeDocument/2006/relationships/hyperlink" Target="http://www.sec.gov/Archives/edgar/data/1448893/000144889319000048/a33119ex101.htm" TargetMode="External"/><Relationship Id="rId163" Type="http://schemas.openxmlformats.org/officeDocument/2006/relationships/hyperlink" Target="http://www.sec.gov/Archives/edgar/data/1448893/000104746913009304/a2216729zex-10_13.htm" TargetMode="External"/><Relationship Id="rId164" Type="http://schemas.openxmlformats.org/officeDocument/2006/relationships/hyperlink" Target="http://www.sec.gov/Archives/edgar/data/1448893/000104746913009496/a2216887zex-10_14.htm" TargetMode="External"/><Relationship Id="rId165" Type="http://schemas.openxmlformats.org/officeDocument/2006/relationships/hyperlink" Target="http://www.sec.gov/Archives/edgar/data/1448893/000104746913009496/a2216887zex-10_16.htm" TargetMode="External"/><Relationship Id="rId168" Type="http://schemas.openxmlformats.org/officeDocument/2006/relationships/hyperlink" Target="http://www.sec.gov/Archives/edgar/data/1448893/000104746915001414/a2223199zex-10_16.htm" TargetMode="External"/><Relationship Id="rId169" Type="http://schemas.openxmlformats.org/officeDocument/2006/relationships/hyperlink" Target="http://www.sec.gov/Archives/edgar/data/1448893/000104746915001414/a2223199zex-10_17.htm" TargetMode="External"/><Relationship Id="rId170" Type="http://schemas.openxmlformats.org/officeDocument/2006/relationships/hyperlink" Target="http://www.sec.gov/Archives/edgar/data/1448893/000162828016011882/a12311510kex1018.htm" TargetMode="External"/><Relationship Id="rId171" Type="http://schemas.openxmlformats.org/officeDocument/2006/relationships/hyperlink" Target="http://www.sec.gov/Archives/edgar/data/1448893/000162828017001400/a123116ex1019.htm" TargetMode="External"/><Relationship Id="rId172" Type="http://schemas.openxmlformats.org/officeDocument/2006/relationships/hyperlink" Target="http://www.sec.gov/Archives/edgar/data/1448893/000144889319000015/a123118ex1013.htm" TargetMode="External"/><Relationship Id="rId173" Type="http://schemas.openxmlformats.org/officeDocument/2006/relationships/hyperlink" Target="http://www.sec.gov/Archives/edgar/data/1448893/000104746913009103/a2216665zex-10_17.htm" TargetMode="External"/><Relationship Id="rId174" Type="http://schemas.openxmlformats.org/officeDocument/2006/relationships/hyperlink" Target="http://www.sec.gov/Archives/edgar/data/1448893/000104746913009496/a2216887zex-10_18.htm" TargetMode="External"/><Relationship Id="rId175" Type="http://schemas.openxmlformats.org/officeDocument/2006/relationships/hyperlink" Target="https://www.sec.gov/Archives/edgar/data/1448893/000144889320000107/essent-2020xsecondarcra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2021-02-26T08:16:01Z</dcterms:created>
  <dcterms:modified xsi:type="dcterms:W3CDTF">2021-02-26T08:16:01Z</dcterms:modified>
</cp:coreProperties>
</file>