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35"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109855</wp:posOffset>
            </wp:positionV>
            <wp:extent cx="3070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82550</wp:posOffset>
            </wp:positionV>
            <wp:extent cx="3070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33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6" w:lineRule="exact"/>
        <w:rPr>
          <w:sz w:val="24"/>
          <w:szCs w:val="24"/>
          <w:color w:val="auto"/>
        </w:rPr>
      </w:pPr>
    </w:p>
    <w:p>
      <w:pPr>
        <w:ind w:left="800" w:hanging="473"/>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2024</w:t>
      </w:r>
    </w:p>
    <w:p>
      <w:pPr>
        <w:spacing w:after="0" w:line="132" w:lineRule="exact"/>
        <w:rPr>
          <w:sz w:val="24"/>
          <w:szCs w:val="24"/>
          <w:color w:val="auto"/>
        </w:rPr>
      </w:pPr>
    </w:p>
    <w:p>
      <w:pPr>
        <w:ind w:left="800" w:hanging="473"/>
        <w:spacing w:after="0"/>
        <w:tabs>
          <w:tab w:leader="none" w:pos="8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8" w:right="339" w:bottom="1440" w:gutter="0" w:footer="0" w:header="0"/>
        </w:sectPr>
      </w:pPr>
    </w:p>
    <w:p>
      <w:pPr>
        <w:spacing w:after="0" w:line="6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79" w:lineRule="exact"/>
        <w:rPr>
          <w:sz w:val="24"/>
          <w:szCs w:val="24"/>
          <w:color w:val="auto"/>
        </w:rPr>
      </w:pPr>
    </w:p>
    <w:p>
      <w:pPr>
        <w:sectPr>
          <w:pgSz w:w="11900" w:h="16838" w:orient="portrait"/>
          <w:cols w:equalWidth="0" w:num="2">
            <w:col w:w="6060" w:space="560"/>
            <w:col w:w="4620"/>
          </w:cols>
          <w:pgMar w:left="320" w:top="228"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122555</wp:posOffset>
            </wp:positionV>
            <wp:extent cx="3070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p>
      <w:pPr>
        <w:spacing w:after="0" w:line="248" w:lineRule="exact"/>
        <w:rPr>
          <w:sz w:val="24"/>
          <w:szCs w:val="24"/>
          <w:color w:val="auto"/>
        </w:rPr>
      </w:pPr>
    </w:p>
    <w:tbl>
      <w:tblPr>
        <w:tblLayout w:type="fixed"/>
        <w:tblInd w:w="1720" w:type="dxa"/>
        <w:tblCellMar>
          <w:top w:w="0" w:type="dxa"/>
          <w:left w:w="0" w:type="dxa"/>
          <w:bottom w:w="0" w:type="dxa"/>
          <w:right w:w="0" w:type="dxa"/>
        </w:tblCellMar>
      </w:tblPr>
      <w:tr>
        <w:trPr>
          <w:trHeight w:val="371"/>
        </w:trPr>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20" w:type="dxa"/>
            <w:vAlign w:val="bottom"/>
            <w:gridSpan w:val="2"/>
          </w:tcPr>
          <w:p>
            <w:pPr>
              <w:jc w:val="center"/>
              <w:ind w:right="1800"/>
              <w:spacing w:after="0"/>
              <w:rPr>
                <w:sz w:val="20"/>
                <w:szCs w:val="20"/>
                <w:color w:val="auto"/>
              </w:rPr>
            </w:pPr>
            <w:r>
              <w:rPr>
                <w:rFonts w:ascii="Times New Roman" w:cs="Times New Roman" w:eastAsia="Times New Roman" w:hAnsi="Times New Roman"/>
                <w:sz w:val="28"/>
                <w:szCs w:val="28"/>
                <w:b w:val="1"/>
                <w:bCs w:val="1"/>
                <w:color w:val="auto"/>
              </w:rPr>
              <w:t>ESSENT GROUP LTD.</w:t>
            </w:r>
          </w:p>
        </w:tc>
      </w:tr>
      <w:tr>
        <w:trPr>
          <w:trHeight w:val="209"/>
        </w:trPr>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20" w:type="dxa"/>
            <w:vAlign w:val="bottom"/>
            <w:gridSpan w:val="2"/>
          </w:tcPr>
          <w:p>
            <w:pPr>
              <w:jc w:val="center"/>
              <w:ind w:right="18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6"/>
        </w:trPr>
        <w:tc>
          <w:tcPr>
            <w:tcW w:w="1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2"/>
        </w:trPr>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5420" w:type="dxa"/>
            <w:vAlign w:val="bottom"/>
            <w:gridSpan w:val="2"/>
          </w:tcPr>
          <w:p>
            <w:pPr>
              <w:jc w:val="center"/>
              <w:ind w:left="384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6"/>
        </w:trPr>
        <w:tc>
          <w:tcPr>
            <w:tcW w:w="2100" w:type="dxa"/>
            <w:vAlign w:val="bottom"/>
            <w:gridSpan w:val="2"/>
          </w:tcPr>
          <w:p>
            <w:pPr>
              <w:jc w:val="center"/>
              <w:ind w:right="160"/>
              <w:spacing w:after="0" w:line="166"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20" w:type="dxa"/>
            <w:vAlign w:val="bottom"/>
            <w:gridSpan w:val="2"/>
          </w:tcPr>
          <w:p>
            <w:pPr>
              <w:jc w:val="center"/>
              <w:ind w:left="3829"/>
              <w:spacing w:after="0" w:line="166" w:lineRule="exact"/>
              <w:rPr>
                <w:sz w:val="20"/>
                <w:szCs w:val="20"/>
                <w:color w:val="auto"/>
              </w:rPr>
            </w:pPr>
            <w:r>
              <w:rPr>
                <w:rFonts w:ascii="Times New Roman" w:cs="Times New Roman" w:eastAsia="Times New Roman" w:hAnsi="Times New Roman"/>
                <w:sz w:val="16"/>
                <w:szCs w:val="16"/>
                <w:color w:val="auto"/>
              </w:rPr>
              <w:t>(I.R.S. Employer</w:t>
            </w:r>
          </w:p>
        </w:tc>
      </w:tr>
      <w:tr>
        <w:trPr>
          <w:trHeight w:val="209"/>
        </w:trPr>
        <w:tc>
          <w:tcPr>
            <w:tcW w:w="2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20" w:type="dxa"/>
            <w:vAlign w:val="bottom"/>
            <w:gridSpan w:val="2"/>
          </w:tcPr>
          <w:p>
            <w:pPr>
              <w:jc w:val="center"/>
              <w:ind w:left="3849"/>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80"/>
        </w:trPr>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20" w:type="dxa"/>
            <w:vAlign w:val="bottom"/>
            <w:gridSpan w:val="2"/>
          </w:tcPr>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50" w:type="dxa"/>
        <w:tblCellMar>
          <w:top w:w="0" w:type="dxa"/>
          <w:left w:w="0" w:type="dxa"/>
          <w:bottom w:w="0" w:type="dxa"/>
          <w:right w:w="0" w:type="dxa"/>
        </w:tblCellMar>
      </w:tblPr>
      <w:tr>
        <w:trPr>
          <w:trHeight w:val="226"/>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2"/>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6" w:lineRule="exact"/>
        <w:rPr>
          <w:sz w:val="24"/>
          <w:szCs w:val="24"/>
          <w:color w:val="auto"/>
        </w:rPr>
      </w:pPr>
    </w:p>
    <w:p>
      <w:pPr>
        <w:jc w:val="both"/>
        <w:ind w:right="180" w:firstLine="56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00" w:firstLine="56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firstLine="56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440" w:type="dxa"/>
        <w:tblCellMar>
          <w:top w:w="0" w:type="dxa"/>
          <w:left w:w="0" w:type="dxa"/>
          <w:bottom w:w="0" w:type="dxa"/>
          <w:right w:w="0" w:type="dxa"/>
        </w:tblCellMar>
      </w:tblPr>
      <w:tr>
        <w:trPr>
          <w:trHeight w:val="227"/>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60" w:firstLine="561"/>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520"/>
        <w:spacing w:after="0" w:line="2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October 31, 2024 was 106,213,137.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538480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8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80" w:type="dxa"/>
            <w:vAlign w:val="bottom"/>
          </w:tcPr>
          <w:p>
            <w:pPr>
              <w:spacing w:after="0"/>
              <w:rPr>
                <w:sz w:val="24"/>
                <w:szCs w:val="24"/>
                <w:color w:val="auto"/>
              </w:rPr>
            </w:pPr>
          </w:p>
        </w:tc>
        <w:tc>
          <w:tcPr>
            <w:tcW w:w="6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Condensed Consolidated Balance Sheets (Unaudited)</w:t>
            </w:r>
          </w:p>
        </w:tc>
        <w:tc>
          <w:tcPr>
            <w:tcW w:w="4080" w:type="dxa"/>
            <w:vAlign w:val="bottom"/>
            <w:gridSpan w:val="8"/>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Condensed Consolidated Statements of Comprehensive Income (Unaudited)</w:t>
            </w:r>
          </w:p>
        </w:tc>
        <w:tc>
          <w:tcPr>
            <w:tcW w:w="2340" w:type="dxa"/>
            <w:vAlign w:val="bottom"/>
            <w:gridSpan w:val="3"/>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Condensed Consolidated Statements of Changes in Stockholders’ Equity (Unaudited)</w:t>
            </w:r>
          </w:p>
        </w:tc>
        <w:tc>
          <w:tcPr>
            <w:tcW w:w="1640" w:type="dxa"/>
            <w:vAlign w:val="bottom"/>
            <w:gridSpan w:val="2"/>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Condensed Consolidated Statements of Cash Flows (Unaudited)</w:t>
            </w:r>
          </w:p>
        </w:tc>
        <w:tc>
          <w:tcPr>
            <w:tcW w:w="1620" w:type="dxa"/>
            <w:vAlign w:val="bottom"/>
            <w:gridSpan w:val="3"/>
          </w:tcPr>
          <w:p>
            <w:pPr>
              <w:spacing w:after="0"/>
              <w:rPr>
                <w:sz w:val="24"/>
                <w:szCs w:val="24"/>
                <w:color w:val="auto"/>
              </w:rPr>
            </w:pPr>
          </w:p>
        </w:tc>
        <w:tc>
          <w:tcPr>
            <w:tcW w:w="1640" w:type="dxa"/>
            <w:vAlign w:val="bottom"/>
            <w:gridSpan w:val="2"/>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434"/>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3.</w:t>
            </w:r>
          </w:p>
        </w:tc>
        <w:tc>
          <w:tcPr>
            <w:tcW w:w="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434"/>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4.</w:t>
            </w:r>
          </w:p>
        </w:tc>
        <w:tc>
          <w:tcPr>
            <w:tcW w:w="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Controls and Procedures</w:t>
            </w:r>
          </w:p>
        </w:tc>
        <w:tc>
          <w:tcPr>
            <w:tcW w:w="2720" w:type="dxa"/>
            <w:vAlign w:val="bottom"/>
            <w:tcBorders>
              <w:top w:val="single" w:sz="8" w:color="0000FF"/>
            </w:tcBorders>
            <w:gridSpan w:val="6"/>
          </w:tcPr>
          <w:p>
            <w:pPr>
              <w:spacing w:after="0"/>
              <w:rPr>
                <w:sz w:val="24"/>
                <w:szCs w:val="24"/>
                <w:color w:val="auto"/>
              </w:rPr>
            </w:pPr>
          </w:p>
        </w:tc>
        <w:tc>
          <w:tcPr>
            <w:tcW w:w="3500" w:type="dxa"/>
            <w:vAlign w:val="bottom"/>
            <w:gridSpan w:val="6"/>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434"/>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434"/>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160" w:type="dxa"/>
            <w:vAlign w:val="bottom"/>
            <w:tcBorders>
              <w:top w:val="single" w:sz="8" w:color="0000FF"/>
            </w:tcBorders>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Legal Proceedings</w:t>
            </w:r>
          </w:p>
        </w:tc>
        <w:tc>
          <w:tcPr>
            <w:tcW w:w="600" w:type="dxa"/>
            <w:vAlign w:val="bottom"/>
            <w:tcBorders>
              <w:top w:val="single" w:sz="8" w:color="0000FF"/>
            </w:tcBorders>
            <w:gridSpan w:val="2"/>
          </w:tcPr>
          <w:p>
            <w:pPr>
              <w:spacing w:after="0"/>
              <w:rPr>
                <w:sz w:val="24"/>
                <w:szCs w:val="24"/>
                <w:color w:val="auto"/>
              </w:rPr>
            </w:pPr>
          </w:p>
        </w:tc>
        <w:tc>
          <w:tcPr>
            <w:tcW w:w="6120" w:type="dxa"/>
            <w:vAlign w:val="bottom"/>
            <w:gridSpan w:val="11"/>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43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120" w:type="dxa"/>
            <w:vAlign w:val="bottom"/>
            <w:gridSpan w:val="2"/>
          </w:tcPr>
          <w:p>
            <w:pPr>
              <w:spacing w:after="0"/>
              <w:rPr>
                <w:sz w:val="24"/>
                <w:szCs w:val="24"/>
                <w:color w:val="auto"/>
              </w:rPr>
            </w:pPr>
          </w:p>
        </w:tc>
        <w:tc>
          <w:tcPr>
            <w:tcW w:w="6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434"/>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7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36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right="120" w:firstLine="641"/>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2023 filed with the Securities and Exchange Commission. These factors include, without limitation, the following:</w:t>
      </w:r>
    </w:p>
    <w:p>
      <w:pPr>
        <w:spacing w:after="0" w:line="185" w:lineRule="exact"/>
        <w:rPr>
          <w:sz w:val="20"/>
          <w:szCs w:val="20"/>
          <w:color w:val="auto"/>
        </w:rPr>
      </w:pPr>
    </w:p>
    <w:p>
      <w:pPr>
        <w:ind w:left="640" w:right="18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47" w:lineRule="exact"/>
        <w:rPr>
          <w:rFonts w:ascii="Times New Roman" w:cs="Times New Roman" w:eastAsia="Times New Roman" w:hAnsi="Times New Roman"/>
          <w:sz w:val="18"/>
          <w:szCs w:val="18"/>
          <w:color w:val="auto"/>
        </w:rPr>
      </w:pPr>
    </w:p>
    <w:p>
      <w:pPr>
        <w:ind w:left="640" w:right="10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47" w:lineRule="exact"/>
        <w:rPr>
          <w:rFonts w:ascii="Times New Roman" w:cs="Times New Roman" w:eastAsia="Times New Roman" w:hAnsi="Times New Roman"/>
          <w:sz w:val="18"/>
          <w:szCs w:val="18"/>
          <w:color w:val="auto"/>
        </w:rPr>
      </w:pPr>
    </w:p>
    <w:p>
      <w:pPr>
        <w:ind w:left="640" w:right="38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90" w:lineRule="exact"/>
        <w:rPr>
          <w:rFonts w:ascii="Times New Roman" w:cs="Times New Roman" w:eastAsia="Times New Roman" w:hAnsi="Times New Roman"/>
          <w:sz w:val="18"/>
          <w:szCs w:val="18"/>
          <w:color w:val="auto"/>
        </w:rPr>
      </w:pPr>
    </w:p>
    <w:p>
      <w:pPr>
        <w:ind w:left="640" w:right="6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0"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8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60" w:type="dxa"/>
            <w:vAlign w:val="bottom"/>
            <w:gridSpan w:val="2"/>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PART I — FINANCIAL INFORMATION</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7"/>
        </w:trPr>
        <w:tc>
          <w:tcPr>
            <w:tcW w:w="8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60" w:type="dxa"/>
            <w:vAlign w:val="bottom"/>
            <w:gridSpan w:val="2"/>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60" w:type="dxa"/>
            <w:vAlign w:val="bottom"/>
            <w:gridSpan w:val="2"/>
          </w:tcPr>
          <w:p>
            <w:pPr>
              <w:jc w:val="center"/>
              <w:ind w:left="1851"/>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 (Unaudited)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0" w:type="dxa"/>
            <w:vAlign w:val="bottom"/>
          </w:tcPr>
          <w:p>
            <w:pPr>
              <w:spacing w:after="0"/>
              <w:rPr>
                <w:sz w:val="20"/>
                <w:szCs w:val="20"/>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8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8000" w:type="dxa"/>
            <w:vAlign w:val="bottom"/>
            <w:gridSpan w:val="3"/>
            <w:shd w:val="clear" w:color="auto" w:fill="CCEEFF"/>
          </w:tcPr>
          <w:p>
            <w:pPr>
              <w:ind w:left="260"/>
              <w:spacing w:after="0" w:line="174"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2024 — $5,137,856;</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8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2023 — $4,658,168)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4,919,868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4,335,008</w:t>
            </w:r>
          </w:p>
        </w:tc>
      </w:tr>
      <w:tr>
        <w:trPr>
          <w:trHeight w:val="174"/>
        </w:trPr>
        <w:tc>
          <w:tcPr>
            <w:tcW w:w="40" w:type="dxa"/>
            <w:vAlign w:val="bottom"/>
          </w:tcPr>
          <w:p>
            <w:pPr>
              <w:spacing w:after="0"/>
              <w:rPr>
                <w:sz w:val="15"/>
                <w:szCs w:val="15"/>
                <w:color w:val="auto"/>
              </w:rPr>
            </w:pPr>
          </w:p>
        </w:tc>
        <w:tc>
          <w:tcPr>
            <w:tcW w:w="8000" w:type="dxa"/>
            <w:vAlign w:val="bottom"/>
            <w:gridSpan w:val="3"/>
          </w:tcPr>
          <w:p>
            <w:pPr>
              <w:ind w:left="260"/>
              <w:spacing w:after="0" w:line="174"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2024 —</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800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$1,030,081; 2023 — $928,562)</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1,030,631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928,731</w:t>
            </w:r>
          </w:p>
        </w:tc>
      </w:tr>
      <w:tr>
        <w:trPr>
          <w:trHeight w:val="220"/>
        </w:trPr>
        <w:tc>
          <w:tcPr>
            <w:tcW w:w="40" w:type="dxa"/>
            <w:vAlign w:val="bottom"/>
          </w:tcPr>
          <w:p>
            <w:pPr>
              <w:spacing w:after="0"/>
              <w:rPr>
                <w:sz w:val="19"/>
                <w:szCs w:val="19"/>
                <w:color w:val="auto"/>
              </w:rPr>
            </w:pPr>
          </w:p>
        </w:tc>
        <w:tc>
          <w:tcPr>
            <w:tcW w:w="8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5,263,739</w:t>
            </w:r>
          </w:p>
        </w:tc>
      </w:tr>
      <w:tr>
        <w:trPr>
          <w:trHeight w:val="227"/>
        </w:trPr>
        <w:tc>
          <w:tcPr>
            <w:tcW w:w="40" w:type="dxa"/>
            <w:vAlign w:val="bottom"/>
          </w:tcPr>
          <w:p>
            <w:pPr>
              <w:spacing w:after="0"/>
              <w:rPr>
                <w:sz w:val="19"/>
                <w:szCs w:val="19"/>
                <w:color w:val="auto"/>
              </w:rPr>
            </w:pPr>
          </w:p>
        </w:tc>
        <w:tc>
          <w:tcPr>
            <w:tcW w:w="80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invested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277,226</w:t>
            </w:r>
          </w:p>
        </w:tc>
      </w:tr>
      <w:tr>
        <w:trPr>
          <w:trHeight w:val="220"/>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5,540,965</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141,787</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63,266</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r>
      <w:tr>
        <w:trPr>
          <w:trHeight w:val="174"/>
        </w:trPr>
        <w:tc>
          <w:tcPr>
            <w:tcW w:w="40" w:type="dxa"/>
            <w:vAlign w:val="bottom"/>
          </w:tcPr>
          <w:p>
            <w:pPr>
              <w:spacing w:after="0"/>
              <w:rPr>
                <w:sz w:val="15"/>
                <w:szCs w:val="15"/>
                <w:color w:val="auto"/>
              </w:rPr>
            </w:pPr>
          </w:p>
        </w:tc>
        <w:tc>
          <w:tcPr>
            <w:tcW w:w="800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$74,054 in 2024 and</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80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$71,168 in 2023)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41,304</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470,646</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72,826</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r>
      <w:tr>
        <w:trPr>
          <w:trHeight w:val="220"/>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7,126,539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6,426,673</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140,285</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362,753</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Credit facility borrowings (at carrying value, less unamortized deferred costs of $3,080 in 2023)</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421,920</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139,070</w:t>
            </w:r>
          </w:p>
        </w:tc>
      </w:tr>
      <w:tr>
        <w:trPr>
          <w:trHeight w:val="220"/>
        </w:trPr>
        <w:tc>
          <w:tcPr>
            <w:tcW w:w="40" w:type="dxa"/>
            <w:vAlign w:val="bottom"/>
          </w:tcPr>
          <w:p>
            <w:pPr>
              <w:spacing w:after="0"/>
              <w:rPr>
                <w:sz w:val="19"/>
                <w:szCs w:val="19"/>
                <w:color w:val="auto"/>
              </w:rPr>
            </w:pPr>
          </w:p>
        </w:tc>
        <w:tc>
          <w:tcPr>
            <w:tcW w:w="8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1,324,123</w:t>
            </w:r>
          </w:p>
        </w:tc>
      </w:tr>
      <w:tr>
        <w:trPr>
          <w:trHeight w:val="207"/>
        </w:trPr>
        <w:tc>
          <w:tcPr>
            <w:tcW w:w="40" w:type="dxa"/>
            <w:vAlign w:val="bottom"/>
          </w:tcPr>
          <w:p>
            <w:pPr>
              <w:spacing w:after="0"/>
              <w:rPr>
                <w:sz w:val="18"/>
                <w:szCs w:val="18"/>
                <w:color w:val="auto"/>
              </w:rPr>
            </w:pPr>
          </w:p>
        </w:tc>
        <w:tc>
          <w:tcPr>
            <w:tcW w:w="8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8000" w:type="dxa"/>
            <w:vAlign w:val="bottom"/>
            <w:gridSpan w:val="3"/>
          </w:tcPr>
          <w:p>
            <w:pPr>
              <w:ind w:left="420"/>
              <w:spacing w:after="0" w:line="174" w:lineRule="exact"/>
              <w:rPr>
                <w:sz w:val="20"/>
                <w:szCs w:val="20"/>
                <w:color w:val="auto"/>
              </w:rPr>
            </w:pPr>
            <w:r>
              <w:rPr>
                <w:rFonts w:ascii="Times New Roman" w:cs="Times New Roman" w:eastAsia="Times New Roman" w:hAnsi="Times New Roman"/>
                <w:sz w:val="18"/>
                <w:szCs w:val="18"/>
                <w:color w:val="auto"/>
              </w:rPr>
              <w:t>Authorized - 233,333; issued and outstanding - 106,204 shares in 2024 and 106,597</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8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shares in 2023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1,299,869</w:t>
            </w:r>
          </w:p>
        </w:tc>
      </w:tr>
      <w:tr>
        <w:trPr>
          <w:trHeight w:val="227"/>
        </w:trPr>
        <w:tc>
          <w:tcPr>
            <w:tcW w:w="40" w:type="dxa"/>
            <w:vAlign w:val="bottom"/>
          </w:tcPr>
          <w:p>
            <w:pPr>
              <w:spacing w:after="0"/>
              <w:rPr>
                <w:sz w:val="19"/>
                <w:szCs w:val="19"/>
                <w:color w:val="auto"/>
              </w:rPr>
            </w:pPr>
          </w:p>
        </w:tc>
        <w:tc>
          <w:tcPr>
            <w:tcW w:w="8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r>
      <w:tr>
        <w:trPr>
          <w:trHeight w:val="227"/>
        </w:trPr>
        <w:tc>
          <w:tcPr>
            <w:tcW w:w="40" w:type="dxa"/>
            <w:vAlign w:val="bottom"/>
          </w:tcPr>
          <w:p>
            <w:pPr>
              <w:spacing w:after="0"/>
              <w:rPr>
                <w:sz w:val="19"/>
                <w:szCs w:val="19"/>
                <w:color w:val="auto"/>
              </w:rPr>
            </w:pPr>
          </w:p>
        </w:tc>
        <w:tc>
          <w:tcPr>
            <w:tcW w:w="8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4,081,578</w:t>
            </w:r>
          </w:p>
        </w:tc>
      </w:tr>
      <w:tr>
        <w:trPr>
          <w:trHeight w:val="220"/>
        </w:trPr>
        <w:tc>
          <w:tcPr>
            <w:tcW w:w="40" w:type="dxa"/>
            <w:vAlign w:val="bottom"/>
          </w:tcPr>
          <w:p>
            <w:pPr>
              <w:spacing w:after="0"/>
              <w:rPr>
                <w:sz w:val="19"/>
                <w:szCs w:val="19"/>
                <w:color w:val="auto"/>
              </w:rPr>
            </w:pPr>
          </w:p>
        </w:tc>
        <w:tc>
          <w:tcPr>
            <w:tcW w:w="80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5,640,985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5,102,550</w:t>
            </w:r>
          </w:p>
        </w:tc>
      </w:tr>
      <w:tr>
        <w:trPr>
          <w:trHeight w:val="245"/>
        </w:trPr>
        <w:tc>
          <w:tcPr>
            <w:tcW w:w="40" w:type="dxa"/>
            <w:vAlign w:val="bottom"/>
          </w:tcPr>
          <w:p>
            <w:pPr>
              <w:spacing w:after="0"/>
              <w:rPr>
                <w:sz w:val="20"/>
                <w:szCs w:val="20"/>
                <w:color w:val="auto"/>
              </w:rPr>
            </w:pPr>
          </w:p>
        </w:tc>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7,126,539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6,426,673</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240,574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727,071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656,095</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0" w:type="dxa"/>
            <w:vAlign w:val="bottom"/>
          </w:tcPr>
          <w:p>
            <w:pPr>
              <w:spacing w:after="0"/>
              <w:rPr>
                <w:sz w:val="1"/>
                <w:szCs w:val="1"/>
                <w:color w:val="auto"/>
              </w:rPr>
            </w:pPr>
          </w:p>
        </w:tc>
      </w:tr>
      <w:tr>
        <w:trPr>
          <w:trHeight w:val="22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671,292</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135,558</w:t>
            </w: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27"/>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812,482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145,183</w:t>
            </w: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retained by agents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192,444</w:t>
            </w: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620,038</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w:t>
            </w:r>
          </w:p>
        </w:tc>
        <w:tc>
          <w:tcPr>
            <w:tcW w:w="0" w:type="dxa"/>
            <w:vAlign w:val="bottom"/>
          </w:tcPr>
          <w:p>
            <w:pPr>
              <w:spacing w:after="0"/>
              <w:rPr>
                <w:sz w:val="1"/>
                <w:szCs w:val="1"/>
                <w:color w:val="auto"/>
              </w:rPr>
            </w:pPr>
          </w:p>
        </w:tc>
      </w:tr>
      <w:tr>
        <w:trPr>
          <w:trHeight w:val="22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521,019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7"/>
        </w:trPr>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106,387</w:t>
            </w:r>
          </w:p>
        </w:tc>
        <w:tc>
          <w:tcPr>
            <w:tcW w:w="0" w:type="dxa"/>
            <w:vAlign w:val="bottom"/>
          </w:tcPr>
          <w:p>
            <w:pPr>
              <w:spacing w:after="0"/>
              <w:rPr>
                <w:sz w:val="1"/>
                <w:szCs w:val="1"/>
                <w:color w:val="auto"/>
              </w:rPr>
            </w:pPr>
          </w:p>
        </w:tc>
      </w:tr>
      <w:tr>
        <w:trPr>
          <w:trHeight w:val="227"/>
        </w:trPr>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177,959</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521,019</w:t>
            </w:r>
          </w:p>
        </w:tc>
        <w:tc>
          <w:tcPr>
            <w:tcW w:w="0" w:type="dxa"/>
            <w:vAlign w:val="bottom"/>
          </w:tcPr>
          <w:p>
            <w:pPr>
              <w:spacing w:after="0"/>
              <w:rPr>
                <w:sz w:val="1"/>
                <w:szCs w:val="1"/>
                <w:color w:val="auto"/>
              </w:rPr>
            </w:pPr>
          </w:p>
        </w:tc>
      </w:tr>
      <w:tr>
        <w:trPr>
          <w:trHeight w:val="214"/>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40" w:type="dxa"/>
            <w:vAlign w:val="bottom"/>
            <w:gridSpan w:val="2"/>
            <w:shd w:val="clear" w:color="auto" w:fill="CCEEFF"/>
          </w:tcPr>
          <w:p>
            <w:pPr>
              <w:ind w:left="320"/>
              <w:spacing w:after="0" w:line="174"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40" w:type="dxa"/>
            <w:vAlign w:val="bottom"/>
            <w:gridSpan w:val="2"/>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net of tax expense (benefit) of $20,049 and ($12,800) in the three</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40" w:type="dxa"/>
            <w:vAlign w:val="bottom"/>
            <w:gridSpan w:val="2"/>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months ended September 30, 2024 and 2023 and $15,335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$(8,418) in the nine months ended September 30, 2024 and 2023.</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0" w:type="dxa"/>
            <w:vAlign w:val="bottom"/>
          </w:tcPr>
          <w:p>
            <w:pPr>
              <w:spacing w:after="0"/>
              <w:rPr>
                <w:sz w:val="1"/>
                <w:szCs w:val="1"/>
                <w:color w:val="auto"/>
              </w:rPr>
            </w:pPr>
          </w:p>
        </w:tc>
      </w:tr>
      <w:tr>
        <w:trPr>
          <w:trHeight w:val="245"/>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467,426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1,350,377</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1,309,717</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(436,383)</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3,493,107</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521,019</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0" w:type="dxa"/>
            <w:vAlign w:val="bottom"/>
          </w:tcPr>
          <w:p>
            <w:pPr>
              <w:spacing w:after="0"/>
              <w:rPr>
                <w:sz w:val="1"/>
                <w:szCs w:val="1"/>
                <w:color w:val="auto"/>
              </w:rPr>
            </w:pPr>
          </w:p>
        </w:tc>
      </w:tr>
      <w:tr>
        <w:trPr>
          <w:trHeight w:val="22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3,933,070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4,553,099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3,933,070</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27"/>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2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4,808,007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561,503</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521,019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0" w:type="dxa"/>
            <w:vAlign w:val="bottom"/>
          </w:tcPr>
          <w:p>
            <w:pPr>
              <w:spacing w:after="0"/>
              <w:rPr>
                <w:sz w:val="1"/>
                <w:szCs w:val="1"/>
                <w:color w:val="auto"/>
              </w:rPr>
            </w:pPr>
          </w:p>
        </w:tc>
      </w:tr>
      <w:tr>
        <w:trPr>
          <w:trHeight w:val="211"/>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(42,926)</w:t>
            </w:r>
          </w:p>
        </w:tc>
        <w:tc>
          <w:tcPr>
            <w:tcW w:w="0" w:type="dxa"/>
            <w:vAlign w:val="bottom"/>
          </w:tcPr>
          <w:p>
            <w:pPr>
              <w:spacing w:after="0"/>
              <w:rPr>
                <w:sz w:val="1"/>
                <w:szCs w:val="1"/>
                <w:color w:val="auto"/>
              </w:rPr>
            </w:pPr>
          </w:p>
        </w:tc>
      </w:tr>
      <w:tr>
        <w:trPr>
          <w:trHeight w:val="211"/>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66,599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0" w:type="dxa"/>
            <w:vAlign w:val="bottom"/>
          </w:tcPr>
          <w:p>
            <w:pPr>
              <w:spacing w:after="0"/>
              <w:rPr>
                <w:sz w:val="1"/>
                <w:szCs w:val="1"/>
                <w:color w:val="auto"/>
              </w:rPr>
            </w:pPr>
          </w:p>
        </w:tc>
      </w:tr>
      <w:tr>
        <w:trPr>
          <w:trHeight w:val="211"/>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0" w:type="dxa"/>
            <w:vAlign w:val="bottom"/>
          </w:tcPr>
          <w:p>
            <w:pPr>
              <w:spacing w:after="0"/>
              <w:rPr>
                <w:sz w:val="1"/>
                <w:szCs w:val="1"/>
                <w:color w:val="auto"/>
              </w:rPr>
            </w:pPr>
          </w:p>
        </w:tc>
      </w:tr>
      <w:tr>
        <w:trPr>
          <w:trHeight w:val="205"/>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634,827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547,548</w:t>
            </w:r>
          </w:p>
        </w:tc>
        <w:tc>
          <w:tcPr>
            <w:tcW w:w="0" w:type="dxa"/>
            <w:vAlign w:val="bottom"/>
          </w:tcPr>
          <w:p>
            <w:pPr>
              <w:spacing w:after="0"/>
              <w:rPr>
                <w:sz w:val="1"/>
                <w:szCs w:val="1"/>
                <w:color w:val="auto"/>
              </w:rPr>
            </w:pPr>
          </w:p>
        </w:tc>
      </w:tr>
      <w:tr>
        <w:trPr>
          <w:trHeight w:val="89"/>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(482,796)</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(1,094,973)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(858,678)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investments available for sale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591,403</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468,537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(28,987)</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(86,761)</w:t>
            </w: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0" w:type="dxa"/>
            <w:vAlign w:val="bottom"/>
          </w:tcPr>
          <w:p>
            <w:pPr>
              <w:spacing w:after="0"/>
              <w:rPr>
                <w:sz w:val="1"/>
                <w:szCs w:val="1"/>
                <w:color w:val="auto"/>
              </w:rPr>
            </w:pPr>
          </w:p>
        </w:tc>
      </w:tr>
      <w:tr>
        <w:trPr>
          <w:trHeight w:val="20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(396,342)</w:t>
            </w:r>
          </w:p>
        </w:tc>
        <w:tc>
          <w:tcPr>
            <w:tcW w:w="0" w:type="dxa"/>
            <w:vAlign w:val="bottom"/>
          </w:tcPr>
          <w:p>
            <w:pPr>
              <w:spacing w:after="0"/>
              <w:rPr>
                <w:sz w:val="1"/>
                <w:szCs w:val="1"/>
                <w:color w:val="auto"/>
              </w:rPr>
            </w:pPr>
          </w:p>
        </w:tc>
      </w:tr>
      <w:tr>
        <w:trPr>
          <w:trHeight w:val="89"/>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Issuance of senior notes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facility repayments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20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(135,667)</w:t>
            </w:r>
          </w:p>
        </w:tc>
        <w:tc>
          <w:tcPr>
            <w:tcW w:w="0" w:type="dxa"/>
            <w:vAlign w:val="bottom"/>
          </w:tcPr>
          <w:p>
            <w:pPr>
              <w:spacing w:after="0"/>
              <w:rPr>
                <w:sz w:val="1"/>
                <w:szCs w:val="1"/>
                <w:color w:val="auto"/>
              </w:rPr>
            </w:pPr>
          </w:p>
        </w:tc>
      </w:tr>
      <w:tr>
        <w:trPr>
          <w:trHeight w:val="89"/>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w:t>
            </w:r>
          </w:p>
        </w:tc>
        <w:tc>
          <w:tcPr>
            <w:tcW w:w="0" w:type="dxa"/>
            <w:vAlign w:val="bottom"/>
          </w:tcPr>
          <w:p>
            <w:pPr>
              <w:spacing w:after="0"/>
              <w:rPr>
                <w:sz w:val="1"/>
                <w:szCs w:val="1"/>
                <w:color w:val="auto"/>
              </w:rPr>
            </w:pPr>
          </w:p>
        </w:tc>
      </w:tr>
      <w:tr>
        <w:trPr>
          <w:trHeight w:val="211"/>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81,240</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7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(72,338)</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(53,337)</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0" w:type="dxa"/>
            <w:vAlign w:val="bottom"/>
          </w:tcPr>
          <w:p>
            <w:pPr>
              <w:spacing w:after="0"/>
              <w:rPr>
                <w:sz w:val="1"/>
                <w:szCs w:val="1"/>
                <w:color w:val="auto"/>
              </w:rPr>
            </w:pPr>
          </w:p>
        </w:tc>
      </w:tr>
      <w:tr>
        <w:trPr>
          <w:trHeight w:val="107"/>
        </w:trPr>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25,117</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00" w:firstLine="641"/>
        <w:spacing w:after="0" w:line="277"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4" w:lineRule="exact"/>
        <w:rPr>
          <w:sz w:val="20"/>
          <w:szCs w:val="20"/>
          <w:color w:val="auto"/>
        </w:rPr>
      </w:pPr>
    </w:p>
    <w:p>
      <w:pPr>
        <w:ind w:right="180" w:firstLine="641"/>
        <w:spacing w:after="0" w:line="257"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9" w:lineRule="exact"/>
        <w:rPr>
          <w:sz w:val="20"/>
          <w:szCs w:val="20"/>
          <w:color w:val="auto"/>
        </w:rPr>
      </w:pPr>
    </w:p>
    <w:p>
      <w:pPr>
        <w:ind w:right="200" w:firstLine="641"/>
        <w:spacing w:after="0" w:line="285"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5" w:lineRule="exact"/>
        <w:rPr>
          <w:sz w:val="20"/>
          <w:szCs w:val="20"/>
          <w:color w:val="auto"/>
        </w:rPr>
      </w:pPr>
    </w:p>
    <w:p>
      <w:pPr>
        <w:ind w:right="80" w:firstLine="641"/>
        <w:spacing w:after="0" w:line="251"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216" w:lineRule="exact"/>
        <w:rPr>
          <w:sz w:val="20"/>
          <w:szCs w:val="20"/>
          <w:color w:val="auto"/>
        </w:rPr>
      </w:pPr>
    </w:p>
    <w:p>
      <w:pPr>
        <w:ind w:right="360" w:firstLine="641"/>
        <w:spacing w:after="0" w:line="257"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09" w:lineRule="exact"/>
        <w:rPr>
          <w:sz w:val="20"/>
          <w:szCs w:val="20"/>
          <w:color w:val="auto"/>
        </w:rPr>
      </w:pPr>
    </w:p>
    <w:p>
      <w:pPr>
        <w:jc w:val="both"/>
        <w:ind w:right="500" w:firstLine="641"/>
        <w:spacing w:after="0" w:line="262" w:lineRule="auto"/>
        <w:rPr>
          <w:sz w:val="20"/>
          <w:szCs w:val="20"/>
          <w:color w:val="auto"/>
        </w:rPr>
      </w:pPr>
      <w:r>
        <w:rPr>
          <w:rFonts w:ascii="Times New Roman" w:cs="Times New Roman" w:eastAsia="Times New Roman" w:hAnsi="Times New Roman"/>
          <w:sz w:val="18"/>
          <w:szCs w:val="18"/>
          <w:color w:val="auto"/>
        </w:rPr>
        <w:t>We also offer title insurance products and title and settlement services through our subsidiaries Agents National Title Insurance Company and Boston National Holdings LLC. Our title insurance operations are headquartered in Columbia, Missouri, and we operate our title agency operations in Charlotte, North Carolina and Pittsburgh, Pennsylvania.</w:t>
      </w:r>
    </w:p>
    <w:p>
      <w:pPr>
        <w:spacing w:after="0" w:line="204"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2024 prior to the issuance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During the Period</w:t>
      </w:r>
    </w:p>
    <w:p>
      <w:pPr>
        <w:spacing w:after="0" w:line="247" w:lineRule="exact"/>
        <w:rPr>
          <w:sz w:val="20"/>
          <w:szCs w:val="20"/>
          <w:color w:val="auto"/>
        </w:rPr>
      </w:pPr>
    </w:p>
    <w:p>
      <w:pPr>
        <w:ind w:right="20" w:firstLine="401"/>
        <w:spacing w:after="0" w:line="251"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update clarifies the guidance in ASC 820 on the fair value measurement of an equity security that is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was effective for fiscal years beginning after December 15, 2023, and interim periods within those fiscal years, with early adoption permitted. The adoption of this ASU did not have a material effect on the Company's consolidated operating results or financial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47" w:lineRule="exact"/>
        <w:rPr>
          <w:sz w:val="20"/>
          <w:szCs w:val="20"/>
          <w:color w:val="auto"/>
        </w:rPr>
      </w:pPr>
    </w:p>
    <w:p>
      <w:pPr>
        <w:ind w:firstLine="401"/>
        <w:spacing w:after="0" w:line="266"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which requires public entities to disclose information about their reportable segments’ significant expenses on an interim and annual basis. The ASU requires that public entities disclose significant expense categories and amounts for each reportable segment, which are derived from expenses that are 1) regularly reported to an entity’s chief operating decision-maker ("CODM") and 2) included in a segment’s reported measures of profit or loss. Public entities must also disclose an amount for “other segment items,” representing the difference between 1) segment revenue less significant segment expenses and 2) the reportable segment’s profit or loss measures. A description of the composition of “other segment items” also is required as well as the title and position of the CODM and entities must explain how the CODM uses the reported measures of profit or loss to assess segment performance. The ASU also requires interim disclosure of certain segment-related disclosures that previously were required only on an annual basis and clarifies that entities with a single reportable segment are subject to both new and existing segment reporting requirements under Topic 280. It also clarifies that an entity is permitted to disclose multiple measures of segment profit or loss, provided that certain criteria are met. The ASU is effective for fiscal years beginning after December 15, 2023, and interim periods within fiscal years beginning after December 15, 2024. Entities must adopt the changes to the segment reporting guidance on a retrospective basis, with early adoption permitted. The Company is currently evaluating the impact that the ASU will have on our consolidated financial statements.</w:t>
      </w:r>
    </w:p>
    <w:p>
      <w:pPr>
        <w:spacing w:after="0" w:line="205"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 (In thousands)</w:t>
            </w: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48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7"/>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5,950,499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3"/>
        </w:trPr>
        <w:tc>
          <w:tcPr>
            <w:tcW w:w="48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5,586,730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340" w:firstLine="641"/>
        <w:spacing w:after="0" w:line="257"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September 30, 2024,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3"/>
                <w:szCs w:val="13"/>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72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7"/>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374,834</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374,240</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291,269</w:t>
            </w: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30,787</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709,807</w:t>
            </w:r>
          </w:p>
        </w:tc>
        <w:tc>
          <w:tcPr>
            <w:tcW w:w="0" w:type="dxa"/>
            <w:vAlign w:val="bottom"/>
          </w:tcPr>
          <w:p>
            <w:pPr>
              <w:spacing w:after="0"/>
              <w:rPr>
                <w:sz w:val="1"/>
                <w:szCs w:val="1"/>
                <w:color w:val="auto"/>
              </w:rPr>
            </w:pPr>
          </w:p>
        </w:tc>
      </w:tr>
      <w:tr>
        <w:trPr>
          <w:trHeight w:val="20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128,002</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354,007</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577,647</w:t>
            </w:r>
          </w:p>
        </w:tc>
        <w:tc>
          <w:tcPr>
            <w:tcW w:w="0" w:type="dxa"/>
            <w:vAlign w:val="bottom"/>
          </w:tcPr>
          <w:p>
            <w:pPr>
              <w:spacing w:after="0"/>
              <w:rPr>
                <w:sz w:val="1"/>
                <w:szCs w:val="1"/>
                <w:color w:val="auto"/>
              </w:rPr>
            </w:pPr>
          </w:p>
        </w:tc>
      </w:tr>
      <w:tr>
        <w:trPr>
          <w:trHeight w:val="20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0" w:type="dxa"/>
            <w:vAlign w:val="bottom"/>
          </w:tcPr>
          <w:p>
            <w:pPr>
              <w:spacing w:after="0"/>
              <w:rPr>
                <w:sz w:val="1"/>
                <w:szCs w:val="1"/>
                <w:color w:val="auto"/>
              </w:rPr>
            </w:pPr>
          </w:p>
        </w:tc>
      </w:tr>
      <w:tr>
        <w:trPr>
          <w:trHeight w:val="207"/>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164,117</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469,192</w:t>
            </w:r>
          </w:p>
        </w:tc>
        <w:tc>
          <w:tcPr>
            <w:tcW w:w="0" w:type="dxa"/>
            <w:vAlign w:val="bottom"/>
          </w:tcPr>
          <w:p>
            <w:pPr>
              <w:spacing w:after="0"/>
              <w:rPr>
                <w:sz w:val="1"/>
                <w:szCs w:val="1"/>
                <w:color w:val="auto"/>
              </w:rPr>
            </w:pPr>
          </w:p>
        </w:tc>
      </w:tr>
      <w:tr>
        <w:trPr>
          <w:trHeight w:val="227"/>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880,803</w:t>
            </w:r>
          </w:p>
        </w:tc>
        <w:tc>
          <w:tcPr>
            <w:tcW w:w="0" w:type="dxa"/>
            <w:vAlign w:val="bottom"/>
          </w:tcPr>
          <w:p>
            <w:pPr>
              <w:spacing w:after="0"/>
              <w:rPr>
                <w:sz w:val="1"/>
                <w:szCs w:val="1"/>
                <w:color w:val="auto"/>
              </w:rPr>
            </w:pPr>
          </w:p>
        </w:tc>
      </w:tr>
      <w:tr>
        <w:trPr>
          <w:trHeight w:val="227"/>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190,276</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1,752,898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1,704,388</w:t>
            </w:r>
          </w:p>
        </w:tc>
        <w:tc>
          <w:tcPr>
            <w:tcW w:w="0" w:type="dxa"/>
            <w:vAlign w:val="bottom"/>
          </w:tcPr>
          <w:p>
            <w:pPr>
              <w:spacing w:after="0"/>
              <w:rPr>
                <w:sz w:val="1"/>
                <w:szCs w:val="1"/>
                <w:color w:val="auto"/>
              </w:rPr>
            </w:pPr>
          </w:p>
        </w:tc>
      </w:tr>
      <w:tr>
        <w:trPr>
          <w:trHeight w:val="22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1,051,308</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539,283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503,980</w:t>
            </w:r>
          </w:p>
        </w:tc>
        <w:tc>
          <w:tcPr>
            <w:tcW w:w="0" w:type="dxa"/>
            <w:vAlign w:val="bottom"/>
          </w:tcPr>
          <w:p>
            <w:pPr>
              <w:spacing w:after="0"/>
              <w:rPr>
                <w:sz w:val="1"/>
                <w:szCs w:val="1"/>
                <w:color w:val="auto"/>
              </w:rPr>
            </w:pPr>
          </w:p>
        </w:tc>
      </w:tr>
      <w:tr>
        <w:trPr>
          <w:trHeight w:val="220"/>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548,076</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0" w:type="dxa"/>
            <w:vAlign w:val="bottom"/>
          </w:tcPr>
          <w:p>
            <w:pPr>
              <w:spacing w:after="0"/>
              <w:rPr>
                <w:sz w:val="1"/>
                <w:szCs w:val="1"/>
                <w:color w:val="auto"/>
              </w:rPr>
            </w:pPr>
          </w:p>
        </w:tc>
      </w:tr>
      <w:tr>
        <w:trPr>
          <w:trHeight w:val="245"/>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6,167,937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5,950,499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2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7"/>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6"/>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7"/>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(84,695)</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(64,111)</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2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2,763,701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3,200,417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(249,011)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3"/>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6"/>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5"/>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6"/>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0" w:firstLine="641"/>
        <w:spacing w:after="0" w:line="251" w:lineRule="auto"/>
        <w:rPr>
          <w:sz w:val="20"/>
          <w:szCs w:val="20"/>
          <w:color w:val="auto"/>
        </w:rPr>
      </w:pPr>
      <w:r>
        <w:rPr>
          <w:rFonts w:ascii="Times New Roman" w:cs="Times New Roman" w:eastAsia="Times New Roman" w:hAnsi="Times New Roman"/>
          <w:sz w:val="18"/>
          <w:szCs w:val="18"/>
          <w:color w:val="auto"/>
        </w:rPr>
        <w:t>At September 30, 2024 and December 31, 2023, we held 1,930 and 2,256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September 30, 2024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September 30, 2024 had investment-grade ratings. We concluded that gross unrealized losses noted above were primarily associated with the changes in interest rates subsequent to purchase rather than due to credit impairment. We recorded impairments of $0.5 million in the nine months ended September 30, 2024 and impairments of $0.2 million in the nine months ended September 30, 2023 due to our intent to sell securities in an unrealized loss position.</w:t>
      </w:r>
    </w:p>
    <w:p>
      <w:pPr>
        <w:spacing w:after="0" w:line="216" w:lineRule="exact"/>
        <w:rPr>
          <w:sz w:val="20"/>
          <w:szCs w:val="20"/>
          <w:color w:val="auto"/>
        </w:rPr>
      </w:pPr>
    </w:p>
    <w:p>
      <w:pPr>
        <w:ind w:right="40" w:firstLine="641"/>
        <w:spacing w:after="0" w:line="252" w:lineRule="auto"/>
        <w:rPr>
          <w:sz w:val="20"/>
          <w:szCs w:val="20"/>
          <w:color w:val="auto"/>
        </w:rPr>
      </w:pPr>
      <w:r>
        <w:rPr>
          <w:rFonts w:ascii="Times New Roman" w:cs="Times New Roman" w:eastAsia="Times New Roman" w:hAnsi="Times New Roman"/>
          <w:sz w:val="18"/>
          <w:szCs w:val="18"/>
          <w:color w:val="auto"/>
        </w:rPr>
        <w:t>The Company's other invested assets at September 30, 2024 and December 31, 2023 totaled $294.9 million and $277.2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120" w:firstLine="641"/>
        <w:spacing w:after="0" w:line="253"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$137.1 million as of September 30, 2024. The majority of these investments were in limited partnerships invested in real estate or consumer credit. At September 30, 2024, maximum future funding commitments were $43.9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14"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$9.4 million at September 30, 2024 and $9.2 million at December 31, 2023. In connection with its insurance and reinsurance activities, Essent Re is required to maintain assets in trusts for the benefit of its contractual counterparties. The fair value of the investments on deposit in these trusts was $1.0 billion at September 30, 2024 and $1.1 billion at December 31, 2023. Essent Guaranty is also required to maintain assets on deposit for the benefit of the sponsor of a fixed income investment commitment. The fair value of the assets on deposit was $9.8 million at September 30, 2024 and $9.2 million at December 31, 2023.</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44,828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132,623</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13,786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0" w:type="dxa"/>
            <w:vAlign w:val="bottom"/>
          </w:tcPr>
          <w:p>
            <w:pPr>
              <w:spacing w:after="0"/>
              <w:rPr>
                <w:sz w:val="1"/>
                <w:szCs w:val="1"/>
                <w:color w:val="auto"/>
              </w:rPr>
            </w:pPr>
          </w:p>
        </w:tc>
      </w:tr>
      <w:tr>
        <w:trPr>
          <w:trHeight w:val="22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58,614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141,283</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5"/>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57,340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4"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2"/>
        </w:trPr>
        <w:tc>
          <w:tcPr>
            <w:tcW w:w="2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4"/>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7"/>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7"/>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277,754</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270,868</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819,595</w:t>
            </w:r>
          </w:p>
        </w:tc>
        <w:tc>
          <w:tcPr>
            <w:tcW w:w="12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759,526</w:t>
            </w:r>
          </w:p>
        </w:tc>
      </w:tr>
      <w:tr>
        <w:trPr>
          <w:trHeight w:val="227"/>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(30,294)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(92,524)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(103,431)</w:t>
            </w:r>
          </w:p>
        </w:tc>
      </w:tr>
      <w:tr>
        <w:trPr>
          <w:trHeight w:val="220"/>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242,965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240,574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727,071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656,095</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4"/>
        </w:trPr>
        <w:tc>
          <w:tcPr>
            <w:tcW w:w="218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277,099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838,941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774,723</w:t>
            </w:r>
          </w:p>
        </w:tc>
      </w:tr>
      <w:tr>
        <w:trPr>
          <w:trHeight w:val="227"/>
        </w:trPr>
        <w:tc>
          <w:tcPr>
            <w:tcW w:w="5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7"/>
              </w:rPr>
              <w:t>(30,294)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7"/>
              </w:rPr>
              <w:t>(92,524)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9"/>
              </w:rPr>
              <w:t>(103,431)</w:t>
            </w:r>
          </w:p>
        </w:tc>
      </w:tr>
      <w:tr>
        <w:trPr>
          <w:trHeight w:val="245"/>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248,936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246,805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746,417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671,292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1" w:lineRule="exact"/>
        <w:rPr>
          <w:sz w:val="20"/>
          <w:szCs w:val="20"/>
          <w:color w:val="auto"/>
        </w:rPr>
      </w:pPr>
    </w:p>
    <w:p>
      <w:pPr>
        <w:ind w:firstLine="178"/>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September 30, 2024:</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QSR Agreement</w:t>
            </w:r>
          </w:p>
        </w:tc>
        <w:tc>
          <w:tcPr>
            <w:tcW w:w="4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15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Ceding Commission</w:t>
            </w: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Profit Commission</w:t>
            </w:r>
          </w:p>
        </w:tc>
        <w:tc>
          <w:tcPr>
            <w:tcW w:w="0" w:type="dxa"/>
            <w:vAlign w:val="bottom"/>
          </w:tcPr>
          <w:p>
            <w:pPr>
              <w:spacing w:after="0"/>
              <w:rPr>
                <w:sz w:val="1"/>
                <w:szCs w:val="1"/>
                <w:color w:val="auto"/>
              </w:rPr>
            </w:pPr>
          </w:p>
        </w:tc>
      </w:tr>
      <w:tr>
        <w:trPr>
          <w:trHeight w:val="193"/>
        </w:trPr>
        <w:tc>
          <w:tcPr>
            <w:tcW w:w="2420" w:type="dxa"/>
            <w:vAlign w:val="bottom"/>
            <w:gridSpan w:val="2"/>
            <w:vMerge w:val="continue"/>
          </w:tcPr>
          <w:p>
            <w:pPr>
              <w:spacing w:after="0"/>
              <w:rPr>
                <w:sz w:val="16"/>
                <w:szCs w:val="16"/>
                <w:color w:val="auto"/>
              </w:rPr>
            </w:pPr>
          </w:p>
        </w:tc>
        <w:tc>
          <w:tcPr>
            <w:tcW w:w="404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560" w:type="dxa"/>
            <w:vAlign w:val="bottom"/>
            <w:gridSpan w:val="3"/>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2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1, 2019 -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7"/>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1, 2022 - December 31,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7"/>
        </w:trPr>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4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1, 2023 - December 31, 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3"/>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1, 2024 - December 31,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00" w:type="dxa"/>
            <w:vAlign w:val="bottom"/>
          </w:tcPr>
          <w:p>
            <w:pPr>
              <w:spacing w:after="0"/>
              <w:rPr>
                <w:sz w:val="20"/>
                <w:szCs w:val="20"/>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4" w:lineRule="exact"/>
        <w:rPr>
          <w:sz w:val="20"/>
          <w:szCs w:val="20"/>
          <w:color w:val="auto"/>
        </w:rPr>
      </w:pPr>
    </w:p>
    <w:p>
      <w:pPr>
        <w:ind w:left="400" w:hanging="393"/>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5" w:lineRule="exact"/>
        <w:rPr>
          <w:rFonts w:ascii="Times New Roman" w:cs="Times New Roman" w:eastAsia="Times New Roman" w:hAnsi="Times New Roman"/>
          <w:sz w:val="18"/>
          <w:szCs w:val="18"/>
          <w:color w:val="auto"/>
        </w:rPr>
      </w:pPr>
    </w:p>
    <w:p>
      <w:pPr>
        <w:ind w:left="400" w:right="100" w:hanging="393"/>
        <w:spacing w:after="0" w:line="247" w:lineRule="auto"/>
        <w:tabs>
          <w:tab w:leader="none" w:pos="3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profit commission on QSR-2019 was up to 60%; however because Essent Guaranty did not exercise its option to terminate the QSR Agreement on December 31, 2021, the maximum profit commission that Essent Guaranty could earn increased to 63% in 2022 through June 30, 2024. Effective July 1, 2024, Essent Guaranty renegotiated the terms extending the termination date for QSR-2019 through December 31, 2027. The renegotiated terms increased the ceding commission from 20% to 26% and decreased the maximum profit commission from 63% to 62.5%.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RIF ceded under the QSR agreements was $8.6 billion as of September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1" w:lineRule="exact"/>
        <w:rPr>
          <w:sz w:val="20"/>
          <w:szCs w:val="20"/>
          <w:color w:val="auto"/>
        </w:rPr>
      </w:pPr>
    </w:p>
    <w:p>
      <w:pPr>
        <w:ind w:right="40" w:firstLine="641"/>
        <w:spacing w:after="0" w:line="250"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20" w:lineRule="exact"/>
        <w:rPr>
          <w:sz w:val="20"/>
          <w:szCs w:val="20"/>
          <w:color w:val="auto"/>
        </w:rPr>
      </w:pPr>
    </w:p>
    <w:p>
      <w:pPr>
        <w:jc w:val="both"/>
        <w:ind w:right="260" w:firstLine="401"/>
        <w:spacing w:after="0" w:line="262"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204" w:lineRule="exact"/>
        <w:rPr>
          <w:sz w:val="20"/>
          <w:szCs w:val="20"/>
          <w:color w:val="auto"/>
        </w:rPr>
      </w:pPr>
    </w:p>
    <w:p>
      <w:pPr>
        <w:jc w:val="both"/>
        <w:ind w:right="60" w:firstLine="401"/>
        <w:spacing w:after="0" w:line="257" w:lineRule="auto"/>
        <w:rPr>
          <w:sz w:val="20"/>
          <w:szCs w:val="20"/>
          <w:color w:val="auto"/>
        </w:rPr>
      </w:pPr>
      <w:r>
        <w:rPr>
          <w:rFonts w:ascii="Times New Roman" w:cs="Times New Roman" w:eastAsia="Times New Roman" w:hAnsi="Times New Roman"/>
          <w:sz w:val="18"/>
          <w:szCs w:val="18"/>
          <w:color w:val="auto"/>
        </w:rPr>
        <w:t>Essent Guaranty has entered into reinsurance agreements with panels of reinsurers that provides excess of loss coverage on new insurance written from January 1, 2018 through August 31, 2019 and from October 1, 2021 through December 31, 2024.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September 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0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80" w:type="dxa"/>
            <w:vAlign w:val="bottom"/>
          </w:tcPr>
          <w:p>
            <w:pPr>
              <w:spacing w:after="0"/>
              <w:rPr>
                <w:sz w:val="12"/>
                <w:szCs w:val="12"/>
                <w:color w:val="auto"/>
              </w:rPr>
            </w:pPr>
          </w:p>
        </w:tc>
        <w:tc>
          <w:tcPr>
            <w:tcW w:w="106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w w:val="99"/>
              </w:rPr>
              <w:t>First Layer</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Deal Name</w:t>
            </w: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2021-1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Aug. 2020 - Mar. 2021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27"/>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Radnor Re 2021-2</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Apr. 2021 - Sep. 2021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277,195</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2022-1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Oct. 2021 - Jul. 2022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301,278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25, 2028</w:t>
            </w:r>
          </w:p>
        </w:tc>
        <w:tc>
          <w:tcPr>
            <w:tcW w:w="0" w:type="dxa"/>
            <w:vAlign w:val="bottom"/>
          </w:tcPr>
          <w:p>
            <w:pPr>
              <w:spacing w:after="0"/>
              <w:rPr>
                <w:sz w:val="1"/>
                <w:szCs w:val="1"/>
                <w:color w:val="auto"/>
              </w:rPr>
            </w:pPr>
          </w:p>
        </w:tc>
      </w:tr>
      <w:tr>
        <w:trPr>
          <w:trHeight w:val="227"/>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Radnor Re 2023-1</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 2022 - Jun. 2023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28,989,426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281,089</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25, 2028</w:t>
            </w: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2024-1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Jul. 2023 - Jul. 2024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30,359,933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25, 2029</w:t>
            </w:r>
          </w:p>
        </w:tc>
        <w:tc>
          <w:tcPr>
            <w:tcW w:w="0" w:type="dxa"/>
            <w:vAlign w:val="bottom"/>
          </w:tcPr>
          <w:p>
            <w:pPr>
              <w:spacing w:after="0"/>
              <w:rPr>
                <w:sz w:val="1"/>
                <w:szCs w:val="1"/>
                <w:color w:val="auto"/>
              </w:rPr>
            </w:pPr>
          </w:p>
        </w:tc>
      </w:tr>
      <w:tr>
        <w:trPr>
          <w:trHeight w:val="220"/>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145,201,796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39,764,622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1,343,737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1,394,042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040" w:type="dxa"/>
            <w:vAlign w:val="bottom"/>
          </w:tcPr>
          <w:p>
            <w:pPr>
              <w:jc w:val="center"/>
              <w:ind w:right="98"/>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b w:val="1"/>
                <w:bCs w:val="1"/>
                <w:color w:val="auto"/>
                <w:w w:val="95"/>
              </w:rPr>
              <w:t>Risk</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80" w:type="dxa"/>
            <w:vAlign w:val="bottom"/>
          </w:tcPr>
          <w:p>
            <w:pPr>
              <w:spacing w:after="0"/>
              <w:rPr>
                <w:sz w:val="11"/>
                <w:szCs w:val="11"/>
                <w:color w:val="auto"/>
              </w:rPr>
            </w:pPr>
          </w:p>
        </w:tc>
        <w:tc>
          <w:tcPr>
            <w:tcW w:w="1040" w:type="dxa"/>
            <w:vAlign w:val="bottom"/>
          </w:tcPr>
          <w:p>
            <w:pPr>
              <w:jc w:val="center"/>
              <w:ind w:right="98"/>
              <w:spacing w:after="0" w:line="13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1"/>
                <w:szCs w:val="11"/>
                <w:color w:val="auto"/>
              </w:rPr>
            </w:pP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7"/>
        </w:trPr>
        <w:tc>
          <w:tcPr>
            <w:tcW w:w="1220" w:type="dxa"/>
            <w:vAlign w:val="bottom"/>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8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XOL 2019-1</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Jan. 2018 - Dec. 2018</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244,294</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27"/>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XOL 2020-1</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Jan. 2019 - Aug. 2019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6,026,073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212,208</w:t>
            </w:r>
          </w:p>
        </w:tc>
        <w:tc>
          <w:tcPr>
            <w:tcW w:w="10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27"/>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XOL 2022-1</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Oct. 2021 - Dec. 2022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65,149,106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500,886</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27"/>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XOL 2023-1</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Jan. 2023 - Dec. 2023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38,402,550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366,141</w:t>
            </w:r>
          </w:p>
        </w:tc>
        <w:tc>
          <w:tcPr>
            <w:tcW w:w="10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January 1, 2028</w:t>
            </w:r>
          </w:p>
        </w:tc>
        <w:tc>
          <w:tcPr>
            <w:tcW w:w="0" w:type="dxa"/>
            <w:vAlign w:val="bottom"/>
          </w:tcPr>
          <w:p>
            <w:pPr>
              <w:spacing w:after="0"/>
              <w:rPr>
                <w:sz w:val="1"/>
                <w:szCs w:val="1"/>
                <w:color w:val="auto"/>
              </w:rPr>
            </w:pPr>
          </w:p>
        </w:tc>
      </w:tr>
      <w:tr>
        <w:trPr>
          <w:trHeight w:val="227"/>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XOL 2024-1</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Jan. 2024 - Dec. 2024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32,177,995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8,864,366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265,931</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146,567,347</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40,087,087</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331,892</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1,589,460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09" w:lineRule="exact"/>
        <w:rPr>
          <w:sz w:val="20"/>
          <w:szCs w:val="20"/>
          <w:color w:val="auto"/>
        </w:rPr>
      </w:pPr>
    </w:p>
    <w:p>
      <w:pPr>
        <w:ind w:right="20" w:firstLine="641"/>
        <w:spacing w:after="0" w:line="250"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September 30,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8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4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286,439</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191,938</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281,462</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363,366</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1,343,737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4" w:lineRule="exact"/>
        <w:rPr>
          <w:sz w:val="20"/>
          <w:szCs w:val="20"/>
          <w:color w:val="auto"/>
        </w:rPr>
      </w:pPr>
    </w:p>
    <w:p>
      <w:pPr>
        <w:ind w:right="6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nine months ended September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7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r>
      <w:tr>
        <w:trPr>
          <w:trHeight w:val="227"/>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2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r>
      <w:tr>
        <w:trPr>
          <w:trHeight w:val="207"/>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101,547</w:t>
            </w:r>
          </w:p>
        </w:tc>
      </w:tr>
      <w:tr>
        <w:trPr>
          <w:trHeight w:val="227"/>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(89,645)</w:t>
            </w:r>
          </w:p>
        </w:tc>
      </w:tr>
      <w:tr>
        <w:trPr>
          <w:trHeight w:val="22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r>
      <w:tr>
        <w:trPr>
          <w:trHeight w:val="207"/>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7"/>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w:t>
            </w:r>
          </w:p>
        </w:tc>
      </w:tr>
      <w:tr>
        <w:trPr>
          <w:trHeight w:val="22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2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220,578</w:t>
            </w:r>
          </w:p>
        </w:tc>
      </w:tr>
      <w:tr>
        <w:trPr>
          <w:trHeight w:val="227"/>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w:t>
            </w:r>
          </w:p>
        </w:tc>
      </w:tr>
      <w:tr>
        <w:trPr>
          <w:trHeight w:val="22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241,333</w:t>
            </w: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firstLine="641"/>
        <w:spacing w:after="0" w:line="268" w:lineRule="auto"/>
        <w:rPr>
          <w:sz w:val="20"/>
          <w:szCs w:val="20"/>
          <w:color w:val="auto"/>
        </w:rPr>
      </w:pPr>
      <w:r>
        <w:rPr>
          <w:rFonts w:ascii="Times New Roman" w:cs="Times New Roman" w:eastAsia="Times New Roman" w:hAnsi="Times New Roman"/>
          <w:sz w:val="17"/>
          <w:szCs w:val="17"/>
          <w:color w:val="auto"/>
        </w:rPr>
        <w:t>For the nine months ended September 30, 2024, $17.1 million was paid for incurred claims and claim adjustment expenses attributable to insured events of prior years. There has been $83.9 million of favorable prior year development during the nine months ended September 30, 2024. Reserves remaining as of September 30, 2024 for prior years are $135.0 million as a result of re-estimation of unpaid losses and loss adjustment expenses. For the nine months ended September 30, 2023, $7.5 million was paid for incurred claims and claim adjustment expenses attributable to insured events of prior years. There was $89.6 million of favorable prior year development during the nine months ended September 30, 2023. Reserves remaining as of September 30, 2023 for prior years were $104.7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4" w:lineRule="exact"/>
        <w:rPr>
          <w:sz w:val="20"/>
          <w:szCs w:val="20"/>
          <w:color w:val="auto"/>
        </w:rPr>
      </w:pPr>
    </w:p>
    <w:p>
      <w:pPr>
        <w:ind w:right="60" w:firstLine="641"/>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in September 2024, the Federal Reserve reduced the target federal funds rate by 50 basis points. Mortgage interest rates remain elevated which may lower home sale activity and affect the options available to delinquent borrowers. It is reasonably possible that our estimate of losses could change in the near term as a result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changes in the economic environment, the impact of elevated mortgage interest rates on home sale activity, housing inventory and home prices.</w:t>
      </w:r>
    </w:p>
    <w:p>
      <w:pPr>
        <w:spacing w:after="0" w:line="247"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We believe these hurricanes could have an impact on our insured portfolio’s performance and expect to experience increased defaults in these areas beginning in the fourth quarter of 2024. As of October 31, 2024, our insurance in force in counties with Federal Emergency Management Agency disaster declarations due to hurricanes Helene and Milton is approximately 12.5% of our total insurance in force. It is too early to tell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2024.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1" w:lineRule="exact"/>
        <w:rPr>
          <w:sz w:val="20"/>
          <w:szCs w:val="20"/>
          <w:color w:val="auto"/>
        </w:rPr>
      </w:pPr>
    </w:p>
    <w:p>
      <w:pPr>
        <w:ind w:firstLine="401"/>
        <w:spacing w:after="0" w:line="250"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obligations under the Existing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 As of December 31, 2023, $425 million had been borrowed with a weighted average interest rate of 7.11%.</w:t>
      </w:r>
    </w:p>
    <w:p>
      <w:pPr>
        <w:spacing w:after="0" w:line="214" w:lineRule="exact"/>
        <w:rPr>
          <w:sz w:val="20"/>
          <w:szCs w:val="20"/>
          <w:color w:val="auto"/>
        </w:rPr>
      </w:pPr>
    </w:p>
    <w:p>
      <w:pPr>
        <w:ind w:right="20" w:firstLine="401"/>
        <w:spacing w:after="0" w:line="251"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Senior Notes at a redemption price equal to 100% of the principal amount of the Senior Notes to be redeemed plus accrued and unpaid interest, if any, to, but excluding, the redemption date. The net proceeds from the sale of the Senior Notes, after deducting the underwriting discounts and commissions and estimated offering expenses, were approximately $495.3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213" w:lineRule="exact"/>
        <w:rPr>
          <w:sz w:val="20"/>
          <w:szCs w:val="20"/>
          <w:color w:val="auto"/>
        </w:rPr>
      </w:pPr>
    </w:p>
    <w:p>
      <w:pPr>
        <w:ind w:right="280" w:firstLine="401"/>
        <w:spacing w:after="0" w:line="262"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and amends and restates the Existing Credit Facility. Under</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Revolving Credit Agreement, the Refinancing Agreement Revolving Lenders (as defined therein) agreed to provide the Company with a five-year unsecured revolving credit facility of up to $500 million of senior unsecured revolving loans (the “Revolving Credit Facility”). A commitment fee is due quarterly on the average daily amount of the undrawn revolving commitment. The annual commitment fee rate at September 30, 2024 was 0.225%.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210" w:lineRule="exact"/>
        <w:rPr>
          <w:sz w:val="20"/>
          <w:szCs w:val="20"/>
          <w:color w:val="auto"/>
        </w:rPr>
      </w:pPr>
    </w:p>
    <w:p>
      <w:pPr>
        <w:ind w:right="200" w:firstLine="401"/>
        <w:spacing w:after="0" w:line="257" w:lineRule="auto"/>
        <w:rPr>
          <w:sz w:val="20"/>
          <w:szCs w:val="20"/>
          <w:color w:val="auto"/>
        </w:rPr>
      </w:pPr>
      <w:r>
        <w:rPr>
          <w:rFonts w:ascii="Times New Roman" w:cs="Times New Roman" w:eastAsia="Times New Roman" w:hAnsi="Times New Roman"/>
          <w:sz w:val="18"/>
          <w:szCs w:val="18"/>
          <w:color w:val="auto"/>
        </w:rPr>
        <w:t>The Senior Notes are presented on the condensed consolidated balance sheets net of an unamortized issuance discount of $1.8 million and deferred issuance costs of $4.6 million as of September 30, 2024. Included in interest expense in the condensed consolidated statements of income for the three and nine months ended September 30, 2024 is a $3.2 million loss on debt extinguishment for the write-off of unamortized debt issuance costs on the Existing Credit Facility borrowings repaid on July 1,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 certain lenders against losses incurred in the event that we make an error in determining whether loans processed meet specified underwriting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to the extent that such error materially restricts or impairs the salability of such loan, results in a material reduction in the value of such loan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in the lender repurchasing the loan. The indemnification may be in the form of monetary or other remedies. We paid less than $0.1 million in remedy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in the nine months ended September 30, 2024, and we made no remedy payments in the nine months ended September 30, 2023. As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management believes any potential claims for indemnification related to contract underwriting services through September 30, 2024 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material to our consolidated financial position or results of operations.</w:t>
      </w:r>
    </w:p>
    <w:p>
      <w:pPr>
        <w:spacing w:after="0" w:line="202" w:lineRule="exact"/>
        <w:rPr>
          <w:sz w:val="20"/>
          <w:szCs w:val="20"/>
          <w:color w:val="auto"/>
        </w:rPr>
      </w:pPr>
    </w:p>
    <w:p>
      <w:pPr>
        <w:ind w:right="40" w:firstLine="641"/>
        <w:spacing w:after="0" w:line="250"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2024,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4" w:lineRule="exact"/>
        <w:rPr>
          <w:sz w:val="20"/>
          <w:szCs w:val="20"/>
          <w:color w:val="auto"/>
        </w:rPr>
      </w:pPr>
    </w:p>
    <w:p>
      <w:pPr>
        <w:ind w:right="140" w:firstLine="641"/>
        <w:spacing w:after="0" w:line="252"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3"/>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0"/>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7"/>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7"/>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7"/>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5"/>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820" w:firstLine="641"/>
        <w:spacing w:after="0" w:line="277" w:lineRule="auto"/>
        <w:rPr>
          <w:sz w:val="20"/>
          <w:szCs w:val="20"/>
          <w:color w:val="auto"/>
        </w:rPr>
      </w:pPr>
      <w:r>
        <w:rPr>
          <w:rFonts w:ascii="Times New Roman" w:cs="Times New Roman" w:eastAsia="Times New Roman" w:hAnsi="Times New Roman"/>
          <w:sz w:val="18"/>
          <w:szCs w:val="18"/>
          <w:color w:val="auto"/>
        </w:rPr>
        <w:t>In October 2024, the Board of Directors declared a quarterly cash dividend of $0.28 per common share payable on December 11, 2024 to shareholders of record on December 2,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51" w:lineRule="exact"/>
        <w:rPr>
          <w:sz w:val="20"/>
          <w:szCs w:val="20"/>
          <w:color w:val="auto"/>
        </w:rPr>
      </w:pPr>
    </w:p>
    <w:p>
      <w:pPr>
        <w:ind w:right="340" w:firstLine="641"/>
        <w:spacing w:after="0" w:line="257"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plan that authorizes the Company to repurchase $250 million of common shares in the open market between January 1, 2024 and December 31, 2025. Through September 30, 2024, the Company repurchased 662,403 common shares at a cost of $36.7 million under the 2023 plan, leaving $213.3 million remaining unused under the authorized repurchase plan as of September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4" w:lineRule="exact"/>
        <w:rPr>
          <w:sz w:val="20"/>
          <w:szCs w:val="20"/>
          <w:color w:val="auto"/>
        </w:rPr>
      </w:pPr>
    </w:p>
    <w:p>
      <w:pPr>
        <w:ind w:right="20" w:firstLine="641"/>
        <w:spacing w:after="0" w:line="251" w:lineRule="auto"/>
        <w:rPr>
          <w:sz w:val="20"/>
          <w:szCs w:val="20"/>
          <w:color w:val="auto"/>
        </w:rPr>
      </w:pPr>
      <w:r>
        <w:rPr>
          <w:rFonts w:ascii="Times New Roman" w:cs="Times New Roman" w:eastAsia="Times New Roman" w:hAnsi="Times New Roman"/>
          <w:sz w:val="18"/>
          <w:szCs w:val="18"/>
          <w:color w:val="auto"/>
        </w:rPr>
        <w:t xml:space="preserve">In 2013, Essent Group's Board of Directors adopted, and Essent Group's shareholders </w:t>
      </w:r>
      <w:r>
        <w:rPr>
          <w:rFonts w:ascii="Times New Roman" w:cs="Times New Roman" w:eastAsia="Times New Roman" w:hAnsi="Times New Roman"/>
          <w:sz w:val="18"/>
          <w:szCs w:val="18"/>
          <w:color w:val="242021"/>
        </w:rPr>
        <w:t>approved, the Essent Group Ltd. 2013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 rights,</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September 30, 2024, there were 3.3 million common shares available for future grant under the 2013 Plan.</w:t>
      </w:r>
    </w:p>
    <w:p>
      <w:pPr>
        <w:spacing w:after="0" w:line="213" w:lineRule="exact"/>
        <w:rPr>
          <w:sz w:val="20"/>
          <w:szCs w:val="20"/>
          <w:color w:val="auto"/>
        </w:rPr>
      </w:pPr>
    </w:p>
    <w:p>
      <w:pPr>
        <w:ind w:right="22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nine months ended September 30, 2024: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1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Based Share Awards</w:t>
            </w: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2120" w:type="dxa"/>
            <w:vAlign w:val="bottom"/>
            <w:gridSpan w:val="5"/>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9"/>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4"/>
        </w:trPr>
        <w:tc>
          <w:tcPr>
            <w:tcW w:w="2820" w:type="dxa"/>
            <w:vAlign w:val="bottom"/>
            <w:gridSpan w:val="2"/>
            <w:vMerge w:val="continue"/>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7"/>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27"/>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In February and July 2024, certain members of senior management were granted nonvested common shares under the 2013 Plan that are subject to time-based and performance-based vesting. The time-based share awards granted in February and July 2024 vest annually in three equal installments commencing on March 1 of the year following the grant year. The performance-based share awards granted in February and July 2024 vest based upon our compounded annual book value per share growth percentage and relative total shareholder return during a three-year performance period that commenced on January 1, 2024, and they vest on March 1, 2027. Shares were issued at the maximum 200% of target. The portion of these nonvested performance-based share awards that will be earned is as follows:</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Relative Total Shareholder Return</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70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560" w:type="dxa"/>
            <w:vAlign w:val="bottom"/>
            <w:gridSpan w:val="3"/>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7"/>
        </w:trPr>
        <w:tc>
          <w:tcPr>
            <w:tcW w:w="202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75%</w:t>
            </w:r>
          </w:p>
        </w:tc>
        <w:tc>
          <w:tcPr>
            <w:tcW w:w="256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7"/>
        </w:trPr>
        <w:tc>
          <w:tcPr>
            <w:tcW w:w="202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0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50%</w:t>
            </w:r>
          </w:p>
        </w:tc>
        <w:tc>
          <w:tcPr>
            <w:tcW w:w="2560" w:type="dxa"/>
            <w:vAlign w:val="bottom"/>
            <w:tcBorders>
              <w:bottom w:val="single" w:sz="8" w:color="CCEEFF"/>
            </w:tcBorders>
            <w:gridSpan w:val="3"/>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3"/>
        </w:trPr>
        <w:tc>
          <w:tcPr>
            <w:tcW w:w="2020" w:type="dxa"/>
            <w:vAlign w:val="bottom"/>
          </w:tcPr>
          <w:p>
            <w:pPr>
              <w:jc w:val="center"/>
              <w:ind w:right="611"/>
              <w:spacing w:after="0" w:line="183" w:lineRule="exact"/>
              <w:rPr>
                <w:sz w:val="20"/>
                <w:szCs w:val="20"/>
                <w:color w:val="auto"/>
              </w:rPr>
            </w:pPr>
            <w:r>
              <w:rPr>
                <w:rFonts w:ascii="Times New Roman" w:cs="Times New Roman" w:eastAsia="Times New Roman" w:hAnsi="Times New Roman"/>
                <w:sz w:val="18"/>
                <w:szCs w:val="18"/>
                <w:b w:val="1"/>
                <w:bCs w:val="1"/>
                <w:color w:val="auto"/>
                <w:w w:val="98"/>
              </w:rPr>
              <w:t>CAGR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1700" w:type="dxa"/>
            <w:vAlign w:val="bottom"/>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rPr>
              <w:t>25%</w:t>
            </w:r>
          </w:p>
        </w:tc>
        <w:tc>
          <w:tcPr>
            <w:tcW w:w="2560" w:type="dxa"/>
            <w:vAlign w:val="bottom"/>
            <w:gridSpan w:val="3"/>
            <w:vMerge w:val="restart"/>
          </w:tcPr>
          <w:p>
            <w:pPr>
              <w:jc w:val="center"/>
              <w:ind w:left="25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vMerge w:val="restart"/>
          </w:tcPr>
          <w:p>
            <w:pPr>
              <w:jc w:val="center"/>
              <w:ind w:right="351"/>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4"/>
        </w:trPr>
        <w:tc>
          <w:tcPr>
            <w:tcW w:w="20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20" w:type="dxa"/>
            <w:vAlign w:val="bottom"/>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0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1"/>
              </w:rPr>
              <w:t>0%</w:t>
            </w:r>
          </w:p>
        </w:tc>
        <w:tc>
          <w:tcPr>
            <w:tcW w:w="2560" w:type="dxa"/>
            <w:vAlign w:val="bottom"/>
            <w:gridSpan w:val="3"/>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right="220" w:firstLine="641"/>
        <w:spacing w:after="0" w:line="277"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3"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In February 2024, nonvested common share units were issued to certain vice president and staff level employees and are subject to time-based vesting in two equal installments on January 6, 2025 and 2026. Also in February 2024, time-based share units were granted to certain vice president and staff level employees that vest in three equal installments on March 1, 2027, 2028 and 2029. In connection with our incentive program covering bonus awards for performance year 2023, in February 2024, time-based share units were issued to certain employees that vest in three equal installments on March 1, 2025, 2026 and 2027.</w:t>
      </w:r>
    </w:p>
    <w:p>
      <w:pPr>
        <w:spacing w:after="0" w:line="210"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2022, 2023 and 2024 contain a market condition and were valued based on analysis provided by a third-party valuation firm using a risk-neutral simulation taking into effect the vesting conditions of the grant.</w:t>
      </w:r>
    </w:p>
    <w:p>
      <w:pPr>
        <w:spacing w:after="0" w:line="204" w:lineRule="exact"/>
        <w:rPr>
          <w:sz w:val="20"/>
          <w:szCs w:val="20"/>
          <w:color w:val="auto"/>
        </w:rPr>
      </w:pPr>
    </w:p>
    <w:p>
      <w:pPr>
        <w:ind w:right="560" w:firstLine="641"/>
        <w:spacing w:after="0" w:line="277"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$24.4 million and $14.6 million for the nine months ended September 30, 2024 and 2023, respectively. As of September 30, 2024, there was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$31.2 million of total unrecognized compensation expense related to nonvested shares or share units outstanding at September 30, 2024 and we expect to recognize the expense over a weighted average period of 2.58 years.</w:t>
      </w:r>
    </w:p>
    <w:p>
      <w:pPr>
        <w:spacing w:after="0" w:line="190"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158,333 in the nine months ended September 30, 2024. The tendered shares were recorded at cost and included in treasury stock. All treasury stock has been cancelled as of September 30, 2024.</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3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1" w:lineRule="exact"/>
        <w:rPr>
          <w:sz w:val="20"/>
          <w:szCs w:val="20"/>
          <w:color w:val="auto"/>
        </w:rPr>
      </w:pPr>
    </w:p>
    <w:p>
      <w:pPr>
        <w:ind w:right="80" w:firstLine="641"/>
        <w:spacing w:after="0" w:line="268" w:lineRule="auto"/>
        <w:rPr>
          <w:sz w:val="20"/>
          <w:szCs w:val="20"/>
          <w:color w:val="auto"/>
        </w:rPr>
      </w:pPr>
      <w:r>
        <w:rPr>
          <w:rFonts w:ascii="Times New Roman" w:cs="Times New Roman" w:eastAsia="Times New Roman" w:hAnsi="Times New Roman"/>
          <w:sz w:val="17"/>
          <w:szCs w:val="17"/>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September 30, 2024, Essent Guaranty had unassigned surplus of approximately $362.8 million and Essent PA had unassigned surplus of approximately $22.2 million. In three and nine months ended September 30, 2024 Essent Guaranty paid dividends of $58.0 million and $165.5 million, respectively, to its parent, Essent US Holdings, Inc. In three and nine months ended September 30, 2023, Essent Guaranty paid dividends of $60 million and $240 million to its parent, Essent US Holdings, Inc. Essent PA did not pay a dividend in the three and nine months ended September 30, 2024 or 2023. As of September 30, 2024, Essent Guaranty and Essent PA could pay additional ordinary dividends in 2024 of $261.8 million and $5.4 million, respectively.</w:t>
      </w:r>
    </w:p>
    <w:p>
      <w:pPr>
        <w:spacing w:after="0" w:line="199" w:lineRule="exact"/>
        <w:rPr>
          <w:sz w:val="20"/>
          <w:szCs w:val="20"/>
          <w:color w:val="auto"/>
        </w:rPr>
      </w:pPr>
    </w:p>
    <w:p>
      <w:pPr>
        <w:ind w:right="120" w:firstLine="641"/>
        <w:spacing w:after="0" w:line="257"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September 30, 2024, Essent Re had total equity of $1.8 billion. At September 30, 2024, our insurance subsidiaries were in compliance with these rules, regulations and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4" w:lineRule="exact"/>
        <w:rPr>
          <w:sz w:val="20"/>
          <w:szCs w:val="20"/>
          <w:color w:val="auto"/>
        </w:rPr>
      </w:pPr>
    </w:p>
    <w:p>
      <w:pPr>
        <w:ind w:right="18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6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521,019</w:t>
            </w:r>
          </w:p>
        </w:tc>
      </w:tr>
      <w:tr>
        <w:trPr>
          <w:trHeight w:val="53"/>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7"/>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106,387</w:t>
            </w:r>
          </w:p>
        </w:tc>
      </w:tr>
      <w:tr>
        <w:trPr>
          <w:trHeight w:val="227"/>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7"/>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107,232</w:t>
            </w:r>
          </w:p>
        </w:tc>
      </w:tr>
      <w:tr>
        <w:trPr>
          <w:trHeight w:val="53"/>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7"/>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380" w:firstLine="641"/>
        <w:spacing w:after="0" w:line="277" w:lineRule="auto"/>
        <w:rPr>
          <w:sz w:val="20"/>
          <w:szCs w:val="20"/>
          <w:color w:val="auto"/>
        </w:rPr>
      </w:pPr>
      <w:r>
        <w:rPr>
          <w:rFonts w:ascii="Times New Roman" w:cs="Times New Roman" w:eastAsia="Times New Roman" w:hAnsi="Times New Roman"/>
          <w:sz w:val="18"/>
          <w:szCs w:val="18"/>
          <w:color w:val="auto"/>
        </w:rPr>
        <w:t>There were 2,842 and 65,435 antidilutive shares for the three months ended September 30, 2024 and 2023, respectively, and 69,021 and 64,108 antidilutive shares for the nine months ended September 30, 2024 and 2023, respectively.</w:t>
      </w:r>
    </w:p>
    <w:p>
      <w:pPr>
        <w:spacing w:after="0" w:line="163" w:lineRule="exact"/>
        <w:rPr>
          <w:sz w:val="20"/>
          <w:szCs w:val="20"/>
          <w:color w:val="auto"/>
        </w:rPr>
      </w:pPr>
    </w:p>
    <w:p>
      <w:pPr>
        <w:ind w:right="300" w:firstLine="641"/>
        <w:spacing w:after="0" w:line="257"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2024, 2023, and 2022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9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2021 Performance-Based</w:t>
            </w:r>
          </w:p>
        </w:tc>
        <w:tc>
          <w:tcPr>
            <w:tcW w:w="0" w:type="dxa"/>
            <w:vAlign w:val="bottom"/>
          </w:tcPr>
          <w:p>
            <w:pPr>
              <w:spacing w:after="0"/>
              <w:rPr>
                <w:sz w:val="1"/>
                <w:szCs w:val="1"/>
                <w:color w:val="auto"/>
              </w:rPr>
            </w:pPr>
          </w:p>
        </w:tc>
      </w:tr>
      <w:tr>
        <w:trPr>
          <w:trHeight w:val="193"/>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740" w:type="dxa"/>
            <w:vAlign w:val="bottom"/>
          </w:tcPr>
          <w:p>
            <w:pPr>
              <w:spacing w:after="0"/>
              <w:rPr>
                <w:sz w:val="16"/>
                <w:szCs w:val="16"/>
                <w:color w:val="auto"/>
              </w:rPr>
            </w:pPr>
          </w:p>
        </w:tc>
        <w:tc>
          <w:tcPr>
            <w:tcW w:w="126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680" w:type="dxa"/>
            <w:vAlign w:val="bottom"/>
          </w:tcPr>
          <w:p>
            <w:pPr>
              <w:spacing w:after="0"/>
              <w:rPr>
                <w:sz w:val="16"/>
                <w:szCs w:val="16"/>
                <w:color w:val="auto"/>
              </w:rPr>
            </w:pPr>
          </w:p>
        </w:tc>
        <w:tc>
          <w:tcPr>
            <w:tcW w:w="122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740" w:type="dxa"/>
            <w:vAlign w:val="bottom"/>
          </w:tcPr>
          <w:p>
            <w:pPr>
              <w:spacing w:after="0"/>
              <w:rPr>
                <w:sz w:val="16"/>
                <w:szCs w:val="16"/>
                <w:color w:val="auto"/>
              </w:rPr>
            </w:pPr>
          </w:p>
        </w:tc>
        <w:tc>
          <w:tcPr>
            <w:tcW w:w="1200" w:type="dxa"/>
            <w:vAlign w:val="bottom"/>
            <w:gridSpan w:val="3"/>
          </w:tcPr>
          <w:p>
            <w:pPr>
              <w:jc w:val="center"/>
              <w:ind w:right="678"/>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ind w:left="92"/>
              <w:spacing w:after="0" w:line="120"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ind w:left="109"/>
              <w:spacing w:after="0" w:line="120"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jc w:val="center"/>
              <w:ind w:left="49"/>
              <w:spacing w:after="0" w:line="120"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ind w:left="71"/>
              <w:spacing w:after="0" w:line="120"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left="92"/>
              <w:spacing w:after="0" w:line="127" w:lineRule="exact"/>
              <w:rPr>
                <w:sz w:val="20"/>
                <w:szCs w:val="20"/>
                <w:color w:val="auto"/>
              </w:rPr>
            </w:pPr>
            <w:r>
              <w:rPr>
                <w:rFonts w:ascii="Times New Roman" w:cs="Times New Roman" w:eastAsia="Times New Roman" w:hAnsi="Times New Roman"/>
                <w:sz w:val="12"/>
                <w:szCs w:val="12"/>
                <w:b w:val="1"/>
                <w:bCs w:val="1"/>
                <w:color w:val="auto"/>
              </w:rPr>
              <w:t>Issuable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740" w:type="dxa"/>
            <w:vAlign w:val="bottom"/>
          </w:tcPr>
          <w:p>
            <w:pPr>
              <w:jc w:val="center"/>
              <w:ind w:left="109"/>
              <w:spacing w:after="0" w:line="127" w:lineRule="exact"/>
              <w:rPr>
                <w:sz w:val="20"/>
                <w:szCs w:val="20"/>
                <w:color w:val="auto"/>
              </w:rPr>
            </w:pPr>
            <w:r>
              <w:rPr>
                <w:rFonts w:ascii="Times New Roman" w:cs="Times New Roman" w:eastAsia="Times New Roman" w:hAnsi="Times New Roman"/>
                <w:sz w:val="12"/>
                <w:szCs w:val="12"/>
                <w:b w:val="1"/>
                <w:bCs w:val="1"/>
                <w:color w:val="auto"/>
              </w:rPr>
              <w:t>Issuable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680" w:type="dxa"/>
            <w:vAlign w:val="bottom"/>
          </w:tcPr>
          <w:p>
            <w:pPr>
              <w:jc w:val="center"/>
              <w:ind w:left="49"/>
              <w:spacing w:after="0" w:line="127" w:lineRule="exact"/>
              <w:rPr>
                <w:sz w:val="20"/>
                <w:szCs w:val="20"/>
                <w:color w:val="auto"/>
              </w:rPr>
            </w:pPr>
            <w:r>
              <w:rPr>
                <w:rFonts w:ascii="Times New Roman" w:cs="Times New Roman" w:eastAsia="Times New Roman" w:hAnsi="Times New Roman"/>
                <w:sz w:val="12"/>
                <w:szCs w:val="12"/>
                <w:b w:val="1"/>
                <w:bCs w:val="1"/>
                <w:color w:val="auto"/>
              </w:rPr>
              <w:t>Issuable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740" w:type="dxa"/>
            <w:vAlign w:val="bottom"/>
          </w:tcPr>
          <w:p>
            <w:pPr>
              <w:jc w:val="center"/>
              <w:ind w:left="71"/>
              <w:spacing w:after="0" w:line="127" w:lineRule="exact"/>
              <w:rPr>
                <w:sz w:val="20"/>
                <w:szCs w:val="20"/>
                <w:color w:val="auto"/>
              </w:rPr>
            </w:pPr>
            <w:r>
              <w:rPr>
                <w:rFonts w:ascii="Times New Roman" w:cs="Times New Roman" w:eastAsia="Times New Roman" w:hAnsi="Times New Roman"/>
                <w:sz w:val="12"/>
                <w:szCs w:val="12"/>
                <w:b w:val="1"/>
                <w:bCs w:val="1"/>
                <w:color w:val="auto"/>
              </w:rPr>
              <w:t>Issuable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0" w:type="dxa"/>
            <w:vAlign w:val="bottom"/>
          </w:tcPr>
          <w:p>
            <w:pPr>
              <w:spacing w:after="0"/>
              <w:rPr>
                <w:sz w:val="1"/>
                <w:szCs w:val="1"/>
                <w:color w:val="auto"/>
              </w:rPr>
            </w:pPr>
          </w:p>
        </w:tc>
      </w:tr>
      <w:tr>
        <w:trPr>
          <w:trHeight w:val="127"/>
        </w:trPr>
        <w:tc>
          <w:tcPr>
            <w:tcW w:w="33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100" w:type="dxa"/>
            <w:vAlign w:val="bottom"/>
            <w:vMerge w:val="restart"/>
          </w:tcPr>
          <w:p>
            <w:pPr>
              <w:spacing w:after="0"/>
              <w:rPr>
                <w:sz w:val="11"/>
                <w:szCs w:val="11"/>
                <w:color w:val="auto"/>
              </w:rPr>
            </w:pPr>
          </w:p>
        </w:tc>
        <w:tc>
          <w:tcPr>
            <w:tcW w:w="720" w:type="dxa"/>
            <w:vAlign w:val="bottom"/>
          </w:tcPr>
          <w:p>
            <w:pPr>
              <w:jc w:val="center"/>
              <w:ind w:left="92"/>
              <w:spacing w:after="0" w:line="127"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40" w:type="dxa"/>
            <w:vAlign w:val="bottom"/>
          </w:tcPr>
          <w:p>
            <w:pPr>
              <w:jc w:val="center"/>
              <w:ind w:left="109"/>
              <w:spacing w:after="0" w:line="127"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80" w:type="dxa"/>
            <w:vAlign w:val="bottom"/>
          </w:tcPr>
          <w:p>
            <w:pPr>
              <w:jc w:val="center"/>
              <w:ind w:left="49"/>
              <w:spacing w:after="0" w:line="127"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40" w:type="dxa"/>
            <w:vAlign w:val="bottom"/>
          </w:tcPr>
          <w:p>
            <w:pPr>
              <w:jc w:val="center"/>
              <w:ind w:left="91"/>
              <w:spacing w:after="0" w:line="127"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0" w:type="dxa"/>
            <w:vAlign w:val="bottom"/>
          </w:tcPr>
          <w:p>
            <w:pPr>
              <w:spacing w:after="0"/>
              <w:rPr>
                <w:sz w:val="1"/>
                <w:szCs w:val="1"/>
                <w:color w:val="auto"/>
              </w:rPr>
            </w:pPr>
          </w:p>
        </w:tc>
      </w:tr>
      <w:tr>
        <w:trPr>
          <w:trHeight w:val="225"/>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Pr>
          <w:p>
            <w:pPr>
              <w:spacing w:after="0"/>
              <w:rPr>
                <w:sz w:val="19"/>
                <w:szCs w:val="19"/>
                <w:color w:val="auto"/>
              </w:rPr>
            </w:pPr>
          </w:p>
        </w:tc>
        <w:tc>
          <w:tcPr>
            <w:tcW w:w="7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5"/>
              </w:rPr>
              <w:t>181%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w:t>
            </w:r>
          </w:p>
        </w:tc>
        <w:tc>
          <w:tcPr>
            <w:tcW w:w="80" w:type="dxa"/>
            <w:vAlign w:val="bottom"/>
          </w:tcPr>
          <w:p>
            <w:pPr>
              <w:spacing w:after="0"/>
              <w:rPr>
                <w:sz w:val="19"/>
                <w:szCs w:val="19"/>
                <w:color w:val="auto"/>
              </w:rPr>
            </w:pPr>
          </w:p>
        </w:tc>
        <w:tc>
          <w:tcPr>
            <w:tcW w:w="740" w:type="dxa"/>
            <w:vAlign w:val="bottom"/>
          </w:tcPr>
          <w:p>
            <w:pPr>
              <w:jc w:val="center"/>
              <w:ind w:left="109"/>
              <w:spacing w:after="0"/>
              <w:rPr>
                <w:sz w:val="20"/>
                <w:szCs w:val="20"/>
                <w:color w:val="auto"/>
              </w:rPr>
            </w:pPr>
            <w:r>
              <w:rPr>
                <w:rFonts w:ascii="Times New Roman" w:cs="Times New Roman" w:eastAsia="Times New Roman" w:hAnsi="Times New Roman"/>
                <w:sz w:val="18"/>
                <w:szCs w:val="18"/>
                <w:color w:val="auto"/>
                <w:w w:val="95"/>
              </w:rPr>
              <w:t>200%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80" w:type="dxa"/>
            <w:vAlign w:val="bottom"/>
          </w:tcPr>
          <w:p>
            <w:pPr>
              <w:spacing w:after="0"/>
              <w:rPr>
                <w:sz w:val="19"/>
                <w:szCs w:val="19"/>
                <w:color w:val="auto"/>
              </w:rPr>
            </w:pPr>
          </w:p>
        </w:tc>
        <w:tc>
          <w:tcPr>
            <w:tcW w:w="680" w:type="dxa"/>
            <w:vAlign w:val="bottom"/>
          </w:tcPr>
          <w:p>
            <w:pPr>
              <w:jc w:val="center"/>
              <w:ind w:left="49"/>
              <w:spacing w:after="0"/>
              <w:rPr>
                <w:sz w:val="20"/>
                <w:szCs w:val="20"/>
                <w:color w:val="auto"/>
              </w:rPr>
            </w:pPr>
            <w:r>
              <w:rPr>
                <w:rFonts w:ascii="Times New Roman" w:cs="Times New Roman" w:eastAsia="Times New Roman" w:hAnsi="Times New Roman"/>
                <w:sz w:val="18"/>
                <w:szCs w:val="18"/>
                <w:color w:val="auto"/>
                <w:w w:val="95"/>
              </w:rPr>
              <w:t>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27"/>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30, 2023</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8"/>
                <w:szCs w:val="18"/>
                <w:color w:val="auto"/>
                <w:w w:val="95"/>
              </w:rPr>
              <w:t>200%</w:t>
            </w:r>
          </w:p>
        </w:tc>
        <w:tc>
          <w:tcPr>
            <w:tcW w:w="1180" w:type="dxa"/>
            <w:vAlign w:val="bottom"/>
            <w:gridSpan w:val="3"/>
            <w:shd w:val="clear" w:color="auto" w:fill="CCEEFF"/>
          </w:tcPr>
          <w:p>
            <w:pPr>
              <w:jc w:val="center"/>
              <w:ind w:left="180"/>
              <w:spacing w:after="0"/>
              <w:rPr>
                <w:sz w:val="20"/>
                <w:szCs w:val="20"/>
                <w:color w:val="auto"/>
              </w:rPr>
            </w:pPr>
            <w:r>
              <w:rPr>
                <w:rFonts w:ascii="Times New Roman" w:cs="Times New Roman" w:eastAsia="Times New Roman" w:hAnsi="Times New Roman"/>
                <w:sz w:val="18"/>
                <w:szCs w:val="18"/>
                <w:color w:val="auto"/>
                <w:w w:val="95"/>
              </w:rPr>
              <w:t>100%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8"/>
                <w:szCs w:val="18"/>
                <w:color w:val="auto"/>
                <w:w w:val="95"/>
              </w:rPr>
              <w:t>200%</w:t>
            </w:r>
          </w:p>
        </w:tc>
        <w:tc>
          <w:tcPr>
            <w:tcW w:w="112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20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0" w:hanging="213"/>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2021 performance based awards vested at 133% relative to target on March 1, 2024.</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34" w:lineRule="exact"/>
        <w:rPr>
          <w:rFonts w:ascii="Times New Roman" w:cs="Times New Roman" w:eastAsia="Times New Roman" w:hAnsi="Times New Roman"/>
          <w:sz w:val="14"/>
          <w:szCs w:val="14"/>
          <w:b w:val="1"/>
          <w:bCs w:val="1"/>
          <w:color w:val="auto"/>
        </w:rPr>
      </w:pPr>
    </w:p>
    <w:p>
      <w:pPr>
        <w:ind w:left="55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rollforward of accumulated other comprehensive loss for the three and nine months ended September 30, 2024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0"/>
        </w:trPr>
        <w:tc>
          <w:tcPr>
            <w:tcW w:w="2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7"/>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7"/>
        </w:trPr>
        <w:tc>
          <w:tcPr>
            <w:tcW w:w="37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(360,135)</w:t>
            </w:r>
          </w:p>
        </w:tc>
      </w:tr>
      <w:tr>
        <w:trPr>
          <w:trHeight w:val="207"/>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4"/>
        </w:trPr>
        <w:tc>
          <w:tcPr>
            <w:tcW w:w="386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7"/>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8"/>
        </w:trPr>
        <w:tc>
          <w:tcPr>
            <w:tcW w:w="3860" w:type="dxa"/>
            <w:vAlign w:val="bottom"/>
            <w:gridSpan w:val="3"/>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0"/>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(76,432)</w:t>
            </w:r>
          </w:p>
        </w:tc>
      </w:tr>
      <w:tr>
        <w:trPr>
          <w:trHeight w:val="174"/>
        </w:trPr>
        <w:tc>
          <w:tcPr>
            <w:tcW w:w="3860" w:type="dxa"/>
            <w:vAlign w:val="bottom"/>
            <w:gridSpan w:val="3"/>
          </w:tcPr>
          <w:p>
            <w:pPr>
              <w:ind w:left="340"/>
              <w:spacing w:after="0" w:line="174"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0"/>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0"/>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(76,248)</w:t>
            </w:r>
          </w:p>
        </w:tc>
      </w:tr>
      <w:tr>
        <w:trPr>
          <w:trHeight w:val="220"/>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(76,248)</w:t>
            </w:r>
          </w:p>
        </w:tc>
      </w:tr>
      <w:tr>
        <w:trPr>
          <w:trHeight w:val="245"/>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89"/>
        </w:trPr>
        <w:tc>
          <w:tcPr>
            <w:tcW w:w="2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0"/>
        </w:trPr>
        <w:tc>
          <w:tcPr>
            <w:tcW w:w="2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7"/>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7"/>
        </w:trPr>
        <w:tc>
          <w:tcPr>
            <w:tcW w:w="37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r>
      <w:tr>
        <w:trPr>
          <w:trHeight w:val="207"/>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4"/>
        </w:trPr>
        <w:tc>
          <w:tcPr>
            <w:tcW w:w="3860" w:type="dxa"/>
            <w:vAlign w:val="bottom"/>
            <w:gridSpan w:val="3"/>
          </w:tcPr>
          <w:p>
            <w:pPr>
              <w:ind w:left="220"/>
              <w:spacing w:after="0" w:line="174"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7"/>
        </w:trPr>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8"/>
        </w:trPr>
        <w:tc>
          <w:tcPr>
            <w:tcW w:w="3860" w:type="dxa"/>
            <w:vAlign w:val="bottom"/>
            <w:gridSpan w:val="3"/>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0"/>
        </w:trPr>
        <w:tc>
          <w:tcPr>
            <w:tcW w:w="38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w:t>
            </w:r>
          </w:p>
        </w:tc>
      </w:tr>
      <w:tr>
        <w:trPr>
          <w:trHeight w:val="174"/>
        </w:trPr>
        <w:tc>
          <w:tcPr>
            <w:tcW w:w="3860" w:type="dxa"/>
            <w:vAlign w:val="bottom"/>
            <w:gridSpan w:val="3"/>
          </w:tcPr>
          <w:p>
            <w:pPr>
              <w:ind w:left="340"/>
              <w:spacing w:after="0" w:line="174"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0"/>
        </w:trPr>
        <w:tc>
          <w:tcPr>
            <w:tcW w:w="386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0"/>
        </w:trPr>
        <w:tc>
          <w:tcPr>
            <w:tcW w:w="3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w:t>
            </w:r>
          </w:p>
        </w:tc>
      </w:tr>
      <w:tr>
        <w:trPr>
          <w:trHeight w:val="220"/>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(53,593)</w:t>
            </w:r>
          </w:p>
        </w:tc>
      </w:tr>
      <w:tr>
        <w:trPr>
          <w:trHeight w:val="245"/>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4"/>
        </w:trPr>
        <w:tc>
          <w:tcPr>
            <w:tcW w:w="218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4" w:lineRule="exact"/>
        <w:rPr>
          <w:sz w:val="20"/>
          <w:szCs w:val="20"/>
          <w:color w:val="auto"/>
        </w:rPr>
      </w:pPr>
    </w:p>
    <w:p>
      <w:pPr>
        <w:ind w:right="280" w:firstLine="641"/>
        <w:spacing w:after="0" w:line="277"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4"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0" w:lineRule="exact"/>
        <w:rPr>
          <w:rFonts w:ascii="Times New Roman" w:cs="Times New Roman" w:eastAsia="Times New Roman" w:hAnsi="Times New Roman"/>
          <w:sz w:val="18"/>
          <w:szCs w:val="18"/>
          <w:color w:val="auto"/>
        </w:rPr>
      </w:pPr>
    </w:p>
    <w:p>
      <w:pPr>
        <w:jc w:val="both"/>
        <w:ind w:left="640" w:right="140" w:hanging="313"/>
        <w:spacing w:after="0" w:line="26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4"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47" w:lineRule="exact"/>
        <w:rPr>
          <w:sz w:val="20"/>
          <w:szCs w:val="20"/>
          <w:color w:val="auto"/>
        </w:rPr>
      </w:pPr>
    </w:p>
    <w:p>
      <w:pPr>
        <w:ind w:left="640" w:right="20" w:hanging="313"/>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6" w:lineRule="exact"/>
        <w:rPr>
          <w:rFonts w:ascii="Times New Roman" w:cs="Times New Roman" w:eastAsia="Times New Roman" w:hAnsi="Times New Roman"/>
          <w:sz w:val="18"/>
          <w:szCs w:val="18"/>
          <w:color w:val="auto"/>
        </w:rPr>
      </w:pPr>
    </w:p>
    <w:p>
      <w:pPr>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4" w:lineRule="exact"/>
        <w:rPr>
          <w:sz w:val="20"/>
          <w:szCs w:val="20"/>
          <w:color w:val="auto"/>
        </w:rPr>
      </w:pPr>
    </w:p>
    <w:p>
      <w:pPr>
        <w:ind w:right="120" w:firstLine="641"/>
        <w:spacing w:after="0" w:line="277"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 (In thousands)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1,051,308</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577,647</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1,704,388</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503,980</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548,076</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0" w:type="dxa"/>
            <w:vAlign w:val="bottom"/>
          </w:tcPr>
          <w:p>
            <w:pPr>
              <w:spacing w:after="0"/>
              <w:rPr>
                <w:sz w:val="1"/>
                <w:szCs w:val="1"/>
                <w:color w:val="auto"/>
              </w:rPr>
            </w:pPr>
          </w:p>
        </w:tc>
      </w:tr>
      <w:tr>
        <w:trPr>
          <w:trHeight w:val="245"/>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5,950,499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0" w:type="dxa"/>
            <w:vAlign w:val="bottom"/>
          </w:tcPr>
          <w:p>
            <w:pPr>
              <w:spacing w:after="0"/>
              <w:rPr>
                <w:sz w:val="1"/>
                <w:szCs w:val="1"/>
                <w:color w:val="auto"/>
              </w:rPr>
            </w:pPr>
          </w:p>
        </w:tc>
      </w:tr>
      <w:tr>
        <w:trPr>
          <w:trHeight w:val="227"/>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0" w:type="dxa"/>
            <w:vAlign w:val="bottom"/>
          </w:tcPr>
          <w:p>
            <w:pPr>
              <w:spacing w:after="0"/>
              <w:rPr>
                <w:sz w:val="1"/>
                <w:szCs w:val="1"/>
                <w:color w:val="auto"/>
              </w:rPr>
            </w:pPr>
          </w:p>
        </w:tc>
      </w:tr>
      <w:tr>
        <w:trPr>
          <w:trHeight w:val="227"/>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0" w:type="dxa"/>
            <w:vAlign w:val="bottom"/>
          </w:tcPr>
          <w:p>
            <w:pPr>
              <w:spacing w:after="0"/>
              <w:rPr>
                <w:sz w:val="1"/>
                <w:szCs w:val="1"/>
                <w:color w:val="auto"/>
              </w:rPr>
            </w:pPr>
          </w:p>
        </w:tc>
      </w:tr>
      <w:tr>
        <w:trPr>
          <w:trHeight w:val="22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1,440,503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right="120" w:hanging="313"/>
        <w:spacing w:after="0" w:line="258"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Times New Roman" w:cs="Times New Roman" w:eastAsia="Times New Roman" w:hAnsi="Times New Roman"/>
          <w:sz w:val="18"/>
          <w:szCs w:val="18"/>
          <w:color w:val="auto"/>
        </w:rPr>
      </w:pPr>
    </w:p>
    <w:p>
      <w:pPr>
        <w:ind w:left="640" w:right="340" w:hanging="313"/>
        <w:spacing w:after="0" w:line="255"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$493.7 million and $521.9 million, respectively, as of September 30, 2024. The fair value of our senior notes is estimated based on quoted market prices.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4" w:lineRule="exact"/>
        <w:rPr>
          <w:sz w:val="20"/>
          <w:szCs w:val="20"/>
          <w:color w:val="auto"/>
        </w:rPr>
      </w:pPr>
    </w:p>
    <w:p>
      <w:pPr>
        <w:ind w:right="80" w:firstLine="641"/>
        <w:spacing w:after="0" w:line="253"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and Essent PA’s statutory net income for the three and nine months ended September 30, 2024 and 2023 as well as statutory surplus and contingency reserve liability at September 30, 2024 and December 31, 2023:</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4400" w:type="dxa"/>
            <w:vAlign w:val="bottom"/>
            <w:gridSpan w:val="2"/>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700" w:type="dxa"/>
            <w:vAlign w:val="bottom"/>
            <w:vMerge w:val="continue"/>
          </w:tcPr>
          <w:p>
            <w:pPr>
              <w:spacing w:after="0"/>
              <w:rPr>
                <w:sz w:val="15"/>
                <w:szCs w:val="15"/>
                <w:color w:val="auto"/>
              </w:rPr>
            </w:pPr>
          </w:p>
        </w:tc>
        <w:tc>
          <w:tcPr>
            <w:tcW w:w="220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057390"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7390" cy="15240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Essent Guaranty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377,737</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312,583</w:t>
            </w:r>
          </w:p>
        </w:tc>
      </w:tr>
      <w:tr>
        <w:trPr>
          <w:trHeight w:val="254"/>
        </w:trPr>
        <w:tc>
          <w:tcPr>
            <w:tcW w:w="6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2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7"/>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523"/>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24"/>
                <w:szCs w:val="24"/>
                <w:color w:val="auto"/>
              </w:rPr>
            </w:pPr>
          </w:p>
        </w:tc>
        <w:tc>
          <w:tcPr>
            <w:tcW w:w="17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7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6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7"/>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1,068,066</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1,004,104</w:t>
            </w:r>
          </w:p>
        </w:tc>
      </w:tr>
      <w:tr>
        <w:trPr>
          <w:trHeight w:val="227"/>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2,265,713</w:t>
            </w:r>
          </w:p>
        </w:tc>
      </w:tr>
      <w:tr>
        <w:trPr>
          <w:trHeight w:val="254"/>
        </w:trPr>
        <w:tc>
          <w:tcPr>
            <w:tcW w:w="6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PA</w:t>
            </w: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7"/>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54,044</w:t>
            </w:r>
          </w:p>
        </w:tc>
      </w:tr>
      <w:tr>
        <w:trPr>
          <w:trHeight w:val="227"/>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r>
    </w:tbl>
    <w:p>
      <w:pPr>
        <w:spacing w:after="0" w:line="316" w:lineRule="exact"/>
        <w:rPr>
          <w:sz w:val="20"/>
          <w:szCs w:val="20"/>
          <w:color w:val="auto"/>
        </w:rPr>
      </w:pPr>
    </w:p>
    <w:p>
      <w:pPr>
        <w:ind w:right="260" w:firstLine="641"/>
        <w:spacing w:after="0" w:line="252"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2024 and 2023,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2" w:lineRule="exact"/>
        <w:rPr>
          <w:sz w:val="20"/>
          <w:szCs w:val="20"/>
          <w:color w:val="auto"/>
        </w:rPr>
      </w:pPr>
    </w:p>
    <w:p>
      <w:pPr>
        <w:ind w:right="300" w:firstLine="641"/>
        <w:spacing w:after="0" w:line="277" w:lineRule="auto"/>
        <w:rPr>
          <w:sz w:val="20"/>
          <w:szCs w:val="20"/>
          <w:color w:val="auto"/>
        </w:rPr>
      </w:pPr>
      <w:r>
        <w:rPr>
          <w:rFonts w:ascii="Times New Roman" w:cs="Times New Roman" w:eastAsia="Times New Roman" w:hAnsi="Times New Roman"/>
          <w:sz w:val="18"/>
          <w:szCs w:val="18"/>
          <w:color w:val="auto"/>
        </w:rPr>
        <w:t>At September 30, 2024 and December 31, 2023, the statutory capital of our U.S. insurance subsidiaries, which is defined as the total of statutory surplus and contingency reserves, was in excess of the statutory capital necessary to satisfy their regulatory requirements.</w:t>
      </w:r>
    </w:p>
    <w:p>
      <w:pPr>
        <w:spacing w:after="0" w:line="190" w:lineRule="exact"/>
        <w:rPr>
          <w:sz w:val="20"/>
          <w:szCs w:val="20"/>
          <w:color w:val="auto"/>
        </w:rPr>
      </w:pPr>
    </w:p>
    <w:p>
      <w:pPr>
        <w:ind w:right="20" w:firstLine="641"/>
        <w:spacing w:after="0" w:line="262"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September 30, 2024, Essent Guaranty, our GSE-approved mortgage insurance company, was in compliance with PMIERs 2.0.</w:t>
      </w:r>
    </w:p>
    <w:p>
      <w:pPr>
        <w:spacing w:after="0" w:line="208" w:lineRule="exact"/>
        <w:rPr>
          <w:sz w:val="20"/>
          <w:szCs w:val="20"/>
          <w:color w:val="auto"/>
        </w:rPr>
      </w:pPr>
    </w:p>
    <w:p>
      <w:pPr>
        <w:ind w:right="100" w:firstLine="641"/>
        <w:spacing w:after="0" w:line="252"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nine months ended September 30, 2024, Essent Guaranty increased its contingency reserve by $144.3 million and Essent PA decreased its contingency reserve by $7.0 million. During the nine months ended September 30, 2024 and 2023, Essent Guaranty released contingency reserves of $69.9 million and $38.2 million, respectively, and Essent PA released contingency reserves of $7.2 million and $3.3 million, respectively, to unassigned funds upon completion of the 120 month holding period.</w:t>
      </w:r>
    </w:p>
    <w:p>
      <w:pPr>
        <w:spacing w:after="0" w:line="214"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2023, all such requirements were met.</w:t>
      </w:r>
    </w:p>
    <w:p>
      <w:pPr>
        <w:spacing w:after="0" w:line="210"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Essent Re's statutory capital and surplus was $1.8 billion as of September 30, 2024 and $1.9 billion as of December 31, 2023. Essent Re's statutory net income was $248.8 million and $227.5 million for the nine months ended September 30, 2024 and 2023, respectively. Statutory capital and surplus as of September 30, 2024 and December 31, 2023 and statutory net income in the nine months ended September 30, 2024 and 2023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Acquisitions</w:t>
      </w:r>
    </w:p>
    <w:p>
      <w:pPr>
        <w:spacing w:after="0" w:line="251" w:lineRule="exact"/>
        <w:rPr>
          <w:sz w:val="20"/>
          <w:szCs w:val="20"/>
          <w:color w:val="auto"/>
        </w:rPr>
      </w:pPr>
    </w:p>
    <w:p>
      <w:pPr>
        <w:ind w:right="120" w:firstLine="641"/>
        <w:spacing w:after="0" w:line="253" w:lineRule="auto"/>
        <w:rPr>
          <w:sz w:val="20"/>
          <w:szCs w:val="20"/>
          <w:color w:val="auto"/>
        </w:rPr>
      </w:pPr>
      <w:r>
        <w:rPr>
          <w:rFonts w:ascii="Times New Roman" w:cs="Times New Roman" w:eastAsia="Times New Roman" w:hAnsi="Times New Roman"/>
          <w:sz w:val="18"/>
          <w:szCs w:val="18"/>
          <w:color w:val="auto"/>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 $92.6 million in cash in a single settlement with the seller. The purchase price was subject to further customary post-closing adjustments as described in a securities purchase agreement among the parties to the transaction, in which a post closing adjustment of $1.3 million was paid by the seller to Essent Holdings.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spacing w:after="0" w:line="214" w:lineRule="exact"/>
        <w:rPr>
          <w:sz w:val="20"/>
          <w:szCs w:val="20"/>
          <w:color w:val="auto"/>
        </w:rPr>
      </w:pPr>
    </w:p>
    <w:p>
      <w:pPr>
        <w:ind w:right="220" w:firstLine="641"/>
        <w:spacing w:after="0" w:line="257" w:lineRule="auto"/>
        <w:rPr>
          <w:sz w:val="20"/>
          <w:szCs w:val="20"/>
          <w:color w:val="auto"/>
        </w:rPr>
      </w:pPr>
      <w:r>
        <w:rPr>
          <w:rFonts w:ascii="Times New Roman" w:cs="Times New Roman" w:eastAsia="Times New Roman" w:hAnsi="Times New Roman"/>
          <w:sz w:val="18"/>
          <w:szCs w:val="18"/>
          <w:color w:val="auto"/>
        </w:rPr>
        <w:t>The acquired businesses contributed revenues of $59.4 million, principally comprised of $49.6 million of net premiums earned and $6.1 million of settlement services revenues, which are included in other income, and pre-tax net losses of $11.8 million to our results for the nine months ended September 30, 2024. The following unaudited pro forma summary presents consolidated information for Essent as if the business combination had occurred on January 1, 2023.</w:t>
      </w:r>
    </w:p>
    <w:p>
      <w:pPr>
        <w:spacing w:after="0" w:line="200" w:lineRule="exact"/>
        <w:rPr>
          <w:sz w:val="20"/>
          <w:szCs w:val="20"/>
          <w:color w:val="auto"/>
        </w:rPr>
      </w:pPr>
    </w:p>
    <w:p>
      <w:pPr>
        <w:spacing w:after="0" w:line="283" w:lineRule="exact"/>
        <w:rPr>
          <w:sz w:val="20"/>
          <w:szCs w:val="20"/>
          <w:color w:val="auto"/>
        </w:rPr>
      </w:pPr>
    </w:p>
    <w:tbl>
      <w:tblPr>
        <w:tblLayout w:type="fixed"/>
        <w:tblInd w:w="64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6"/>
                <w:szCs w:val="16"/>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6"/>
                <w:szCs w:val="16"/>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25"/>
        </w:trPr>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2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gridSpan w:val="4"/>
          </w:tcPr>
          <w:p>
            <w:pPr>
              <w:spacing w:after="0"/>
              <w:rPr>
                <w:sz w:val="2"/>
                <w:szCs w:val="2"/>
                <w:color w:val="auto"/>
              </w:rPr>
            </w:pPr>
          </w:p>
        </w:tc>
      </w:tr>
      <w:tr>
        <w:trPr>
          <w:trHeight w:val="187"/>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316,578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927,877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856,59</w:t>
            </w:r>
          </w:p>
        </w:tc>
      </w:tr>
      <w:tr>
        <w:trPr>
          <w:trHeight w:val="23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176,175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561,503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514,82</w:t>
            </w:r>
          </w:p>
        </w:tc>
      </w:tr>
    </w:tbl>
    <w:p>
      <w:pPr>
        <w:spacing w:after="0" w:line="310" w:lineRule="exact"/>
        <w:rPr>
          <w:sz w:val="20"/>
          <w:szCs w:val="20"/>
          <w:color w:val="auto"/>
        </w:rPr>
      </w:pPr>
    </w:p>
    <w:p>
      <w:pPr>
        <w:ind w:right="220" w:firstLine="641"/>
        <w:spacing w:after="0" w:line="257" w:lineRule="auto"/>
        <w:rPr>
          <w:sz w:val="20"/>
          <w:szCs w:val="20"/>
          <w:color w:val="auto"/>
        </w:rPr>
      </w:pPr>
      <w:r>
        <w:rPr>
          <w:rFonts w:ascii="Times New Roman" w:cs="Times New Roman" w:eastAsia="Times New Roman" w:hAnsi="Times New Roman"/>
          <w:sz w:val="18"/>
          <w:szCs w:val="18"/>
          <w:color w:val="auto"/>
        </w:rPr>
        <w:t>We did not have any material, nonrecurring pro forma adjustments directly attributable to the business combination included in the reported pro forma revenue and earnings. These pro forma amounts have been calculated after applying our accounting policies and adjusting the results of Agents National Title and Boston National Title to reflect the additional amortization that would have been charged to earnings assuming the fair value adjustments for the intangible assets acquired had been applied from January 1, 2023, including consequential income tax effects.</w:t>
      </w:r>
    </w:p>
    <w:p>
      <w:pPr>
        <w:spacing w:after="0" w:line="209" w:lineRule="exact"/>
        <w:rPr>
          <w:sz w:val="20"/>
          <w:szCs w:val="20"/>
          <w:color w:val="auto"/>
        </w:rPr>
      </w:pPr>
    </w:p>
    <w:p>
      <w:pPr>
        <w:jc w:val="both"/>
        <w:ind w:right="160" w:firstLine="641"/>
        <w:spacing w:after="0" w:line="262" w:lineRule="auto"/>
        <w:rPr>
          <w:sz w:val="20"/>
          <w:szCs w:val="20"/>
          <w:color w:val="auto"/>
        </w:rPr>
      </w:pPr>
      <w:r>
        <w:rPr>
          <w:rFonts w:ascii="Times New Roman" w:cs="Times New Roman" w:eastAsia="Times New Roman" w:hAnsi="Times New Roman"/>
          <w:sz w:val="18"/>
          <w:szCs w:val="18"/>
          <w:color w:val="auto"/>
        </w:rPr>
        <w:t>We incurred $0.2 million and $4.4 million of acquisition-related costs for the three and nine months ended September 30, 2023, respectively. These expenses are included in other underwriting and operating expenses on our condensed consolidated income statement and are reflected in pro forma earnings for the three and nine months ended September 30, 2023 in the table above.</w:t>
      </w:r>
    </w:p>
    <w:p>
      <w:pPr>
        <w:spacing w:after="0" w:line="204" w:lineRule="exact"/>
        <w:rPr>
          <w:sz w:val="20"/>
          <w:szCs w:val="20"/>
          <w:color w:val="auto"/>
        </w:rPr>
      </w:pPr>
    </w:p>
    <w:p>
      <w:pPr>
        <w:ind w:right="500" w:firstLine="401"/>
        <w:spacing w:after="0" w:line="257" w:lineRule="auto"/>
        <w:rPr>
          <w:sz w:val="20"/>
          <w:szCs w:val="20"/>
          <w:color w:val="auto"/>
        </w:rPr>
      </w:pPr>
      <w:r>
        <w:rPr>
          <w:rFonts w:ascii="Times New Roman" w:cs="Times New Roman" w:eastAsia="Times New Roman" w:hAnsi="Times New Roman"/>
          <w:sz w:val="18"/>
          <w:szCs w:val="18"/>
          <w:color w:val="auto"/>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spacing w:after="0" w:line="209" w:lineRule="exact"/>
        <w:rPr>
          <w:sz w:val="20"/>
          <w:szCs w:val="20"/>
          <w:color w:val="auto"/>
        </w:rPr>
      </w:pPr>
    </w:p>
    <w:p>
      <w:pPr>
        <w:ind w:right="200" w:firstLine="401"/>
        <w:spacing w:after="0" w:line="308" w:lineRule="auto"/>
        <w:rPr>
          <w:sz w:val="20"/>
          <w:szCs w:val="20"/>
          <w:color w:val="auto"/>
        </w:rPr>
      </w:pPr>
      <w:r>
        <w:rPr>
          <w:rFonts w:ascii="Times New Roman" w:cs="Times New Roman" w:eastAsia="Times New Roman" w:hAnsi="Times New Roman"/>
          <w:sz w:val="17"/>
          <w:szCs w:val="17"/>
          <w:color w:val="auto"/>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0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Measurement Period</w:t>
            </w:r>
          </w:p>
        </w:tc>
        <w:tc>
          <w:tcPr>
            <w:tcW w:w="280" w:type="dxa"/>
            <w:vAlign w:val="bottom"/>
          </w:tcPr>
          <w:p>
            <w:pPr>
              <w:spacing w:after="0"/>
              <w:rPr>
                <w:sz w:val="17"/>
                <w:szCs w:val="17"/>
                <w:color w:val="auto"/>
              </w:rPr>
            </w:pPr>
          </w:p>
        </w:tc>
        <w:tc>
          <w:tcPr>
            <w:tcW w:w="156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27"/>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maturities available for sale</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27"/>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 for losses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0" w:type="dxa"/>
            <w:vAlign w:val="bottom"/>
          </w:tcPr>
          <w:p>
            <w:pPr>
              <w:spacing w:after="0"/>
              <w:rPr>
                <w:sz w:val="1"/>
                <w:szCs w:val="1"/>
                <w:color w:val="auto"/>
              </w:rPr>
            </w:pPr>
          </w:p>
        </w:tc>
      </w:tr>
      <w:tr>
        <w:trPr>
          <w:trHeight w:val="227"/>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2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right="20" w:firstLine="401"/>
        <w:spacing w:after="0" w:line="277" w:lineRule="auto"/>
        <w:rPr>
          <w:sz w:val="20"/>
          <w:szCs w:val="20"/>
          <w:color w:val="auto"/>
        </w:rPr>
      </w:pPr>
      <w:r>
        <w:rPr>
          <w:rFonts w:ascii="Times New Roman" w:cs="Times New Roman" w:eastAsia="Times New Roman" w:hAnsi="Times New Roman"/>
          <w:sz w:val="18"/>
          <w:szCs w:val="18"/>
          <w:color w:val="auto"/>
        </w:rPr>
        <w:t>Adjustments to Goodwill were primarily related to the fair value of claims reserve liabilities, agency relationship intangible assets and other assets. The fair values of assets acquired and liabilities assumed, as well as resulting goodwill, were finalized as of June 30, 2024.</w:t>
      </w:r>
    </w:p>
    <w:p>
      <w:pPr>
        <w:spacing w:after="0" w:line="190" w:lineRule="exact"/>
        <w:rPr>
          <w:sz w:val="20"/>
          <w:szCs w:val="20"/>
          <w:color w:val="auto"/>
        </w:rPr>
      </w:pPr>
    </w:p>
    <w:p>
      <w:pPr>
        <w:ind w:right="400" w:firstLine="401"/>
        <w:spacing w:after="0" w:line="262" w:lineRule="auto"/>
        <w:rPr>
          <w:sz w:val="20"/>
          <w:szCs w:val="20"/>
          <w:color w:val="auto"/>
        </w:rPr>
      </w:pPr>
      <w:r>
        <w:rPr>
          <w:rFonts w:ascii="Times New Roman" w:cs="Times New Roman" w:eastAsia="Times New Roman" w:hAnsi="Times New Roman"/>
          <w:sz w:val="18"/>
          <w:szCs w:val="18"/>
          <w:color w:val="auto"/>
        </w:rPr>
        <w:t>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 As of September 30, 2024, intangible assets were $21.1 million, net of $1.8 million of accumulated amortization.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2" w:lineRule="exact"/>
        <w:rPr>
          <w:sz w:val="20"/>
          <w:szCs w:val="20"/>
          <w:color w:val="auto"/>
        </w:rPr>
      </w:pPr>
    </w:p>
    <w:p>
      <w:pPr>
        <w:ind w:right="20" w:firstLine="641"/>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2023 as filed with the Securities and Exchange Commission and referred to herein as the “Annual Report,” and our condensed consolidated financial statements and related notes as of and for the three and nine months ended September 30, 2024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ind w:right="680" w:firstLine="641"/>
        <w:spacing w:after="0" w:line="277"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reinsurance, and title insurance and settlement services to mortgage lenders, borrowers, and investors to support homeownership.</w:t>
      </w:r>
    </w:p>
    <w:p>
      <w:pPr>
        <w:spacing w:after="0" w:line="177" w:lineRule="exact"/>
        <w:rPr>
          <w:sz w:val="20"/>
          <w:szCs w:val="20"/>
          <w:color w:val="auto"/>
        </w:rPr>
      </w:pPr>
    </w:p>
    <w:p>
      <w:pPr>
        <w:ind w:right="80" w:firstLine="641"/>
        <w:spacing w:after="0" w:line="238"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$12.5 billion and $33.3 billion for the three and nine months ended September 30, 2024, respectively, compared to approximately $12.5 billion and $38.9 billion for the three and nine months ended September 30, 2023, respectively. The financial strength ratings of Essent Guaranty are A3 with a positive outlook by Moody’s Investors Service (“Moody's”), A- with a stable outlook by S&amp;P Global Ratings (“S&amp;P”) and A (Excellent) with a stable outlook by A.M. Best Ratings Services, Inc. ("AM Best").</w:t>
      </w:r>
    </w:p>
    <w:p>
      <w:pPr>
        <w:spacing w:after="0" w:line="224" w:lineRule="exact"/>
        <w:rPr>
          <w:sz w:val="20"/>
          <w:szCs w:val="20"/>
          <w:color w:val="auto"/>
        </w:rPr>
      </w:pPr>
    </w:p>
    <w:p>
      <w:pPr>
        <w:ind w:firstLine="683"/>
        <w:spacing w:after="0" w:line="252"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Reinsurance Ltd., which we refer to as "Essent Re." As of September 30, 2024, Essent Re provided insurance or reinsurance relating to GSE risk share and other reinsurance transactions covering approximately $2.3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A- with a stable outlook by S&amp;P and A (Excellent) with a stable outlook by AM Best.</w:t>
      </w:r>
    </w:p>
    <w:p>
      <w:pPr>
        <w:spacing w:after="0" w:line="215"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and Boston National Holdings LLC effective July 1, 2023, we offer title insurance and settlement services.</w:t>
      </w:r>
    </w:p>
    <w:p>
      <w:pPr>
        <w:spacing w:after="0" w:line="190"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We have a highly experienced, talented team with 602 employees as of September 30, 2024. Our holding company is domiciled in Bermuda and our U.S. mortgage insurance business is headquartered in Radnor, Pennsylvania.</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251"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in September 2024, the Federal Reserve reduced the target federal funds rate by 50 basis points. Mortgage interest rates remain elevated which has reduced home buying and mortgage refinance activity resulting in lower volumes of mortgage originations, new insurance written and title insurance and settlement service transactions. These rate actions have also resulted in increases in our net investment income generated by our investment portfolio and the persistency of our mortgage insurance in force.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firstLine="641"/>
        <w:spacing w:after="0" w:line="249"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We believe these hurricanes could have an impact on our insured portfolio’s performance and expect to experience increased defaults in these areas beginning in the fourth quarter of 2024. As of October 31, 2024, our insurance in force in counties with Federal Emergency Management Agency ("FEMA") disaster declarations due to hurricanes Helene and Milton is approximately 12.5% of our total insurance in force. It is too early to tell how many claims we ultimately may have to pay associated with any defaults in the hurricane impacted areas. There are many factors contributing to the uncertainty surrounding these insured loans. Under our master policy, loan servicers are not required to notify us of a default until the borrower has missed two consecutive minimum payments. Also, the level of damage being reported in these areas varies significantly from region to region. Further,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These events have not materially affected our reserves as of September 30, 2024.</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02" w:lineRule="exact"/>
        <w:rPr>
          <w:sz w:val="20"/>
          <w:szCs w:val="20"/>
          <w:color w:val="auto"/>
        </w:rPr>
      </w:pPr>
    </w:p>
    <w:p>
      <w:pPr>
        <w:jc w:val="both"/>
        <w:ind w:right="40" w:firstLine="641"/>
        <w:spacing w:after="0" w:line="257"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251" w:lineRule="exact"/>
        <w:rPr>
          <w:sz w:val="20"/>
          <w:szCs w:val="20"/>
          <w:color w:val="auto"/>
        </w:rPr>
      </w:pPr>
    </w:p>
    <w:p>
      <w:pPr>
        <w:ind w:right="100" w:firstLine="641"/>
        <w:spacing w:after="0" w:line="257"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251" w:lineRule="exact"/>
        <w:rPr>
          <w:sz w:val="20"/>
          <w:szCs w:val="20"/>
          <w:color w:val="auto"/>
        </w:rPr>
      </w:pPr>
    </w:p>
    <w:p>
      <w:pPr>
        <w:ind w:right="120" w:firstLine="641"/>
        <w:spacing w:after="0" w:line="262"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204" w:lineRule="exact"/>
        <w:rPr>
          <w:sz w:val="20"/>
          <w:szCs w:val="20"/>
          <w:color w:val="auto"/>
        </w:rPr>
      </w:pPr>
    </w:p>
    <w:p>
      <w:pPr>
        <w:ind w:right="100" w:firstLine="641"/>
        <w:spacing w:after="0" w:line="253"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4" w:lineRule="exact"/>
        <w:rPr>
          <w:sz w:val="20"/>
          <w:szCs w:val="20"/>
          <w:color w:val="auto"/>
        </w:rPr>
      </w:pPr>
    </w:p>
    <w:p>
      <w:pPr>
        <w:ind w:right="40" w:firstLine="641"/>
        <w:spacing w:after="0" w:line="255"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40" w:right="26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640" w:right="180"/>
        <w:spacing w:after="0" w:line="277" w:lineRule="auto"/>
        <w:rPr>
          <w:sz w:val="20"/>
          <w:szCs w:val="20"/>
          <w:color w:val="auto"/>
        </w:rPr>
      </w:pPr>
      <w:r>
        <w:rPr>
          <w:rFonts w:ascii="Times New Roman" w:cs="Times New Roman" w:eastAsia="Times New Roman" w:hAnsi="Times New Roman"/>
          <w:sz w:val="18"/>
          <w:szCs w:val="18"/>
          <w:color w:val="auto"/>
        </w:rPr>
        <w:t>to provide credit enhancement on those mortgages, the number of customers who have approved us to provide mortgage insurance and changes in our NIW from certain customers;</w:t>
      </w:r>
    </w:p>
    <w:p>
      <w:pPr>
        <w:spacing w:after="0" w:line="163" w:lineRule="exact"/>
        <w:rPr>
          <w:sz w:val="20"/>
          <w:szCs w:val="20"/>
          <w:color w:val="auto"/>
        </w:rPr>
      </w:pPr>
    </w:p>
    <w:p>
      <w:pPr>
        <w:ind w:left="640" w:right="120" w:hanging="313"/>
        <w:spacing w:after="0" w:line="27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3" w:lineRule="exact"/>
        <w:rPr>
          <w:rFonts w:ascii="Times New Roman" w:cs="Times New Roman" w:eastAsia="Times New Roman" w:hAnsi="Times New Roman"/>
          <w:sz w:val="18"/>
          <w:szCs w:val="18"/>
          <w:color w:val="auto"/>
        </w:rPr>
      </w:pPr>
    </w:p>
    <w:p>
      <w:pPr>
        <w:ind w:left="640" w:right="340" w:hanging="313"/>
        <w:spacing w:after="0" w:line="27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0"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2024 were non-refundable. Premiums collected on annual policies are recognized as net premiums earned on a straight-line basis over the year of coverage. For the nine months ended September 30, 2024 and 2023, monthly premium policies comprised 98% and 96% of our NIW, respectively.</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47" w:lineRule="exact"/>
        <w:rPr>
          <w:sz w:val="20"/>
          <w:szCs w:val="20"/>
          <w:color w:val="auto"/>
        </w:rPr>
      </w:pPr>
    </w:p>
    <w:p>
      <w:pPr>
        <w:ind w:right="260" w:firstLine="641"/>
        <w:spacing w:after="0" w:line="277"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4" w:lineRule="exact"/>
        <w:rPr>
          <w:sz w:val="20"/>
          <w:szCs w:val="20"/>
          <w:color w:val="auto"/>
        </w:rPr>
      </w:pPr>
    </w:p>
    <w:p>
      <w:pPr>
        <w:jc w:val="both"/>
        <w:ind w:right="80" w:firstLine="641"/>
        <w:spacing w:after="0" w:line="262"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86.6% at September 30, 2024. Generally, higher prepayment speeds lead to lower persistency.</w:t>
      </w:r>
    </w:p>
    <w:p>
      <w:pPr>
        <w:spacing w:after="0" w:line="204" w:lineRule="exact"/>
        <w:rPr>
          <w:sz w:val="20"/>
          <w:szCs w:val="20"/>
          <w:color w:val="auto"/>
        </w:rPr>
      </w:pPr>
    </w:p>
    <w:p>
      <w:pPr>
        <w:ind w:right="100" w:firstLine="686"/>
        <w:spacing w:after="0" w:line="253"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4"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September 30, 2024.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1" w:lineRule="exact"/>
        <w:rPr>
          <w:sz w:val="20"/>
          <w:szCs w:val="20"/>
          <w:color w:val="auto"/>
        </w:rPr>
      </w:pPr>
    </w:p>
    <w:p>
      <w:pPr>
        <w:ind w:right="80" w:firstLine="641"/>
        <w:spacing w:after="0" w:line="253"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4" w:lineRule="exact"/>
        <w:rPr>
          <w:sz w:val="20"/>
          <w:szCs w:val="20"/>
          <w:color w:val="auto"/>
        </w:rPr>
      </w:pPr>
    </w:p>
    <w:p>
      <w:pPr>
        <w:jc w:val="both"/>
        <w:ind w:right="220" w:firstLine="641"/>
        <w:spacing w:after="0" w:line="255"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0" w:lineRule="exact"/>
        <w:rPr>
          <w:sz w:val="20"/>
          <w:szCs w:val="20"/>
          <w:color w:val="auto"/>
        </w:rPr>
      </w:pPr>
    </w:p>
    <w:p>
      <w:pPr>
        <w:ind w:right="140" w:firstLine="641"/>
        <w:spacing w:after="0" w:line="257"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2" w:lineRule="exact"/>
        <w:rPr>
          <w:sz w:val="20"/>
          <w:szCs w:val="20"/>
          <w:color w:val="auto"/>
        </w:rPr>
      </w:pPr>
    </w:p>
    <w:p>
      <w:pPr>
        <w:ind w:firstLine="168"/>
        <w:spacing w:after="0" w:line="262"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4" w:lineRule="exact"/>
        <w:rPr>
          <w:sz w:val="20"/>
          <w:szCs w:val="20"/>
          <w:color w:val="auto"/>
        </w:rPr>
      </w:pPr>
    </w:p>
    <w:p>
      <w:pPr>
        <w:ind w:right="160" w:firstLine="641"/>
        <w:spacing w:after="0" w:line="277"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0" w:lineRule="exact"/>
        <w:rPr>
          <w:sz w:val="20"/>
          <w:szCs w:val="20"/>
          <w:color w:val="auto"/>
        </w:rPr>
      </w:pPr>
    </w:p>
    <w:p>
      <w:pPr>
        <w:ind w:left="640" w:right="200" w:hanging="313"/>
        <w:spacing w:after="0" w:line="27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3" w:lineRule="exact"/>
        <w:rPr>
          <w:rFonts w:ascii="Times New Roman" w:cs="Times New Roman" w:eastAsia="Times New Roman" w:hAnsi="Times New Roman"/>
          <w:sz w:val="18"/>
          <w:szCs w:val="18"/>
          <w:color w:val="auto"/>
        </w:rPr>
      </w:pPr>
    </w:p>
    <w:p>
      <w:pPr>
        <w:ind w:left="640" w:right="220" w:hanging="313"/>
        <w:spacing w:after="0" w:line="308"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6"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640" w:hanging="313"/>
        <w:spacing w:after="0" w:line="26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3" w:lineRule="exact"/>
        <w:rPr>
          <w:rFonts w:ascii="Times New Roman" w:cs="Times New Roman" w:eastAsia="Times New Roman" w:hAnsi="Times New Roman"/>
          <w:sz w:val="18"/>
          <w:szCs w:val="18"/>
          <w:color w:val="auto"/>
        </w:rPr>
      </w:pPr>
    </w:p>
    <w:p>
      <w:pPr>
        <w:ind w:left="640" w:right="120" w:hanging="313"/>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September 30, 2024, 53% of our IIF relates to business written since January 1, 2022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2" w:lineRule="exact"/>
        <w:rPr>
          <w:sz w:val="20"/>
          <w:szCs w:val="20"/>
          <w:color w:val="auto"/>
        </w:rPr>
      </w:pPr>
    </w:p>
    <w:p>
      <w:pPr>
        <w:ind w:right="120" w:firstLine="641"/>
        <w:spacing w:after="0" w:line="253"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7" w:lineRule="exact"/>
        <w:rPr>
          <w:sz w:val="20"/>
          <w:szCs w:val="20"/>
          <w:color w:val="auto"/>
        </w:rPr>
      </w:pPr>
    </w:p>
    <w:p>
      <w:pPr>
        <w:ind w:firstLine="641"/>
        <w:spacing w:after="0" w:line="259"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September 30, 2024, 53% of our IIF relates to business written since January 1, 2022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80"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7"/>
          <w:szCs w:val="17"/>
          <w:color w:val="auto"/>
        </w:rPr>
        <w:t>The economy in the United States has experienced elevated levels of consumer price inflation and the Federal Reserve increased the target federal funds rate several times during 2022 and 2023 in an effort to reduce consumer price inflation. As a result of progress on inflation, in September 2024, the Federal Reserve reduced the target federal funds rate by 50 basis points. Mortgage interest rates remain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0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September 30, 2024, we had approximately $1.7 billion of excess of loss reinsurance covering NIW from January 1, 2018 through December 31, 2019 and August 1, 2020 through December 31, 2024 and quota share reinsurance on portions of our NIW effective September 1, 2019 through December 31, 2020 and January 1, 2022 through December 31, 2024. The impact on our reserves in future periods will be dependent upon the amount of delinquent notices received from loan servicers, the performance of defaults and our expectations for the amount of ultimate losses on these delinquencies.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Third-Party Reinsurance</w:t>
      </w:r>
    </w:p>
    <w:p>
      <w:pPr>
        <w:spacing w:after="0" w:line="251" w:lineRule="exact"/>
        <w:rPr>
          <w:sz w:val="20"/>
          <w:szCs w:val="20"/>
          <w:color w:val="auto"/>
        </w:rPr>
      </w:pPr>
    </w:p>
    <w:p>
      <w:pPr>
        <w:ind w:right="220" w:firstLine="641"/>
        <w:spacing w:after="0" w:line="255" w:lineRule="auto"/>
        <w:rPr>
          <w:sz w:val="20"/>
          <w:szCs w:val="20"/>
          <w:color w:val="auto"/>
        </w:rPr>
      </w:pPr>
      <w:r>
        <w:rPr>
          <w:rFonts w:ascii="Times New Roman" w:cs="Times New Roman" w:eastAsia="Times New Roman" w:hAnsi="Times New Roman"/>
          <w:sz w:val="18"/>
          <w:szCs w:val="18"/>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4" w:lineRule="exact"/>
        <w:rPr>
          <w:sz w:val="20"/>
          <w:szCs w:val="20"/>
          <w:color w:val="auto"/>
        </w:rPr>
      </w:pPr>
    </w:p>
    <w:p>
      <w:pPr>
        <w:ind w:right="500" w:firstLine="641"/>
        <w:spacing w:after="0" w:line="277"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3"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59% and 60% of other underwriting and operating expenses for the three and nine months ended September 30, 2024, compared to 57% and 57%</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of other underwriting and operating expenses for the three and nine months ended September 30, 2023, respectively. Compensation and benefits expense includes base and incentive cash compensation, stock compensation expense, benefits and payroll taxes.</w:t>
      </w:r>
    </w:p>
    <w:p>
      <w:pPr>
        <w:spacing w:after="0" w:line="190" w:lineRule="exact"/>
        <w:rPr>
          <w:sz w:val="20"/>
          <w:szCs w:val="20"/>
          <w:color w:val="auto"/>
        </w:rPr>
      </w:pPr>
    </w:p>
    <w:p>
      <w:pPr>
        <w:ind w:right="180" w:firstLine="641"/>
        <w:spacing w:after="0" w:line="262"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Premiums Retained by Agents</w:t>
      </w:r>
    </w:p>
    <w:p>
      <w:pPr>
        <w:spacing w:after="0" w:line="251" w:lineRule="exact"/>
        <w:rPr>
          <w:sz w:val="20"/>
          <w:szCs w:val="20"/>
          <w:color w:val="auto"/>
        </w:rPr>
      </w:pPr>
    </w:p>
    <w:p>
      <w:pPr>
        <w:ind w:right="80" w:firstLine="641"/>
        <w:spacing w:after="0" w:line="257" w:lineRule="auto"/>
        <w:rPr>
          <w:sz w:val="20"/>
          <w:szCs w:val="20"/>
          <w:color w:val="auto"/>
        </w:rPr>
      </w:pPr>
      <w:r>
        <w:rPr>
          <w:rFonts w:ascii="Times New Roman" w:cs="Times New Roman" w:eastAsia="Times New Roman" w:hAnsi="Times New Roman"/>
          <w:sz w:val="18"/>
          <w:szCs w:val="18"/>
          <w:color w:val="auto"/>
        </w:rPr>
        <w:t>Premiums retained by agents represent the portion of title insurance premiums retained by our third-party agents pursuant to the terms of their respective agency contracts. These amounts are recorded as an expense and reported separately on the condensed consolidated statements of comprehensive income, consistent with industry practice. The percentage of premiums retained by agents vary according to regional differences in real estate closing practices and state regulations.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1"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6 to our condensed consolidated financial statements.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5" w:lineRule="exact"/>
        <w:rPr>
          <w:sz w:val="20"/>
          <w:szCs w:val="20"/>
          <w:color w:val="auto"/>
        </w:rPr>
      </w:pPr>
    </w:p>
    <w:p>
      <w:pPr>
        <w:ind w:right="20" w:firstLine="641"/>
        <w:spacing w:after="0" w:line="242"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220" w:lineRule="exact"/>
        <w:rPr>
          <w:sz w:val="20"/>
          <w:szCs w:val="20"/>
          <w:color w:val="auto"/>
        </w:rPr>
      </w:pPr>
    </w:p>
    <w:p>
      <w:pPr>
        <w:ind w:right="40" w:firstLine="641"/>
        <w:spacing w:after="0" w:line="277"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4" w:lineRule="exact"/>
        <w:rPr>
          <w:sz w:val="20"/>
          <w:szCs w:val="20"/>
          <w:color w:val="auto"/>
        </w:rPr>
      </w:pPr>
    </w:p>
    <w:p>
      <w:pPr>
        <w:ind w:right="40" w:firstLine="641"/>
        <w:spacing w:after="0" w:line="255"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4" w:lineRule="exact"/>
        <w:rPr>
          <w:sz w:val="20"/>
          <w:szCs w:val="20"/>
          <w:color w:val="auto"/>
        </w:rPr>
      </w:pPr>
    </w:p>
    <w:p>
      <w:pPr>
        <w:ind w:right="300" w:firstLine="641"/>
        <w:spacing w:after="0" w:line="262"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and nine months ended September 30, 2024 and 2023 for our U.S. mortgage insurance portfolio. In addition, this table includes our RIF at the end of each period.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8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240,669,165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235,649,884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239,078,262</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227,062,055</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12,505,823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33,340,364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38,897,692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(10,206,817)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(9,494,095)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(29,442,583)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(27,298,135)</w:t>
            </w:r>
          </w:p>
        </w:tc>
        <w:tc>
          <w:tcPr>
            <w:tcW w:w="0" w:type="dxa"/>
            <w:vAlign w:val="bottom"/>
          </w:tcPr>
          <w:p>
            <w:pPr>
              <w:spacing w:after="0"/>
              <w:rPr>
                <w:sz w:val="1"/>
                <w:szCs w:val="1"/>
                <w:color w:val="auto"/>
              </w:rPr>
            </w:pPr>
          </w:p>
        </w:tc>
      </w:tr>
      <w:tr>
        <w:trPr>
          <w:trHeight w:val="22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242,976,043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238,661,612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242,976,043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238,661,612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242,065,632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237,270,093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240,165,132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233,137,353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55,915,640</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53,920,308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55,915,640</w:t>
            </w:r>
          </w:p>
        </w:tc>
        <w:tc>
          <w:tcPr>
            <w:tcW w:w="12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53,920,308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67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IIF at September 30, 2024 by vintage:</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(through September 30)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43,012,414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53,154,263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53,029,350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37,929,239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and prior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12,881,774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242,976,043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4"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1" w:right="339" w:bottom="1440" w:gutter="0" w:footer="0" w:header="0"/>
        </w:sectPr>
      </w:pPr>
    </w:p>
    <w:p>
      <w:pPr>
        <w:spacing w:after="0" w:line="243"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32385</wp:posOffset>
            </wp:positionV>
            <wp:extent cx="1976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33" w:lineRule="exact"/>
        <w:rPr>
          <w:sz w:val="20"/>
          <w:szCs w:val="20"/>
          <w:color w:val="auto"/>
        </w:rPr>
      </w:pPr>
    </w:p>
    <w:p>
      <w:pPr>
        <w:ind w:left="5520"/>
        <w:spacing w:after="0"/>
        <w:tabs>
          <w:tab w:leader="none" w:pos="7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19761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33" w:lineRule="exact"/>
        <w:rPr>
          <w:sz w:val="20"/>
          <w:szCs w:val="20"/>
          <w:color w:val="auto"/>
        </w:rPr>
      </w:pPr>
    </w:p>
    <w:p>
      <w:pPr>
        <w:ind w:left="12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1" w:lineRule="exact"/>
        <w:rPr>
          <w:sz w:val="20"/>
          <w:szCs w:val="20"/>
          <w:color w:val="auto"/>
        </w:rPr>
      </w:pPr>
    </w:p>
    <w:p>
      <w:pPr>
        <w:sectPr>
          <w:pgSz w:w="11900" w:h="16838" w:orient="portrait"/>
          <w:cols w:equalWidth="0" w:num="2">
            <w:col w:w="7900" w:space="720"/>
            <w:col w:w="2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8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27"/>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5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0.40</w:t>
            </w:r>
          </w:p>
        </w:tc>
      </w:tr>
      <w:tr>
        <w:trPr>
          <w:trHeight w:val="227"/>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r>
      <w:tr>
        <w:trPr>
          <w:trHeight w:val="245"/>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60" w:firstLine="641"/>
        <w:spacing w:after="0" w:line="277"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impact our average net premium rate in future periods.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4"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2"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18"/>
          <w:szCs w:val="18"/>
          <w:color w:val="auto"/>
        </w:rPr>
        <w:t>As of September 30, 2024, our combined net risk in force for our U.S. mortgage insurance companies was $34.9 billion and our combined statutory capital was $3.6 billion, resulting in a risk-to-capital ratio of 9.7:1.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242,965</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240,574</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727,071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656,095</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671,292</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135,558</w:t>
            </w: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812,482</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145,183</w:t>
            </w: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retained by agents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0" w:type="dxa"/>
            <w:vAlign w:val="bottom"/>
          </w:tcPr>
          <w:p>
            <w:pPr>
              <w:spacing w:after="0"/>
              <w:rPr>
                <w:sz w:val="1"/>
                <w:szCs w:val="1"/>
                <w:color w:val="auto"/>
              </w:rPr>
            </w:pPr>
          </w:p>
        </w:tc>
      </w:tr>
      <w:tr>
        <w:trPr>
          <w:trHeight w:val="220"/>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192,444</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620,038</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99,019</w:t>
            </w: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176,175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561,503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521,019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Compared to the Three and Nine Months Ended September 30, 2023</w:t>
      </w:r>
    </w:p>
    <w:p>
      <w:pPr>
        <w:spacing w:after="0" w:line="224" w:lineRule="exact"/>
        <w:rPr>
          <w:sz w:val="20"/>
          <w:szCs w:val="20"/>
          <w:color w:val="auto"/>
        </w:rPr>
      </w:pPr>
    </w:p>
    <w:p>
      <w:pPr>
        <w:ind w:right="120" w:firstLine="641"/>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2024, we reported net income of $176.2 million, compared to net income of $178.0 million for the three months ended September 30, 2023. For the nine months ended September 30, 2024, we reported net income of $561.5 million, compared to net income of $521.0 million for the nine months ended September 30, 2023.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decrease in our operating results during the three months ended September 30, 2024 compared to the same period in 2023 was primarily due to increases in the provision for losses and operating expenses, largely offset by increases in net premiums earned and net investment income, The increase in our operating results during the nine months ended September 30, 2024 compared to the same period in 2023 was primarily due to increases in net premiums earned and net investment income, partially offset by increases in the provision for losses and operating expenses.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4" w:lineRule="exact"/>
        <w:rPr>
          <w:sz w:val="20"/>
          <w:szCs w:val="20"/>
          <w:color w:val="auto"/>
        </w:rPr>
      </w:pPr>
    </w:p>
    <w:p>
      <w:pPr>
        <w:ind w:right="40" w:firstLine="641"/>
        <w:spacing w:after="0" w:line="250" w:lineRule="auto"/>
        <w:rPr>
          <w:sz w:val="20"/>
          <w:szCs w:val="20"/>
          <w:color w:val="auto"/>
        </w:rPr>
      </w:pPr>
      <w:r>
        <w:rPr>
          <w:rFonts w:ascii="Times New Roman" w:cs="Times New Roman" w:eastAsia="Times New Roman" w:hAnsi="Times New Roman"/>
          <w:sz w:val="18"/>
          <w:szCs w:val="18"/>
          <w:color w:val="auto"/>
        </w:rPr>
        <w:t>Net premiums written and earned increased in the three months ended September 30, 2024 by 1%, compared to the three months ended September 30, 2023. Net premium written and earned increased in the nine months ended September 30, 2024 by 11%, compared to the nine months ended September 30, 2023. Net premiums written and earned in the three and nine months ended September 30, 2024 include $17.7 million and $49.6 million of net premiums written and earned by our title insurance operations, compared to $20.6 million for the three and nine months ended September 30, 2023. The increase in net premiums written and earned was also due to the increase in our average IIF from $237.3 billion for the three months ended September 30, 2023 to $242.1 billion for the three months ended and September 30, 2024, and from $233.1 billion for the nine months ended September 30, 2023 to $240.2 billion for the nine months ended September 30, 2024. The average net premium rate was 0.35% and 0.35% for the three months ended September 30, 2024 and 2023, respectively. The average net premium rate was 0.36% and 0.34% in the nine months ended September 30, 2024 and 2023, respectively. The increase in the average net premium rate in the nine month period ended September 30, 2024 compared to the same period in 2023 was a result of a decrease in ceded premium, changes in the mix of mortgages we insure, higher persistency and changes in our pricing. In the nine months ended September 30, 2024, ceded premiums decreased to $92.5 million from $103.4 million in the nine months ended September 30, 2023 due to a decrease in outstanding excess of loss reinsurance in the nine months ended September 30, 2024 than the comparable period of the prior year, as a result of the retiring of outstanding notes for two of our seasoned ILN transactions in 2023.</w:t>
      </w:r>
    </w:p>
    <w:p>
      <w:pPr>
        <w:spacing w:after="0" w:line="216" w:lineRule="exact"/>
        <w:rPr>
          <w:sz w:val="20"/>
          <w:szCs w:val="20"/>
          <w:color w:val="auto"/>
        </w:rPr>
      </w:pPr>
    </w:p>
    <w:p>
      <w:pPr>
        <w:ind w:right="120" w:firstLine="641"/>
        <w:spacing w:after="0" w:line="253" w:lineRule="auto"/>
        <w:rPr>
          <w:sz w:val="20"/>
          <w:szCs w:val="20"/>
          <w:color w:val="auto"/>
        </w:rPr>
      </w:pPr>
      <w:r>
        <w:rPr>
          <w:rFonts w:ascii="Times New Roman" w:cs="Times New Roman" w:eastAsia="Times New Roman" w:hAnsi="Times New Roman"/>
          <w:sz w:val="18"/>
          <w:szCs w:val="18"/>
          <w:color w:val="auto"/>
        </w:rPr>
        <w:t>In the three months ended September 30, 2024 and 2023, unearned premiums decreased by $6.0 million and $6.2 million, respectively. The change in unearned premiums was a result of net premiums written on single premium policies of $2.4 million and $4.7 million, respectively, which was offset by $8.4 million and $10.9 million, respectively, of unearned premium that was recognized in earnings during the periods. In the nine months ended September 30, 2024 and 2023, unearned premiums decreased by $19.3 million and $15.2 million, respectively. This was a result of net premiums written on single premium policies of $6.9 million and $18.9 million, respectively, which was offset by $26.2 million and $34.1 million, respectively, of unearned premium that was recognized in earnings during the periods.</w:t>
      </w: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44,828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132,623</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13,786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58,614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141,283</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(1,274)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57,340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18"/>
          <w:szCs w:val="18"/>
          <w:color w:val="auto"/>
        </w:rPr>
        <w:t>The increases in net investment income for the three and nine months ended September 30, 2024 as compared to the same periods in 2023 was due to an increase in the pre-tax investment income yield as well as an increase in the weighted average balance of our investment portfolio. The pre-tax investment income yield increased from 3.6% and 3.5% in the three and nine months ended September 30, 2023 to 3.8% in both the three and nine months ended September 30, 2024, respectively, primarily due to a general increase in investment yields due to rising interest rates. The average cash and investment portfolio balance increased to $6.2 billion for the three months ended September 30, 2024 from $5.5 billion for the three months ended September 30, 2023. The average cash and investment portfolio balance increased to $6.0 billion for the nine months ended September 30, 2024 from $5.4 billion for the nine months ended September 30, 2023. The increase in the average cash and investment portfolio was primarily due to investing cash flows from operations, See “— Liquidity and Capital Resources” for further details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Other Invested Assets</w:t>
      </w:r>
    </w:p>
    <w:p>
      <w:pPr>
        <w:spacing w:after="0" w:line="251" w:lineRule="exact"/>
        <w:rPr>
          <w:sz w:val="20"/>
          <w:szCs w:val="20"/>
          <w:color w:val="auto"/>
        </w:rPr>
      </w:pPr>
    </w:p>
    <w:p>
      <w:pPr>
        <w:ind w:right="60" w:firstLine="641"/>
        <w:spacing w:after="0" w:line="255" w:lineRule="auto"/>
        <w:rPr>
          <w:sz w:val="20"/>
          <w:szCs w:val="20"/>
          <w:color w:val="auto"/>
        </w:rPr>
      </w:pPr>
      <w:r>
        <w:rPr>
          <w:rFonts w:ascii="Times New Roman" w:cs="Times New Roman" w:eastAsia="Times New Roman" w:hAnsi="Times New Roman"/>
          <w:sz w:val="18"/>
          <w:szCs w:val="18"/>
          <w:color w:val="auto"/>
        </w:rPr>
        <w:t>Income (loss) from other invested assets for the three months ended September 30, 2024 was income of $2.8 million as compared to a loss of $3.1 million for the three months ended September 30, 2023. Income (loss) from other invested assets for the nine months ended September 30, 2024 was income of $0.5 million as compared to a loss of $10.7 million for the nine months ended September 30, 2023.The increase in income from other invested assets was primarily due to favorable fair value adjustments recorded during the three and nine months ended September 30, 2024 as compared to the same periods in 2023.</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4" w:lineRule="exact"/>
        <w:rPr>
          <w:sz w:val="20"/>
          <w:szCs w:val="20"/>
          <w:color w:val="auto"/>
        </w:rPr>
      </w:pPr>
    </w:p>
    <w:p>
      <w:pPr>
        <w:ind w:right="160" w:firstLine="641"/>
        <w:spacing w:after="0" w:line="252" w:lineRule="auto"/>
        <w:rPr>
          <w:sz w:val="20"/>
          <w:szCs w:val="20"/>
          <w:color w:val="auto"/>
        </w:rPr>
      </w:pPr>
      <w:r>
        <w:rPr>
          <w:rFonts w:ascii="Times New Roman" w:cs="Times New Roman" w:eastAsia="Times New Roman" w:hAnsi="Times New Roman"/>
          <w:sz w:val="18"/>
          <w:szCs w:val="18"/>
          <w:color w:val="auto"/>
        </w:rPr>
        <w:t xml:space="preserve">Other income for the three months ended September 30, 2024 was $7.4 million as compared to $5.6 million for the three months ended September 30, 2023. The increase in other income for the three months ended September 30, 2024 as compared to the same period in 2023 was primarily due to increases in settlement services revenue and Triad service fee income. Other income for the nine months ended September 30, 2024 was $17.7 million compared to $18.6 million for the nine months ended September 30, 2023. The decrease in other income for the nine months ended September 30, 2024 compared to the same period in 2023 was primarily due to unfavorable derivative fair value adjustments and a decrease in underwriting consulting services to third party reinsurers, partially offset by increases in settlement services revenue and Triad service fee income. In the nine months ended September 30, 2024 we recorded a net unfavorable decrease in the fair value of the embedded derivatives of $2.3 million compared to a net favorable increase of $1.5 million in </w:t>
      </w:r>
      <w:r>
        <w:rPr>
          <w:rFonts w:ascii="Times New Roman" w:cs="Times New Roman" w:eastAsia="Times New Roman" w:hAnsi="Times New Roman"/>
          <w:sz w:val="18"/>
          <w:szCs w:val="18"/>
          <w:color w:val="242021"/>
        </w:rPr>
        <w:t>the</w:t>
      </w:r>
      <w:r>
        <w:rPr>
          <w:rFonts w:ascii="Times New Roman" w:cs="Times New Roman" w:eastAsia="Times New Roman" w:hAnsi="Times New Roman"/>
          <w:sz w:val="18"/>
          <w:szCs w:val="18"/>
          <w:color w:val="auto"/>
        </w:rPr>
        <w:t xml:space="preserve"> nine months ended September 30, 2023.</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4" w:lineRule="exact"/>
        <w:rPr>
          <w:sz w:val="20"/>
          <w:szCs w:val="20"/>
          <w:color w:val="auto"/>
        </w:rPr>
      </w:pPr>
    </w:p>
    <w:p>
      <w:pPr>
        <w:ind w:right="100" w:firstLine="641"/>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2024 we recorded a provision for losses of $30.7 million compared to a provision of $10.8 million for the three months ended September 30, 2023. In the nine months ended September 30, 2024 we recorded a provision for losses of $40.2 million compared to a provision of $11.9 million for the nine months ended September 30, 2023. The increases in the provision for losses in the three and nine months ended September 30, 2024 compared to the comparable periods of the prior year was primarily due to increases in new defaults reported, resulting in increases in the provision for losses recorded for current year defaults, partially offset by cure activity for defaults reported in prior years.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30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6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7"/>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13,954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27"/>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27"/>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r>
      <w:tr>
        <w:trPr>
          <w:trHeight w:val="227"/>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7"/>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15,906</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20" w:type="dxa"/>
            <w:vAlign w:val="bottom"/>
          </w:tcPr>
          <w:p>
            <w:pPr>
              <w:spacing w:after="0"/>
              <w:rPr>
                <w:sz w:val="16"/>
                <w:szCs w:val="16"/>
                <w:color w:val="auto"/>
              </w:rPr>
            </w:pPr>
          </w:p>
        </w:tc>
      </w:tr>
      <w:tr>
        <w:trPr>
          <w:trHeight w:val="25"/>
        </w:trPr>
        <w:tc>
          <w:tcPr>
            <w:tcW w:w="21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218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253,513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208,882</w:t>
            </w:r>
          </w:p>
        </w:tc>
      </w:tr>
      <w:tr>
        <w:trPr>
          <w:trHeight w:val="22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274,926</w:t>
            </w:r>
          </w:p>
        </w:tc>
        <w:tc>
          <w:tcPr>
            <w:tcW w:w="120" w:type="dxa"/>
            <w:vAlign w:val="bottom"/>
          </w:tcPr>
          <w:p>
            <w:pPr>
              <w:spacing w:after="0"/>
              <w:rPr>
                <w:sz w:val="19"/>
                <w:szCs w:val="19"/>
                <w:color w:val="auto"/>
              </w:rPr>
            </w:pPr>
          </w:p>
        </w:tc>
        <w:tc>
          <w:tcPr>
            <w:tcW w:w="6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226,617</w:t>
            </w:r>
          </w:p>
        </w:tc>
      </w:tr>
      <w:tr>
        <w:trPr>
          <w:trHeight w:val="227"/>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15,906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13,391</w:t>
            </w:r>
          </w:p>
        </w:tc>
      </w:tr>
      <w:tr>
        <w:trPr>
          <w:trHeight w:val="22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6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15.6</w:t>
            </w:r>
          </w:p>
        </w:tc>
      </w:tr>
      <w:tr>
        <w:trPr>
          <w:trHeight w:val="227"/>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r>
      <w:tr>
        <w:trPr>
          <w:trHeight w:val="22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7"/>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r>
      <w:tr>
        <w:trPr>
          <w:trHeight w:val="160"/>
        </w:trPr>
        <w:tc>
          <w:tcPr>
            <w:tcW w:w="2180" w:type="dxa"/>
            <w:vAlign w:val="bottom"/>
            <w:tcBorders>
              <w:bottom w:val="single" w:sz="8" w:color="auto"/>
            </w:tcBorders>
          </w:tcPr>
          <w:p>
            <w:pPr>
              <w:spacing w:after="0"/>
              <w:rPr>
                <w:sz w:val="13"/>
                <w:szCs w:val="13"/>
                <w:color w:val="auto"/>
              </w:rPr>
            </w:pPr>
          </w:p>
        </w:tc>
        <w:tc>
          <w:tcPr>
            <w:tcW w:w="5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5" w:lineRule="exact"/>
        <w:rPr>
          <w:sz w:val="20"/>
          <w:szCs w:val="20"/>
          <w:color w:val="auto"/>
        </w:rPr>
      </w:pPr>
    </w:p>
    <w:p>
      <w:pPr>
        <w:ind w:left="640" w:right="140" w:hanging="313"/>
        <w:spacing w:after="0" w:line="277" w:lineRule="auto"/>
        <w:tabs>
          <w:tab w:leader="none" w:pos="6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$37 thousand, as well as title insurance reserves of $13.4 million, as of September 30, 2024.</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c>
          <w:tcPr>
            <w:tcW w:w="0" w:type="dxa"/>
            <w:vAlign w:val="bottom"/>
          </w:tcPr>
          <w:p>
            <w:pPr>
              <w:spacing w:after="0"/>
              <w:rPr>
                <w:sz w:val="1"/>
                <w:szCs w:val="1"/>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reserves acquired during the period</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101,547</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0" w:type="dxa"/>
            <w:vAlign w:val="bottom"/>
          </w:tcPr>
          <w:p>
            <w:pPr>
              <w:spacing w:after="0"/>
              <w:rPr>
                <w:sz w:val="1"/>
                <w:szCs w:val="1"/>
                <w:color w:val="auto"/>
              </w:rPr>
            </w:pPr>
          </w:p>
        </w:tc>
      </w:tr>
      <w:tr>
        <w:trPr>
          <w:trHeight w:val="22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0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220,578</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18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7"/>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4"/>
        </w:trPr>
        <w:tc>
          <w:tcPr>
            <w:tcW w:w="3480" w:type="dxa"/>
            <w:vAlign w:val="bottom"/>
            <w:gridSpan w:val="3"/>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6"/>
                <w:szCs w:val="16"/>
                <w:color w:val="auto"/>
              </w:rPr>
            </w:pPr>
          </w:p>
        </w:tc>
        <w:tc>
          <w:tcPr>
            <w:tcW w:w="8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7"/>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627,505</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7"/>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104,223</w:t>
            </w:r>
          </w:p>
        </w:tc>
        <w:tc>
          <w:tcPr>
            <w:tcW w:w="14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437,515</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27"/>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1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86,821</w:t>
            </w:r>
          </w:p>
        </w:tc>
        <w:tc>
          <w:tcPr>
            <w:tcW w:w="146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144,396</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60</w:t>
            </w:r>
          </w:p>
        </w:tc>
        <w:tc>
          <w:tcPr>
            <w:tcW w:w="0" w:type="dxa"/>
            <w:vAlign w:val="bottom"/>
          </w:tcPr>
          <w:p>
            <w:pPr>
              <w:spacing w:after="0"/>
              <w:rPr>
                <w:sz w:val="1"/>
                <w:szCs w:val="1"/>
                <w:color w:val="auto"/>
              </w:rPr>
            </w:pPr>
          </w:p>
        </w:tc>
      </w:tr>
      <w:tr>
        <w:trPr>
          <w:trHeight w:val="227"/>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4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89</w:t>
            </w:r>
          </w:p>
        </w:tc>
        <w:tc>
          <w:tcPr>
            <w:tcW w:w="0" w:type="dxa"/>
            <w:vAlign w:val="bottom"/>
          </w:tcPr>
          <w:p>
            <w:pPr>
              <w:spacing w:after="0"/>
              <w:rPr>
                <w:sz w:val="1"/>
                <w:szCs w:val="1"/>
                <w:color w:val="auto"/>
              </w:rPr>
            </w:pPr>
          </w:p>
        </w:tc>
      </w:tr>
      <w:tr>
        <w:trPr>
          <w:trHeight w:val="220"/>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253,513</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1,219,108</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8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IBNR</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19,013</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8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right="80" w:hanging="313"/>
        <w:spacing w:after="0" w:line="267" w:lineRule="auto"/>
        <w:tabs>
          <w:tab w:leader="none" w:pos="6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$37 thousand, as well as title insurance reserves of $13.4 million, as of September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1"/>
                <w:szCs w:val="11"/>
                <w:color w:val="auto"/>
              </w:rPr>
            </w:pPr>
          </w:p>
        </w:tc>
        <w:tc>
          <w:tcPr>
            <w:tcW w:w="9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5"/>
        </w:trPr>
        <w:tc>
          <w:tcPr>
            <w:tcW w:w="3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4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500" w:type="dxa"/>
            <w:vAlign w:val="bottom"/>
            <w:gridSpan w:val="3"/>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60" w:type="dxa"/>
            <w:vAlign w:val="bottom"/>
          </w:tcPr>
          <w:p>
            <w:pPr>
              <w:spacing w:after="0"/>
              <w:rPr>
                <w:sz w:val="16"/>
                <w:szCs w:val="16"/>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00" w:type="dxa"/>
            <w:vAlign w:val="bottom"/>
          </w:tcPr>
          <w:p>
            <w:pPr>
              <w:spacing w:after="0"/>
              <w:rPr>
                <w:sz w:val="16"/>
                <w:szCs w:val="16"/>
                <w:color w:val="auto"/>
              </w:rPr>
            </w:pP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6"/>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448,039</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7"/>
        </w:trPr>
        <w:tc>
          <w:tcPr>
            <w:tcW w:w="3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87,025</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369,711</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27"/>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Pr>
          <w:p>
            <w:pPr>
              <w:spacing w:after="0"/>
              <w:rPr>
                <w:sz w:val="19"/>
                <w:szCs w:val="19"/>
                <w:color w:val="auto"/>
              </w:rPr>
            </w:pPr>
          </w:p>
        </w:tc>
        <w:tc>
          <w:tcPr>
            <w:tcW w:w="1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77,369</w:t>
            </w:r>
          </w:p>
        </w:tc>
        <w:tc>
          <w:tcPr>
            <w:tcW w:w="146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126,317</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88"/>
              </w:rPr>
              <w:t>61</w:t>
            </w:r>
          </w:p>
        </w:tc>
        <w:tc>
          <w:tcPr>
            <w:tcW w:w="0" w:type="dxa"/>
            <w:vAlign w:val="bottom"/>
          </w:tcPr>
          <w:p>
            <w:pPr>
              <w:spacing w:after="0"/>
              <w:rPr>
                <w:sz w:val="1"/>
                <w:szCs w:val="1"/>
                <w:color w:val="auto"/>
              </w:rPr>
            </w:pPr>
          </w:p>
        </w:tc>
      </w:tr>
      <w:tr>
        <w:trPr>
          <w:trHeight w:val="227"/>
        </w:trPr>
        <w:tc>
          <w:tcPr>
            <w:tcW w:w="3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88</w:t>
            </w:r>
          </w:p>
        </w:tc>
        <w:tc>
          <w:tcPr>
            <w:tcW w:w="0" w:type="dxa"/>
            <w:vAlign w:val="bottom"/>
          </w:tcPr>
          <w:p>
            <w:pPr>
              <w:spacing w:after="0"/>
              <w:rPr>
                <w:sz w:val="1"/>
                <w:szCs w:val="1"/>
                <w:color w:val="auto"/>
              </w:rPr>
            </w:pPr>
          </w:p>
        </w:tc>
      </w:tr>
      <w:tr>
        <w:trPr>
          <w:trHeight w:val="220"/>
        </w:trPr>
        <w:tc>
          <w:tcPr>
            <w:tcW w:w="3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208,882</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950,991</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0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15,666</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80" w:type="dxa"/>
            <w:vAlign w:val="bottom"/>
            <w:tcBorders>
              <w:bottom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80" w:hanging="313"/>
        <w:spacing w:after="0" w:line="277"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$54 thousand, as well as title insurance reserves of $14.7 million, as of September 30, 2023.</w:t>
      </w:r>
    </w:p>
    <w:p>
      <w:pPr>
        <w:spacing w:after="0" w:line="190"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provision for losses and LAE was a provision of $30.7 million, comprised of $53.6 million of current year losses partially offset by $22.9 million of favorable prior years’ loss development. During the three months ended September 30, 2023, the provision for losses and LAE was $10.8 million, comprised of $37.5 million of current year losses partially offset by $26.7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provision for losses and LAE was $40.2 million, comprised of $124.2 million of current year losses partially offset by $83.9 million of favorable prior years’ loss development. During the nine months ended September 30, 2023, the provision for losses and LAE was $11.9 million, comprised of $101.5 million of current year losses partially offset by $89.6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right="40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U.S. mortgage insurance portfolio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14,920</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2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7"/>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7"/>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1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0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54"/>
        </w:trPr>
        <w:tc>
          <w:tcPr>
            <w:tcW w:w="32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other underwriting and operating</w:t>
            </w: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57,259</w:t>
            </w: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170,595</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145,183</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9"/>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2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Average number of employees during the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20" w:lineRule="exact"/>
        <w:rPr>
          <w:sz w:val="20"/>
          <w:szCs w:val="20"/>
          <w:color w:val="auto"/>
        </w:rPr>
      </w:pPr>
    </w:p>
    <w:p>
      <w:pPr>
        <w:ind w:left="640" w:right="360" w:hanging="313"/>
        <w:spacing w:after="0" w:line="25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in the three and nine months ended September 30, 2024 as compared to the three and nine months ended September 30, 2023 primarily due to an increase in the average number of employees during the periods, as well as increased stock-based compensation expense. Compensation and benefits includes salaries, wages and bonus, stock-based compensation expense, benefits and payroll taxes.</w:t>
      </w:r>
    </w:p>
    <w:p>
      <w:pPr>
        <w:spacing w:after="0" w:line="208" w:lineRule="exact"/>
        <w:rPr>
          <w:rFonts w:ascii="Times New Roman" w:cs="Times New Roman" w:eastAsia="Times New Roman" w:hAnsi="Times New Roman"/>
          <w:sz w:val="18"/>
          <w:szCs w:val="18"/>
          <w:color w:val="auto"/>
        </w:rPr>
      </w:pPr>
    </w:p>
    <w:p>
      <w:pPr>
        <w:ind w:left="640" w:right="120" w:hanging="313"/>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primarily due to an increase in premiums written, including title insurance premiums written net of premiums retained by agents, in the three and nine months ended September 30, 2024.</w:t>
      </w:r>
    </w:p>
    <w:p>
      <w:pPr>
        <w:spacing w:after="0" w:line="190" w:lineRule="exact"/>
        <w:rPr>
          <w:rFonts w:ascii="Times New Roman" w:cs="Times New Roman" w:eastAsia="Times New Roman" w:hAnsi="Times New Roman"/>
          <w:sz w:val="18"/>
          <w:szCs w:val="18"/>
          <w:color w:val="auto"/>
        </w:rPr>
      </w:pPr>
    </w:p>
    <w:p>
      <w:pPr>
        <w:ind w:left="640" w:hanging="313"/>
        <w:spacing w:after="0" w:line="252"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decreased in the three months ended September 30, 2024 as compared to the three months ended September 30, 2023 primarily as a result of decreases in professional fees and an increase in ceding commission earned under the QSR Agreements. Other expenses increased for the nine months ended September 30, 2024 as compared to the nine months ended September 30, 2023 primarily as a result of a full year-to-date period of title insurance and settlement services expenses as well as increases in software and occupancy related expenses, partially offset by a decrease in professional fees and an increase in ceding commission earned under the QSR Agreements. In the three and nine months ended September 30, 2023, other expenses included approximately $0.2 million and $4.4 million, respectively, of transaction costs associated with the Company's title business acquisition. Other expenses include professional fees, travel, marketing, hardware, software, rent, depreciation and amortization and other facilities expenses.</w:t>
      </w:r>
    </w:p>
    <w:p>
      <w:pPr>
        <w:spacing w:after="0" w:line="20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Premiums Retained by Agents</w:t>
      </w:r>
    </w:p>
    <w:p>
      <w:pPr>
        <w:spacing w:after="0" w:line="251" w:lineRule="exact"/>
        <w:rPr>
          <w:sz w:val="20"/>
          <w:szCs w:val="20"/>
          <w:color w:val="auto"/>
        </w:rPr>
      </w:pPr>
    </w:p>
    <w:p>
      <w:pPr>
        <w:ind w:right="80" w:firstLine="641"/>
        <w:spacing w:after="0" w:line="255" w:lineRule="auto"/>
        <w:rPr>
          <w:sz w:val="20"/>
          <w:szCs w:val="20"/>
          <w:color w:val="auto"/>
        </w:rPr>
      </w:pPr>
      <w:r>
        <w:rPr>
          <w:rFonts w:ascii="Times New Roman" w:cs="Times New Roman" w:eastAsia="Times New Roman" w:hAnsi="Times New Roman"/>
          <w:sz w:val="18"/>
          <w:szCs w:val="18"/>
          <w:color w:val="auto"/>
        </w:rPr>
        <w:t>Premiums retained by agents for the three months ended September 30, 2024 were $9.6 million, compared to $13.2 million during the three months ended September 30, 2023. The decrease in premiums retained by agents for three months ended September 30, 2024 compared to the same period in 2023 was primarily the result of decreased utilization of third party agents for insurance premiums written during the third quarter of 2024. The increase in premiums retained by agents for the nine months ended September 30, 2024 compared to the same period in 2023 is due to the timing of the acquisition of the title operations which was effective July 1, 2023.</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8" w:lineRule="exact"/>
        <w:rPr>
          <w:sz w:val="20"/>
          <w:szCs w:val="20"/>
          <w:color w:val="auto"/>
        </w:rPr>
      </w:pPr>
    </w:p>
    <w:p>
      <w:pPr>
        <w:ind w:right="40" w:firstLine="401"/>
        <w:spacing w:after="0" w:line="239" w:lineRule="auto"/>
        <w:rPr>
          <w:sz w:val="20"/>
          <w:szCs w:val="20"/>
          <w:color w:val="auto"/>
        </w:rPr>
      </w:pPr>
      <w:r>
        <w:rPr>
          <w:rFonts w:ascii="Times New Roman" w:cs="Times New Roman" w:eastAsia="Times New Roman" w:hAnsi="Times New Roman"/>
          <w:sz w:val="18"/>
          <w:szCs w:val="18"/>
          <w:color w:val="auto"/>
        </w:rPr>
        <w:t>For the three and nine months ended September 30, 2024, we incurred interest expense of $11.5 million and $27.2 million, respectively, as compared to $7.9 million and $22.2 million for the three and nine months ended September 30, 2023, respectively. On July 1, 2024, Essent Group completed an underwritten public offering of $500 million principal amount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6.25% Senior Notes due 2029 (the “Senior Notes"). The Company used the net proceeds from the sale of the Senior Notes to repay all of the borrowings outstanding under the term loan portion of the Existing Credit Facility on July 1, 2024. Interest expense in the three and nine months ended September 30, 2024 includes a loss on debt extinguishment of $3.2 million for the write-off of unamortized debt issuance costs on the borrowings repaid in July. The increases in interest expense were also due to an increase in the average borrowings outstanding during the three and nine months ended September 30, 2024 compared to same periods in 2023. For the three and nine month periods ended September 30, 2024, the average amount of borrowings outstanding were $500 million and $450 million, respectively, compared to $425 million for each of the three and nine months ended September 30, 2023. For the three and nine months ended September 30, 2024, our total borrowings had a weighted average interest rate of 6.32% and 6.84%, respectively, as compared to 7.14% and 6.71% for the three and nine months ended September 30, 2023, respectively.</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$31.4 million and $31.5 million for the three months ended September 30, 2024 and 2023, respectively, and $99.0 million and $99.0 million for the nine months ended September 30, 2024 and 2023, respectively. The provision for income taxes for the nine months ended September 30, 2024 was calculated using an estimated annual effective tax rate of 15.1% as compared to an estimated annual effective tax rate of 15.2% for the nine months ended September 30, 2023. For the nine months ended September 30, 2024, income tax expense includes $0.6 million of discrete tax benefit associated with realized and unrealized losses recognized during the period as well as excess tax benefits associated with the vesting of common shares and common share units. For the nine months ended September 30, 2023, income tax expense includes $2.0 million of discrete tax benefit associated with realized and unrealized losses recognized during the period partially offset by excess tax deficits associated with the vesting of common shares and common share units. For the nine months ended September 30, 2023, income tax expense also includes $5.3 million of net expense associated with prior year tax returns. The tax effects of discrete items are recognized in the reporting period in which they occur and are not considered in determining the annual effective tax rate.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0"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0"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20" w:lineRule="exact"/>
        <w:rPr>
          <w:sz w:val="20"/>
          <w:szCs w:val="20"/>
          <w:color w:val="auto"/>
        </w:rPr>
      </w:pPr>
    </w:p>
    <w:p>
      <w:pPr>
        <w:ind w:right="80" w:firstLine="641"/>
        <w:spacing w:after="0" w:line="255" w:lineRule="auto"/>
        <w:rPr>
          <w:sz w:val="20"/>
          <w:szCs w:val="20"/>
          <w:color w:val="auto"/>
        </w:rPr>
      </w:pPr>
      <w:r>
        <w:rPr>
          <w:rFonts w:ascii="Times New Roman" w:cs="Times New Roman" w:eastAsia="Times New Roman" w:hAnsi="Times New Roman"/>
          <w:sz w:val="18"/>
          <w:szCs w:val="18"/>
          <w:color w:val="auto"/>
        </w:rPr>
        <w:t>As of September 30, 2024, we had substantial liquidity with cash of $109.3 million, short-term investments of $1.0 billion and fixed maturity investments of $4.9 billion. We also had $500 million available capacity under our Revolving Credit Facility. Holding company net cash and investments available for sale totaled $991.2 million at September 30, 2024.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September 30,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60" w:firstLine="641"/>
        <w:spacing w:after="0" w:line="271" w:lineRule="auto"/>
        <w:rPr>
          <w:sz w:val="20"/>
          <w:szCs w:val="20"/>
          <w:color w:val="auto"/>
        </w:rPr>
      </w:pPr>
      <w:r>
        <w:rPr>
          <w:rFonts w:ascii="Times New Roman" w:cs="Times New Roman" w:eastAsia="Times New Roman" w:hAnsi="Times New Roman"/>
          <w:sz w:val="17"/>
          <w:szCs w:val="17"/>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intends to use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 Revolving Credit Agreement provides for an effective increase in the Company’s revolving credit facility borrowing capacity from $400 million to $500 million.</w:t>
      </w:r>
    </w:p>
    <w:p>
      <w:pPr>
        <w:spacing w:after="0" w:line="198" w:lineRule="exact"/>
        <w:rPr>
          <w:sz w:val="20"/>
          <w:szCs w:val="20"/>
          <w:color w:val="auto"/>
        </w:rPr>
      </w:pPr>
    </w:p>
    <w:p>
      <w:pPr>
        <w:ind w:right="380" w:firstLine="641"/>
        <w:spacing w:after="0" w:line="277"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50"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0"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47" w:lineRule="exact"/>
        <w:rPr>
          <w:sz w:val="20"/>
          <w:szCs w:val="20"/>
          <w:color w:val="auto"/>
        </w:rPr>
      </w:pPr>
    </w:p>
    <w:p>
      <w:pPr>
        <w:ind w:right="120" w:firstLine="641"/>
        <w:spacing w:after="0" w:line="252" w:lineRule="auto"/>
        <w:rPr>
          <w:sz w:val="20"/>
          <w:szCs w:val="20"/>
          <w:color w:val="auto"/>
        </w:rPr>
      </w:pPr>
      <w:r>
        <w:rPr>
          <w:rFonts w:ascii="Times New Roman" w:cs="Times New Roman" w:eastAsia="Times New Roman" w:hAnsi="Times New Roman"/>
          <w:sz w:val="18"/>
          <w:szCs w:val="18"/>
          <w:color w:val="auto"/>
        </w:rPr>
        <w:t>Our U.S. mortgage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September 30, 2024, Essent Guaranty had unassigned surplus of approximately $362.8 million and Essent PA had unassigned surplus of approximately $22.2 million. As of September 30, 2024, Essent Guaranty and Essent PA could pay additional ordinary dividends in 2024 of $261.8 million and $5.4 million, respectively.</w:t>
      </w:r>
    </w:p>
    <w:p>
      <w:pPr>
        <w:spacing w:after="0" w:line="215" w:lineRule="exact"/>
        <w:rPr>
          <w:sz w:val="20"/>
          <w:szCs w:val="20"/>
          <w:color w:val="auto"/>
        </w:rPr>
      </w:pPr>
    </w:p>
    <w:p>
      <w:pPr>
        <w:ind w:right="160" w:firstLine="641"/>
        <w:spacing w:after="0" w:line="255"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September 30, 2024, Essent Re had total equity of $1.8 billion. In connection with its insurance and reinsurance activities, Essent Re is required to maintain assets in trusts for the benefit of its contractual counterparties. See Note 3 to our condensed consolidated financial statements. At September 30, 2024,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5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634,827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547,548</w:t>
            </w:r>
          </w:p>
        </w:tc>
        <w:tc>
          <w:tcPr>
            <w:tcW w:w="0" w:type="dxa"/>
            <w:vAlign w:val="bottom"/>
          </w:tcPr>
          <w:p>
            <w:pPr>
              <w:spacing w:after="0"/>
              <w:rPr>
                <w:sz w:val="1"/>
                <w:szCs w:val="1"/>
                <w:color w:val="auto"/>
              </w:rPr>
            </w:pPr>
          </w:p>
        </w:tc>
      </w:tr>
      <w:tr>
        <w:trPr>
          <w:trHeight w:val="227"/>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(396,342)</w:t>
            </w:r>
          </w:p>
        </w:tc>
        <w:tc>
          <w:tcPr>
            <w:tcW w:w="0" w:type="dxa"/>
            <w:vAlign w:val="bottom"/>
          </w:tcPr>
          <w:p>
            <w:pPr>
              <w:spacing w:after="0"/>
              <w:rPr>
                <w:sz w:val="1"/>
                <w:szCs w:val="1"/>
                <w:color w:val="auto"/>
              </w:rPr>
            </w:pPr>
          </w:p>
        </w:tc>
      </w:tr>
      <w:tr>
        <w:trPr>
          <w:trHeight w:val="227"/>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(135,667)</w:t>
            </w:r>
          </w:p>
        </w:tc>
        <w:tc>
          <w:tcPr>
            <w:tcW w:w="0" w:type="dxa"/>
            <w:vAlign w:val="bottom"/>
          </w:tcPr>
          <w:p>
            <w:pPr>
              <w:spacing w:after="0"/>
              <w:rPr>
                <w:sz w:val="1"/>
                <w:szCs w:val="1"/>
                <w:color w:val="auto"/>
              </w:rPr>
            </w:pPr>
          </w:p>
        </w:tc>
      </w:tr>
      <w:tr>
        <w:trPr>
          <w:trHeight w:val="220"/>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4" w:lineRule="exact"/>
        <w:rPr>
          <w:sz w:val="20"/>
          <w:szCs w:val="20"/>
          <w:color w:val="auto"/>
        </w:rPr>
      </w:pPr>
    </w:p>
    <w:p>
      <w:pPr>
        <w:ind w:right="20" w:firstLine="641"/>
        <w:spacing w:after="0" w:line="262" w:lineRule="auto"/>
        <w:rPr>
          <w:sz w:val="20"/>
          <w:szCs w:val="20"/>
          <w:color w:val="auto"/>
        </w:rPr>
      </w:pPr>
      <w:r>
        <w:rPr>
          <w:rFonts w:ascii="Times New Roman" w:cs="Times New Roman" w:eastAsia="Times New Roman" w:hAnsi="Times New Roman"/>
          <w:sz w:val="18"/>
          <w:szCs w:val="18"/>
          <w:color w:val="auto"/>
        </w:rPr>
        <w:t>Cash flow provided by operating activities totaled $634.8 million for the nine months ended September 30, 2024, as compared to $547.5 million for the nine months ended September 30, 2023. The increase in cash flow provided by operating activities was primarily due to increases in net premiums written and investment income partially offset by an increase in operating expenses paid in the nine months ended September 30, 2024.</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4" w:lineRule="exact"/>
        <w:rPr>
          <w:sz w:val="20"/>
          <w:szCs w:val="20"/>
          <w:color w:val="auto"/>
        </w:rPr>
      </w:pPr>
    </w:p>
    <w:p>
      <w:pPr>
        <w:ind w:right="160" w:firstLine="641"/>
        <w:spacing w:after="0" w:line="262" w:lineRule="auto"/>
        <w:rPr>
          <w:sz w:val="20"/>
          <w:szCs w:val="20"/>
          <w:color w:val="auto"/>
        </w:rPr>
      </w:pPr>
      <w:r>
        <w:rPr>
          <w:rFonts w:ascii="Times New Roman" w:cs="Times New Roman" w:eastAsia="Times New Roman" w:hAnsi="Times New Roman"/>
          <w:sz w:val="18"/>
          <w:szCs w:val="18"/>
          <w:color w:val="auto"/>
        </w:rPr>
        <w:t>Cash flow used in investing activities totaled $599.0 million for nine months ended September 30, 2024 compared to $396.3 million used in investing activities for the nine months ended September 30, 2023. In both periods, cash flow used in investing activities relates primarily to investing cash flows from operations.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4" w:lineRule="exact"/>
        <w:rPr>
          <w:sz w:val="20"/>
          <w:szCs w:val="20"/>
          <w:color w:val="auto"/>
        </w:rPr>
      </w:pPr>
    </w:p>
    <w:p>
      <w:pPr>
        <w:ind w:right="280" w:firstLine="641"/>
        <w:spacing w:after="0" w:line="255" w:lineRule="auto"/>
        <w:rPr>
          <w:sz w:val="20"/>
          <w:szCs w:val="20"/>
          <w:color w:val="auto"/>
        </w:rPr>
      </w:pPr>
      <w:r>
        <w:rPr>
          <w:rFonts w:ascii="Times New Roman" w:cs="Times New Roman" w:eastAsia="Times New Roman" w:hAnsi="Times New Roman"/>
          <w:sz w:val="18"/>
          <w:szCs w:val="18"/>
          <w:color w:val="auto"/>
        </w:rPr>
        <w:t>Cash flow used in financing activities totaled $68.3 million and $135.7 million for the nine months ended September 30, 2024 and 2023, respectively, primarily related to the quarterly cash dividends paid, repurchases of common stock under our share repurchase plans and treasury stock acquired from employees to satisfy tax withholding obligations. For the nine months ended September 30, 2024, cash flows from financing activities also included cash inflow from the issuance of Senior Notes, partially offset by cash outflows associated with the repayment of the term loan portion of the Existing Credit Facility, as well as the payment of debt issuance costs.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4" w:lineRule="exact"/>
        <w:rPr>
          <w:sz w:val="20"/>
          <w:szCs w:val="20"/>
          <w:color w:val="auto"/>
        </w:rPr>
      </w:pPr>
    </w:p>
    <w:p>
      <w:pPr>
        <w:ind w:right="100" w:firstLine="641"/>
        <w:spacing w:after="0" w:line="252"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companies on a separate company statutory basis, as well as for our combined mortgage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2" w:lineRule="exact"/>
        <w:rPr>
          <w:sz w:val="20"/>
          <w:szCs w:val="20"/>
          <w:color w:val="auto"/>
        </w:rPr>
      </w:pPr>
    </w:p>
    <w:p>
      <w:pPr>
        <w:jc w:val="both"/>
        <w:ind w:right="120" w:firstLine="641"/>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2024 and 2023, no capital contributions were made to our U.S. mortgage insurance subsidiaries and Essent Guaranty paid dividends to Essent US Holdings, Inc. of $165.5 million and $260 million, respectively. During the nine months ended September 30, 2024, no capital contributions were made to our title insurance subsidiary. During the nine months ended September 30, 2023, Essent US Holdings made a capital contribution of $6 million to its title insurance subsidiary.</w:t>
      </w:r>
    </w:p>
    <w:p>
      <w:pPr>
        <w:spacing w:after="0" w:line="195" w:lineRule="exact"/>
        <w:rPr>
          <w:sz w:val="20"/>
          <w:szCs w:val="20"/>
          <w:color w:val="auto"/>
        </w:rPr>
      </w:pPr>
    </w:p>
    <w:p>
      <w:pPr>
        <w:jc w:val="both"/>
        <w:ind w:right="420" w:firstLine="178"/>
        <w:spacing w:after="0" w:line="247"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2024. The aggregate excess of loss reinsurance coverages decrease over a ten-year period as the underlying covered mortgages amortize.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summarizes Essent Guaranty's QSR agreements as of September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4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15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Ceding Commission</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Profit Commission</w:t>
            </w:r>
          </w:p>
        </w:tc>
        <w:tc>
          <w:tcPr>
            <w:tcW w:w="0" w:type="dxa"/>
            <w:vAlign w:val="bottom"/>
          </w:tcPr>
          <w:p>
            <w:pPr>
              <w:spacing w:after="0"/>
              <w:rPr>
                <w:sz w:val="1"/>
                <w:szCs w:val="1"/>
                <w:color w:val="auto"/>
              </w:rPr>
            </w:pPr>
          </w:p>
        </w:tc>
      </w:tr>
      <w:tr>
        <w:trPr>
          <w:trHeight w:val="193"/>
        </w:trPr>
        <w:tc>
          <w:tcPr>
            <w:tcW w:w="242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56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1, 2019 -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7"/>
        </w:trPr>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QSR-2022</w:t>
            </w: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1, 2022 - December 31,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7"/>
        </w:trPr>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QSR-2023</w:t>
            </w:r>
          </w:p>
        </w:tc>
        <w:tc>
          <w:tcPr>
            <w:tcW w:w="4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1, 2023 - December 31, 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3"/>
        </w:trPr>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QSR-2024</w:t>
            </w: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1, 2024 - December 31,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00" w:type="dxa"/>
            <w:vAlign w:val="bottom"/>
          </w:tcPr>
          <w:p>
            <w:pPr>
              <w:spacing w:after="0"/>
              <w:rPr>
                <w:sz w:val="20"/>
                <w:szCs w:val="20"/>
                <w:color w:val="auto"/>
              </w:rPr>
            </w:pP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4" w:lineRule="exact"/>
        <w:rPr>
          <w:sz w:val="20"/>
          <w:szCs w:val="20"/>
          <w:color w:val="auto"/>
        </w:rPr>
      </w:pPr>
    </w:p>
    <w:p>
      <w:pPr>
        <w:ind w:left="400" w:hanging="393"/>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5" w:lineRule="exact"/>
        <w:rPr>
          <w:rFonts w:ascii="Times New Roman" w:cs="Times New Roman" w:eastAsia="Times New Roman" w:hAnsi="Times New Roman"/>
          <w:sz w:val="18"/>
          <w:szCs w:val="18"/>
          <w:color w:val="auto"/>
        </w:rPr>
      </w:pPr>
    </w:p>
    <w:p>
      <w:pPr>
        <w:ind w:left="400" w:right="80" w:hanging="393"/>
        <w:spacing w:after="0" w:line="250" w:lineRule="auto"/>
        <w:tabs>
          <w:tab w:leader="none" w:pos="3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profit commission on QSR-2019 was up to 60%; however because Essent Guaranty did not exercise its option to terminate this QSR agreement on December 31, 2021, the maximum profit commission that Essent Guaranty could earn increased to 63% in 2022 through June 30, 2024. Effective July 1, 2024, Essent Guaranty renegotiated the terms, extending the termination date for QSR-2019 through December 31, 2027. The renegotiated terms increased the ceding commission from 20% to 26% and decreased the maximum profit commission from 63% to 62.5%.</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combined risk-to-capital calculation for our U.S. mortgage insurance subsidiaries as of September 30, 2024 was as follows:</w:t>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1,129,275</w:t>
            </w:r>
          </w:p>
        </w:tc>
        <w:tc>
          <w:tcPr>
            <w:tcW w:w="0" w:type="dxa"/>
            <w:vAlign w:val="bottom"/>
          </w:tcPr>
          <w:p>
            <w:pPr>
              <w:spacing w:after="0"/>
              <w:rPr>
                <w:sz w:val="1"/>
                <w:szCs w:val="1"/>
                <w:color w:val="auto"/>
              </w:rPr>
            </w:pPr>
          </w:p>
        </w:tc>
      </w:tr>
      <w:tr>
        <w:trPr>
          <w:trHeight w:val="227"/>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2,455,305</w:t>
            </w:r>
          </w:p>
        </w:tc>
        <w:tc>
          <w:tcPr>
            <w:tcW w:w="0" w:type="dxa"/>
            <w:vAlign w:val="bottom"/>
          </w:tcPr>
          <w:p>
            <w:pPr>
              <w:spacing w:after="0"/>
              <w:rPr>
                <w:sz w:val="1"/>
                <w:szCs w:val="1"/>
                <w:color w:val="auto"/>
              </w:rPr>
            </w:pPr>
          </w:p>
        </w:tc>
      </w:tr>
      <w:tr>
        <w:trPr>
          <w:trHeight w:val="24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3,584,580</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24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3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34,893,957</w:t>
            </w:r>
          </w:p>
        </w:tc>
        <w:tc>
          <w:tcPr>
            <w:tcW w:w="0" w:type="dxa"/>
            <w:vAlign w:val="bottom"/>
          </w:tcPr>
          <w:p>
            <w:pPr>
              <w:spacing w:after="0"/>
              <w:rPr>
                <w:sz w:val="1"/>
                <w:szCs w:val="1"/>
                <w:color w:val="auto"/>
              </w:rPr>
            </w:pPr>
          </w:p>
        </w:tc>
      </w:tr>
      <w:tr>
        <w:trPr>
          <w:trHeight w:val="245"/>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risk-to-capital ratio</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87" w:lineRule="exact"/>
        <w:rPr>
          <w:sz w:val="20"/>
          <w:szCs w:val="20"/>
          <w:color w:val="auto"/>
        </w:rPr>
      </w:pPr>
    </w:p>
    <w:p>
      <w:pPr>
        <w:ind w:firstLine="641"/>
        <w:spacing w:after="0" w:line="273" w:lineRule="auto"/>
        <w:rPr>
          <w:sz w:val="20"/>
          <w:szCs w:val="20"/>
          <w:color w:val="auto"/>
        </w:rPr>
      </w:pPr>
      <w:r>
        <w:rPr>
          <w:rFonts w:ascii="Times New Roman" w:cs="Times New Roman" w:eastAsia="Times New Roman" w:hAnsi="Times New Roman"/>
          <w:sz w:val="17"/>
          <w:szCs w:val="17"/>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nine months ended September 30, 2024 Essent Re paid $212.5 million in dividends to Essent Group and no dividends during the nine months ended September 30, 2023. Essent Group made no capital contributions to Essent Re during the nine months ended September 30, 2024 and 2023. As of September 30, 2024, Essent Re had total stockholders’ equity of $1.8 billion and net risk in force of $23.0 billion.</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4" w:lineRule="exact"/>
        <w:rPr>
          <w:sz w:val="20"/>
          <w:szCs w:val="20"/>
          <w:color w:val="auto"/>
        </w:rPr>
      </w:pPr>
    </w:p>
    <w:p>
      <w:pPr>
        <w:ind w:right="560" w:firstLine="641"/>
        <w:spacing w:after="0" w:line="277"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positive outlook by Moody’s Investors Service (“Moody's”), A- with a stable outlook by S&amp;P and A (Excellent) with stable</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outlook by AM Best. The insurer financial strength rating of Essent Re is A- with a stable outlook by S&amp;P and A (Excellent) with stable outlook by AM Best.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4"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September 30, 2024, Essent Guaranty, our GSE-approved mortgage insurance company, was in compliance with the PMIERs. As of September 30, 2024, Essent Guaranty's Available Assets were $3.6 billion or 189% of its Minimum Required Assets of $1.9 billion based on our interpretation of the PMIERs.</w:t>
      </w:r>
    </w:p>
    <w:p>
      <w:pPr>
        <w:spacing w:after="0" w:line="212"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224"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FHFA and the GSEs announced that effective November 1, 2023, defaulted loans will be no longer eligible for COVID forbearance plans and will follow the GSEs standard forbearance plans going forward. In August 2024, Fannie Mae and Freddie Mac, under the oversight of FHFA, issued an update to the planned sunset of the use of the 0.3x Required Asset multiplier for loans in a COVID forbearance plan. The sunset of the 0.3x Required Asset multiplier for loans in a COVID forbearance plan will become effective on March 31, 2025. Also in August 2024, the GSEs, issued updates to the PMIERs calculation of Available Assets . The updated PMIERs Available Asset requirements are subject to a phased-in implementation, will have no impact on Essent’s Available Assets or sufficiency ratio until March 31, 2025, and will become fully effective on September 30, 2026. Essent expects to remain in full compliance with the existing and updated PMIERs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4" w:lineRule="exact"/>
        <w:rPr>
          <w:sz w:val="20"/>
          <w:szCs w:val="20"/>
          <w:color w:val="auto"/>
        </w:rPr>
      </w:pPr>
    </w:p>
    <w:p>
      <w:pPr>
        <w:ind w:right="60" w:firstLine="641"/>
        <w:spacing w:after="0" w:line="262" w:lineRule="auto"/>
        <w:rPr>
          <w:sz w:val="20"/>
          <w:szCs w:val="20"/>
          <w:color w:val="auto"/>
        </w:rPr>
      </w:pPr>
      <w:r>
        <w:rPr>
          <w:rFonts w:ascii="Times New Roman" w:cs="Times New Roman" w:eastAsia="Times New Roman" w:hAnsi="Times New Roman"/>
          <w:sz w:val="18"/>
          <w:szCs w:val="18"/>
          <w:color w:val="auto"/>
        </w:rPr>
        <w:t>As of September 30, 2024, stockholders’ equity was $5.6 billion, compared to $5.1 billion as of December 31, 2023. Stockholders' equity increased primarily due to net income generated in 2024 and a decrease in accumulated other comprehensive loss related to an increase in our net unrealized investment losses, partially offset by dividends paid and the repurchase of common shares under our share repurchase plan.</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As of September 30, 2024, investments totaled $6.2 billion compared to $5.5 billion as of December 31, 2023. In addition, our total cash was $109.3 million as of September 30, 2024, compared to $141.8 million as of December 31, 2023. The increase in investments was primarily due to investing net cash flows from operations during the nine months ended September 30, 2024 as well as a decrease in our net unrealized investment losses.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00" w:type="dxa"/>
            <w:vAlign w:val="bottom"/>
          </w:tcPr>
          <w:p>
            <w:pPr>
              <w:spacing w:after="0"/>
              <w:rPr>
                <w:sz w:val="16"/>
                <w:szCs w:val="16"/>
                <w:color w:val="auto"/>
              </w:rPr>
            </w:pPr>
          </w:p>
        </w:tc>
        <w:tc>
          <w:tcPr>
            <w:tcW w:w="2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40" w:type="dxa"/>
            <w:vAlign w:val="bottom"/>
            <w:gridSpan w:val="5"/>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7"/>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996,382</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7"/>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300" w:type="dxa"/>
            <w:vAlign w:val="bottom"/>
          </w:tcPr>
          <w:p>
            <w:pPr>
              <w:spacing w:after="0"/>
              <w:rPr>
                <w:sz w:val="19"/>
                <w:szCs w:val="19"/>
                <w:color w:val="auto"/>
              </w:rPr>
            </w:pPr>
          </w:p>
        </w:tc>
        <w:tc>
          <w:tcPr>
            <w:tcW w:w="20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821,346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577,647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547,258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1,297,055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517,940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564,995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5,950,499</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9"/>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4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00" w:type="dxa"/>
            <w:vAlign w:val="bottom"/>
          </w:tcPr>
          <w:p>
            <w:pPr>
              <w:spacing w:after="0"/>
              <w:rPr>
                <w:sz w:val="16"/>
                <w:szCs w:val="16"/>
                <w:color w:val="auto"/>
              </w:rPr>
            </w:pPr>
          </w:p>
        </w:tc>
        <w:tc>
          <w:tcPr>
            <w:tcW w:w="21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2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7"/>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2,541,407</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2,561,363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7"/>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510,486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7"/>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0"/>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5,168,177</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4,819,618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$782,322 and $444,121 of money market funds at September 30, 2024 and December 31, 2023,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7"/>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1,829,657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1,892,074</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371,583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7"/>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402,668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7"/>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2,195,910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1,681,917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5,950,499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Top Ten Investments Available for Sale Holdings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3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460" w:type="dxa"/>
            <w:vAlign w:val="bottom"/>
            <w:gridSpan w:val="3"/>
            <w:vMerge w:val="continue"/>
          </w:tcPr>
          <w:p>
            <w:pPr>
              <w:spacing w:after="0"/>
              <w:rPr>
                <w:sz w:val="11"/>
                <w:szCs w:val="11"/>
                <w:color w:val="auto"/>
              </w:rPr>
            </w:pPr>
          </w:p>
        </w:tc>
        <w:tc>
          <w:tcPr>
            <w:tcW w:w="354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120" w:type="dxa"/>
            <w:vAlign w:val="bottom"/>
          </w:tcPr>
          <w:p>
            <w:pPr>
              <w:jc w:val="right"/>
              <w:ind w:right="214"/>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4"/>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6"/>
                <w:szCs w:val="16"/>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Rating(2)</w:t>
            </w:r>
          </w:p>
        </w:tc>
        <w:tc>
          <w:tcPr>
            <w:tcW w:w="0" w:type="dxa"/>
            <w:vAlign w:val="bottom"/>
          </w:tcPr>
          <w:p>
            <w:pPr>
              <w:spacing w:after="0"/>
              <w:rPr>
                <w:sz w:val="1"/>
                <w:szCs w:val="1"/>
                <w:color w:val="auto"/>
              </w:rPr>
            </w:pPr>
          </w:p>
        </w:tc>
      </w:tr>
      <w:tr>
        <w:trPr>
          <w:trHeight w:val="227"/>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 04/17/2025</w:t>
            </w: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96,253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4.000% 01/31/2029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41,623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2.875% 06/15/2025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 10/15/2024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1.500% 08/15/2026</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 10/01/2024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GNMA 30 Year Platinum 6.000% 11/20/2053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FHLMC 30 Year UMBS 5.500% 11/01/2052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0.250% 05/31/2025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Bill 10/31/2024</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45"/>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380,558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6.4 %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right="120" w:hanging="313"/>
        <w:spacing w:after="0" w:line="257" w:lineRule="auto"/>
        <w:tabs>
          <w:tab w:leader="none" w:pos="6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8"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6460" w:type="dxa"/>
            <w:vAlign w:val="bottom"/>
            <w:tcBorders>
              <w:bottom w:val="single" w:sz="8" w:color="auto"/>
            </w:tcBorders>
            <w:gridSpan w:val="2"/>
          </w:tcPr>
          <w:p>
            <w:pPr>
              <w:ind w:left="3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46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7"/>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0.000% 04/18/2024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66,405</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07/11/2024</w:t>
            </w:r>
          </w:p>
        </w:tc>
        <w:tc>
          <w:tcPr>
            <w:tcW w:w="2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55,360</w:t>
            </w: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2.875% 06/15/2025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40,340</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08/08/2024</w:t>
            </w:r>
          </w:p>
        </w:tc>
        <w:tc>
          <w:tcPr>
            <w:tcW w:w="2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34,100</w:t>
            </w: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1.500% 08/15/2026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31,822</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06/23/2024</w:t>
            </w:r>
          </w:p>
        </w:tc>
        <w:tc>
          <w:tcPr>
            <w:tcW w:w="2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29,381</w:t>
            </w: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GNMA 30 Year Platinum 6.000% 11/20/2053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29,116</w:t>
            </w:r>
          </w:p>
        </w:tc>
      </w:tr>
      <w:tr>
        <w:trPr>
          <w:trHeight w:val="22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09/05/2024</w:t>
            </w:r>
          </w:p>
        </w:tc>
        <w:tc>
          <w:tcPr>
            <w:tcW w:w="26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28,716</w:t>
            </w:r>
          </w:p>
        </w:tc>
      </w:tr>
      <w:tr>
        <w:trPr>
          <w:trHeight w:val="22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FHLMC 30 Year UMBS 5.500% 11/01/2052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27,827</w:t>
            </w:r>
          </w:p>
        </w:tc>
      </w:tr>
      <w:tr>
        <w:trPr>
          <w:trHeight w:val="227"/>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0.250% 05/31/2025</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24,117</w:t>
            </w:r>
          </w:p>
        </w:tc>
      </w:tr>
      <w:tr>
        <w:trPr>
          <w:trHeight w:val="245"/>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367,184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32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7.0 %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include municipal debt securities for states that represent more than 10% of the total municipal bond position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3"/>
        </w:trPr>
        <w:tc>
          <w:tcPr>
            <w:tcW w:w="6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6"/>
        </w:trPr>
        <w:tc>
          <w:tcPr>
            <w:tcW w:w="6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City Transitional Finance Authority Future Tax Secured Revenue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 Payroll Mobility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New York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Aa2</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 Authority of New York &amp; New Jersey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New York Sales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A3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University of New York Dormitory Facilities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Aa3</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of Rochester</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New York Personal Income Tax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City Water &amp; Sewer System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Triborough Bridge &amp; Tunnel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Aa3</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Rochester Institute of Technology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A1</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Yonkers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A2</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Foundation of State University of New York/The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A1</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 Island Power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A2</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Trustees of Columbia University in the City of New York/The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New York</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Aa2</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State Thruway Authority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Yankee Stadium LLC</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A1</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University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Aa2</w:t>
            </w:r>
          </w:p>
        </w:tc>
        <w:tc>
          <w:tcPr>
            <w:tcW w:w="0" w:type="dxa"/>
            <w:vAlign w:val="bottom"/>
          </w:tcPr>
          <w:p>
            <w:pPr>
              <w:spacing w:after="0"/>
              <w:rPr>
                <w:sz w:val="1"/>
                <w:szCs w:val="1"/>
                <w:color w:val="auto"/>
              </w:rPr>
            </w:pPr>
          </w:p>
        </w:tc>
      </w:tr>
      <w:tr>
        <w:trPr>
          <w:trHeight w:val="227"/>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Nassau NY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Aa2</w:t>
            </w:r>
          </w:p>
        </w:tc>
        <w:tc>
          <w:tcPr>
            <w:tcW w:w="0" w:type="dxa"/>
            <w:vAlign w:val="bottom"/>
          </w:tcPr>
          <w:p>
            <w:pPr>
              <w:spacing w:after="0"/>
              <w:rPr>
                <w:sz w:val="1"/>
                <w:szCs w:val="1"/>
                <w:color w:val="auto"/>
              </w:rPr>
            </w:pPr>
          </w:p>
        </w:tc>
      </w:tr>
      <w:tr>
        <w:trPr>
          <w:trHeight w:val="22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Empire State Development Corp</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Aa1</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3"/>
                <w:szCs w:val="13"/>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0" w:type="dxa"/>
            <w:vAlign w:val="bottom"/>
          </w:tcPr>
          <w:p>
            <w:pPr>
              <w:spacing w:after="0"/>
              <w:rPr>
                <w:sz w:val="1"/>
                <w:szCs w:val="1"/>
                <w:color w:val="auto"/>
              </w:rPr>
            </w:pPr>
          </w:p>
        </w:tc>
      </w:tr>
      <w:tr>
        <w:trPr>
          <w:trHeight w:val="193"/>
        </w:trPr>
        <w:tc>
          <w:tcPr>
            <w:tcW w:w="60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6"/>
        </w:trPr>
        <w:tc>
          <w:tcPr>
            <w:tcW w:w="5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Bay Area Toll Authority</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California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Joaquin Hills Transportation Corridor Agency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Anaheim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Community Hospitals of Central California Obligated Group</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Golden State Tobacco Securitization Corp</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 City &amp; County Airport Comm-San Francisco International Airport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Carson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Unified School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Redwoods/The a Community of Seniors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Tuolumne Wind Project Authority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Kern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Chabot-Las Positas Community College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Inglewood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of Oakland</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Los Angeles Department of Airports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Monterey Park CA</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Riverside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California Personal Income Tax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San Francisco CA Public Utilities Commission Water Revenue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Foothill-Eastern Transportation Corridor Agency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 Area Water Supply &amp; Conservation Agency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Riverside County Transportation Commission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Regents of the University of California Medical Center Pooled Revenue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University of California</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Angeles Unified School District/CA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Torrance CA</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El Cajon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El Monte CA</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Alameda Corridor Transportation Authority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Cathedral City Redevelopment Agency Successor Agency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Pomona Redevelopment Agency Successor Agency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Independent System Operator Corp</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Sacramento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Angeles County Securitization Corp</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State University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Oxnard Union High School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San Jose 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Compton Community College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Los Angeles CA</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640" w:right="140" w:hanging="313"/>
        <w:spacing w:after="0" w:line="277" w:lineRule="auto"/>
        <w:tabs>
          <w:tab w:leader="none" w:pos="6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above securities may include financial guaranty insurance or state enhancements. The above ratings include the effect of these credit enhancements, if applicable.</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4" w:lineRule="exact"/>
        <w:rPr>
          <w:sz w:val="20"/>
          <w:szCs w:val="20"/>
          <w:color w:val="auto"/>
        </w:rPr>
      </w:pPr>
    </w:p>
    <w:p>
      <w:pPr>
        <w:ind w:right="20" w:firstLine="178"/>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September 30, 2024, our estimated off-balance sheet maximum exposure to loss from the Radnor Re entities was $0.3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the filing date of this report, there were no significant changes in our critical accounting policies from those discussed in our 2023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recently issued accounting standards adopted or under evaluation.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4"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2" w:lineRule="exact"/>
        <w:rPr>
          <w:sz w:val="20"/>
          <w:szCs w:val="20"/>
          <w:color w:val="auto"/>
        </w:rPr>
      </w:pPr>
    </w:p>
    <w:p>
      <w:pPr>
        <w:ind w:right="360" w:firstLine="641"/>
        <w:spacing w:after="0" w:line="277"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1" w:lineRule="exact"/>
        <w:rPr>
          <w:sz w:val="20"/>
          <w:szCs w:val="20"/>
          <w:color w:val="auto"/>
        </w:rPr>
      </w:pPr>
    </w:p>
    <w:p>
      <w:pPr>
        <w:ind w:left="640" w:right="20" w:hanging="313"/>
        <w:spacing w:after="0" w:line="258"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8" w:lineRule="exact"/>
        <w:rPr>
          <w:rFonts w:ascii="Times New Roman" w:cs="Times New Roman" w:eastAsia="Times New Roman" w:hAnsi="Times New Roman"/>
          <w:sz w:val="18"/>
          <w:szCs w:val="18"/>
          <w:i w:val="1"/>
          <w:iCs w:val="1"/>
          <w:color w:val="auto"/>
        </w:rPr>
      </w:pPr>
    </w:p>
    <w:p>
      <w:pPr>
        <w:ind w:left="640" w:right="200" w:hanging="313"/>
        <w:spacing w:after="0" w:line="279"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6" w:lineRule="exact"/>
        <w:rPr>
          <w:rFonts w:ascii="Times New Roman" w:cs="Times New Roman" w:eastAsia="Times New Roman" w:hAnsi="Times New Roman"/>
          <w:sz w:val="18"/>
          <w:szCs w:val="18"/>
          <w:i w:val="1"/>
          <w:iCs w:val="1"/>
          <w:color w:val="auto"/>
        </w:rPr>
      </w:pPr>
    </w:p>
    <w:p>
      <w:pPr>
        <w:ind w:left="640" w:right="480" w:hanging="313"/>
        <w:spacing w:after="0" w:line="310" w:lineRule="auto"/>
        <w:tabs>
          <w:tab w:leader="none" w:pos="63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162" w:lineRule="exact"/>
        <w:rPr>
          <w:rFonts w:ascii="Times New Roman" w:cs="Times New Roman" w:eastAsia="Times New Roman" w:hAnsi="Times New Roman"/>
          <w:sz w:val="17"/>
          <w:szCs w:val="17"/>
          <w:i w:val="1"/>
          <w:iCs w:val="1"/>
          <w:color w:val="auto"/>
        </w:rPr>
      </w:pPr>
    </w:p>
    <w:p>
      <w:pPr>
        <w:ind w:left="640" w:right="360" w:hanging="313"/>
        <w:spacing w:after="0" w:line="279"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6" w:lineRule="exact"/>
        <w:rPr>
          <w:rFonts w:ascii="Times New Roman" w:cs="Times New Roman" w:eastAsia="Times New Roman" w:hAnsi="Times New Roman"/>
          <w:sz w:val="18"/>
          <w:szCs w:val="18"/>
          <w:i w:val="1"/>
          <w:iCs w:val="1"/>
          <w:color w:val="auto"/>
        </w:rPr>
      </w:pPr>
    </w:p>
    <w:p>
      <w:pPr>
        <w:ind w:left="640" w:right="100" w:hanging="313"/>
        <w:spacing w:after="0" w:line="279"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2"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7"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At September 30, 2024, the effective duration of our investments available for sale was 3.7 years, which means that an instantaneous parallel shift (movement up or down) in the yield curve of 100 basis points would result in a change of 3.7%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4"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September 30, 2024, the end of the period covered by this Quarterly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jc w:val="both"/>
        <w:ind w:right="380" w:firstLine="641"/>
        <w:spacing w:after="0" w:line="262"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4"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2023.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80" w:type="dxa"/>
            <w:vAlign w:val="bottom"/>
          </w:tcPr>
          <w:p>
            <w:pPr>
              <w:spacing w:after="0"/>
              <w:rPr>
                <w:sz w:val="13"/>
                <w:szCs w:val="13"/>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6"/>
              <w:spacing w:after="0" w:line="147"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6"/>
              <w:spacing w:after="0" w:line="134" w:lineRule="exact"/>
              <w:rPr>
                <w:sz w:val="20"/>
                <w:szCs w:val="20"/>
                <w:color w:val="auto"/>
              </w:rPr>
            </w:pPr>
            <w:r>
              <w:rPr>
                <w:rFonts w:ascii="Times New Roman" w:cs="Times New Roman" w:eastAsia="Times New Roman" w:hAnsi="Times New Roman"/>
                <w:sz w:val="14"/>
                <w:szCs w:val="14"/>
                <w:b w:val="1"/>
                <w:bCs w:val="1"/>
                <w:color w:val="auto"/>
                <w:w w:val="96"/>
              </w:rPr>
              <w:t>May Yet Be</w:t>
            </w:r>
          </w:p>
        </w:tc>
        <w:tc>
          <w:tcPr>
            <w:tcW w:w="0" w:type="dxa"/>
            <w:vAlign w:val="bottom"/>
          </w:tcPr>
          <w:p>
            <w:pPr>
              <w:spacing w:after="0"/>
              <w:rPr>
                <w:sz w:val="1"/>
                <w:szCs w:val="1"/>
                <w:color w:val="auto"/>
              </w:rPr>
            </w:pPr>
          </w:p>
        </w:tc>
      </w:tr>
      <w:tr>
        <w:trPr>
          <w:trHeight w:val="147"/>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9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26"/>
              <w:spacing w:after="0" w:line="14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7"/>
        </w:trPr>
        <w:tc>
          <w:tcPr>
            <w:tcW w:w="3880" w:type="dxa"/>
            <w:vAlign w:val="bottom"/>
            <w:gridSpan w:val="3"/>
            <w:vMerge w:val="continue"/>
          </w:tcPr>
          <w:p>
            <w:pPr>
              <w:spacing w:after="0"/>
              <w:rPr>
                <w:sz w:val="12"/>
                <w:szCs w:val="12"/>
                <w:color w:val="auto"/>
              </w:rPr>
            </w:pPr>
          </w:p>
        </w:tc>
        <w:tc>
          <w:tcPr>
            <w:tcW w:w="1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6"/>
              <w:spacing w:after="0" w:line="147"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4"/>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6"/>
                <w:szCs w:val="16"/>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7"/>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 August 31,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44,857</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40" w:hanging="313"/>
        <w:spacing w:after="0" w:line="236" w:lineRule="auto"/>
        <w:tabs>
          <w:tab w:leader="none" w:pos="639"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8"/>
          <w:szCs w:val="18"/>
          <w:color w:val="auto"/>
        </w:rPr>
        <w:t>As of September 30, 2024, the Company was authorized to purchase up to $250 million of its common shares, announced in October 2023, of which $36.7 million had been utilized. The remaining $213.3 million in the table represents the amount available to repurchase shares under the share repurchase plan as of September 30,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Trading Plan</w:t>
      </w:r>
    </w:p>
    <w:p>
      <w:pPr>
        <w:spacing w:after="0" w:line="23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 August 30, 2024, Vijay Bhasin, the Company’s Senior Vice President and Chief Risk Officer, entered into a 10b5-1 sales plan (the “Bhasin Plan”) intended to satisfy the affirmative defense of Rule 10b5-1(c) under the Exchange Act. The Bhasin Plan provides for the sale of up to an aggregate of 122,449 shares of the Company’s common stock beneficially owned by Mr. Bhasin during the term of the Bhasin Plan and will be in effect until the earlier of (1) August 30, 2026 and (2) the date on which an aggregate of 122,449 shares of the Company’s common stock have been sold under the Bhasin Plan.</w:t>
      </w:r>
    </w:p>
    <w:p>
      <w:pPr>
        <w:spacing w:after="0" w:line="21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On September 5, 2024, Mark Casale, the Company’s President and Chief Executive Officer, entered into a 10b5-1 sales plan (the “Casale Plan”) intended to satisfy the affirmative defense of Rule 10b5-1(c) under the Exchange Act. The Casale Plan provides for the sale of up to an aggregate of 250,000 shares of the Company’s common stock beneficially owned by Mr. Casale during the term of the Casale Plan and will be in effect until the earlier of (1) December 5, 2025 and (2) the date on which an aggregate of 250,000 shares of the Company’s common stock have been sold under the Casale Plan.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p>
      <w:pPr>
        <w:ind w:left="680" w:hanging="673"/>
        <w:spacing w:after="0"/>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042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473710</wp:posOffset>
            </wp:positionV>
            <wp:extent cx="9671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1410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1085" cy="8255"/>
                    </a:xfrm>
                    <a:prstGeom prst="rect">
                      <a:avLst/>
                    </a:prstGeom>
                    <a:noFill/>
                  </pic:spPr>
                </pic:pic>
              </a:graphicData>
            </a:graphic>
          </wp:anchor>
        </w:drawing>
      </w:r>
    </w:p>
    <w:p>
      <w:pPr>
        <w:spacing w:after="0" w:line="39"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 adopted pursuant to Section 302 of the Sarbanes-Oxley Act of 2002</w:t>
      </w:r>
    </w:p>
    <w:p>
      <w:pPr>
        <w:spacing w:after="0" w:line="9" w:lineRule="exact"/>
        <w:rPr>
          <w:sz w:val="20"/>
          <w:szCs w:val="20"/>
          <w:color w:val="auto"/>
        </w:rPr>
      </w:pPr>
    </w:p>
    <w:p>
      <w:pPr>
        <w:ind w:right="440"/>
        <w:spacing w:after="0" w:line="235" w:lineRule="auto"/>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 adopted pursuant to Section 302 of the Sarbanes-Oxley Act of 2002</w:t>
      </w:r>
    </w:p>
    <w:p>
      <w:pPr>
        <w:spacing w:after="0" w:line="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 Sarbanes-Oxley Act of 2002</w:t>
      </w:r>
    </w:p>
    <w:p>
      <w:pPr>
        <w:spacing w:after="0" w:line="9"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September 30, 2024, formatted in Inline XBRL: (i) the Condensed Consolidated Balance Sheets (Unaudited); (ii) the Condensed Consolidated Statements of Comprehensive Income (Unaudited); (iii) the Condensed Consolidated Statements of Changes in Stockholders’ Equity (Unaudited);</w:t>
      </w:r>
    </w:p>
    <w:p>
      <w:pPr>
        <w:spacing w:after="0" w:line="1" w:lineRule="exact"/>
        <w:rPr>
          <w:sz w:val="20"/>
          <w:szCs w:val="20"/>
          <w:color w:val="auto"/>
        </w:rPr>
      </w:pPr>
    </w:p>
    <w:p>
      <w:pPr>
        <w:ind w:right="440" w:firstLine="7"/>
        <w:spacing w:after="0" w:line="223" w:lineRule="auto"/>
        <w:tabs>
          <w:tab w:leader="none" w:pos="3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Cash Flows (Unaudited); and (v) the 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1320" w:space="220"/>
            <w:col w:w="9620"/>
          </w:cols>
          <w:pgMar w:left="320" w:top="1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15875</wp:posOffset>
            </wp:positionV>
            <wp:extent cx="29775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Mark A. Casale</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15875</wp:posOffset>
            </wp:positionV>
            <wp:extent cx="2977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7515" cy="8255"/>
                    </a:xfrm>
                    <a:prstGeom prst="rect">
                      <a:avLst/>
                    </a:prstGeom>
                    <a:noFill/>
                  </pic:spPr>
                </pic:pic>
              </a:graphicData>
            </a:graphic>
          </wp:anchor>
        </w:drawing>
      </w:r>
    </w:p>
    <w:p>
      <w:pPr>
        <w:spacing w:after="0" w:line="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121" w:right="4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0" w:lineRule="exact"/>
        <w:rPr>
          <w:sz w:val="20"/>
          <w:szCs w:val="20"/>
          <w:color w:val="auto"/>
        </w:rPr>
      </w:pPr>
    </w:p>
    <w:p>
      <w:pPr>
        <w:ind w:left="560" w:hanging="553"/>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0" w:lineRule="exact"/>
        <w:rPr>
          <w:rFonts w:ascii="Times New Roman" w:cs="Times New Roman" w:eastAsia="Times New Roman" w:hAnsi="Times New Roman"/>
          <w:sz w:val="18"/>
          <w:szCs w:val="18"/>
          <w:color w:val="auto"/>
        </w:rPr>
      </w:pPr>
    </w:p>
    <w:p>
      <w:pPr>
        <w:jc w:val="both"/>
        <w:ind w:right="360" w:firstLine="7"/>
        <w:spacing w:after="0" w:line="308" w:lineRule="auto"/>
        <w:tabs>
          <w:tab w:leader="none" w:pos="51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320" w:firstLine="7"/>
        <w:spacing w:after="0" w:line="277" w:lineRule="auto"/>
        <w:tabs>
          <w:tab w:leader="none" w:pos="5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7"/>
        <w:spacing w:after="0" w:line="262" w:lineRule="auto"/>
        <w:tabs>
          <w:tab w:leader="none" w:pos="5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140" w:firstLine="488"/>
        <w:spacing w:after="0" w:line="262" w:lineRule="auto"/>
        <w:tabs>
          <w:tab w:leader="none" w:pos="9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140" w:firstLine="488"/>
        <w:spacing w:after="0" w:line="26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640" w:firstLine="488"/>
        <w:spacing w:after="0" w:line="277" w:lineRule="auto"/>
        <w:tabs>
          <w:tab w:leader="none" w:pos="100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right="100" w:firstLine="488"/>
        <w:spacing w:after="0" w:line="26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20" w:firstLine="7"/>
        <w:spacing w:after="0" w:line="277" w:lineRule="auto"/>
        <w:tabs>
          <w:tab w:leader="none" w:pos="5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80" w:firstLine="488"/>
        <w:spacing w:after="0" w:line="277" w:lineRule="auto"/>
        <w:tabs>
          <w:tab w:leader="none" w:pos="100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40" w:firstLine="488"/>
        <w:spacing w:after="0" w:line="277" w:lineRule="auto"/>
        <w:tabs>
          <w:tab w:leader="none" w:pos="101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1395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95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0" w:lineRule="exact"/>
        <w:rPr>
          <w:sz w:val="20"/>
          <w:szCs w:val="20"/>
          <w:color w:val="auto"/>
        </w:rPr>
      </w:pPr>
    </w:p>
    <w:p>
      <w:pPr>
        <w:ind w:left="560" w:hanging="553"/>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0" w:lineRule="exact"/>
        <w:rPr>
          <w:rFonts w:ascii="Times New Roman" w:cs="Times New Roman" w:eastAsia="Times New Roman" w:hAnsi="Times New Roman"/>
          <w:sz w:val="18"/>
          <w:szCs w:val="18"/>
          <w:color w:val="auto"/>
        </w:rPr>
      </w:pPr>
    </w:p>
    <w:p>
      <w:pPr>
        <w:jc w:val="both"/>
        <w:ind w:right="360" w:firstLine="7"/>
        <w:spacing w:after="0" w:line="308" w:lineRule="auto"/>
        <w:tabs>
          <w:tab w:leader="none" w:pos="51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320" w:firstLine="7"/>
        <w:spacing w:after="0" w:line="277" w:lineRule="auto"/>
        <w:tabs>
          <w:tab w:leader="none" w:pos="5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7"/>
        <w:spacing w:after="0" w:line="262" w:lineRule="auto"/>
        <w:tabs>
          <w:tab w:leader="none" w:pos="5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140" w:firstLine="488"/>
        <w:spacing w:after="0" w:line="262" w:lineRule="auto"/>
        <w:tabs>
          <w:tab w:leader="none" w:pos="9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140" w:firstLine="488"/>
        <w:spacing w:after="0" w:line="26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640" w:firstLine="488"/>
        <w:spacing w:after="0" w:line="277" w:lineRule="auto"/>
        <w:tabs>
          <w:tab w:leader="none" w:pos="100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right="100" w:firstLine="488"/>
        <w:spacing w:after="0" w:line="262"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20" w:firstLine="7"/>
        <w:spacing w:after="0" w:line="277" w:lineRule="auto"/>
        <w:tabs>
          <w:tab w:leader="none" w:pos="5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80" w:firstLine="488"/>
        <w:spacing w:after="0" w:line="277" w:lineRule="auto"/>
        <w:tabs>
          <w:tab w:leader="none" w:pos="100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40" w:firstLine="488"/>
        <w:spacing w:after="0" w:line="277" w:lineRule="auto"/>
        <w:tabs>
          <w:tab w:leader="none" w:pos="101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139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956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2" w:lineRule="exact"/>
        <w:rPr>
          <w:sz w:val="20"/>
          <w:szCs w:val="20"/>
          <w:color w:val="auto"/>
        </w:rPr>
      </w:pPr>
    </w:p>
    <w:p>
      <w:pPr>
        <w:jc w:val="center"/>
        <w:ind w:left="340" w:right="180"/>
        <w:spacing w:after="0" w:line="282"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7" w:lineRule="exact"/>
        <w:rPr>
          <w:sz w:val="20"/>
          <w:szCs w:val="20"/>
          <w:color w:val="auto"/>
        </w:rPr>
      </w:pPr>
    </w:p>
    <w:p>
      <w:pPr>
        <w:ind w:right="80" w:firstLine="7"/>
        <w:spacing w:after="0" w:line="277"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8"/>
          <w:szCs w:val="18"/>
          <w:color w:val="auto"/>
        </w:rPr>
      </w:pPr>
    </w:p>
    <w:p>
      <w:pPr>
        <w:ind w:right="280" w:firstLine="7"/>
        <w:spacing w:after="0" w:line="525"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4, 2024</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54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54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Roman"/>
      <w:start w:val="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2024-11-05T05:20:05Z</dcterms:created>
  <dcterms:modified xsi:type="dcterms:W3CDTF">2024-11-05T05:20:05Z</dcterms:modified>
</cp:coreProperties>
</file>